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6A86" w:rsidR="00035EFB" w:rsidP="00D93E52" w:rsidRDefault="00947C53" w14:paraId="7DCCCAB9" w14:textId="1BE7FBA8">
      <w:pPr>
        <w:spacing w:line="240" w:lineRule="auto"/>
        <w:rPr>
          <w:rFonts w:cs="Times New Roman"/>
          <w:b/>
        </w:rPr>
      </w:pPr>
      <w:r w:rsidRPr="002C6A86">
        <w:rPr>
          <w:rFonts w:cs="Times New Roman"/>
          <w:b/>
        </w:rPr>
        <w:t>Wijziging van het Protocol van Montreal betreffende stoffen die de ozonlaag afbreken</w:t>
      </w:r>
      <w:r w:rsidRPr="002C6A86" w:rsidR="00960253">
        <w:rPr>
          <w:rFonts w:cs="Times New Roman"/>
          <w:b/>
        </w:rPr>
        <w:t>;</w:t>
      </w:r>
      <w:r w:rsidRPr="002C6A86">
        <w:rPr>
          <w:rFonts w:cs="Times New Roman"/>
          <w:b/>
        </w:rPr>
        <w:t xml:space="preserve"> Kigali</w:t>
      </w:r>
      <w:r w:rsidRPr="002C6A86" w:rsidR="00960253">
        <w:rPr>
          <w:rFonts w:cs="Times New Roman"/>
          <w:b/>
        </w:rPr>
        <w:t>,</w:t>
      </w:r>
      <w:r w:rsidRPr="002C6A86">
        <w:rPr>
          <w:rFonts w:cs="Times New Roman"/>
          <w:b/>
        </w:rPr>
        <w:t xml:space="preserve"> 15 oktober 2016 (Trb. </w:t>
      </w:r>
      <w:r w:rsidRPr="002C6A86" w:rsidR="00CA11A7">
        <w:rPr>
          <w:rFonts w:cs="Times New Roman"/>
          <w:b/>
        </w:rPr>
        <w:t>2016, 199</w:t>
      </w:r>
      <w:r w:rsidR="00D91763">
        <w:rPr>
          <w:rFonts w:cs="Times New Roman"/>
          <w:b/>
        </w:rPr>
        <w:t xml:space="preserve"> en Trb. 2017, 96</w:t>
      </w:r>
      <w:bookmarkStart w:name="_GoBack" w:id="0"/>
      <w:bookmarkEnd w:id="0"/>
      <w:r w:rsidRPr="002C6A86">
        <w:rPr>
          <w:rFonts w:cs="Times New Roman"/>
          <w:b/>
        </w:rPr>
        <w:t>)</w:t>
      </w:r>
    </w:p>
    <w:p w:rsidRPr="002C6A86" w:rsidR="008665E7" w:rsidP="00D93E52" w:rsidRDefault="008665E7" w14:paraId="348A2108" w14:textId="77777777">
      <w:pPr>
        <w:spacing w:line="240" w:lineRule="auto"/>
        <w:rPr>
          <w:rFonts w:cs="Times New Roman"/>
          <w:b/>
          <w:u w:val="single"/>
        </w:rPr>
      </w:pPr>
    </w:p>
    <w:p w:rsidRPr="002C6A86" w:rsidR="00790535" w:rsidP="00D93E52" w:rsidRDefault="00D34FB2" w14:paraId="3221F345" w14:textId="77777777">
      <w:pPr>
        <w:spacing w:line="240" w:lineRule="auto"/>
        <w:rPr>
          <w:rFonts w:cs="Times New Roman"/>
          <w:b/>
        </w:rPr>
      </w:pPr>
      <w:r w:rsidRPr="002C6A86">
        <w:rPr>
          <w:rFonts w:cs="Times New Roman"/>
          <w:b/>
        </w:rPr>
        <w:t>TOELICHTENDE NOTA</w:t>
      </w:r>
      <w:r w:rsidRPr="002C6A86" w:rsidR="00790535">
        <w:rPr>
          <w:rFonts w:cs="Times New Roman"/>
          <w:b/>
        </w:rPr>
        <w:br/>
      </w:r>
    </w:p>
    <w:p w:rsidRPr="002C6A86" w:rsidR="00035EFB" w:rsidP="00035EFB" w:rsidRDefault="00A96AF7" w14:paraId="5B7E5CDB" w14:textId="77777777">
      <w:pPr>
        <w:spacing w:line="240" w:lineRule="auto"/>
        <w:rPr>
          <w:rFonts w:cs="Times New Roman"/>
          <w:b/>
          <w:bCs/>
        </w:rPr>
      </w:pPr>
      <w:r w:rsidRPr="002C6A86">
        <w:rPr>
          <w:rFonts w:cs="Times New Roman"/>
          <w:b/>
        </w:rPr>
        <w:t>1</w:t>
      </w:r>
      <w:r w:rsidRPr="002C6A86" w:rsidR="00790535">
        <w:rPr>
          <w:rFonts w:cs="Times New Roman"/>
          <w:b/>
        </w:rPr>
        <w:t xml:space="preserve">. </w:t>
      </w:r>
      <w:r w:rsidRPr="002C6A86" w:rsidR="00DD26A5">
        <w:rPr>
          <w:rFonts w:cs="Times New Roman"/>
          <w:b/>
          <w:bCs/>
        </w:rPr>
        <w:t>Algemeen</w:t>
      </w:r>
    </w:p>
    <w:p w:rsidRPr="002C6A86" w:rsidR="00035EFB" w:rsidP="00035EFB" w:rsidRDefault="00035EFB" w14:paraId="19BD1FA4" w14:textId="77777777">
      <w:pPr>
        <w:spacing w:line="240" w:lineRule="auto"/>
      </w:pPr>
    </w:p>
    <w:p w:rsidRPr="002C6A86" w:rsidR="00203DCD" w:rsidP="00475F6A" w:rsidRDefault="00203DCD" w14:paraId="0773A781" w14:textId="5AD224E5">
      <w:pPr>
        <w:spacing w:line="240" w:lineRule="auto"/>
      </w:pPr>
      <w:r w:rsidRPr="002C6A86">
        <w:t>Op 22 maart 1985 kwam in Wenen het Verdrag ter bescherming van de ozonlaag (Trb.</w:t>
      </w:r>
      <w:r w:rsidRPr="002C6A86" w:rsidR="00AA5FB4">
        <w:t xml:space="preserve"> 1985, 144; hierna: Verdrag van Wenen</w:t>
      </w:r>
      <w:r w:rsidRPr="002C6A86">
        <w:t xml:space="preserve">) tot stand. </w:t>
      </w:r>
      <w:r w:rsidRPr="002C6A86" w:rsidR="00AA5FB4">
        <w:t>Het</w:t>
      </w:r>
      <w:r w:rsidRPr="002C6A86">
        <w:t xml:space="preserve"> </w:t>
      </w:r>
      <w:r w:rsidRPr="002C6A86" w:rsidR="00D11F7E">
        <w:t>V</w:t>
      </w:r>
      <w:r w:rsidRPr="002C6A86">
        <w:t xml:space="preserve">erdrag is nader uitgewerkt in het Montreal Protocol </w:t>
      </w:r>
      <w:r w:rsidRPr="002C6A86" w:rsidR="00AA5FB4">
        <w:t xml:space="preserve">betreffende stoffen die de ozonlaag afbreken, </w:t>
      </w:r>
      <w:r w:rsidRPr="002C6A86">
        <w:t xml:space="preserve">van </w:t>
      </w:r>
      <w:r w:rsidRPr="002C6A86" w:rsidR="00AA5FB4">
        <w:t>1</w:t>
      </w:r>
      <w:r w:rsidRPr="002C6A86" w:rsidR="006E658B">
        <w:t>6</w:t>
      </w:r>
      <w:r w:rsidRPr="002C6A86" w:rsidR="00AA5FB4">
        <w:t xml:space="preserve"> september 1987 (Trb. 1988, 11; hierna: Montreal Protocol). </w:t>
      </w:r>
    </w:p>
    <w:p w:rsidRPr="002C6A86" w:rsidR="00AA5FB4" w:rsidP="00475F6A" w:rsidRDefault="00AA5FB4" w14:paraId="7AEDB9EE" w14:textId="77777777">
      <w:pPr>
        <w:spacing w:line="240" w:lineRule="auto"/>
      </w:pPr>
    </w:p>
    <w:p w:rsidRPr="002C6A86" w:rsidR="00336620" w:rsidP="00336620" w:rsidRDefault="00336620" w14:paraId="40FAFDB6" w14:textId="3EE43A9C">
      <w:pPr>
        <w:spacing w:line="240" w:lineRule="auto"/>
      </w:pPr>
      <w:r w:rsidRPr="002C6A86">
        <w:t xml:space="preserve">Het </w:t>
      </w:r>
      <w:r w:rsidRPr="002C6A86" w:rsidR="002E1E4F">
        <w:t xml:space="preserve">Montreal </w:t>
      </w:r>
      <w:r w:rsidRPr="002C6A86">
        <w:t xml:space="preserve">Protocol </w:t>
      </w:r>
      <w:r w:rsidRPr="002C6A86" w:rsidR="006E658B">
        <w:t xml:space="preserve">verplicht </w:t>
      </w:r>
      <w:r w:rsidRPr="002C6A86" w:rsidR="007D6FF2">
        <w:t xml:space="preserve">partijen </w:t>
      </w:r>
      <w:r w:rsidRPr="002C6A86" w:rsidR="00DA3C10">
        <w:t>om</w:t>
      </w:r>
      <w:r w:rsidRPr="002C6A86" w:rsidR="007D6FF2">
        <w:t xml:space="preserve"> </w:t>
      </w:r>
      <w:r w:rsidRPr="002C6A86" w:rsidR="00630F84">
        <w:t xml:space="preserve">de productie en consumptie van </w:t>
      </w:r>
      <w:r w:rsidRPr="002C6A86" w:rsidR="00234AA3">
        <w:t xml:space="preserve">ozonlaagafbrekende stoffen in 1999 </w:t>
      </w:r>
      <w:r w:rsidRPr="002C6A86" w:rsidR="001A188C">
        <w:t xml:space="preserve">met 50% </w:t>
      </w:r>
      <w:r w:rsidRPr="002C6A86" w:rsidR="00234AA3">
        <w:t>te reduceren ten opzichte van niveaus in 1986</w:t>
      </w:r>
      <w:r w:rsidRPr="002C6A86" w:rsidR="00630F84">
        <w:t xml:space="preserve">. Hierbij gaat het om </w:t>
      </w:r>
      <w:r w:rsidRPr="002C6A86" w:rsidR="00234AA3">
        <w:t>de vijf belangrijkste CFK’s</w:t>
      </w:r>
      <w:r w:rsidRPr="002C6A86" w:rsidR="001A188C">
        <w:t xml:space="preserve"> (chloorfluorkoolstoffen</w:t>
      </w:r>
      <w:r w:rsidRPr="002C6A86" w:rsidR="00234AA3">
        <w:t>)</w:t>
      </w:r>
      <w:r w:rsidRPr="002C6A86" w:rsidR="001A188C">
        <w:t xml:space="preserve">. CFK’s werden vanaf de jaren dertig </w:t>
      </w:r>
      <w:r w:rsidRPr="002C6A86" w:rsidR="00D11F7E">
        <w:t xml:space="preserve">van de vorige eeuw </w:t>
      </w:r>
      <w:r w:rsidRPr="002C6A86" w:rsidR="001A188C">
        <w:t>gebruikt als koelmiddel en als drijfgas voor spuitbussen. Het</w:t>
      </w:r>
      <w:r w:rsidRPr="002C6A86" w:rsidR="00444F14">
        <w:t xml:space="preserve"> Montreal Protocol </w:t>
      </w:r>
      <w:r w:rsidRPr="002C6A86" w:rsidR="001A188C">
        <w:t xml:space="preserve">verplicht partijen ook </w:t>
      </w:r>
      <w:r w:rsidRPr="002C6A86" w:rsidR="006E658B">
        <w:t xml:space="preserve">om </w:t>
      </w:r>
      <w:r w:rsidRPr="002C6A86" w:rsidR="002E1E4F">
        <w:t>de p</w:t>
      </w:r>
      <w:r w:rsidRPr="002C6A86">
        <w:t xml:space="preserve">roductie en consumptie van de drie belangrijkste </w:t>
      </w:r>
      <w:r w:rsidRPr="002C6A86" w:rsidR="001A188C">
        <w:t xml:space="preserve">HCFK’s (chloorfluorkoolwaterstoffen), de </w:t>
      </w:r>
      <w:r w:rsidRPr="002C6A86">
        <w:t>halonen</w:t>
      </w:r>
      <w:r w:rsidRPr="002C6A86" w:rsidR="001A188C">
        <w:t xml:space="preserve"> -vooral gebruikt in brandblussers-,</w:t>
      </w:r>
      <w:r w:rsidRPr="002C6A86">
        <w:t xml:space="preserve"> </w:t>
      </w:r>
      <w:r w:rsidRPr="002C6A86" w:rsidR="00444F14">
        <w:t xml:space="preserve">vanaf 1993 </w:t>
      </w:r>
      <w:r w:rsidRPr="002C6A86" w:rsidR="001A188C">
        <w:t>te bevriezen</w:t>
      </w:r>
      <w:r w:rsidRPr="002C6A86">
        <w:t xml:space="preserve"> op de niveaus van 1986. </w:t>
      </w:r>
    </w:p>
    <w:p w:rsidRPr="002C6A86" w:rsidR="00336620" w:rsidP="00336620" w:rsidRDefault="00336620" w14:paraId="77E405E2" w14:textId="77777777">
      <w:pPr>
        <w:spacing w:line="240" w:lineRule="auto"/>
      </w:pPr>
    </w:p>
    <w:p w:rsidRPr="002C6A86" w:rsidR="00B76EC8" w:rsidP="00336620" w:rsidRDefault="00B76EC8" w14:paraId="01C295FB" w14:textId="77777777">
      <w:pPr>
        <w:spacing w:line="240" w:lineRule="auto"/>
      </w:pPr>
      <w:r w:rsidRPr="002C6A86">
        <w:t xml:space="preserve">Het Protocol wordt gekenmerkt door een nalevingsregime, waarbij partijen jaarlijks de omvang van de productie en consumptie van de stoffen monitoren en rapporteren, en waarbij handel met niet deelnemende landen is uitgesloten. Het Montreal Protocol is daarmee een effectief verdrag gebleken om </w:t>
      </w:r>
      <w:r w:rsidRPr="002C6A86" w:rsidR="002128B0">
        <w:t>ozonlaagafbrekende</w:t>
      </w:r>
      <w:r w:rsidRPr="002C6A86">
        <w:t xml:space="preserve"> stoffen uit te faseren, waardoor het gat in de ozonlaag langzamerhand herstelt. Volgens de voorspellingen zal de ozonlaag tussen 2050 en 2070 terug zijn op het niveau van 1980. Hierdoor wordt naar schatting in 2030</w:t>
      </w:r>
      <w:r w:rsidRPr="002C6A86" w:rsidR="00B232E9">
        <w:t xml:space="preserve"> bij 2 miljoen mensen huidkanker voorkomen.</w:t>
      </w:r>
      <w:r w:rsidRPr="002C6A86">
        <w:rPr>
          <w:rStyle w:val="Voetnootmarkering"/>
        </w:rPr>
        <w:footnoteReference w:id="2"/>
      </w:r>
      <w:r w:rsidRPr="002C6A86">
        <w:t xml:space="preserve"> </w:t>
      </w:r>
    </w:p>
    <w:p w:rsidRPr="002C6A86" w:rsidR="00B76EC8" w:rsidP="00336620" w:rsidRDefault="00B76EC8" w14:paraId="210080CC" w14:textId="77777777">
      <w:pPr>
        <w:spacing w:line="240" w:lineRule="auto"/>
      </w:pPr>
    </w:p>
    <w:p w:rsidRPr="002C6A86" w:rsidR="00336620" w:rsidP="00336620" w:rsidRDefault="00336620" w14:paraId="2B59D7F2" w14:textId="1A4F2635">
      <w:pPr>
        <w:spacing w:line="240" w:lineRule="auto"/>
      </w:pPr>
      <w:r w:rsidRPr="002C6A86">
        <w:t>Een belangrijk element van het Montreal Protocol is de flexibiliteit om zich verder te ontwikkelen naar aanleiding van</w:t>
      </w:r>
      <w:r w:rsidRPr="002C6A86" w:rsidR="00214089">
        <w:t xml:space="preserve"> voortschrijdend</w:t>
      </w:r>
      <w:r w:rsidRPr="002C6A86">
        <w:t xml:space="preserve"> wetenschappelijk</w:t>
      </w:r>
      <w:r w:rsidRPr="002C6A86" w:rsidR="00214089">
        <w:t xml:space="preserve"> inzicht </w:t>
      </w:r>
      <w:r w:rsidRPr="002C6A86">
        <w:t>en technische ontwikkelingen</w:t>
      </w:r>
      <w:r w:rsidRPr="002C6A86" w:rsidR="000511FB">
        <w:t xml:space="preserve">, zie </w:t>
      </w:r>
      <w:r w:rsidRPr="002C6A86" w:rsidR="00FC163C">
        <w:t>artikel 6 van het Protocol</w:t>
      </w:r>
      <w:r w:rsidRPr="002C6A86">
        <w:t xml:space="preserve">. </w:t>
      </w:r>
      <w:r w:rsidRPr="002C6A86" w:rsidR="00FC163C">
        <w:t xml:space="preserve">Dit maakte </w:t>
      </w:r>
      <w:r w:rsidRPr="002C6A86" w:rsidR="004A3584">
        <w:t xml:space="preserve">het mogelijk </w:t>
      </w:r>
      <w:r w:rsidRPr="002C6A86" w:rsidR="00FC163C">
        <w:t xml:space="preserve">dat </w:t>
      </w:r>
      <w:r w:rsidRPr="002C6A86">
        <w:t>het controleregime</w:t>
      </w:r>
      <w:r w:rsidRPr="002C6A86" w:rsidR="00D03E54">
        <w:t xml:space="preserve"> (de beheersingsmaatregelen van artikel 2</w:t>
      </w:r>
      <w:r w:rsidRPr="002C6A86" w:rsidR="00FC163C">
        <w:t xml:space="preserve"> van het Protocol</w:t>
      </w:r>
      <w:r w:rsidRPr="002C6A86" w:rsidR="00D03E54">
        <w:t>)</w:t>
      </w:r>
      <w:r w:rsidRPr="002C6A86">
        <w:t xml:space="preserve"> voor ozonlaagafbrekende stoffen onder he</w:t>
      </w:r>
      <w:r w:rsidRPr="002C6A86" w:rsidR="004A3584">
        <w:t>t P</w:t>
      </w:r>
      <w:r w:rsidRPr="002C6A86">
        <w:t xml:space="preserve">rotocol </w:t>
      </w:r>
      <w:r w:rsidRPr="002C6A86" w:rsidR="004A3584">
        <w:t xml:space="preserve">tot nu toe </w:t>
      </w:r>
      <w:r w:rsidRPr="002C6A86">
        <w:t xml:space="preserve">zes </w:t>
      </w:r>
      <w:r w:rsidRPr="002C6A86" w:rsidR="004A3584">
        <w:t xml:space="preserve">keer </w:t>
      </w:r>
      <w:r w:rsidRPr="002C6A86" w:rsidR="0010382F">
        <w:t xml:space="preserve">(in 1990, 1992, 1995, </w:t>
      </w:r>
      <w:r w:rsidRPr="002C6A86" w:rsidR="001F313C">
        <w:t xml:space="preserve">1997, </w:t>
      </w:r>
      <w:r w:rsidRPr="002C6A86" w:rsidR="0010382F">
        <w:t>1999 en 2007</w:t>
      </w:r>
      <w:r w:rsidRPr="002C6A86" w:rsidR="007A52EA">
        <w:rPr>
          <w:rStyle w:val="Voetnootmarkering"/>
        </w:rPr>
        <w:footnoteReference w:id="3"/>
      </w:r>
      <w:r w:rsidRPr="002C6A86" w:rsidR="0010382F">
        <w:t xml:space="preserve">) </w:t>
      </w:r>
      <w:r w:rsidRPr="002C6A86" w:rsidR="004A3584">
        <w:t xml:space="preserve">door de </w:t>
      </w:r>
      <w:r w:rsidRPr="002C6A86" w:rsidR="009A1378">
        <w:t>v</w:t>
      </w:r>
      <w:r w:rsidRPr="002C6A86" w:rsidR="004A3584">
        <w:t xml:space="preserve">ergadering van </w:t>
      </w:r>
      <w:r w:rsidRPr="002C6A86" w:rsidR="004B7D7E">
        <w:t xml:space="preserve">de </w:t>
      </w:r>
      <w:r w:rsidRPr="002C6A86" w:rsidR="009A1378">
        <w:t>p</w:t>
      </w:r>
      <w:r w:rsidRPr="002C6A86" w:rsidR="004A3584">
        <w:t>artijen is aangepast</w:t>
      </w:r>
      <w:r w:rsidRPr="002C6A86">
        <w:t xml:space="preserve"> </w:t>
      </w:r>
      <w:r w:rsidRPr="002C6A86" w:rsidR="004A3584">
        <w:t>en waarbij de bestaande uitfase</w:t>
      </w:r>
      <w:r w:rsidRPr="002C6A86" w:rsidR="002B2EE2">
        <w:t>er</w:t>
      </w:r>
      <w:r w:rsidRPr="002C6A86" w:rsidR="004A3584">
        <w:t>schema</w:t>
      </w:r>
      <w:r w:rsidRPr="002C6A86" w:rsidR="001B76C6">
        <w:t>’</w:t>
      </w:r>
      <w:r w:rsidRPr="002C6A86" w:rsidR="004A3584">
        <w:t>s voor de betreffende stoffen zijn aangescherpt.</w:t>
      </w:r>
      <w:r w:rsidRPr="002C6A86" w:rsidR="000A6B40">
        <w:t xml:space="preserve"> </w:t>
      </w:r>
      <w:r w:rsidRPr="002C6A86" w:rsidR="001F313C">
        <w:t xml:space="preserve"> In 1991 is Bijlage D aan het Montreal Protocol toegevoegd.</w:t>
      </w:r>
      <w:r w:rsidRPr="002C6A86" w:rsidR="001F313C">
        <w:rPr>
          <w:rStyle w:val="Voetnootmarkering"/>
        </w:rPr>
        <w:footnoteReference w:id="4"/>
      </w:r>
      <w:r w:rsidRPr="002C6A86" w:rsidR="004A3584">
        <w:t xml:space="preserve"> </w:t>
      </w:r>
    </w:p>
    <w:p w:rsidRPr="002C6A86" w:rsidR="00336620" w:rsidP="00475F6A" w:rsidRDefault="00336620" w14:paraId="30BE347C" w14:textId="77777777">
      <w:pPr>
        <w:spacing w:line="240" w:lineRule="auto"/>
      </w:pPr>
    </w:p>
    <w:p w:rsidRPr="002C6A86" w:rsidR="00AA5FB4" w:rsidP="00475F6A" w:rsidRDefault="00AA5FB4" w14:paraId="0BF03D29" w14:textId="06814011">
      <w:pPr>
        <w:spacing w:line="240" w:lineRule="auto"/>
      </w:pPr>
      <w:r w:rsidRPr="002C6A86">
        <w:t xml:space="preserve">Het Montreal Protocol is </w:t>
      </w:r>
      <w:r w:rsidRPr="002C6A86" w:rsidR="0010382F">
        <w:t xml:space="preserve">daarnaast </w:t>
      </w:r>
      <w:r w:rsidRPr="002C6A86" w:rsidR="001F313C">
        <w:t>vier</w:t>
      </w:r>
      <w:r w:rsidRPr="002C6A86" w:rsidR="00336620">
        <w:t xml:space="preserve"> keer gewijzigd waar</w:t>
      </w:r>
      <w:r w:rsidRPr="002C6A86" w:rsidR="00FC163C">
        <w:t>bij</w:t>
      </w:r>
      <w:r w:rsidRPr="002C6A86" w:rsidR="00336620">
        <w:t xml:space="preserve"> nieuwe verplichtingen </w:t>
      </w:r>
      <w:r w:rsidRPr="002C6A86" w:rsidR="003350A4">
        <w:t>voor p</w:t>
      </w:r>
      <w:r w:rsidRPr="002C6A86" w:rsidR="00336620">
        <w:t xml:space="preserve">artijen zijn opgenomen (bijvoorbeeld voor een nieuwe stof of stofgroep). </w:t>
      </w:r>
      <w:r w:rsidRPr="002C6A86" w:rsidR="00583CD6">
        <w:t xml:space="preserve">Regelmatig zijn nieuwe stoffen, gebaseerd op wetenschappelijke onderzoeken die vaststelden dat ze een effect hebben op de afbraak van de ozonlaag, aan het flexibele, juridische systeem van het Montreal Protocol toegevoegd. </w:t>
      </w:r>
    </w:p>
    <w:p w:rsidRPr="002C6A86" w:rsidR="00336620" w:rsidP="00475F6A" w:rsidRDefault="00336620" w14:paraId="1A6705A5" w14:textId="77777777">
      <w:pPr>
        <w:spacing w:line="240" w:lineRule="auto"/>
      </w:pPr>
    </w:p>
    <w:p w:rsidRPr="002C6A86" w:rsidR="00336620" w:rsidP="00336620" w:rsidRDefault="00336620" w14:paraId="7D5043CF" w14:textId="77777777">
      <w:pPr>
        <w:spacing w:line="240" w:lineRule="auto"/>
      </w:pPr>
      <w:r w:rsidRPr="002C6A86">
        <w:t>De</w:t>
      </w:r>
      <w:r w:rsidRPr="002C6A86" w:rsidR="00EA01B9">
        <w:t>ze</w:t>
      </w:r>
      <w:r w:rsidRPr="002C6A86">
        <w:t xml:space="preserve"> wijzigingen </w:t>
      </w:r>
      <w:r w:rsidRPr="002C6A86" w:rsidR="00234AA3">
        <w:t xml:space="preserve">van het Montreal Protocol </w:t>
      </w:r>
      <w:r w:rsidRPr="002C6A86">
        <w:t xml:space="preserve">betreffen, kort gezegd: </w:t>
      </w:r>
    </w:p>
    <w:p w:rsidRPr="002C6A86" w:rsidR="00336620" w:rsidP="00336620" w:rsidRDefault="00336620" w14:paraId="0B46573C" w14:textId="77777777">
      <w:pPr>
        <w:spacing w:line="240" w:lineRule="auto"/>
      </w:pPr>
    </w:p>
    <w:p w:rsidRPr="002C6A86" w:rsidR="001B76C6" w:rsidP="00336620" w:rsidRDefault="001B76C6" w14:paraId="248D562A" w14:textId="17583481">
      <w:pPr>
        <w:numPr>
          <w:ilvl w:val="0"/>
          <w:numId w:val="6"/>
        </w:numPr>
        <w:spacing w:line="240" w:lineRule="auto"/>
      </w:pPr>
      <w:r w:rsidRPr="002C6A86">
        <w:t>d</w:t>
      </w:r>
      <w:r w:rsidRPr="002C6A86" w:rsidR="00336620">
        <w:t xml:space="preserve">e toevoeging van methylchloroform, </w:t>
      </w:r>
      <w:r w:rsidRPr="002C6A86">
        <w:t>tetrachloorkoolstof</w:t>
      </w:r>
      <w:r w:rsidRPr="002C6A86" w:rsidR="00336620">
        <w:t xml:space="preserve"> en meer CFK</w:t>
      </w:r>
      <w:r w:rsidRPr="002C6A86" w:rsidR="00234AA3">
        <w:t>’</w:t>
      </w:r>
      <w:r w:rsidRPr="002C6A86" w:rsidR="00336620">
        <w:t>s aan de uitfase</w:t>
      </w:r>
      <w:r w:rsidRPr="002C6A86" w:rsidR="002B2EE2">
        <w:t>er</w:t>
      </w:r>
      <w:r w:rsidRPr="002C6A86" w:rsidR="00336620">
        <w:t>schema’s en de opzet van een mechanisme voor financiële en technische steun voor ontwikkelingslanden</w:t>
      </w:r>
      <w:r w:rsidRPr="002C6A86" w:rsidR="00336620">
        <w:rPr>
          <w:i/>
          <w:iCs/>
        </w:rPr>
        <w:t xml:space="preserve"> </w:t>
      </w:r>
      <w:r w:rsidRPr="002C6A86" w:rsidR="00336620">
        <w:rPr>
          <w:iCs/>
        </w:rPr>
        <w:t>(Londen,</w:t>
      </w:r>
      <w:r w:rsidRPr="002C6A86" w:rsidR="00336620">
        <w:t xml:space="preserve"> </w:t>
      </w:r>
      <w:r w:rsidRPr="002C6A86">
        <w:t xml:space="preserve">29 juni </w:t>
      </w:r>
      <w:r w:rsidRPr="002C6A86" w:rsidR="00336620">
        <w:t>1990</w:t>
      </w:r>
      <w:r w:rsidRPr="002C6A86">
        <w:t>, Trb. 1991, 49</w:t>
      </w:r>
      <w:r w:rsidRPr="002C6A86" w:rsidR="00336620">
        <w:t>)</w:t>
      </w:r>
      <w:r w:rsidRPr="002C6A86">
        <w:t>;</w:t>
      </w:r>
    </w:p>
    <w:p w:rsidRPr="002C6A86" w:rsidR="00336620" w:rsidP="00336620" w:rsidRDefault="001B76C6" w14:paraId="7C9DB766" w14:textId="4E1F0FB2">
      <w:pPr>
        <w:numPr>
          <w:ilvl w:val="0"/>
          <w:numId w:val="6"/>
        </w:numPr>
        <w:spacing w:line="240" w:lineRule="auto"/>
      </w:pPr>
      <w:r w:rsidRPr="002C6A86">
        <w:t>d</w:t>
      </w:r>
      <w:r w:rsidRPr="002C6A86" w:rsidR="00336620">
        <w:t>e toevoeging van HCFK</w:t>
      </w:r>
      <w:r w:rsidRPr="002C6A86" w:rsidR="00234AA3">
        <w:t>’</w:t>
      </w:r>
      <w:r w:rsidRPr="002C6A86" w:rsidR="00336620">
        <w:t>s, HBFC</w:t>
      </w:r>
      <w:r w:rsidRPr="002C6A86" w:rsidR="00234AA3">
        <w:t>’</w:t>
      </w:r>
      <w:r w:rsidRPr="002C6A86" w:rsidR="00336620">
        <w:t>s</w:t>
      </w:r>
      <w:r w:rsidRPr="002C6A86">
        <w:t xml:space="preserve"> (broomfluorkoolwaterstoffen)</w:t>
      </w:r>
      <w:r w:rsidRPr="002C6A86" w:rsidR="00336620">
        <w:t xml:space="preserve"> en m</w:t>
      </w:r>
      <w:r w:rsidRPr="002C6A86" w:rsidR="00234AA3">
        <w:t>ethylbromide aan de uitfase</w:t>
      </w:r>
      <w:r w:rsidRPr="002C6A86" w:rsidR="002B2EE2">
        <w:t>er</w:t>
      </w:r>
      <w:r w:rsidRPr="002C6A86" w:rsidR="00336620">
        <w:t>schema’s en de formele oprichting van het Multilatera</w:t>
      </w:r>
      <w:r w:rsidRPr="002C6A86" w:rsidR="00D820A6">
        <w:t>a</w:t>
      </w:r>
      <w:r w:rsidRPr="002C6A86" w:rsidR="00336620">
        <w:t>l F</w:t>
      </w:r>
      <w:r w:rsidRPr="002C6A86" w:rsidR="00D820A6">
        <w:t>onds</w:t>
      </w:r>
      <w:r w:rsidRPr="002C6A86" w:rsidR="00336620">
        <w:t xml:space="preserve"> (</w:t>
      </w:r>
      <w:r w:rsidRPr="002C6A86" w:rsidR="00CF6659">
        <w:t xml:space="preserve">hierna: </w:t>
      </w:r>
      <w:r w:rsidRPr="002C6A86" w:rsidR="00336620">
        <w:t>MLF)</w:t>
      </w:r>
      <w:r w:rsidRPr="002C6A86" w:rsidR="00336620">
        <w:rPr>
          <w:iCs/>
        </w:rPr>
        <w:t xml:space="preserve"> (Kopenhagen, </w:t>
      </w:r>
      <w:r w:rsidRPr="002C6A86">
        <w:rPr>
          <w:iCs/>
        </w:rPr>
        <w:t xml:space="preserve">25 november </w:t>
      </w:r>
      <w:r w:rsidRPr="002C6A86" w:rsidR="00336620">
        <w:t>1992</w:t>
      </w:r>
      <w:r w:rsidRPr="002C6A86">
        <w:t>, Trb. 1993, 90</w:t>
      </w:r>
      <w:r w:rsidRPr="002C6A86" w:rsidR="00336620">
        <w:t>)</w:t>
      </w:r>
      <w:r w:rsidRPr="002C6A86">
        <w:t>;</w:t>
      </w:r>
    </w:p>
    <w:p w:rsidRPr="002C6A86" w:rsidR="00336620" w:rsidP="00336620" w:rsidRDefault="001B76C6" w14:paraId="4991C3BB" w14:textId="4A699001">
      <w:pPr>
        <w:numPr>
          <w:ilvl w:val="0"/>
          <w:numId w:val="6"/>
        </w:numPr>
        <w:spacing w:line="240" w:lineRule="auto"/>
      </w:pPr>
      <w:r w:rsidRPr="002C6A86">
        <w:t>d</w:t>
      </w:r>
      <w:r w:rsidRPr="002C6A86" w:rsidR="00336620">
        <w:t xml:space="preserve">e introductie van een </w:t>
      </w:r>
      <w:r w:rsidRPr="002C6A86" w:rsidR="00BC4082">
        <w:t xml:space="preserve">vergunningsysteem </w:t>
      </w:r>
      <w:r w:rsidRPr="002C6A86" w:rsidR="00336620">
        <w:t>voor import en export van</w:t>
      </w:r>
      <w:r w:rsidRPr="002C6A86" w:rsidR="007D6FF2">
        <w:t xml:space="preserve"> </w:t>
      </w:r>
      <w:r w:rsidRPr="002C6A86" w:rsidR="002128B0">
        <w:t>ozonlaagafbrekende</w:t>
      </w:r>
      <w:r w:rsidRPr="002C6A86" w:rsidR="007D6FF2">
        <w:t xml:space="preserve"> stoffen</w:t>
      </w:r>
      <w:r w:rsidRPr="002C6A86" w:rsidR="00336620">
        <w:t>, met name om illegale handel aan te pakken</w:t>
      </w:r>
      <w:r w:rsidRPr="002C6A86" w:rsidR="00336620">
        <w:rPr>
          <w:i/>
          <w:iCs/>
        </w:rPr>
        <w:t xml:space="preserve"> </w:t>
      </w:r>
      <w:r w:rsidRPr="002C6A86" w:rsidR="00336620">
        <w:rPr>
          <w:iCs/>
        </w:rPr>
        <w:t>(Montreal,</w:t>
      </w:r>
      <w:r w:rsidRPr="002C6A86" w:rsidR="00336620">
        <w:t xml:space="preserve"> 1</w:t>
      </w:r>
      <w:r w:rsidRPr="002C6A86" w:rsidR="00D23E91">
        <w:t>7 september 1</w:t>
      </w:r>
      <w:r w:rsidRPr="002C6A86" w:rsidR="00336620">
        <w:t>997</w:t>
      </w:r>
      <w:r w:rsidRPr="002C6A86" w:rsidR="00D23E91">
        <w:t>, Trb. 1998, 50);</w:t>
      </w:r>
    </w:p>
    <w:p w:rsidRPr="002C6A86" w:rsidR="00336620" w:rsidP="00336620" w:rsidRDefault="00D23E91" w14:paraId="780ECA8D" w14:textId="4B94BB3C">
      <w:pPr>
        <w:numPr>
          <w:ilvl w:val="0"/>
          <w:numId w:val="6"/>
        </w:numPr>
        <w:spacing w:line="240" w:lineRule="auto"/>
      </w:pPr>
      <w:r w:rsidRPr="002C6A86">
        <w:t>d</w:t>
      </w:r>
      <w:r w:rsidRPr="002C6A86" w:rsidR="00336620">
        <w:t>e toevoeging van bro</w:t>
      </w:r>
      <w:r w:rsidRPr="002C6A86">
        <w:t>o</w:t>
      </w:r>
      <w:r w:rsidRPr="002C6A86" w:rsidR="00336620">
        <w:t>mchlo</w:t>
      </w:r>
      <w:r w:rsidRPr="002C6A86">
        <w:t>o</w:t>
      </w:r>
      <w:r w:rsidRPr="002C6A86" w:rsidR="00336620">
        <w:t>rmetha</w:t>
      </w:r>
      <w:r w:rsidRPr="002C6A86">
        <w:t>a</w:t>
      </w:r>
      <w:r w:rsidRPr="002C6A86" w:rsidR="00336620">
        <w:t xml:space="preserve">n en de uitbreiding van de </w:t>
      </w:r>
      <w:r w:rsidRPr="002C6A86" w:rsidR="00234AA3">
        <w:t>uitfase</w:t>
      </w:r>
      <w:r w:rsidRPr="002C6A86" w:rsidR="002B2EE2">
        <w:t>er</w:t>
      </w:r>
      <w:r w:rsidRPr="002C6A86" w:rsidR="00336620">
        <w:t>schema’s van HCFK</w:t>
      </w:r>
      <w:r w:rsidRPr="002C6A86" w:rsidR="00234AA3">
        <w:t>’</w:t>
      </w:r>
      <w:r w:rsidRPr="002C6A86" w:rsidR="00336620">
        <w:t>s naar productie in plaats van alleen consumptie (</w:t>
      </w:r>
      <w:r w:rsidRPr="002C6A86" w:rsidR="00336620">
        <w:rPr>
          <w:iCs/>
        </w:rPr>
        <w:t xml:space="preserve">Beijing, </w:t>
      </w:r>
      <w:r w:rsidRPr="002C6A86">
        <w:rPr>
          <w:iCs/>
        </w:rPr>
        <w:t xml:space="preserve">3 december </w:t>
      </w:r>
      <w:r w:rsidRPr="002C6A86" w:rsidR="00336620">
        <w:t>1999</w:t>
      </w:r>
      <w:r w:rsidRPr="002C6A86">
        <w:t>, Trb. 2000, 83</w:t>
      </w:r>
      <w:r w:rsidRPr="002C6A86" w:rsidR="00336620">
        <w:t>).</w:t>
      </w:r>
    </w:p>
    <w:p w:rsidRPr="002C6A86" w:rsidR="009F00A3" w:rsidP="0044626E" w:rsidRDefault="009F00A3" w14:paraId="6A7D7975" w14:textId="77777777">
      <w:pPr>
        <w:spacing w:line="240" w:lineRule="auto"/>
        <w:rPr>
          <w:iCs/>
        </w:rPr>
      </w:pPr>
    </w:p>
    <w:p w:rsidRPr="002C6A86" w:rsidR="00B76EC8" w:rsidP="0044626E" w:rsidRDefault="00B76EC8" w14:paraId="0E0C1D8C" w14:textId="551EF41E">
      <w:pPr>
        <w:spacing w:line="240" w:lineRule="auto"/>
      </w:pPr>
      <w:r w:rsidRPr="002C6A86">
        <w:rPr>
          <w:iCs/>
        </w:rPr>
        <w:t>Het Koninkrijk heeft het Verdrag van Wenen en het Montreal Protocol aanvaard voor het gehele Koninkrijk, zie paragraaf 6 voor de gelding van de wijzigingen nadien</w:t>
      </w:r>
      <w:r w:rsidRPr="002C6A86" w:rsidR="000511FB">
        <w:rPr>
          <w:iCs/>
        </w:rPr>
        <w:t xml:space="preserve"> voor het Koninkrijk</w:t>
      </w:r>
      <w:r w:rsidRPr="002C6A86">
        <w:rPr>
          <w:iCs/>
        </w:rPr>
        <w:t xml:space="preserve">.  </w:t>
      </w:r>
    </w:p>
    <w:p w:rsidRPr="002C6A86" w:rsidR="0044626E" w:rsidP="005E1A69" w:rsidRDefault="0044626E" w14:paraId="1149A49A" w14:textId="77777777">
      <w:pPr>
        <w:spacing w:line="240" w:lineRule="auto"/>
      </w:pPr>
    </w:p>
    <w:p w:rsidRPr="002C6A86" w:rsidR="009F00A3" w:rsidP="003F6DDB" w:rsidRDefault="009F00A3" w14:paraId="1387D71B" w14:textId="310DFA17">
      <w:pPr>
        <w:spacing w:line="240" w:lineRule="auto"/>
      </w:pPr>
      <w:r w:rsidRPr="002C6A86">
        <w:t xml:space="preserve">Op 15 oktober 2016 is tijdens de achtentwintigste vergadering van de partijen van het Montreal Protocol </w:t>
      </w:r>
      <w:r w:rsidRPr="002C6A86" w:rsidR="00D11F7E">
        <w:t xml:space="preserve">in </w:t>
      </w:r>
      <w:r w:rsidRPr="002C6A86">
        <w:t xml:space="preserve">Besluit XVIII/I de </w:t>
      </w:r>
      <w:r w:rsidRPr="002C6A86" w:rsidR="006D1EC3">
        <w:t>zesde</w:t>
      </w:r>
      <w:r w:rsidRPr="002C6A86">
        <w:t xml:space="preserve"> wijziging van het Montreal Protocol aangenomen, hierna te noemen: het Kigali Amendement. Dit Amendement wordt nu ter goedkeuring voorgelegd.</w:t>
      </w:r>
      <w:r w:rsidRPr="002C6A86">
        <w:rPr>
          <w:iCs/>
        </w:rPr>
        <w:t xml:space="preserve"> Kern van het Amendement is de toevoeging van HFK’s (fluorkoolwaterstoffen) </w:t>
      </w:r>
      <w:r w:rsidRPr="002C6A86" w:rsidR="00C14A02">
        <w:rPr>
          <w:iCs/>
        </w:rPr>
        <w:t xml:space="preserve">aan de uitfaseerschema’s, </w:t>
      </w:r>
      <w:r w:rsidRPr="002C6A86">
        <w:rPr>
          <w:iCs/>
        </w:rPr>
        <w:t xml:space="preserve">met bevriezing </w:t>
      </w:r>
      <w:r w:rsidRPr="002C6A86" w:rsidR="006F3D6E">
        <w:rPr>
          <w:iCs/>
        </w:rPr>
        <w:t>van productie en consumptie</w:t>
      </w:r>
      <w:r w:rsidRPr="002C6A86" w:rsidR="00C14A02">
        <w:rPr>
          <w:iCs/>
        </w:rPr>
        <w:t>,</w:t>
      </w:r>
      <w:r w:rsidRPr="002C6A86">
        <w:rPr>
          <w:iCs/>
        </w:rPr>
        <w:t xml:space="preserve"> inclusief de verplichting om de bijproductie van HFK-23 bij de productie van HCFK’s of HFK’s te vernietigen. </w:t>
      </w:r>
      <w:r w:rsidRPr="002C6A86" w:rsidR="003F6DDB">
        <w:t xml:space="preserve">In aanvulling op het Kigali Amendement zijn de onderwerpen die te technisch of veelvuldig aan verandering onderhevig kunnen zijn vastgelegd in Besluit XXVIII/2, getiteld </w:t>
      </w:r>
      <w:r w:rsidRPr="002C6A86" w:rsidR="003F6DDB">
        <w:rPr>
          <w:i/>
        </w:rPr>
        <w:t>Decision related to the amendment phasing down hydrofluorocarbons</w:t>
      </w:r>
      <w:r w:rsidRPr="002C6A86" w:rsidR="003F6DDB">
        <w:t xml:space="preserve"> (hierna: Besluit XXVIII/2</w:t>
      </w:r>
      <w:r w:rsidRPr="002C6A86" w:rsidR="00D56FA8">
        <w:rPr>
          <w:rStyle w:val="Voetnootmarkering"/>
        </w:rPr>
        <w:footnoteReference w:id="5"/>
      </w:r>
      <w:r w:rsidRPr="002C6A86" w:rsidR="003F6DDB">
        <w:t xml:space="preserve">). </w:t>
      </w:r>
      <w:r w:rsidRPr="002C6A86" w:rsidR="00C77E38">
        <w:t xml:space="preserve">Dit Besluit is van belang bij de in het Kigali </w:t>
      </w:r>
      <w:r w:rsidRPr="002C6A86" w:rsidR="00320B8E">
        <w:t>A</w:t>
      </w:r>
      <w:r w:rsidRPr="002C6A86" w:rsidR="00C77E38">
        <w:t xml:space="preserve">mendement vastgelegde afspraken. </w:t>
      </w:r>
      <w:r w:rsidRPr="002C6A86" w:rsidR="00320B8E">
        <w:t>Het</w:t>
      </w:r>
      <w:r w:rsidRPr="002C6A86" w:rsidR="003F6DDB">
        <w:t xml:space="preserve"> bevat nadere afspraken aangaande bepaalde uitzonderingen op de in het Amendement geregelde uitfaseerschema’s, alsook een nadere technische uitwerking van het Amendement. Besluit XXVIII/2 is aangenomen door de</w:t>
      </w:r>
      <w:r w:rsidRPr="002C6A86" w:rsidR="006D1EC3">
        <w:t xml:space="preserve"> </w:t>
      </w:r>
      <w:r w:rsidRPr="002C6A86" w:rsidR="009A1378">
        <w:t>v</w:t>
      </w:r>
      <w:r w:rsidRPr="002C6A86" w:rsidR="003F6DDB">
        <w:t xml:space="preserve">ergadering van de </w:t>
      </w:r>
      <w:r w:rsidRPr="002C6A86" w:rsidR="009A1378">
        <w:t>p</w:t>
      </w:r>
      <w:r w:rsidRPr="002C6A86" w:rsidR="003F6DDB">
        <w:t xml:space="preserve">artijen binnen het kader van </w:t>
      </w:r>
      <w:r w:rsidRPr="002C6A86" w:rsidR="00C77E38">
        <w:t xml:space="preserve">het </w:t>
      </w:r>
      <w:r w:rsidRPr="002C6A86" w:rsidR="003F6DDB">
        <w:t xml:space="preserve">Protocol van Montreal, en </w:t>
      </w:r>
      <w:r w:rsidRPr="002C6A86" w:rsidR="00C77E38">
        <w:t>bevat geen juridisch afdwingbare afspraken</w:t>
      </w:r>
      <w:r w:rsidRPr="002C6A86" w:rsidR="003F6DDB">
        <w:t>.</w:t>
      </w:r>
      <w:r w:rsidRPr="002C6A86" w:rsidR="003104DA">
        <w:t xml:space="preserve"> </w:t>
      </w:r>
    </w:p>
    <w:p w:rsidRPr="002C6A86" w:rsidR="009F00A3" w:rsidP="009F00A3" w:rsidRDefault="009F00A3" w14:paraId="5D53EA18" w14:textId="77777777">
      <w:pPr>
        <w:spacing w:line="240" w:lineRule="auto"/>
      </w:pPr>
    </w:p>
    <w:p w:rsidRPr="002C6A86" w:rsidR="005E1A69" w:rsidP="005E1A69" w:rsidRDefault="005E1A69" w14:paraId="774878E7" w14:textId="3404962B">
      <w:pPr>
        <w:spacing w:line="240" w:lineRule="auto"/>
      </w:pPr>
      <w:r w:rsidRPr="002C6A86">
        <w:t xml:space="preserve">Waren de wijzigingen in het verleden </w:t>
      </w:r>
      <w:r w:rsidRPr="002C6A86" w:rsidR="0044626E">
        <w:t xml:space="preserve">vooral </w:t>
      </w:r>
      <w:r w:rsidRPr="002C6A86">
        <w:t>gericht op de uitfasering van stoffen die de ozonlaag aantasten, het Kigali Amendement richt zich op de uitfasering van stoffen die een sterk klimaatopwarmend vermogen hebben.</w:t>
      </w:r>
      <w:r w:rsidRPr="002C6A86" w:rsidR="00D237BE">
        <w:t xml:space="preserve"> </w:t>
      </w:r>
      <w:r w:rsidRPr="002C6A86">
        <w:t xml:space="preserve">De reden waarom de HFK’s onder het </w:t>
      </w:r>
      <w:r w:rsidRPr="002C6A86" w:rsidR="006F3D6E">
        <w:t xml:space="preserve">regime van het </w:t>
      </w:r>
      <w:r w:rsidRPr="002C6A86">
        <w:t xml:space="preserve">Montreal Protocol zijn gebracht heeft te maken met het feit dat het om </w:t>
      </w:r>
      <w:r w:rsidRPr="002C6A86" w:rsidR="00EA01B9">
        <w:t>vergelijkbare</w:t>
      </w:r>
      <w:r w:rsidRPr="002C6A86">
        <w:t xml:space="preserve"> sectoren en producten gaat als bij </w:t>
      </w:r>
      <w:r w:rsidRPr="002C6A86" w:rsidR="00D237BE">
        <w:t>(H)</w:t>
      </w:r>
      <w:r w:rsidRPr="002C6A86">
        <w:t>CFK</w:t>
      </w:r>
      <w:r w:rsidRPr="002C6A86" w:rsidR="00D237BE">
        <w:t>’</w:t>
      </w:r>
      <w:r w:rsidRPr="002C6A86">
        <w:t>s</w:t>
      </w:r>
      <w:r w:rsidRPr="002C6A86" w:rsidR="00D237BE">
        <w:t xml:space="preserve"> </w:t>
      </w:r>
      <w:r w:rsidRPr="002C6A86">
        <w:t xml:space="preserve">en </w:t>
      </w:r>
      <w:r w:rsidRPr="002C6A86" w:rsidR="00EA01B9">
        <w:t xml:space="preserve">dat </w:t>
      </w:r>
      <w:r w:rsidRPr="002C6A86">
        <w:t xml:space="preserve">wordt aangesloten bij een </w:t>
      </w:r>
      <w:r w:rsidRPr="002C6A86" w:rsidR="0044626E">
        <w:t xml:space="preserve">effectief </w:t>
      </w:r>
      <w:r w:rsidRPr="002C6A86">
        <w:t xml:space="preserve">bestaand juridisch en beleidsmatig kader. Daarbij komt dat de HFK’s </w:t>
      </w:r>
      <w:r w:rsidRPr="002C6A86" w:rsidR="00BC4082">
        <w:t xml:space="preserve">in toenemende mate </w:t>
      </w:r>
      <w:r w:rsidRPr="002C6A86">
        <w:t xml:space="preserve">zijn </w:t>
      </w:r>
      <w:r w:rsidRPr="002C6A86" w:rsidR="00BC4082">
        <w:t xml:space="preserve">gebruikt </w:t>
      </w:r>
      <w:r w:rsidRPr="002C6A86">
        <w:t xml:space="preserve">als vervanger voor de (H)CFK’s omdat </w:t>
      </w:r>
      <w:r w:rsidRPr="002C6A86" w:rsidR="006F702A">
        <w:t>HFK’s,</w:t>
      </w:r>
      <w:r w:rsidRPr="002C6A86">
        <w:t xml:space="preserve"> in tegenstelling tot (H)CFK’s</w:t>
      </w:r>
      <w:r w:rsidRPr="002C6A86" w:rsidR="006F702A">
        <w:t>,</w:t>
      </w:r>
      <w:r w:rsidRPr="002C6A86">
        <w:t xml:space="preserve"> de ozonlaag niet afbreken. De HFK’s blijken echter wel een groot klimaatopwarmend effect te hebben en worden daarom met het Kigali Amendement </w:t>
      </w:r>
      <w:r w:rsidRPr="002C6A86" w:rsidR="00CE7EF3">
        <w:t>tot een minimum uitgefaseerd</w:t>
      </w:r>
      <w:r w:rsidRPr="002C6A86">
        <w:t>.</w:t>
      </w:r>
      <w:r w:rsidRPr="002C6A86" w:rsidR="00D237BE">
        <w:t xml:space="preserve"> Alle broeikasgassen, ook de HFK’s, vallen onder het Klimaatverdrag, maar in verband met een effectieve mondiale aanpak </w:t>
      </w:r>
      <w:r w:rsidRPr="002C6A86" w:rsidR="001C7761">
        <w:t>zorgt</w:t>
      </w:r>
      <w:r w:rsidRPr="002C6A86" w:rsidR="00D237BE">
        <w:t xml:space="preserve"> het Montreal Protocol </w:t>
      </w:r>
      <w:r w:rsidRPr="002C6A86" w:rsidR="001C7761">
        <w:t>voor de concrete aanpak van die stoffen ten dienste van het Klimaatverdrag.</w:t>
      </w:r>
    </w:p>
    <w:p w:rsidRPr="002C6A86" w:rsidR="006F702A" w:rsidP="005E1A69" w:rsidRDefault="006F702A" w14:paraId="32531C1F" w14:textId="77777777">
      <w:pPr>
        <w:spacing w:line="240" w:lineRule="auto"/>
      </w:pPr>
    </w:p>
    <w:p w:rsidRPr="002C6A86" w:rsidR="006F702A" w:rsidP="006F702A" w:rsidRDefault="006F702A" w14:paraId="396AA1CF" w14:textId="71B49E45">
      <w:pPr>
        <w:spacing w:line="240" w:lineRule="auto"/>
      </w:pPr>
      <w:r w:rsidRPr="002C6A86">
        <w:t>HFK’s worden, net als voorheen CFK’s en HCFK’s, met name gebruikt in airconditioning, koelinstallaties en warmtepompen, (isolatie)schuimen en, in mindere mate, als aerosolen en oplosmiddel, in medische toepassingen (astmapuffers) en in brandveiligheid</w:t>
      </w:r>
      <w:r w:rsidRPr="002C6A86" w:rsidR="006F3D6E">
        <w:t>s</w:t>
      </w:r>
      <w:r w:rsidRPr="002C6A86">
        <w:t xml:space="preserve">installaties. HFK’s hebben een klimaatopwarmend effect </w:t>
      </w:r>
      <w:r w:rsidRPr="002C6A86" w:rsidR="00095073">
        <w:t xml:space="preserve">tot </w:t>
      </w:r>
      <w:r w:rsidRPr="002C6A86">
        <w:t>meer dan 14.000 keer groter dan kooldioxide (CO2), het meest bekende broeikasgas. Voor de meeste toepassingen komen steeds meer klimaatvriendelijkere alternatieven binnen bereik, zoals koeling op ammoniak, kooldioxide of koolwaterstoffen</w:t>
      </w:r>
      <w:r w:rsidRPr="002C6A86" w:rsidR="003C5F76">
        <w:t>, maar ook nieuwe chemische stoffen die een klein klimaatopwarmend vermogen hebben en de ozonlaag niet aantasten</w:t>
      </w:r>
      <w:r w:rsidRPr="002C6A86">
        <w:t xml:space="preserve">. </w:t>
      </w:r>
    </w:p>
    <w:p w:rsidRPr="002C6A86" w:rsidR="006F702A" w:rsidP="005E1A69" w:rsidRDefault="006F702A" w14:paraId="4ACE6627" w14:textId="77777777">
      <w:pPr>
        <w:spacing w:line="240" w:lineRule="auto"/>
      </w:pPr>
    </w:p>
    <w:p w:rsidRPr="002C6A86" w:rsidR="00B10800" w:rsidP="00475F6A" w:rsidRDefault="00234AA3" w14:paraId="6B31CBD8" w14:textId="5D1D2778">
      <w:pPr>
        <w:spacing w:line="240" w:lineRule="auto"/>
      </w:pPr>
      <w:r w:rsidRPr="002C6A86">
        <w:t>Bij</w:t>
      </w:r>
      <w:r w:rsidRPr="002C6A86" w:rsidR="00E80895">
        <w:t xml:space="preserve"> </w:t>
      </w:r>
      <w:r w:rsidRPr="002C6A86" w:rsidR="006E0AF8">
        <w:t>het</w:t>
      </w:r>
      <w:r w:rsidRPr="002C6A86" w:rsidR="00E80895">
        <w:t xml:space="preserve"> </w:t>
      </w:r>
      <w:r w:rsidRPr="002C6A86" w:rsidR="00833515">
        <w:t xml:space="preserve">Kigali </w:t>
      </w:r>
      <w:r w:rsidRPr="002C6A86" w:rsidR="006E0AF8">
        <w:t>A</w:t>
      </w:r>
      <w:r w:rsidRPr="002C6A86" w:rsidR="00833515">
        <w:t xml:space="preserve">mendement </w:t>
      </w:r>
      <w:r w:rsidRPr="002C6A86" w:rsidR="00E80895">
        <w:t>hebben partijen afgesproken</w:t>
      </w:r>
      <w:r w:rsidRPr="002C6A86" w:rsidR="00B10800">
        <w:t xml:space="preserve"> de </w:t>
      </w:r>
      <w:r w:rsidRPr="002C6A86" w:rsidR="003B37F7">
        <w:t>productie</w:t>
      </w:r>
      <w:r w:rsidRPr="002C6A86" w:rsidR="001C7761">
        <w:t>, gebruik en handel</w:t>
      </w:r>
      <w:r w:rsidRPr="002C6A86" w:rsidR="00166591">
        <w:t xml:space="preserve"> </w:t>
      </w:r>
      <w:r w:rsidRPr="002C6A86" w:rsidR="003B37F7">
        <w:t>van HFK</w:t>
      </w:r>
      <w:r w:rsidRPr="002C6A86">
        <w:t>’</w:t>
      </w:r>
      <w:r w:rsidRPr="002C6A86" w:rsidR="008665E7">
        <w:t>s</w:t>
      </w:r>
      <w:r w:rsidRPr="002C6A86" w:rsidR="003B37F7">
        <w:t xml:space="preserve"> </w:t>
      </w:r>
      <w:r w:rsidRPr="002C6A86">
        <w:t xml:space="preserve">mondiaal </w:t>
      </w:r>
      <w:r w:rsidRPr="002C6A86" w:rsidR="00E80895">
        <w:t>te reguleren</w:t>
      </w:r>
      <w:r w:rsidRPr="002C6A86" w:rsidR="00B10800">
        <w:t>. De productie</w:t>
      </w:r>
      <w:r w:rsidRPr="002C6A86" w:rsidR="001C7761">
        <w:t xml:space="preserve"> en consumptie</w:t>
      </w:r>
      <w:r w:rsidRPr="002C6A86" w:rsidR="00D95CFE">
        <w:t xml:space="preserve"> </w:t>
      </w:r>
      <w:r w:rsidRPr="002C6A86" w:rsidR="00B10800">
        <w:t>word</w:t>
      </w:r>
      <w:r w:rsidRPr="002C6A86" w:rsidR="00AE315C">
        <w:t>en</w:t>
      </w:r>
      <w:r w:rsidRPr="002C6A86" w:rsidR="00B10800">
        <w:t xml:space="preserve"> </w:t>
      </w:r>
      <w:r w:rsidRPr="002C6A86" w:rsidR="00B111CF">
        <w:t xml:space="preserve">wereldwijd </w:t>
      </w:r>
      <w:r w:rsidRPr="002C6A86" w:rsidR="00B10800">
        <w:t>bevroren en afgebouwd</w:t>
      </w:r>
      <w:r w:rsidRPr="002C6A86" w:rsidR="00833515">
        <w:t xml:space="preserve">, waardoor de temperatuurstijging tot een halve graad kan worden </w:t>
      </w:r>
      <w:r w:rsidRPr="002C6A86" w:rsidR="0008070D">
        <w:t>verminderd</w:t>
      </w:r>
      <w:r w:rsidRPr="002C6A86" w:rsidR="003B37F7">
        <w:t xml:space="preserve"> in 2100</w:t>
      </w:r>
      <w:r w:rsidRPr="002C6A86" w:rsidR="00034152">
        <w:rPr>
          <w:rStyle w:val="Voetnootmarkering"/>
        </w:rPr>
        <w:footnoteReference w:id="6"/>
      </w:r>
      <w:r w:rsidRPr="002C6A86" w:rsidR="00114103">
        <w:t>.</w:t>
      </w:r>
      <w:r w:rsidRPr="002C6A86" w:rsidR="003B37F7">
        <w:t xml:space="preserve"> </w:t>
      </w:r>
      <w:r w:rsidRPr="002C6A86" w:rsidR="00114103">
        <w:t>I</w:t>
      </w:r>
      <w:r w:rsidRPr="002C6A86" w:rsidR="00D95CFE">
        <w:t xml:space="preserve">n totaal wordt </w:t>
      </w:r>
      <w:r w:rsidRPr="002C6A86" w:rsidR="00114103">
        <w:t xml:space="preserve">naar schatting </w:t>
      </w:r>
      <w:r w:rsidRPr="002C6A86" w:rsidR="00D95CFE">
        <w:t>in de periode t</w:t>
      </w:r>
      <w:r w:rsidRPr="002C6A86" w:rsidR="004025C6">
        <w:t xml:space="preserve">ot </w:t>
      </w:r>
      <w:r w:rsidRPr="002C6A86" w:rsidR="00D95CFE">
        <w:t xml:space="preserve">2050 de consumptie van </w:t>
      </w:r>
      <w:r w:rsidRPr="002C6A86" w:rsidR="004025C6">
        <w:t xml:space="preserve">ongeveer </w:t>
      </w:r>
      <w:r w:rsidRPr="002C6A86" w:rsidR="003809A8">
        <w:t>80 giga</w:t>
      </w:r>
      <w:r w:rsidRPr="002C6A86" w:rsidR="003B37F7">
        <w:t>ton CO2-eq</w:t>
      </w:r>
      <w:r w:rsidRPr="002C6A86" w:rsidR="004025C6">
        <w:t xml:space="preserve"> of meer </w:t>
      </w:r>
      <w:r w:rsidRPr="002C6A86" w:rsidR="00D95CFE">
        <w:t>aan HFK</w:t>
      </w:r>
      <w:r w:rsidRPr="002C6A86">
        <w:t>’</w:t>
      </w:r>
      <w:r w:rsidRPr="002C6A86" w:rsidR="00D95CFE">
        <w:t>s vermeden</w:t>
      </w:r>
      <w:r w:rsidRPr="002C6A86" w:rsidR="00034152">
        <w:rPr>
          <w:rStyle w:val="Voetnootmarkering"/>
        </w:rPr>
        <w:footnoteReference w:id="7"/>
      </w:r>
      <w:r w:rsidRPr="002C6A86" w:rsidR="009D60A2">
        <w:t>.</w:t>
      </w:r>
      <w:r w:rsidRPr="002C6A86" w:rsidR="00381E4E">
        <w:t xml:space="preserve"> </w:t>
      </w:r>
      <w:r w:rsidRPr="002C6A86" w:rsidR="00833515">
        <w:t xml:space="preserve">Het Kigali </w:t>
      </w:r>
      <w:r w:rsidRPr="002C6A86" w:rsidR="006E0AF8">
        <w:t xml:space="preserve">Amendement </w:t>
      </w:r>
      <w:r w:rsidRPr="002C6A86" w:rsidR="00833515">
        <w:t xml:space="preserve">levert daarmee een belangrijke bijdrage aan </w:t>
      </w:r>
      <w:r w:rsidRPr="002C6A86" w:rsidR="00D95CFE">
        <w:t xml:space="preserve">de uitvoering van </w:t>
      </w:r>
      <w:r w:rsidRPr="002C6A86" w:rsidR="006F3D6E">
        <w:t xml:space="preserve">de </w:t>
      </w:r>
      <w:r w:rsidRPr="002C6A86" w:rsidR="000511FB">
        <w:t xml:space="preserve">op </w:t>
      </w:r>
      <w:r w:rsidRPr="002C6A86" w:rsidR="003C3AFA">
        <w:t xml:space="preserve">12 december 2015 te Parijs tot stand gekomen </w:t>
      </w:r>
      <w:r w:rsidRPr="002C6A86" w:rsidR="006F3D6E">
        <w:t>Overeenkomst</w:t>
      </w:r>
      <w:r w:rsidRPr="002C6A86" w:rsidR="00833515">
        <w:t xml:space="preserve"> van Parijs </w:t>
      </w:r>
      <w:r w:rsidRPr="002C6A86" w:rsidR="003C3AFA">
        <w:t xml:space="preserve">(Trb. 2016, 94) </w:t>
      </w:r>
      <w:r w:rsidRPr="002C6A86" w:rsidR="00833515">
        <w:t>om de temperatuurstijging tot ruim beneden de 2 graden Cel</w:t>
      </w:r>
      <w:r w:rsidRPr="002C6A86" w:rsidR="006F3D6E">
        <w:t>s</w:t>
      </w:r>
      <w:r w:rsidRPr="002C6A86" w:rsidR="00833515">
        <w:t xml:space="preserve">ius te beperken met als streven 1,5 graad. </w:t>
      </w:r>
    </w:p>
    <w:p w:rsidRPr="002C6A86" w:rsidR="00B10800" w:rsidP="00475F6A" w:rsidRDefault="00B10800" w14:paraId="706609F6" w14:textId="77777777">
      <w:pPr>
        <w:spacing w:line="240" w:lineRule="auto"/>
      </w:pPr>
    </w:p>
    <w:p w:rsidRPr="002C6A86" w:rsidR="00302EB7" w:rsidP="00475F6A" w:rsidRDefault="00AE315C" w14:paraId="1599232C" w14:textId="77777777">
      <w:pPr>
        <w:spacing w:line="240" w:lineRule="auto"/>
      </w:pPr>
      <w:r w:rsidRPr="002C6A86">
        <w:t>De verplichting om de productie en consumptie van HFK</w:t>
      </w:r>
      <w:r w:rsidRPr="002C6A86" w:rsidR="00234AA3">
        <w:t>’</w:t>
      </w:r>
      <w:r w:rsidRPr="002C6A86">
        <w:t>s te bevriezen gaat voor ontwikkelde landen gelden vanaf 2019, voor enkele Oost-Europese landen vanaf 2020 en voor ontwikkelingslanden vanaf 2024 en 2028.</w:t>
      </w:r>
      <w:r w:rsidRPr="002C6A86" w:rsidR="003B37F7">
        <w:t xml:space="preserve"> Wereldwijd zal er een geleidelijke afbouw van 80 – 85% </w:t>
      </w:r>
      <w:r w:rsidRPr="002C6A86" w:rsidR="008665E7">
        <w:t xml:space="preserve">van de productie en consumptie plaatsvinden </w:t>
      </w:r>
      <w:r w:rsidRPr="002C6A86" w:rsidR="003B37F7">
        <w:t>net voor het midden van deze eeuw.</w:t>
      </w:r>
      <w:r w:rsidRPr="002C6A86" w:rsidR="00970920">
        <w:t xml:space="preserve"> Hiermee wordt de </w:t>
      </w:r>
      <w:r w:rsidRPr="002C6A86" w:rsidR="00D95CFE">
        <w:t xml:space="preserve">groeiende </w:t>
      </w:r>
      <w:r w:rsidRPr="002C6A86" w:rsidR="00970920">
        <w:t xml:space="preserve">trend </w:t>
      </w:r>
      <w:r w:rsidRPr="002C6A86" w:rsidR="00D95CFE">
        <w:t xml:space="preserve">van het gebruik </w:t>
      </w:r>
      <w:r w:rsidRPr="002C6A86" w:rsidR="00114103">
        <w:t xml:space="preserve">en daarmee de emissies </w:t>
      </w:r>
      <w:r w:rsidRPr="002C6A86" w:rsidR="00D95CFE">
        <w:t xml:space="preserve">van </w:t>
      </w:r>
      <w:r w:rsidRPr="002C6A86" w:rsidR="003809A8">
        <w:t>HFK</w:t>
      </w:r>
      <w:r w:rsidRPr="002C6A86" w:rsidR="00234AA3">
        <w:t>’</w:t>
      </w:r>
      <w:r w:rsidRPr="002C6A86" w:rsidR="003809A8">
        <w:t xml:space="preserve">s </w:t>
      </w:r>
      <w:r w:rsidRPr="002C6A86" w:rsidR="00D95CFE">
        <w:t>(</w:t>
      </w:r>
      <w:r w:rsidRPr="002C6A86" w:rsidR="00B111CF">
        <w:t>jaarlijks ongeveer 10% meer HFK</w:t>
      </w:r>
      <w:r w:rsidRPr="002C6A86" w:rsidR="00234AA3">
        <w:t>’</w:t>
      </w:r>
      <w:r w:rsidRPr="002C6A86" w:rsidR="00970920">
        <w:t>s</w:t>
      </w:r>
      <w:r w:rsidRPr="002C6A86" w:rsidR="00D95CFE">
        <w:t>)</w:t>
      </w:r>
      <w:r w:rsidRPr="002C6A86" w:rsidR="00970920">
        <w:t xml:space="preserve"> gekeerd.</w:t>
      </w:r>
      <w:r w:rsidRPr="002C6A86" w:rsidR="00671CDE">
        <w:t xml:space="preserve"> Ook is afgesproken dat HFK-23, dat vrijkomt bij de productie van HCFK</w:t>
      </w:r>
      <w:r w:rsidRPr="002C6A86" w:rsidR="00F1435D">
        <w:t>’</w:t>
      </w:r>
      <w:r w:rsidRPr="002C6A86" w:rsidR="00671CDE">
        <w:t>s</w:t>
      </w:r>
      <w:r w:rsidRPr="002C6A86" w:rsidR="00F1435D">
        <w:t xml:space="preserve"> of HFK’s</w:t>
      </w:r>
      <w:r w:rsidRPr="002C6A86" w:rsidR="00200E11">
        <w:t>,</w:t>
      </w:r>
      <w:r w:rsidRPr="002C6A86" w:rsidR="00671CDE">
        <w:t xml:space="preserve"> met </w:t>
      </w:r>
      <w:r w:rsidRPr="002C6A86" w:rsidR="00200E11">
        <w:t>goedgekeurd</w:t>
      </w:r>
      <w:r w:rsidRPr="002C6A86" w:rsidR="00671CDE">
        <w:t>e technieken moet worden vernietigd.</w:t>
      </w:r>
      <w:r w:rsidRPr="002C6A86" w:rsidR="00EA0C37">
        <w:t xml:space="preserve"> </w:t>
      </w:r>
    </w:p>
    <w:p w:rsidRPr="002C6A86" w:rsidR="00177CAE" w:rsidP="00475F6A" w:rsidRDefault="00177CAE" w14:paraId="2EE70BC1" w14:textId="77777777">
      <w:pPr>
        <w:spacing w:line="240" w:lineRule="auto"/>
      </w:pPr>
    </w:p>
    <w:p w:rsidRPr="002C6A86" w:rsidR="003B37F7" w:rsidP="00475F6A" w:rsidRDefault="00EA0C37" w14:paraId="70BAAA80" w14:textId="4B4C2BF3">
      <w:pPr>
        <w:spacing w:line="240" w:lineRule="auto"/>
      </w:pPr>
      <w:r w:rsidRPr="002C6A86">
        <w:t xml:space="preserve">Daarnaast zullen de </w:t>
      </w:r>
      <w:r w:rsidRPr="002C6A86" w:rsidR="00381E4E">
        <w:t xml:space="preserve">HFK’s </w:t>
      </w:r>
      <w:r w:rsidRPr="002C6A86">
        <w:t xml:space="preserve">onder het Kigali </w:t>
      </w:r>
      <w:r w:rsidRPr="002C6A86" w:rsidR="006E0AF8">
        <w:t>A</w:t>
      </w:r>
      <w:r w:rsidRPr="002C6A86">
        <w:t>mendement ook</w:t>
      </w:r>
      <w:r w:rsidRPr="002C6A86" w:rsidR="00381E4E">
        <w:t xml:space="preserve"> vallen</w:t>
      </w:r>
      <w:r w:rsidRPr="002C6A86">
        <w:t xml:space="preserve"> onder </w:t>
      </w:r>
      <w:r w:rsidRPr="002C6A86" w:rsidR="00381E4E">
        <w:t xml:space="preserve">de </w:t>
      </w:r>
      <w:r w:rsidRPr="002C6A86">
        <w:t xml:space="preserve">bestaande </w:t>
      </w:r>
      <w:r w:rsidRPr="002C6A86" w:rsidR="00381E4E">
        <w:t xml:space="preserve">verplichting een </w:t>
      </w:r>
      <w:r w:rsidRPr="002C6A86">
        <w:t>vergunningensysteem voor import en export van nieuwe, gebruikte</w:t>
      </w:r>
      <w:r w:rsidRPr="002C6A86" w:rsidR="001605AD">
        <w:t xml:space="preserve"> en teruggewonnen stoffen </w:t>
      </w:r>
      <w:r w:rsidRPr="002C6A86" w:rsidR="00381E4E">
        <w:t xml:space="preserve">in te voeren </w:t>
      </w:r>
      <w:r w:rsidRPr="002C6A86">
        <w:t>en onder de jaarlijkse rapportageverplichtingen.</w:t>
      </w:r>
      <w:r w:rsidRPr="002C6A86" w:rsidR="001605AD">
        <w:t xml:space="preserve"> Hand</w:t>
      </w:r>
      <w:r w:rsidRPr="002C6A86" w:rsidR="00177CAE">
        <w:t xml:space="preserve">el </w:t>
      </w:r>
      <w:r w:rsidRPr="002C6A86" w:rsidR="00381E4E">
        <w:t>in HFK</w:t>
      </w:r>
      <w:r w:rsidRPr="002C6A86" w:rsidR="004829CA">
        <w:t>’</w:t>
      </w:r>
      <w:r w:rsidRPr="002C6A86" w:rsidR="00381E4E">
        <w:t xml:space="preserve">s </w:t>
      </w:r>
      <w:r w:rsidRPr="002C6A86" w:rsidR="00177CAE">
        <w:t xml:space="preserve">met partijen die het Kigali </w:t>
      </w:r>
      <w:r w:rsidRPr="002C6A86" w:rsidR="006E0AF8">
        <w:t xml:space="preserve">Amendement </w:t>
      </w:r>
      <w:r w:rsidRPr="002C6A86" w:rsidR="001605AD">
        <w:t>niet hebben geratificeerd wordt vanaf 2033 verboden.</w:t>
      </w:r>
    </w:p>
    <w:p w:rsidRPr="002C6A86" w:rsidR="00177CAE" w:rsidP="00475F6A" w:rsidRDefault="00177CAE" w14:paraId="442BE3F7" w14:textId="77777777">
      <w:pPr>
        <w:spacing w:line="240" w:lineRule="auto"/>
      </w:pPr>
    </w:p>
    <w:p w:rsidRPr="002C6A86" w:rsidR="008B00FA" w:rsidP="00475F6A" w:rsidRDefault="003E6F7C" w14:paraId="62D5511F" w14:textId="443EF699">
      <w:pPr>
        <w:spacing w:line="240" w:lineRule="auto"/>
      </w:pPr>
      <w:r w:rsidRPr="002C6A86">
        <w:t xml:space="preserve">De wereldwijde </w:t>
      </w:r>
      <w:r w:rsidRPr="002C6A86" w:rsidR="00177CAE">
        <w:t xml:space="preserve">afspraken van het Kigali </w:t>
      </w:r>
      <w:r w:rsidRPr="002C6A86" w:rsidR="003350A4">
        <w:t>Amendement</w:t>
      </w:r>
      <w:r w:rsidRPr="002C6A86" w:rsidR="00381E4E">
        <w:t xml:space="preserve"> om de productie en consumptie van</w:t>
      </w:r>
      <w:r w:rsidRPr="002C6A86" w:rsidR="003350A4">
        <w:t xml:space="preserve"> HFK</w:t>
      </w:r>
      <w:r w:rsidRPr="002C6A86" w:rsidR="00CF6659">
        <w:t>’</w:t>
      </w:r>
      <w:r w:rsidRPr="002C6A86" w:rsidR="003350A4">
        <w:t>s</w:t>
      </w:r>
      <w:r w:rsidRPr="002C6A86" w:rsidR="00381E4E">
        <w:t xml:space="preserve"> tot een minimum uit te faseren, </w:t>
      </w:r>
      <w:r w:rsidRPr="002C6A86">
        <w:t xml:space="preserve">stimuleert </w:t>
      </w:r>
      <w:r w:rsidRPr="002C6A86" w:rsidR="00302EB7">
        <w:t xml:space="preserve">innovatie om klimaatvriendelijke en energiezuinige alternatieven te </w:t>
      </w:r>
      <w:r w:rsidRPr="002C6A86" w:rsidR="00302EB7">
        <w:lastRenderedPageBreak/>
        <w:t xml:space="preserve">ontwikkelen en toe te passen en </w:t>
      </w:r>
      <w:r w:rsidRPr="002C6A86">
        <w:t xml:space="preserve">draagt bij </w:t>
      </w:r>
      <w:r w:rsidRPr="002C6A86" w:rsidR="00302EB7">
        <w:t xml:space="preserve">aan </w:t>
      </w:r>
      <w:r w:rsidRPr="002C6A86">
        <w:t>een verdere groene groei.</w:t>
      </w:r>
      <w:r w:rsidRPr="002C6A86" w:rsidR="00302EB7">
        <w:t xml:space="preserve"> </w:t>
      </w:r>
      <w:r w:rsidRPr="002C6A86" w:rsidR="001C7761">
        <w:t>E</w:t>
      </w:r>
      <w:r w:rsidRPr="002C6A86" w:rsidR="00302EB7">
        <w:t xml:space="preserve">en groot deel van de </w:t>
      </w:r>
      <w:r w:rsidRPr="002C6A86" w:rsidR="00381E4E">
        <w:t xml:space="preserve">fabrikanten </w:t>
      </w:r>
      <w:r w:rsidRPr="002C6A86" w:rsidR="00302EB7">
        <w:t>van deze apparatuur</w:t>
      </w:r>
      <w:r w:rsidRPr="002C6A86" w:rsidR="001C7761">
        <w:t xml:space="preserve"> bevind</w:t>
      </w:r>
      <w:r w:rsidRPr="002C6A86" w:rsidR="00523475">
        <w:t>t</w:t>
      </w:r>
      <w:r w:rsidRPr="002C6A86" w:rsidR="00302EB7">
        <w:t xml:space="preserve"> zich buiten Nederland en de E</w:t>
      </w:r>
      <w:r w:rsidRPr="002C6A86" w:rsidR="00076179">
        <w:t xml:space="preserve">uropese </w:t>
      </w:r>
      <w:r w:rsidRPr="002C6A86" w:rsidR="00302EB7">
        <w:t>U</w:t>
      </w:r>
      <w:r w:rsidRPr="002C6A86" w:rsidR="00076179">
        <w:t>nie</w:t>
      </w:r>
      <w:r w:rsidRPr="002C6A86" w:rsidR="001C7761">
        <w:t xml:space="preserve">. </w:t>
      </w:r>
      <w:r w:rsidRPr="002C6A86" w:rsidR="00381E4E">
        <w:t>E</w:t>
      </w:r>
      <w:r w:rsidRPr="002C6A86" w:rsidR="001C7761">
        <w:t xml:space="preserve">en mondiale aanpak via het Kigali Amendement </w:t>
      </w:r>
      <w:r w:rsidRPr="002C6A86" w:rsidR="00381E4E">
        <w:t xml:space="preserve">is </w:t>
      </w:r>
      <w:r w:rsidRPr="002C6A86" w:rsidR="001C7761">
        <w:t xml:space="preserve">een effectieve manier om </w:t>
      </w:r>
      <w:r w:rsidRPr="002C6A86" w:rsidR="00302EB7">
        <w:t xml:space="preserve">de </w:t>
      </w:r>
      <w:r w:rsidRPr="002C6A86" w:rsidR="00381E4E">
        <w:t xml:space="preserve">beoogde transitie naar klimaatvriendelijker en energiezuinigere apparatuur </w:t>
      </w:r>
      <w:r w:rsidRPr="002C6A86" w:rsidR="00302EB7">
        <w:t>te realiseren</w:t>
      </w:r>
      <w:r w:rsidRPr="002C6A86" w:rsidR="00C62D16">
        <w:t xml:space="preserve"> en draagt daarmee indirect ook bij aan de klimaatdoelstellingen van de EU</w:t>
      </w:r>
      <w:r w:rsidRPr="002C6A86" w:rsidR="00AC592D">
        <w:t>. Het</w:t>
      </w:r>
      <w:r w:rsidRPr="002C6A86" w:rsidR="00302EB7">
        <w:t xml:space="preserve"> is </w:t>
      </w:r>
      <w:r w:rsidRPr="002C6A86" w:rsidR="00AC592D">
        <w:t xml:space="preserve">bovendien </w:t>
      </w:r>
      <w:r w:rsidRPr="002C6A86" w:rsidR="00302EB7">
        <w:t>een kosteneffectieve manier</w:t>
      </w:r>
      <w:r w:rsidRPr="002C6A86" w:rsidR="00AC592D">
        <w:t>, want h</w:t>
      </w:r>
      <w:r w:rsidRPr="002C6A86">
        <w:t>iermee wordt in verschillende stappen, naast een gelijk speelveld zoals dat nu al in de EU bestaat</w:t>
      </w:r>
      <w:r w:rsidRPr="002C6A86" w:rsidR="00AC592D">
        <w:t>,</w:t>
      </w:r>
      <w:r w:rsidRPr="002C6A86">
        <w:t xml:space="preserve"> ook een gelijk speelveld wereldwijd gecreëerd.</w:t>
      </w:r>
    </w:p>
    <w:p w:rsidRPr="002C6A86" w:rsidR="00A44E53" w:rsidP="00475F6A" w:rsidRDefault="00A44E53" w14:paraId="2C95FCA9" w14:textId="77777777">
      <w:pPr>
        <w:spacing w:line="240" w:lineRule="auto"/>
      </w:pPr>
    </w:p>
    <w:p w:rsidRPr="002C6A86" w:rsidR="00E110D8" w:rsidP="00475F6A" w:rsidRDefault="00B10800" w14:paraId="110AB68A" w14:textId="193FE5EE">
      <w:pPr>
        <w:autoSpaceDE w:val="0"/>
        <w:autoSpaceDN w:val="0"/>
        <w:adjustRightInd w:val="0"/>
        <w:spacing w:line="240" w:lineRule="auto"/>
      </w:pPr>
      <w:r w:rsidRPr="002C6A86">
        <w:t>O</w:t>
      </w:r>
      <w:r w:rsidRPr="002C6A86" w:rsidR="00E110D8">
        <w:t xml:space="preserve">ntwikkelingslanden </w:t>
      </w:r>
      <w:r w:rsidRPr="002C6A86">
        <w:t>zullen worden geassisteerd</w:t>
      </w:r>
      <w:r w:rsidRPr="002C6A86" w:rsidR="00E110D8">
        <w:t xml:space="preserve"> in hun omschakeling naar alternatieven voor het gebru</w:t>
      </w:r>
      <w:r w:rsidRPr="002C6A86" w:rsidR="00B111CF">
        <w:t>ik van HFK</w:t>
      </w:r>
      <w:r w:rsidRPr="002C6A86" w:rsidR="00CF6659">
        <w:t>’</w:t>
      </w:r>
      <w:r w:rsidRPr="002C6A86" w:rsidR="00B111CF">
        <w:t>s</w:t>
      </w:r>
      <w:r w:rsidRPr="002C6A86" w:rsidR="00E110D8">
        <w:t>.</w:t>
      </w:r>
      <w:r w:rsidRPr="002C6A86">
        <w:t xml:space="preserve"> Dit zal plaatsvinden via </w:t>
      </w:r>
      <w:r w:rsidRPr="002C6A86" w:rsidR="00CC53AD">
        <w:t xml:space="preserve">de financiering van de </w:t>
      </w:r>
      <w:r w:rsidRPr="002C6A86" w:rsidR="001C7761">
        <w:t>extra</w:t>
      </w:r>
      <w:r w:rsidRPr="002C6A86" w:rsidR="00F0103C">
        <w:t xml:space="preserve"> </w:t>
      </w:r>
      <w:r w:rsidRPr="002C6A86" w:rsidR="00CC53AD">
        <w:t xml:space="preserve">kosten van </w:t>
      </w:r>
      <w:r w:rsidRPr="002C6A86">
        <w:t>projecten en programma’s</w:t>
      </w:r>
      <w:r w:rsidRPr="002C6A86" w:rsidR="00671CDE">
        <w:t xml:space="preserve"> gericht op de naleving en rapportage van de uitfaseerschema’s en eventueel benodigde capaciteitsopbouw</w:t>
      </w:r>
      <w:r w:rsidRPr="002C6A86">
        <w:t>. Het M</w:t>
      </w:r>
      <w:r w:rsidRPr="002C6A86" w:rsidR="00D820A6">
        <w:t>LF v</w:t>
      </w:r>
      <w:r w:rsidRPr="002C6A86">
        <w:t>oorziet hierin.</w:t>
      </w:r>
      <w:r w:rsidRPr="002C6A86" w:rsidR="00E110D8">
        <w:t xml:space="preserve"> </w:t>
      </w:r>
      <w:r w:rsidRPr="002C6A86" w:rsidR="006F3D6E">
        <w:t>Nederland draagt bij aan het M</w:t>
      </w:r>
      <w:r w:rsidRPr="002C6A86" w:rsidR="00076179">
        <w:t>LF</w:t>
      </w:r>
      <w:r w:rsidRPr="002C6A86" w:rsidR="00C14A02">
        <w:t xml:space="preserve"> en stelt d</w:t>
      </w:r>
      <w:r w:rsidRPr="002C6A86" w:rsidR="006F3D6E">
        <w:t xml:space="preserve">e bijdrage aan het Fonds driejaarlijks </w:t>
      </w:r>
      <w:r w:rsidRPr="002C6A86" w:rsidR="00C14A02">
        <w:t>vast.</w:t>
      </w:r>
      <w:r w:rsidRPr="002C6A86" w:rsidR="00671CDE">
        <w:t xml:space="preserve"> </w:t>
      </w:r>
    </w:p>
    <w:p w:rsidRPr="002C6A86" w:rsidR="00475F6A" w:rsidP="007A0183" w:rsidRDefault="00833515" w14:paraId="7FDE64EA" w14:textId="232849FD">
      <w:pPr>
        <w:pStyle w:val="Normaalweb"/>
        <w:rPr>
          <w:rFonts w:ascii="Verdana" w:hAnsi="Verdana" w:eastAsia="Verdana" w:cs="Verdana"/>
          <w:sz w:val="18"/>
          <w:szCs w:val="18"/>
          <w:lang w:eastAsia="en-US"/>
        </w:rPr>
      </w:pPr>
      <w:r w:rsidRPr="002C6A86">
        <w:rPr>
          <w:rFonts w:ascii="Verdana" w:hAnsi="Verdana" w:eastAsia="Verdana" w:cs="Verdana"/>
          <w:sz w:val="18"/>
          <w:szCs w:val="18"/>
          <w:lang w:eastAsia="en-US"/>
        </w:rPr>
        <w:t>Het Montreal P</w:t>
      </w:r>
      <w:r w:rsidRPr="002C6A86" w:rsidR="002A2680">
        <w:rPr>
          <w:rFonts w:ascii="Verdana" w:hAnsi="Verdana" w:eastAsia="Verdana" w:cs="Verdana"/>
          <w:sz w:val="18"/>
          <w:szCs w:val="18"/>
          <w:lang w:eastAsia="en-US"/>
        </w:rPr>
        <w:t>rotocol is</w:t>
      </w:r>
      <w:r w:rsidRPr="002C6A86" w:rsidR="003350A4">
        <w:rPr>
          <w:rFonts w:ascii="Verdana" w:hAnsi="Verdana" w:eastAsia="Verdana" w:cs="Verdana"/>
          <w:sz w:val="18"/>
          <w:szCs w:val="18"/>
          <w:lang w:eastAsia="en-US"/>
        </w:rPr>
        <w:t>,</w:t>
      </w:r>
      <w:r w:rsidRPr="002C6A86" w:rsidR="002A2680">
        <w:rPr>
          <w:rFonts w:ascii="Verdana" w:hAnsi="Verdana" w:eastAsia="Verdana" w:cs="Verdana"/>
          <w:sz w:val="18"/>
          <w:szCs w:val="18"/>
          <w:lang w:eastAsia="en-US"/>
        </w:rPr>
        <w:t xml:space="preserve"> </w:t>
      </w:r>
      <w:r w:rsidRPr="002C6A86" w:rsidR="006F3D6E">
        <w:rPr>
          <w:rFonts w:ascii="Verdana" w:hAnsi="Verdana" w:eastAsia="Verdana" w:cs="Verdana"/>
          <w:sz w:val="18"/>
          <w:szCs w:val="18"/>
          <w:lang w:eastAsia="en-US"/>
        </w:rPr>
        <w:t>even</w:t>
      </w:r>
      <w:r w:rsidRPr="002C6A86" w:rsidR="00CC53AD">
        <w:rPr>
          <w:rFonts w:ascii="Verdana" w:hAnsi="Verdana" w:eastAsia="Verdana" w:cs="Verdana"/>
          <w:sz w:val="18"/>
          <w:szCs w:val="18"/>
          <w:lang w:eastAsia="en-US"/>
        </w:rPr>
        <w:t xml:space="preserve">als </w:t>
      </w:r>
      <w:r w:rsidRPr="002C6A86" w:rsidR="00C76995">
        <w:rPr>
          <w:rFonts w:ascii="Verdana" w:hAnsi="Verdana" w:eastAsia="Verdana" w:cs="Verdana"/>
          <w:sz w:val="18"/>
          <w:szCs w:val="18"/>
          <w:lang w:eastAsia="en-US"/>
        </w:rPr>
        <w:t xml:space="preserve">het </w:t>
      </w:r>
      <w:r w:rsidRPr="002C6A86" w:rsidR="006F3D6E">
        <w:rPr>
          <w:rFonts w:ascii="Verdana" w:hAnsi="Verdana" w:eastAsia="Verdana" w:cs="Verdana"/>
          <w:sz w:val="18"/>
          <w:szCs w:val="18"/>
          <w:lang w:eastAsia="en-US"/>
        </w:rPr>
        <w:t xml:space="preserve">Verdrag van Wenen en het op 9 mei 1992 te New York tot stand gekomen </w:t>
      </w:r>
      <w:r w:rsidRPr="002C6A86" w:rsidR="003350A4">
        <w:rPr>
          <w:rFonts w:ascii="Verdana" w:hAnsi="Verdana" w:eastAsia="Verdana" w:cs="Verdana"/>
          <w:sz w:val="18"/>
          <w:szCs w:val="18"/>
          <w:lang w:eastAsia="en-US"/>
        </w:rPr>
        <w:t>Raamverdrag van de Verenigde Naties inzake klimaatverandering</w:t>
      </w:r>
      <w:r w:rsidRPr="002C6A86" w:rsidR="006F3D6E">
        <w:rPr>
          <w:rFonts w:ascii="Verdana" w:hAnsi="Verdana" w:eastAsia="Verdana" w:cs="Verdana"/>
          <w:sz w:val="18"/>
          <w:szCs w:val="18"/>
          <w:lang w:eastAsia="en-US"/>
        </w:rPr>
        <w:t xml:space="preserve"> (Trb. 1992, 189), </w:t>
      </w:r>
      <w:r w:rsidRPr="002C6A86" w:rsidR="00C76995">
        <w:rPr>
          <w:rFonts w:ascii="Verdana" w:hAnsi="Verdana" w:eastAsia="Verdana" w:cs="Verdana"/>
          <w:sz w:val="18"/>
          <w:szCs w:val="18"/>
          <w:lang w:eastAsia="en-US"/>
        </w:rPr>
        <w:t xml:space="preserve">universeel </w:t>
      </w:r>
      <w:r w:rsidRPr="002C6A86" w:rsidR="002A2680">
        <w:rPr>
          <w:rFonts w:ascii="Verdana" w:hAnsi="Verdana" w:eastAsia="Verdana" w:cs="Verdana"/>
          <w:sz w:val="18"/>
          <w:szCs w:val="18"/>
          <w:lang w:eastAsia="en-US"/>
        </w:rPr>
        <w:t xml:space="preserve">geratificeerd </w:t>
      </w:r>
      <w:r w:rsidRPr="002C6A86" w:rsidR="00C76995">
        <w:rPr>
          <w:rFonts w:ascii="Verdana" w:hAnsi="Verdana" w:eastAsia="Verdana" w:cs="Verdana"/>
          <w:sz w:val="18"/>
          <w:szCs w:val="18"/>
          <w:lang w:eastAsia="en-US"/>
        </w:rPr>
        <w:t>(</w:t>
      </w:r>
      <w:r w:rsidRPr="002C6A86" w:rsidR="002A2680">
        <w:rPr>
          <w:rFonts w:ascii="Verdana" w:hAnsi="Verdana" w:eastAsia="Verdana" w:cs="Verdana"/>
          <w:sz w:val="18"/>
          <w:szCs w:val="18"/>
          <w:lang w:eastAsia="en-US"/>
        </w:rPr>
        <w:t>197 partijen</w:t>
      </w:r>
      <w:r w:rsidRPr="002C6A86" w:rsidR="00C76995">
        <w:rPr>
          <w:rFonts w:ascii="Verdana" w:hAnsi="Verdana" w:eastAsia="Verdana" w:cs="Verdana"/>
          <w:sz w:val="18"/>
          <w:szCs w:val="18"/>
          <w:lang w:eastAsia="en-US"/>
        </w:rPr>
        <w:t>)</w:t>
      </w:r>
      <w:r w:rsidRPr="002C6A86" w:rsidR="002A2680">
        <w:rPr>
          <w:rFonts w:ascii="Verdana" w:hAnsi="Verdana" w:eastAsia="Verdana" w:cs="Verdana"/>
          <w:sz w:val="18"/>
          <w:szCs w:val="18"/>
          <w:lang w:eastAsia="en-US"/>
        </w:rPr>
        <w:t xml:space="preserve">. De verwachting is dat ook het Kigali </w:t>
      </w:r>
      <w:r w:rsidRPr="002C6A86" w:rsidR="003350A4">
        <w:rPr>
          <w:rFonts w:ascii="Verdana" w:hAnsi="Verdana" w:eastAsia="Verdana" w:cs="Verdana"/>
          <w:sz w:val="18"/>
          <w:szCs w:val="18"/>
          <w:lang w:eastAsia="en-US"/>
        </w:rPr>
        <w:t>A</w:t>
      </w:r>
      <w:r w:rsidRPr="002C6A86" w:rsidR="002A2680">
        <w:rPr>
          <w:rFonts w:ascii="Verdana" w:hAnsi="Verdana" w:eastAsia="Verdana" w:cs="Verdana"/>
          <w:sz w:val="18"/>
          <w:szCs w:val="18"/>
          <w:lang w:eastAsia="en-US"/>
        </w:rPr>
        <w:t xml:space="preserve">mendement door alle </w:t>
      </w:r>
      <w:r w:rsidRPr="002C6A86" w:rsidR="00302EB7">
        <w:rPr>
          <w:rFonts w:ascii="Verdana" w:hAnsi="Verdana" w:eastAsia="Verdana" w:cs="Verdana"/>
          <w:sz w:val="18"/>
          <w:szCs w:val="18"/>
          <w:lang w:eastAsia="en-US"/>
        </w:rPr>
        <w:t>partijen</w:t>
      </w:r>
      <w:r w:rsidRPr="002C6A86" w:rsidR="00970920">
        <w:rPr>
          <w:rFonts w:ascii="Verdana" w:hAnsi="Verdana" w:eastAsia="Verdana" w:cs="Verdana"/>
          <w:sz w:val="18"/>
          <w:szCs w:val="18"/>
          <w:lang w:eastAsia="en-US"/>
        </w:rPr>
        <w:t xml:space="preserve"> </w:t>
      </w:r>
      <w:r w:rsidRPr="002C6A86" w:rsidR="002A2680">
        <w:rPr>
          <w:rFonts w:ascii="Verdana" w:hAnsi="Verdana" w:eastAsia="Verdana" w:cs="Verdana"/>
          <w:sz w:val="18"/>
          <w:szCs w:val="18"/>
          <w:lang w:eastAsia="en-US"/>
        </w:rPr>
        <w:t>zal worden geratificeerd.</w:t>
      </w:r>
      <w:r w:rsidRPr="002C6A86" w:rsidR="00970920">
        <w:rPr>
          <w:rFonts w:ascii="Verdana" w:hAnsi="Verdana" w:eastAsia="Verdana" w:cs="Verdana"/>
          <w:sz w:val="18"/>
          <w:szCs w:val="18"/>
          <w:lang w:eastAsia="en-US"/>
        </w:rPr>
        <w:t xml:space="preserve"> </w:t>
      </w:r>
      <w:r w:rsidRPr="002C6A86" w:rsidR="00A23967">
        <w:rPr>
          <w:rFonts w:ascii="Verdana" w:hAnsi="Verdana" w:eastAsia="Verdana" w:cs="Verdana"/>
          <w:sz w:val="18"/>
          <w:szCs w:val="18"/>
          <w:lang w:eastAsia="en-US"/>
        </w:rPr>
        <w:t>De E</w:t>
      </w:r>
      <w:r w:rsidRPr="002C6A86" w:rsidR="00076179">
        <w:rPr>
          <w:rFonts w:ascii="Verdana" w:hAnsi="Verdana" w:eastAsia="Verdana" w:cs="Verdana"/>
          <w:sz w:val="18"/>
          <w:szCs w:val="18"/>
          <w:lang w:eastAsia="en-US"/>
        </w:rPr>
        <w:t xml:space="preserve">U </w:t>
      </w:r>
      <w:r w:rsidRPr="002C6A86" w:rsidR="00A23967">
        <w:rPr>
          <w:rFonts w:ascii="Verdana" w:hAnsi="Verdana" w:eastAsia="Verdana" w:cs="Verdana"/>
          <w:sz w:val="18"/>
          <w:szCs w:val="18"/>
          <w:lang w:eastAsia="en-US"/>
        </w:rPr>
        <w:t xml:space="preserve">is ook partij bij het </w:t>
      </w:r>
      <w:r w:rsidRPr="002C6A86" w:rsidR="001B4A18">
        <w:rPr>
          <w:rFonts w:ascii="Verdana" w:hAnsi="Verdana" w:eastAsia="Verdana" w:cs="Verdana"/>
          <w:sz w:val="18"/>
          <w:szCs w:val="18"/>
          <w:lang w:eastAsia="en-US"/>
        </w:rPr>
        <w:t xml:space="preserve">Verdrag van Wenen en het </w:t>
      </w:r>
      <w:r w:rsidRPr="002C6A86" w:rsidR="00A23967">
        <w:rPr>
          <w:rFonts w:ascii="Verdana" w:hAnsi="Verdana" w:eastAsia="Verdana" w:cs="Verdana"/>
          <w:sz w:val="18"/>
          <w:szCs w:val="18"/>
          <w:lang w:eastAsia="en-US"/>
        </w:rPr>
        <w:t xml:space="preserve">Montreal Protocol en zal naar verwachting ook het Kigali Amendement ratificeren. </w:t>
      </w:r>
      <w:r w:rsidRPr="002C6A86" w:rsidR="0009751D">
        <w:rPr>
          <w:rFonts w:ascii="Verdana" w:hAnsi="Verdana" w:eastAsia="Verdana" w:cs="Verdana"/>
          <w:sz w:val="18"/>
          <w:szCs w:val="18"/>
          <w:lang w:eastAsia="en-US"/>
        </w:rPr>
        <w:t xml:space="preserve">De Europese Commissie </w:t>
      </w:r>
      <w:r w:rsidRPr="002C6A86" w:rsidR="00CF6659">
        <w:rPr>
          <w:rFonts w:ascii="Verdana" w:hAnsi="Verdana" w:eastAsia="Verdana" w:cs="Verdana"/>
          <w:sz w:val="18"/>
          <w:szCs w:val="18"/>
          <w:lang w:eastAsia="en-US"/>
        </w:rPr>
        <w:t>heeft</w:t>
      </w:r>
      <w:r w:rsidRPr="002C6A86" w:rsidR="00A43925">
        <w:rPr>
          <w:rFonts w:ascii="Verdana" w:hAnsi="Verdana" w:eastAsia="Verdana" w:cs="Verdana"/>
          <w:sz w:val="18"/>
          <w:szCs w:val="18"/>
          <w:lang w:eastAsia="en-US"/>
        </w:rPr>
        <w:t xml:space="preserve"> </w:t>
      </w:r>
      <w:r w:rsidRPr="002C6A86" w:rsidR="00F50E95">
        <w:rPr>
          <w:rFonts w:ascii="Verdana" w:hAnsi="Verdana" w:eastAsia="Verdana" w:cs="Verdana"/>
          <w:sz w:val="18"/>
          <w:szCs w:val="18"/>
          <w:lang w:eastAsia="en-US"/>
        </w:rPr>
        <w:t xml:space="preserve">begin 2017 </w:t>
      </w:r>
      <w:r w:rsidRPr="002C6A86" w:rsidR="00A23967">
        <w:rPr>
          <w:rFonts w:ascii="Verdana" w:hAnsi="Verdana" w:eastAsia="Verdana" w:cs="Verdana"/>
          <w:sz w:val="18"/>
          <w:szCs w:val="18"/>
          <w:lang w:eastAsia="en-US"/>
        </w:rPr>
        <w:t>hiertoe een voorstel gedaan.</w:t>
      </w:r>
    </w:p>
    <w:p w:rsidRPr="002C6A86" w:rsidR="003D601E" w:rsidP="00E5187D" w:rsidRDefault="00E5187D" w14:paraId="6EE2724E" w14:textId="76E40F77">
      <w:pPr>
        <w:pStyle w:val="Normaalweb"/>
        <w:rPr>
          <w:rFonts w:ascii="Verdana" w:hAnsi="Verdana"/>
          <w:b/>
          <w:sz w:val="18"/>
          <w:szCs w:val="18"/>
        </w:rPr>
      </w:pPr>
      <w:r w:rsidRPr="002C6A86">
        <w:rPr>
          <w:rFonts w:ascii="Verdana" w:hAnsi="Verdana" w:eastAsia="Verdana" w:cs="Verdana"/>
          <w:sz w:val="18"/>
          <w:szCs w:val="18"/>
          <w:lang w:eastAsia="en-US"/>
        </w:rPr>
        <w:t xml:space="preserve">De regering is van mening dat het Kigali Amendement geen bepalingen bevat met rechtstreekse werking in de zin van de artikelen 93 en 94 </w:t>
      </w:r>
      <w:r w:rsidR="004336C0">
        <w:rPr>
          <w:rFonts w:ascii="Verdana" w:hAnsi="Verdana" w:eastAsia="Verdana" w:cs="Verdana"/>
          <w:sz w:val="18"/>
          <w:szCs w:val="18"/>
          <w:lang w:eastAsia="en-US"/>
        </w:rPr>
        <w:t xml:space="preserve">van de </w:t>
      </w:r>
      <w:r w:rsidRPr="002C6A86">
        <w:rPr>
          <w:rFonts w:ascii="Verdana" w:hAnsi="Verdana" w:eastAsia="Verdana" w:cs="Verdana"/>
          <w:sz w:val="18"/>
          <w:szCs w:val="18"/>
          <w:lang w:eastAsia="en-US"/>
        </w:rPr>
        <w:t>Grondwet. Of verdragsbepalingen rechtstreeks werkend zijn hangt af van de aard, de inhoud, de strekking en de bewoordingen van die bepalingen, en of het de intentie is geweest van verdragspartijen bij de totstandkoming van het verdrag om rechtstreekse werking toe te kennen aan een verdragsbepaling, en of de nationale wetgever bij de goedkeuringswetgeving die intentie heeft gehad. Partijen die hebben onderhandeld over het Kigali Amendement hebben niet de bedoeling gehad hieraan rechtstreekse werking toe te kennen, en de regering evenmin. Dit wordt bevestigd door de formulering van de bepalingen, die partijen verplichten tot het treffen van nadere maatregelen, en zich derhalve niet direct tot derden richten. Ook inhoudelijk zijn de bepalingen naar het oordeel van de regering niet voldoende concreet geformuleerd om als objectief recht te kunnen functioneren in de nationale rechtsorde.</w:t>
      </w:r>
    </w:p>
    <w:p w:rsidRPr="002C6A86" w:rsidR="0074048E" w:rsidP="00475F6A" w:rsidRDefault="00A96AF7" w14:paraId="00480FC1" w14:textId="056864B2">
      <w:pPr>
        <w:spacing w:line="240" w:lineRule="auto"/>
        <w:rPr>
          <w:rFonts w:cs="Times New Roman"/>
          <w:b/>
        </w:rPr>
      </w:pPr>
      <w:r w:rsidRPr="002C6A86">
        <w:rPr>
          <w:rFonts w:cs="Times New Roman"/>
          <w:b/>
        </w:rPr>
        <w:t>2</w:t>
      </w:r>
      <w:r w:rsidRPr="002C6A86" w:rsidR="0074048E">
        <w:rPr>
          <w:rFonts w:cs="Times New Roman"/>
          <w:b/>
        </w:rPr>
        <w:t xml:space="preserve">. Gevolgen voor wet- en regelgeving in </w:t>
      </w:r>
      <w:r w:rsidRPr="002C6A86" w:rsidR="00955A23">
        <w:rPr>
          <w:rFonts w:cs="Times New Roman"/>
          <w:b/>
        </w:rPr>
        <w:t xml:space="preserve">het Europese deel van </w:t>
      </w:r>
      <w:r w:rsidRPr="002C6A86" w:rsidR="0074048E">
        <w:rPr>
          <w:rFonts w:cs="Times New Roman"/>
          <w:b/>
        </w:rPr>
        <w:t>Nederland</w:t>
      </w:r>
    </w:p>
    <w:p w:rsidRPr="002C6A86" w:rsidR="00F90E6A" w:rsidP="00475F6A" w:rsidRDefault="00F90E6A" w14:paraId="67910480" w14:textId="77777777">
      <w:pPr>
        <w:spacing w:line="240" w:lineRule="auto"/>
      </w:pPr>
    </w:p>
    <w:p w:rsidRPr="002C6A86" w:rsidR="00F90E6A" w:rsidP="00475F6A" w:rsidRDefault="007A0183" w14:paraId="1768EB60" w14:textId="4305656F">
      <w:pPr>
        <w:spacing w:line="240" w:lineRule="auto"/>
        <w:jc w:val="both"/>
        <w:rPr>
          <w:rFonts w:cstheme="minorHAnsi"/>
          <w:color w:val="000000"/>
        </w:rPr>
      </w:pPr>
      <w:r w:rsidRPr="002C6A86">
        <w:rPr>
          <w:rFonts w:cs="Univers"/>
          <w:lang w:eastAsia="zh-CN"/>
        </w:rPr>
        <w:t xml:space="preserve">Het Kigali Amendement geeft geen aanleiding tot aanpassing van Nederlandse wetgeving. De </w:t>
      </w:r>
      <w:r w:rsidRPr="002C6A86">
        <w:t>Europese (herziene) Verordening (EU) Nr. 517/2014 van de Europese Unie van 16 april 2014 betreffende gefluoreerde broeikasgassen (F-gassen) (hierna: F-gassenverordening</w:t>
      </w:r>
      <w:r w:rsidRPr="002C6A86">
        <w:rPr>
          <w:rStyle w:val="Voetnootmarkering"/>
        </w:rPr>
        <w:footnoteReference w:id="8"/>
      </w:r>
      <w:r w:rsidRPr="002C6A86">
        <w:t>), die rechtstreeks van toepassing is in Nederland, is samen met de huidige Nederlandse regelgeving, met uitzondering van enkele noodzakelijke geachte administratieve wijzigingen, in lijn met het Amendement</w:t>
      </w:r>
      <w:r w:rsidRPr="002C6A86">
        <w:rPr>
          <w:rFonts w:cs="Univers"/>
          <w:lang w:eastAsia="zh-CN"/>
        </w:rPr>
        <w:t xml:space="preserve">. De </w:t>
      </w:r>
      <w:r w:rsidRPr="002C6A86" w:rsidR="00523475">
        <w:rPr>
          <w:rFonts w:cs="Univers"/>
          <w:lang w:eastAsia="zh-CN"/>
        </w:rPr>
        <w:t>aanvaarding</w:t>
      </w:r>
      <w:r w:rsidRPr="002C6A86">
        <w:rPr>
          <w:rFonts w:cs="Univers"/>
          <w:lang w:eastAsia="zh-CN"/>
        </w:rPr>
        <w:t xml:space="preserve"> van het Amendement </w:t>
      </w:r>
      <w:r w:rsidRPr="002C6A86" w:rsidR="00523475">
        <w:rPr>
          <w:rFonts w:cs="Univers"/>
          <w:lang w:eastAsia="zh-CN"/>
        </w:rPr>
        <w:t>v</w:t>
      </w:r>
      <w:r w:rsidRPr="002C6A86">
        <w:rPr>
          <w:rFonts w:cs="Univers"/>
          <w:lang w:eastAsia="zh-CN"/>
        </w:rPr>
        <w:t xml:space="preserve">oor </w:t>
      </w:r>
      <w:r w:rsidRPr="002C6A86" w:rsidR="00523475">
        <w:rPr>
          <w:rFonts w:cs="Univers"/>
          <w:lang w:eastAsia="zh-CN"/>
        </w:rPr>
        <w:t xml:space="preserve">Europees </w:t>
      </w:r>
      <w:r w:rsidRPr="002C6A86">
        <w:rPr>
          <w:rFonts w:cs="Univers"/>
          <w:lang w:eastAsia="zh-CN"/>
        </w:rPr>
        <w:t xml:space="preserve">Nederland brengt voor de Nederlandse overheid en het bedrijfsleven geen extra kosten met zich mee. </w:t>
      </w:r>
      <w:r w:rsidRPr="002C6A86" w:rsidR="00F90E6A">
        <w:t xml:space="preserve">De voor de uitvoering van het </w:t>
      </w:r>
      <w:r w:rsidRPr="002C6A86" w:rsidR="00464BF8">
        <w:t xml:space="preserve">Kigali </w:t>
      </w:r>
      <w:r w:rsidRPr="002C6A86" w:rsidR="00F90E6A">
        <w:t xml:space="preserve">Amendement relevante regelgeving betreft met name de </w:t>
      </w:r>
      <w:r w:rsidRPr="002C6A86" w:rsidR="00973879">
        <w:t>F-gassenverordening,</w:t>
      </w:r>
      <w:r w:rsidRPr="002C6A86" w:rsidR="00F90E6A">
        <w:t xml:space="preserve"> die in werking is getreden op 1 januari </w:t>
      </w:r>
      <w:r w:rsidRPr="002C6A86" w:rsidR="003809A8">
        <w:t xml:space="preserve">2015. </w:t>
      </w:r>
      <w:r w:rsidRPr="002C6A86" w:rsidR="00F90E6A">
        <w:t xml:space="preserve">Deze verordening voorziet in een uitfaseerschema en </w:t>
      </w:r>
      <w:r w:rsidRPr="002C6A86" w:rsidR="00973879">
        <w:t xml:space="preserve">een </w:t>
      </w:r>
      <w:r w:rsidRPr="002C6A86" w:rsidR="00F90E6A">
        <w:t>quotasysteem (incl</w:t>
      </w:r>
      <w:r w:rsidRPr="002C6A86" w:rsidR="00464BF8">
        <w:t>usief</w:t>
      </w:r>
      <w:r w:rsidRPr="002C6A86" w:rsidR="00F90E6A">
        <w:t xml:space="preserve"> registratie- en rapportageverplichtingen) voor het op de markt </w:t>
      </w:r>
      <w:r w:rsidRPr="002C6A86" w:rsidR="00D85FB1">
        <w:t>brengen</w:t>
      </w:r>
      <w:r w:rsidRPr="002C6A86" w:rsidR="00F90E6A">
        <w:t xml:space="preserve"> van HFK</w:t>
      </w:r>
      <w:r w:rsidRPr="002C6A86" w:rsidR="00973879">
        <w:t>’</w:t>
      </w:r>
      <w:r w:rsidRPr="002C6A86" w:rsidR="00F90E6A">
        <w:t>s</w:t>
      </w:r>
      <w:r w:rsidRPr="002C6A86" w:rsidR="00464BF8">
        <w:t>,</w:t>
      </w:r>
      <w:r w:rsidRPr="002C6A86" w:rsidR="00F90E6A">
        <w:t xml:space="preserve"> zowel als bulk en in voorgevulde apparatuur</w:t>
      </w:r>
      <w:r w:rsidRPr="002C6A86" w:rsidR="00464BF8">
        <w:t>,</w:t>
      </w:r>
      <w:r w:rsidRPr="002C6A86" w:rsidR="00F90E6A">
        <w:t xml:space="preserve"> en reguleert het gebruik ervan door onder</w:t>
      </w:r>
      <w:r w:rsidRPr="002C6A86" w:rsidR="00464BF8">
        <w:t xml:space="preserve"> </w:t>
      </w:r>
      <w:r w:rsidRPr="002C6A86" w:rsidR="00F90E6A">
        <w:t>meer gebruiksverboden voor specifieke toepassingen en apparatuur. De</w:t>
      </w:r>
      <w:r w:rsidRPr="002C6A86" w:rsidR="00464BF8">
        <w:t xml:space="preserve"> F-gassen</w:t>
      </w:r>
      <w:r w:rsidRPr="002C6A86" w:rsidR="00F90E6A">
        <w:t xml:space="preserve">verordening </w:t>
      </w:r>
      <w:r w:rsidRPr="002C6A86" w:rsidR="00C14A02">
        <w:t>geldt</w:t>
      </w:r>
      <w:r w:rsidRPr="002C6A86" w:rsidR="00F90E6A">
        <w:t xml:space="preserve"> in alle EU</w:t>
      </w:r>
      <w:r w:rsidRPr="002C6A86" w:rsidR="005273E4">
        <w:t>-</w:t>
      </w:r>
      <w:r w:rsidRPr="002C6A86" w:rsidR="00F90E6A">
        <w:t xml:space="preserve">lidstaten en is in Nederland verder geïmplementeerd via </w:t>
      </w:r>
      <w:r w:rsidRPr="002C6A86" w:rsidR="00F90E6A">
        <w:rPr>
          <w:rFonts w:cstheme="minorHAnsi"/>
        </w:rPr>
        <w:t>het “B</w:t>
      </w:r>
      <w:r w:rsidRPr="002C6A86" w:rsidR="00F90E6A">
        <w:rPr>
          <w:rFonts w:cstheme="minorHAnsi"/>
          <w:color w:val="000000"/>
        </w:rPr>
        <w:t>esluit gefluoreerde broeikasgassen en ozonlaagafbrekende stoffen</w:t>
      </w:r>
      <w:r w:rsidRPr="002C6A86" w:rsidR="001B53D5">
        <w:rPr>
          <w:rStyle w:val="Voetnootmarkering"/>
          <w:color w:val="000000"/>
        </w:rPr>
        <w:footnoteReference w:id="9"/>
      </w:r>
      <w:r w:rsidRPr="002C6A86" w:rsidR="00F90E6A">
        <w:rPr>
          <w:rFonts w:cstheme="minorHAnsi"/>
          <w:color w:val="000000"/>
        </w:rPr>
        <w:t>” en de bijbehorende “Regeling gefluoreerde broeikasgassen en ozonlaagafbrekende stoffen</w:t>
      </w:r>
      <w:r w:rsidRPr="002C6A86" w:rsidR="001B53D5">
        <w:rPr>
          <w:rStyle w:val="Voetnootmarkering"/>
          <w:color w:val="000000"/>
        </w:rPr>
        <w:footnoteReference w:id="10"/>
      </w:r>
      <w:r w:rsidRPr="002C6A86" w:rsidR="00F90E6A">
        <w:rPr>
          <w:rFonts w:cstheme="minorHAnsi"/>
          <w:color w:val="000000"/>
        </w:rPr>
        <w:t xml:space="preserve">”. Beiden </w:t>
      </w:r>
      <w:r w:rsidRPr="002C6A86" w:rsidR="00464BF8">
        <w:rPr>
          <w:rFonts w:cstheme="minorHAnsi"/>
          <w:color w:val="000000"/>
        </w:rPr>
        <w:t xml:space="preserve">gelden sinds </w:t>
      </w:r>
      <w:r w:rsidRPr="002C6A86" w:rsidR="00F90E6A">
        <w:rPr>
          <w:rFonts w:cstheme="minorHAnsi"/>
          <w:color w:val="000000"/>
        </w:rPr>
        <w:t>1 december 2015.</w:t>
      </w:r>
      <w:r w:rsidRPr="002C6A86" w:rsidR="005273E4">
        <w:rPr>
          <w:rFonts w:cstheme="minorHAnsi"/>
          <w:color w:val="000000"/>
        </w:rPr>
        <w:t xml:space="preserve"> </w:t>
      </w:r>
      <w:r w:rsidRPr="002C6A86" w:rsidR="00F90E6A">
        <w:rPr>
          <w:rFonts w:cstheme="minorHAnsi"/>
          <w:color w:val="000000"/>
        </w:rPr>
        <w:t>Andere relevante Europese regelgeving betreft de zogenaamde MAC richtlijn 2006/40/EC</w:t>
      </w:r>
      <w:r w:rsidRPr="002C6A86" w:rsidR="00D85FB1">
        <w:rPr>
          <w:rStyle w:val="Voetnootmarkering"/>
          <w:color w:val="000000"/>
        </w:rPr>
        <w:footnoteReference w:id="11"/>
      </w:r>
      <w:r w:rsidRPr="002C6A86" w:rsidR="00F90E6A">
        <w:rPr>
          <w:rFonts w:cstheme="minorHAnsi"/>
          <w:color w:val="000000"/>
        </w:rPr>
        <w:t xml:space="preserve"> </w:t>
      </w:r>
      <w:r w:rsidRPr="002C6A86" w:rsidR="00F90E6A">
        <w:rPr>
          <w:rFonts w:cstheme="minorHAnsi"/>
          <w:bCs/>
        </w:rPr>
        <w:t>betreffende emissies van klimaatregeling</w:t>
      </w:r>
      <w:r w:rsidRPr="002C6A86" w:rsidR="005273E4">
        <w:rPr>
          <w:rFonts w:cstheme="minorHAnsi"/>
          <w:bCs/>
        </w:rPr>
        <w:t>s</w:t>
      </w:r>
      <w:r w:rsidRPr="002C6A86" w:rsidR="00F90E6A">
        <w:rPr>
          <w:rFonts w:cstheme="minorHAnsi"/>
          <w:bCs/>
        </w:rPr>
        <w:t>apparatuur in motorvoertuigen</w:t>
      </w:r>
      <w:r w:rsidRPr="002C6A86" w:rsidR="00A43925">
        <w:rPr>
          <w:rFonts w:cstheme="minorHAnsi"/>
          <w:bCs/>
        </w:rPr>
        <w:t>, die eisen stelt aan het gebruik van HFK</w:t>
      </w:r>
      <w:r w:rsidR="004336C0">
        <w:rPr>
          <w:rFonts w:cstheme="minorHAnsi"/>
          <w:bCs/>
        </w:rPr>
        <w:t>’</w:t>
      </w:r>
      <w:r w:rsidRPr="002C6A86" w:rsidR="00A43925">
        <w:rPr>
          <w:rFonts w:cstheme="minorHAnsi"/>
          <w:bCs/>
        </w:rPr>
        <w:t>s in de airconditioning systemen van auto’s en bestelbusjes</w:t>
      </w:r>
      <w:r w:rsidRPr="002C6A86" w:rsidR="00F90E6A">
        <w:rPr>
          <w:rFonts w:cstheme="minorHAnsi"/>
          <w:bCs/>
        </w:rPr>
        <w:t>. Deze is in Nederland geïmplementeerd als onderdeel van het Besluit Voertuigen</w:t>
      </w:r>
      <w:r w:rsidRPr="002C6A86" w:rsidR="00EB1986">
        <w:rPr>
          <w:rStyle w:val="Voetnootmarkering"/>
          <w:bCs/>
        </w:rPr>
        <w:footnoteReference w:id="12"/>
      </w:r>
      <w:r w:rsidRPr="002C6A86" w:rsidR="00784D87">
        <w:rPr>
          <w:rFonts w:cstheme="minorHAnsi"/>
          <w:bCs/>
        </w:rPr>
        <w:t>.</w:t>
      </w:r>
    </w:p>
    <w:p w:rsidRPr="002C6A86" w:rsidR="00F90E6A" w:rsidP="00475F6A" w:rsidRDefault="00F90E6A" w14:paraId="2F1A919A" w14:textId="77777777">
      <w:pPr>
        <w:spacing w:line="240" w:lineRule="auto"/>
        <w:jc w:val="both"/>
        <w:rPr>
          <w:rFonts w:cs="Arial"/>
          <w:color w:val="000000"/>
        </w:rPr>
      </w:pPr>
    </w:p>
    <w:p w:rsidRPr="002C6A86" w:rsidR="00F90E6A" w:rsidP="00475F6A" w:rsidRDefault="007F033E" w14:paraId="29507E9D" w14:textId="031DA3B0">
      <w:pPr>
        <w:spacing w:line="240" w:lineRule="auto"/>
        <w:jc w:val="both"/>
      </w:pPr>
      <w:r w:rsidRPr="002C6A86">
        <w:lastRenderedPageBreak/>
        <w:t>De F-gassenverordening is, met uitzondering van enkele noodzakelijk geachte administratieve wijzigingen</w:t>
      </w:r>
      <w:r w:rsidRPr="002C6A86" w:rsidR="00DE484F">
        <w:t xml:space="preserve"> in de uitvoeringsverordeningen</w:t>
      </w:r>
      <w:r w:rsidRPr="002C6A86">
        <w:t xml:space="preserve">, zoals het rapportageformat van de </w:t>
      </w:r>
      <w:r w:rsidRPr="002C6A86" w:rsidR="00E829FC">
        <w:t>invoer en uitvoer</w:t>
      </w:r>
      <w:r w:rsidRPr="002C6A86">
        <w:t xml:space="preserve"> van </w:t>
      </w:r>
      <w:r w:rsidRPr="002C6A86" w:rsidR="00A43925">
        <w:t>(</w:t>
      </w:r>
      <w:r w:rsidRPr="002C6A86">
        <w:t>gerecyclede of teruggewonnen</w:t>
      </w:r>
      <w:r w:rsidRPr="002C6A86" w:rsidR="00A43925">
        <w:t>)</w:t>
      </w:r>
      <w:r w:rsidRPr="002C6A86">
        <w:t xml:space="preserve"> HFK’s, op dit moment in lijn met het Kigali Amendement.</w:t>
      </w:r>
      <w:r w:rsidRPr="002C6A86" w:rsidR="00F90E6A">
        <w:t xml:space="preserve"> Er zijn wel enkele punten waarop</w:t>
      </w:r>
      <w:r w:rsidRPr="002C6A86" w:rsidR="004654F3">
        <w:t xml:space="preserve"> </w:t>
      </w:r>
      <w:r w:rsidRPr="002C6A86" w:rsidR="00F90E6A">
        <w:t xml:space="preserve">het Kigali </w:t>
      </w:r>
      <w:r w:rsidRPr="002C6A86" w:rsidR="0021071F">
        <w:t>A</w:t>
      </w:r>
      <w:r w:rsidRPr="002C6A86" w:rsidR="00DD67C8">
        <w:t>mendement</w:t>
      </w:r>
      <w:r w:rsidRPr="002C6A86" w:rsidR="00F90E6A">
        <w:t xml:space="preserve"> mogelijk </w:t>
      </w:r>
      <w:r w:rsidRPr="002C6A86" w:rsidR="007A6E3B">
        <w:t xml:space="preserve">op termijn </w:t>
      </w:r>
      <w:r w:rsidRPr="002C6A86" w:rsidR="00F90E6A">
        <w:t>extra aandacht</w:t>
      </w:r>
      <w:r w:rsidRPr="002C6A86" w:rsidR="00396554">
        <w:t xml:space="preserve"> dan wel </w:t>
      </w:r>
      <w:r w:rsidRPr="002C6A86" w:rsidR="00F90E6A">
        <w:t xml:space="preserve">actie vraagt. </w:t>
      </w:r>
      <w:r w:rsidRPr="002C6A86" w:rsidR="007A6E3B">
        <w:t xml:space="preserve">Deze zullen </w:t>
      </w:r>
      <w:r w:rsidRPr="002C6A86" w:rsidR="00F90E6A">
        <w:t xml:space="preserve">worden meegenomen in de voor 2023 geplande evaluatie van de Verordening. Daarbij zal onder andere worden gekeken naar de </w:t>
      </w:r>
      <w:r w:rsidRPr="002C6A86" w:rsidR="007372E2">
        <w:t>wenselijkheid om de verplichtingen ten aanzien van</w:t>
      </w:r>
      <w:r w:rsidRPr="002C6A86" w:rsidR="00F90E6A">
        <w:t xml:space="preserve"> productie</w:t>
      </w:r>
      <w:r w:rsidRPr="002C6A86" w:rsidR="007372E2">
        <w:t xml:space="preserve"> in Europees verband te regelen,</w:t>
      </w:r>
      <w:r w:rsidRPr="002C6A86" w:rsidR="00F90E6A">
        <w:t xml:space="preserve"> </w:t>
      </w:r>
      <w:r w:rsidRPr="002C6A86" w:rsidR="007372E2">
        <w:t xml:space="preserve">omdat </w:t>
      </w:r>
      <w:r w:rsidRPr="002C6A86" w:rsidR="00F90E6A">
        <w:t xml:space="preserve">de verordening alleen het op de markt </w:t>
      </w:r>
      <w:r w:rsidRPr="002C6A86" w:rsidR="00D85FB1">
        <w:t xml:space="preserve">brengen </w:t>
      </w:r>
      <w:r w:rsidRPr="002C6A86" w:rsidR="00F90E6A">
        <w:t xml:space="preserve">c.q. </w:t>
      </w:r>
      <w:r w:rsidRPr="002C6A86" w:rsidR="0021071F">
        <w:t xml:space="preserve">de </w:t>
      </w:r>
      <w:r w:rsidRPr="002C6A86" w:rsidR="00F90E6A">
        <w:t>consumptie</w:t>
      </w:r>
      <w:r w:rsidRPr="002C6A86" w:rsidR="00DE484F">
        <w:t xml:space="preserve"> reguleert (in Nederland vindt overigens geen productie van HFK</w:t>
      </w:r>
      <w:r w:rsidR="004336C0">
        <w:t>’</w:t>
      </w:r>
      <w:r w:rsidRPr="002C6A86" w:rsidR="00DE484F">
        <w:t>s plaats</w:t>
      </w:r>
      <w:r w:rsidR="004336C0">
        <w:t>)</w:t>
      </w:r>
      <w:r w:rsidRPr="002C6A86" w:rsidR="007C44D7">
        <w:t xml:space="preserve">. Ook zal </w:t>
      </w:r>
      <w:r w:rsidRPr="002C6A86" w:rsidR="00DE484F">
        <w:t>de noodzaak tot beperkte</w:t>
      </w:r>
      <w:r w:rsidRPr="002C6A86" w:rsidR="003D322E">
        <w:t xml:space="preserve"> </w:t>
      </w:r>
      <w:r w:rsidRPr="002C6A86" w:rsidR="00F90E6A">
        <w:t xml:space="preserve">aanscherping van het quotasysteem </w:t>
      </w:r>
      <w:r w:rsidRPr="002C6A86" w:rsidR="003D322E">
        <w:t>v</w:t>
      </w:r>
      <w:r w:rsidRPr="002C6A86" w:rsidR="00DE484F">
        <w:t>an</w:t>
      </w:r>
      <w:r w:rsidRPr="002C6A86" w:rsidR="003D322E">
        <w:t xml:space="preserve"> </w:t>
      </w:r>
      <w:r w:rsidRPr="002C6A86" w:rsidR="00F90E6A">
        <w:t xml:space="preserve">de </w:t>
      </w:r>
      <w:r w:rsidRPr="002C6A86" w:rsidR="003D322E">
        <w:t xml:space="preserve">laatste </w:t>
      </w:r>
      <w:r w:rsidRPr="002C6A86" w:rsidR="00F90E6A">
        <w:t>uitfase</w:t>
      </w:r>
      <w:r w:rsidRPr="002C6A86" w:rsidR="003D322E">
        <w:t>e</w:t>
      </w:r>
      <w:r w:rsidRPr="002C6A86" w:rsidR="00F90E6A">
        <w:t>r</w:t>
      </w:r>
      <w:r w:rsidRPr="002C6A86" w:rsidR="003D322E">
        <w:t>stap</w:t>
      </w:r>
      <w:r w:rsidRPr="002C6A86" w:rsidR="00F90E6A">
        <w:t xml:space="preserve"> </w:t>
      </w:r>
      <w:r w:rsidRPr="002C6A86" w:rsidR="003D322E">
        <w:t xml:space="preserve">voor de periode </w:t>
      </w:r>
      <w:r w:rsidRPr="002C6A86" w:rsidR="00F90E6A">
        <w:t>na 2030</w:t>
      </w:r>
      <w:r w:rsidRPr="002C6A86" w:rsidR="007C44D7">
        <w:t xml:space="preserve"> in ogenschouw worden genomen</w:t>
      </w:r>
      <w:r w:rsidRPr="002C6A86" w:rsidR="00F90E6A">
        <w:t>. Tot die tijd hoe</w:t>
      </w:r>
      <w:r w:rsidRPr="002C6A86" w:rsidR="00D85FB1">
        <w:t>ven</w:t>
      </w:r>
      <w:r w:rsidRPr="002C6A86" w:rsidR="00F90E6A">
        <w:t xml:space="preserve"> de F-gas</w:t>
      </w:r>
      <w:r w:rsidRPr="002C6A86" w:rsidR="00DD67C8">
        <w:t>sen</w:t>
      </w:r>
      <w:r w:rsidRPr="002C6A86" w:rsidR="003809A8">
        <w:t>v</w:t>
      </w:r>
      <w:r w:rsidRPr="002C6A86" w:rsidR="00F90E6A">
        <w:t>erordening en het Nederlandse Besluit en de Regeling “Gefluoreerde broeikasgassen en ozonlaagafbrekende stoffen” niet te worden gewijzigd.</w:t>
      </w:r>
      <w:r w:rsidRPr="002C6A86" w:rsidR="00DE484F">
        <w:t xml:space="preserve"> </w:t>
      </w:r>
      <w:r w:rsidRPr="002C6A86" w:rsidR="00F90E6A">
        <w:t>Dit geldt ook voor MAC richtlijn en de implementatie ervan in het Besluit Voertuigen.</w:t>
      </w:r>
    </w:p>
    <w:p w:rsidRPr="002C6A86" w:rsidR="00A9272D" w:rsidP="00475F6A" w:rsidRDefault="00A9272D" w14:paraId="10161352" w14:textId="18380ECD">
      <w:pPr>
        <w:pStyle w:val="Kop1"/>
        <w:numPr>
          <w:ilvl w:val="0"/>
          <w:numId w:val="11"/>
        </w:numPr>
        <w:spacing w:line="240" w:lineRule="auto"/>
        <w:rPr>
          <w:b/>
          <w:sz w:val="18"/>
          <w:szCs w:val="18"/>
        </w:rPr>
      </w:pPr>
      <w:r w:rsidRPr="002C6A86">
        <w:rPr>
          <w:b/>
          <w:sz w:val="18"/>
          <w:szCs w:val="18"/>
        </w:rPr>
        <w:t>Gevolgen van voor wet- en regelgeving in het Caribische deel van Nederland</w:t>
      </w:r>
    </w:p>
    <w:p w:rsidRPr="002C6A86" w:rsidR="00A9272D" w:rsidP="00A9272D" w:rsidRDefault="00A9272D" w14:paraId="39EFF2CD" w14:textId="77777777"/>
    <w:p w:rsidRPr="002C6A86" w:rsidR="00207B1E" w:rsidP="00D93E52" w:rsidRDefault="00A9272D" w14:paraId="45427D49" w14:textId="43BF1E1F">
      <w:pPr>
        <w:spacing w:line="240" w:lineRule="auto"/>
        <w:rPr>
          <w:rFonts w:cs="Times New Roman"/>
        </w:rPr>
      </w:pPr>
      <w:r w:rsidRPr="002C6A86">
        <w:rPr>
          <w:rFonts w:cs="Times New Roman"/>
        </w:rPr>
        <w:t>Het Montreal Protocol geldt sinds 10 oktober 2010 voor Caribisch Nederland</w:t>
      </w:r>
      <w:r w:rsidRPr="002C6A86" w:rsidR="00B246FF">
        <w:rPr>
          <w:rFonts w:cs="Times New Roman"/>
        </w:rPr>
        <w:t>, zie ook paragraaf 6 met betrekking tot de Koninkrijkspositie</w:t>
      </w:r>
      <w:r w:rsidRPr="002C6A86">
        <w:rPr>
          <w:rFonts w:cs="Times New Roman"/>
        </w:rPr>
        <w:t>. Het ligt daarom voor de hand dat deze wijziging van het Protocol ook voor Caribisch Nederland gaat gelden.</w:t>
      </w:r>
      <w:r w:rsidRPr="002C6A86" w:rsidR="00F72C50">
        <w:rPr>
          <w:rFonts w:cs="Times New Roman"/>
        </w:rPr>
        <w:t xml:space="preserve"> </w:t>
      </w:r>
      <w:r w:rsidRPr="002C6A86" w:rsidR="00C55DB0">
        <w:rPr>
          <w:rFonts w:cs="Times New Roman"/>
        </w:rPr>
        <w:t>Hiervoor is echter ook nodig dat de wijziging</w:t>
      </w:r>
      <w:r w:rsidRPr="002C6A86" w:rsidR="00FF2067">
        <w:rPr>
          <w:rFonts w:cs="Times New Roman"/>
        </w:rPr>
        <w:t>,</w:t>
      </w:r>
      <w:r w:rsidRPr="002C6A86" w:rsidR="00C55DB0">
        <w:rPr>
          <w:rFonts w:cs="Times New Roman"/>
        </w:rPr>
        <w:t xml:space="preserve"> die </w:t>
      </w:r>
      <w:r w:rsidRPr="002C6A86" w:rsidR="00FF2067">
        <w:rPr>
          <w:rFonts w:cs="Times New Roman"/>
        </w:rPr>
        <w:t xml:space="preserve">op 3 december </w:t>
      </w:r>
      <w:r w:rsidRPr="002C6A86" w:rsidR="00C55DB0">
        <w:rPr>
          <w:rFonts w:cs="Times New Roman"/>
        </w:rPr>
        <w:t xml:space="preserve">1999 in Beijing is aanvaard, ook voor Caribisch Nederland </w:t>
      </w:r>
      <w:r w:rsidRPr="002C6A86" w:rsidR="003C3AFA">
        <w:rPr>
          <w:rFonts w:cs="Times New Roman"/>
        </w:rPr>
        <w:t xml:space="preserve">zal </w:t>
      </w:r>
      <w:r w:rsidRPr="002C6A86" w:rsidR="00C55DB0">
        <w:rPr>
          <w:rFonts w:cs="Times New Roman"/>
        </w:rPr>
        <w:t>geld</w:t>
      </w:r>
      <w:r w:rsidRPr="002C6A86" w:rsidR="003C3AFA">
        <w:rPr>
          <w:rFonts w:cs="Times New Roman"/>
        </w:rPr>
        <w:t>en, overeenkomstig artikel II van het Amendement</w:t>
      </w:r>
      <w:r w:rsidRPr="002C6A86" w:rsidR="00C55DB0">
        <w:rPr>
          <w:rFonts w:cs="Times New Roman"/>
        </w:rPr>
        <w:t xml:space="preserve">. In Beijing werden namelijk al afspraken gemaakt over uitfasering van HCFK’s. </w:t>
      </w:r>
      <w:r w:rsidRPr="002C6A86" w:rsidR="00F72C50">
        <w:rPr>
          <w:rFonts w:cs="Times New Roman"/>
        </w:rPr>
        <w:t xml:space="preserve">Op dit moment is de voor de uitvoering van </w:t>
      </w:r>
      <w:r w:rsidRPr="002C6A86" w:rsidR="00304701">
        <w:rPr>
          <w:rFonts w:cs="Times New Roman"/>
        </w:rPr>
        <w:t xml:space="preserve">de wijziging van 3 december 1999 van </w:t>
      </w:r>
      <w:r w:rsidRPr="002C6A86" w:rsidR="00F72C50">
        <w:rPr>
          <w:rFonts w:cs="Times New Roman"/>
        </w:rPr>
        <w:t>het Montreal Protocol benodigde wetgeving voor het Caribische deel van Nederland nog niet afgerond. Met Bonaire, Sint</w:t>
      </w:r>
      <w:r w:rsidRPr="002C6A86" w:rsidR="00304701">
        <w:rPr>
          <w:rFonts w:cs="Times New Roman"/>
        </w:rPr>
        <w:t>-</w:t>
      </w:r>
      <w:r w:rsidRPr="002C6A86" w:rsidR="00F72C50">
        <w:rPr>
          <w:rFonts w:cs="Times New Roman"/>
        </w:rPr>
        <w:t>Eustatius en Saba zal verder overleg gevoerd worden over de noodzakelijk</w:t>
      </w:r>
      <w:r w:rsidRPr="002C6A86" w:rsidR="00952CC1">
        <w:rPr>
          <w:rFonts w:cs="Times New Roman"/>
        </w:rPr>
        <w:t>e</w:t>
      </w:r>
      <w:r w:rsidRPr="002C6A86" w:rsidR="00F72C50">
        <w:rPr>
          <w:rFonts w:cs="Times New Roman"/>
        </w:rPr>
        <w:t xml:space="preserve"> aanpassingen van hun wetgeving</w:t>
      </w:r>
      <w:r w:rsidRPr="002C6A86" w:rsidR="00952CC1">
        <w:rPr>
          <w:rFonts w:cs="Times New Roman"/>
        </w:rPr>
        <w:t xml:space="preserve"> en de voorbereiding van de uitvoeringswetgeving inzake het Kigali Amendement</w:t>
      </w:r>
      <w:r w:rsidRPr="002C6A86" w:rsidR="00F72C50">
        <w:rPr>
          <w:rFonts w:cs="Times New Roman"/>
        </w:rPr>
        <w:t xml:space="preserve">. </w:t>
      </w:r>
      <w:r w:rsidRPr="002C6A86" w:rsidR="00466C8C">
        <w:rPr>
          <w:rFonts w:cs="Times New Roman"/>
        </w:rPr>
        <w:t xml:space="preserve">Hetzelfde geldt voor de eerdere wijzigingen van het Montreal Protocol die dateren uit 1990, 1992 en 1997, zie ook paragraaf 6 van deze toelichting. </w:t>
      </w:r>
    </w:p>
    <w:p w:rsidRPr="002C6A86" w:rsidR="00207B1E" w:rsidP="00D93E52" w:rsidRDefault="00207B1E" w14:paraId="22CD390E" w14:textId="77777777">
      <w:pPr>
        <w:spacing w:line="240" w:lineRule="auto"/>
        <w:rPr>
          <w:rFonts w:cs="Times New Roman"/>
          <w:b/>
        </w:rPr>
      </w:pPr>
    </w:p>
    <w:p w:rsidRPr="002C6A86" w:rsidR="003419F5" w:rsidP="00D93E52" w:rsidRDefault="00DB2614" w14:paraId="36129844" w14:textId="18218454">
      <w:pPr>
        <w:spacing w:line="240" w:lineRule="auto"/>
        <w:rPr>
          <w:rFonts w:cs="Times New Roman"/>
          <w:b/>
          <w:bCs/>
        </w:rPr>
      </w:pPr>
      <w:r w:rsidRPr="002C6A86">
        <w:rPr>
          <w:rFonts w:cs="Times New Roman"/>
          <w:b/>
          <w:bCs/>
        </w:rPr>
        <w:t>4</w:t>
      </w:r>
      <w:r w:rsidRPr="002C6A86" w:rsidR="00DA37A5">
        <w:rPr>
          <w:rFonts w:cs="Times New Roman"/>
          <w:b/>
          <w:bCs/>
        </w:rPr>
        <w:t xml:space="preserve">. </w:t>
      </w:r>
      <w:r w:rsidRPr="002C6A86" w:rsidR="00692E3F">
        <w:rPr>
          <w:rFonts w:cs="Times New Roman"/>
          <w:b/>
          <w:bCs/>
        </w:rPr>
        <w:t>Artikelsgewijze toelichting</w:t>
      </w:r>
    </w:p>
    <w:p w:rsidRPr="002C6A86" w:rsidR="002E4C3F" w:rsidP="00D93E52" w:rsidRDefault="002E4C3F" w14:paraId="02683BCD" w14:textId="77777777">
      <w:pPr>
        <w:spacing w:line="240" w:lineRule="auto"/>
        <w:rPr>
          <w:rFonts w:cs="Times New Roman"/>
          <w:bCs/>
        </w:rPr>
      </w:pPr>
    </w:p>
    <w:p w:rsidRPr="002C6A86" w:rsidR="00844709" w:rsidP="00D93E52" w:rsidRDefault="00844709" w14:paraId="73CAEBCE" w14:textId="77777777">
      <w:pPr>
        <w:spacing w:line="240" w:lineRule="auto"/>
        <w:rPr>
          <w:rFonts w:cs="Times New Roman"/>
          <w:bCs/>
        </w:rPr>
      </w:pPr>
      <w:r w:rsidRPr="002C6A86">
        <w:rPr>
          <w:rFonts w:cs="Times New Roman"/>
          <w:b/>
          <w:bCs/>
        </w:rPr>
        <w:t>Artikel I</w:t>
      </w:r>
      <w:r w:rsidRPr="002C6A86">
        <w:rPr>
          <w:rFonts w:cs="Times New Roman"/>
          <w:bCs/>
        </w:rPr>
        <w:t xml:space="preserve"> van het Kigali Amendement bevat de wijzigingen van het Montreal Protocol die bedoeld zijn</w:t>
      </w:r>
      <w:r w:rsidRPr="002C6A86" w:rsidR="0079433D">
        <w:rPr>
          <w:rFonts w:cs="Times New Roman"/>
          <w:bCs/>
        </w:rPr>
        <w:t xml:space="preserve"> </w:t>
      </w:r>
      <w:r w:rsidRPr="002C6A86">
        <w:rPr>
          <w:rFonts w:cs="Times New Roman"/>
          <w:bCs/>
        </w:rPr>
        <w:t>om de HFK’s onder het regime van het Protocol te brengen.</w:t>
      </w:r>
    </w:p>
    <w:p w:rsidRPr="002C6A86" w:rsidR="0079433D" w:rsidP="00D93E52" w:rsidRDefault="0079433D" w14:paraId="4AC530DA" w14:textId="77777777">
      <w:pPr>
        <w:spacing w:line="240" w:lineRule="auto"/>
        <w:rPr>
          <w:rFonts w:cs="Times New Roman"/>
          <w:bCs/>
        </w:rPr>
      </w:pPr>
    </w:p>
    <w:p w:rsidRPr="002C6A86" w:rsidR="0027096A" w:rsidP="00D93E52" w:rsidRDefault="00BF5211" w14:paraId="09F00513" w14:textId="77777777">
      <w:pPr>
        <w:spacing w:line="240" w:lineRule="auto"/>
        <w:rPr>
          <w:rFonts w:cs="Times New Roman"/>
          <w:iCs/>
        </w:rPr>
      </w:pPr>
      <w:r w:rsidRPr="002C6A86">
        <w:rPr>
          <w:rFonts w:cs="Times New Roman"/>
          <w:iCs/>
        </w:rPr>
        <w:t xml:space="preserve">De belangrijkste </w:t>
      </w:r>
      <w:r w:rsidRPr="002C6A86" w:rsidR="00844709">
        <w:rPr>
          <w:rFonts w:cs="Times New Roman"/>
          <w:iCs/>
        </w:rPr>
        <w:t>hiervan</w:t>
      </w:r>
      <w:r w:rsidRPr="002C6A86">
        <w:rPr>
          <w:rFonts w:cs="Times New Roman"/>
          <w:iCs/>
        </w:rPr>
        <w:t xml:space="preserve"> zijn:</w:t>
      </w:r>
    </w:p>
    <w:p w:rsidRPr="002C6A86" w:rsidR="00BF5211" w:rsidP="00D93E52" w:rsidRDefault="00504AB2" w14:paraId="57FF5044" w14:textId="58DE42B6">
      <w:pPr>
        <w:pStyle w:val="Lijstalinea"/>
        <w:numPr>
          <w:ilvl w:val="0"/>
          <w:numId w:val="10"/>
        </w:numPr>
        <w:spacing w:line="240" w:lineRule="auto"/>
        <w:rPr>
          <w:rFonts w:cs="Times New Roman"/>
          <w:iCs/>
        </w:rPr>
      </w:pPr>
      <w:r w:rsidRPr="002C6A86">
        <w:rPr>
          <w:rFonts w:cs="Times New Roman"/>
          <w:iCs/>
        </w:rPr>
        <w:t>b</w:t>
      </w:r>
      <w:r w:rsidRPr="002C6A86" w:rsidR="00D60920">
        <w:rPr>
          <w:rFonts w:cs="Times New Roman"/>
          <w:iCs/>
        </w:rPr>
        <w:t xml:space="preserve">evriezing van </w:t>
      </w:r>
      <w:r w:rsidRPr="002C6A86" w:rsidR="00BF5211">
        <w:rPr>
          <w:rFonts w:cs="Times New Roman"/>
          <w:iCs/>
        </w:rPr>
        <w:t>productie en consum</w:t>
      </w:r>
      <w:r w:rsidRPr="002C6A86" w:rsidR="00B111CF">
        <w:rPr>
          <w:rFonts w:cs="Times New Roman"/>
          <w:iCs/>
        </w:rPr>
        <w:t>ptie van HFK</w:t>
      </w:r>
      <w:r w:rsidRPr="002C6A86" w:rsidR="006404E8">
        <w:rPr>
          <w:rFonts w:cs="Times New Roman"/>
          <w:iCs/>
        </w:rPr>
        <w:t>’</w:t>
      </w:r>
      <w:r w:rsidRPr="002C6A86" w:rsidR="00B111CF">
        <w:rPr>
          <w:rFonts w:cs="Times New Roman"/>
          <w:iCs/>
        </w:rPr>
        <w:t xml:space="preserve">s </w:t>
      </w:r>
      <w:r w:rsidRPr="002C6A86" w:rsidR="00BF5211">
        <w:rPr>
          <w:rFonts w:cs="Times New Roman"/>
          <w:iCs/>
        </w:rPr>
        <w:t>voor ontwikkelingslanden in 2024 en 2028</w:t>
      </w:r>
      <w:r w:rsidRPr="002C6A86" w:rsidR="008510DE">
        <w:rPr>
          <w:rFonts w:cs="Times New Roman"/>
          <w:iCs/>
        </w:rPr>
        <w:t xml:space="preserve"> </w:t>
      </w:r>
      <w:r w:rsidRPr="002C6A86" w:rsidR="00EB3D12">
        <w:rPr>
          <w:rFonts w:cs="Times New Roman"/>
          <w:iCs/>
        </w:rPr>
        <w:t>op het niveau van de afgesproken baselines</w:t>
      </w:r>
      <w:r w:rsidRPr="002C6A86" w:rsidR="005645F6">
        <w:rPr>
          <w:rFonts w:cs="Times New Roman"/>
          <w:iCs/>
        </w:rPr>
        <w:t xml:space="preserve"> en voor ontwikkelde landen in 2019 op 90% van de afgesproken baseline en voor een aantal Oost Europese landen in 2020 op </w:t>
      </w:r>
      <w:r w:rsidRPr="002C6A86" w:rsidR="006671FB">
        <w:rPr>
          <w:rFonts w:cs="Times New Roman"/>
          <w:iCs/>
        </w:rPr>
        <w:t>95%</w:t>
      </w:r>
      <w:r w:rsidRPr="002C6A86" w:rsidR="005645F6">
        <w:rPr>
          <w:rFonts w:cs="Times New Roman"/>
          <w:iCs/>
        </w:rPr>
        <w:t xml:space="preserve"> van de afgesproken baseline </w:t>
      </w:r>
      <w:r w:rsidRPr="002C6A86" w:rsidR="008510DE">
        <w:rPr>
          <w:rFonts w:cs="Times New Roman"/>
          <w:iCs/>
        </w:rPr>
        <w:t>(het nieuwe artikel 2J van het Protocol)</w:t>
      </w:r>
      <w:r w:rsidRPr="002C6A86">
        <w:rPr>
          <w:rFonts w:cs="Times New Roman"/>
          <w:iCs/>
        </w:rPr>
        <w:t>;</w:t>
      </w:r>
    </w:p>
    <w:p w:rsidRPr="002C6A86" w:rsidR="00BF5211" w:rsidP="00D93E52" w:rsidRDefault="00504AB2" w14:paraId="78B71A8A" w14:textId="61B222CC">
      <w:pPr>
        <w:pStyle w:val="Lijstalinea"/>
        <w:numPr>
          <w:ilvl w:val="0"/>
          <w:numId w:val="10"/>
        </w:numPr>
        <w:spacing w:line="240" w:lineRule="auto"/>
        <w:rPr>
          <w:rFonts w:cs="Times New Roman"/>
          <w:iCs/>
        </w:rPr>
      </w:pPr>
      <w:r w:rsidRPr="002C6A86">
        <w:rPr>
          <w:rFonts w:cs="Times New Roman"/>
          <w:iCs/>
        </w:rPr>
        <w:t>u</w:t>
      </w:r>
      <w:r w:rsidRPr="002C6A86" w:rsidR="00BF5211">
        <w:rPr>
          <w:rFonts w:cs="Times New Roman"/>
          <w:iCs/>
        </w:rPr>
        <w:t>itfase</w:t>
      </w:r>
      <w:r w:rsidRPr="002C6A86" w:rsidR="002B2EE2">
        <w:rPr>
          <w:rFonts w:cs="Times New Roman"/>
          <w:iCs/>
        </w:rPr>
        <w:t>er</w:t>
      </w:r>
      <w:r w:rsidRPr="002C6A86" w:rsidR="00BF5211">
        <w:rPr>
          <w:rFonts w:cs="Times New Roman"/>
          <w:iCs/>
        </w:rPr>
        <w:t>schema’s voor ontwikkelde landen startend in 2019 tot 15% in 2036 en een aangepast schema startend in 2020 voor een aantal Oost-Europese landen tot 15% in 2036</w:t>
      </w:r>
      <w:r w:rsidRPr="002C6A86">
        <w:rPr>
          <w:rFonts w:cs="Times New Roman"/>
          <w:iCs/>
        </w:rPr>
        <w:t>;</w:t>
      </w:r>
    </w:p>
    <w:p w:rsidRPr="002C6A86" w:rsidR="00D60920" w:rsidP="00D93E52" w:rsidRDefault="00504AB2" w14:paraId="2382182C" w14:textId="09EDCE6B">
      <w:pPr>
        <w:pStyle w:val="Lijstalinea"/>
        <w:numPr>
          <w:ilvl w:val="0"/>
          <w:numId w:val="10"/>
        </w:numPr>
        <w:spacing w:line="240" w:lineRule="auto"/>
        <w:rPr>
          <w:rFonts w:cs="Times New Roman"/>
          <w:iCs/>
        </w:rPr>
      </w:pPr>
      <w:r w:rsidRPr="002C6A86">
        <w:rPr>
          <w:rFonts w:cs="Times New Roman"/>
          <w:iCs/>
        </w:rPr>
        <w:t>u</w:t>
      </w:r>
      <w:r w:rsidRPr="002C6A86" w:rsidR="00BF5211">
        <w:rPr>
          <w:rFonts w:cs="Times New Roman"/>
          <w:iCs/>
        </w:rPr>
        <w:t>itfase</w:t>
      </w:r>
      <w:r w:rsidRPr="002C6A86" w:rsidR="002B2EE2">
        <w:rPr>
          <w:rFonts w:cs="Times New Roman"/>
          <w:iCs/>
        </w:rPr>
        <w:t>er</w:t>
      </w:r>
      <w:r w:rsidRPr="002C6A86" w:rsidR="003F6DDB">
        <w:rPr>
          <w:rFonts w:cs="Times New Roman"/>
          <w:iCs/>
        </w:rPr>
        <w:t>s</w:t>
      </w:r>
      <w:r w:rsidRPr="002C6A86" w:rsidR="00BF5211">
        <w:rPr>
          <w:rFonts w:cs="Times New Roman"/>
          <w:iCs/>
        </w:rPr>
        <w:t>chema’s voor ontwikkelingslanden startend in 2029 tot 20% in 2045 en een aangepast schema startend in 2032 tot 15% in 2047</w:t>
      </w:r>
      <w:r w:rsidRPr="002C6A86" w:rsidR="00D60920">
        <w:rPr>
          <w:rFonts w:cs="Times New Roman"/>
          <w:iCs/>
        </w:rPr>
        <w:t>.</w:t>
      </w:r>
    </w:p>
    <w:p w:rsidRPr="002C6A86" w:rsidR="003809A8" w:rsidP="00B111CF" w:rsidRDefault="003809A8" w14:paraId="50E60329" w14:textId="77777777">
      <w:pPr>
        <w:spacing w:line="240" w:lineRule="auto"/>
      </w:pPr>
    </w:p>
    <w:p w:rsidRPr="002C6A86" w:rsidR="00811233" w:rsidP="00B111CF" w:rsidRDefault="0079433D" w14:paraId="2314180F" w14:textId="490B1D50">
      <w:pPr>
        <w:spacing w:line="240" w:lineRule="auto"/>
        <w:rPr>
          <w:rFonts w:cs="Times New Roman"/>
          <w:iCs/>
        </w:rPr>
      </w:pPr>
      <w:r w:rsidRPr="002C6A86">
        <w:rPr>
          <w:rFonts w:cs="Times New Roman"/>
          <w:iCs/>
        </w:rPr>
        <w:t>De uitfase</w:t>
      </w:r>
      <w:r w:rsidRPr="002C6A86" w:rsidR="002B2EE2">
        <w:rPr>
          <w:rFonts w:cs="Times New Roman"/>
          <w:iCs/>
        </w:rPr>
        <w:t>er</w:t>
      </w:r>
      <w:r w:rsidRPr="002C6A86">
        <w:rPr>
          <w:rFonts w:cs="Times New Roman"/>
          <w:iCs/>
        </w:rPr>
        <w:t>data met de bijbehorende percentages voor de ontwikkelde landen en de Oost-Europese landen zijn opgenomen in</w:t>
      </w:r>
      <w:r w:rsidRPr="002C6A86" w:rsidR="00E21DA2">
        <w:rPr>
          <w:rFonts w:cs="Times New Roman"/>
          <w:iCs/>
        </w:rPr>
        <w:t xml:space="preserve"> het nieuwe </w:t>
      </w:r>
      <w:r w:rsidRPr="002C6A86">
        <w:rPr>
          <w:rFonts w:cs="Times New Roman"/>
          <w:iCs/>
        </w:rPr>
        <w:t>artikel 2J van het Protocol en voor de ontwikkelingslanden</w:t>
      </w:r>
      <w:r w:rsidRPr="002C6A86" w:rsidR="006671FB">
        <w:rPr>
          <w:rFonts w:cs="Times New Roman"/>
          <w:iCs/>
        </w:rPr>
        <w:t xml:space="preserve"> in artikel 5</w:t>
      </w:r>
      <w:r w:rsidRPr="002C6A86" w:rsidR="00692E3F">
        <w:rPr>
          <w:rFonts w:cs="Times New Roman"/>
          <w:iCs/>
        </w:rPr>
        <w:t>, zoals gewijzigd</w:t>
      </w:r>
      <w:r w:rsidRPr="002C6A86">
        <w:rPr>
          <w:rFonts w:cs="Times New Roman"/>
          <w:iCs/>
        </w:rPr>
        <w:t xml:space="preserve">. </w:t>
      </w:r>
      <w:r w:rsidRPr="002C6A86" w:rsidR="006671FB">
        <w:rPr>
          <w:rFonts w:cs="Times New Roman"/>
          <w:iCs/>
        </w:rPr>
        <w:t>D</w:t>
      </w:r>
      <w:r w:rsidRPr="002C6A86" w:rsidR="00811233">
        <w:rPr>
          <w:rFonts w:cs="Times New Roman"/>
          <w:iCs/>
        </w:rPr>
        <w:t xml:space="preserve">e onderstaande tabel </w:t>
      </w:r>
      <w:r w:rsidRPr="002C6A86" w:rsidR="006671FB">
        <w:rPr>
          <w:rFonts w:cs="Times New Roman"/>
          <w:iCs/>
        </w:rPr>
        <w:t xml:space="preserve">geeft een overzicht van </w:t>
      </w:r>
      <w:r w:rsidRPr="002C6A86" w:rsidR="00811233">
        <w:rPr>
          <w:rFonts w:cs="Times New Roman"/>
          <w:iCs/>
        </w:rPr>
        <w:t xml:space="preserve">de uitfaseerdata en –percentages van de verschillende groepen landen </w:t>
      </w:r>
      <w:r w:rsidRPr="002C6A86" w:rsidR="006671FB">
        <w:rPr>
          <w:rFonts w:cs="Times New Roman"/>
          <w:iCs/>
        </w:rPr>
        <w:t>volgens</w:t>
      </w:r>
      <w:r w:rsidRPr="002C6A86" w:rsidR="00811233">
        <w:rPr>
          <w:rFonts w:cs="Times New Roman"/>
          <w:iCs/>
        </w:rPr>
        <w:t xml:space="preserve"> de afspraken in artikel 2J en artikel 5</w:t>
      </w:r>
      <w:r w:rsidRPr="002C6A86" w:rsidR="00692E3F">
        <w:rPr>
          <w:rFonts w:cs="Times New Roman"/>
          <w:iCs/>
        </w:rPr>
        <w:t>, zoals gewijzigd</w:t>
      </w:r>
      <w:r w:rsidRPr="002C6A86" w:rsidR="00811233">
        <w:rPr>
          <w:rFonts w:cs="Times New Roman"/>
          <w:iCs/>
        </w:rPr>
        <w:t>.</w:t>
      </w:r>
    </w:p>
    <w:p w:rsidRPr="002C6A86" w:rsidR="00811233" w:rsidP="00B111CF" w:rsidRDefault="00811233" w14:paraId="54EBBAF5" w14:textId="77777777">
      <w:pPr>
        <w:spacing w:line="240" w:lineRule="auto"/>
        <w:rPr>
          <w:rFonts w:cs="Times New Roman"/>
          <w:iCs/>
        </w:rPr>
      </w:pPr>
    </w:p>
    <w:p w:rsidRPr="002C6A86" w:rsidR="00811233" w:rsidP="00811233" w:rsidRDefault="0079433D" w14:paraId="72703C17" w14:textId="77777777">
      <w:pPr>
        <w:spacing w:line="240" w:lineRule="auto"/>
        <w:rPr>
          <w:rFonts w:cs="Times New Roman"/>
          <w:iCs/>
        </w:rPr>
      </w:pPr>
      <w:r w:rsidRPr="002C6A86">
        <w:rPr>
          <w:rFonts w:cs="Times New Roman"/>
          <w:iCs/>
        </w:rPr>
        <w:t xml:space="preserve"> </w:t>
      </w:r>
    </w:p>
    <w:p w:rsidRPr="002C6A86" w:rsidR="00320B1E" w:rsidP="00811233" w:rsidRDefault="00320B1E" w14:paraId="56BE3E8F" w14:textId="77777777">
      <w:pPr>
        <w:spacing w:line="240" w:lineRule="auto"/>
        <w:rPr>
          <w:rFonts w:cs="Times New Roman"/>
          <w:iCs/>
        </w:rPr>
      </w:pPr>
    </w:p>
    <w:tbl>
      <w:tblPr>
        <w:tblStyle w:val="Tabelraster"/>
        <w:tblpPr w:leftFromText="141" w:rightFromText="141" w:vertAnchor="text" w:horzAnchor="margin" w:tblpXSpec="center" w:tblpY="142"/>
        <w:tblW w:w="11510" w:type="dxa"/>
        <w:tblLayout w:type="fixed"/>
        <w:tblLook w:val="04A0" w:firstRow="1" w:lastRow="0" w:firstColumn="1" w:lastColumn="0" w:noHBand="0" w:noVBand="1"/>
      </w:tblPr>
      <w:tblGrid>
        <w:gridCol w:w="894"/>
        <w:gridCol w:w="1220"/>
        <w:gridCol w:w="1308"/>
        <w:gridCol w:w="1190"/>
        <w:gridCol w:w="1308"/>
        <w:gridCol w:w="1308"/>
        <w:gridCol w:w="1547"/>
        <w:gridCol w:w="1190"/>
        <w:gridCol w:w="1545"/>
      </w:tblGrid>
      <w:tr w:rsidRPr="002C6A86" w:rsidR="00811233" w:rsidTr="00811233" w14:paraId="5D171E05" w14:textId="77777777">
        <w:trPr>
          <w:trHeight w:val="298"/>
        </w:trPr>
        <w:tc>
          <w:tcPr>
            <w:tcW w:w="11510" w:type="dxa"/>
            <w:gridSpan w:val="9"/>
          </w:tcPr>
          <w:p w:rsidRPr="002C6A86" w:rsidR="00811233" w:rsidP="00504AB2" w:rsidRDefault="00811233" w14:paraId="5B72C5B2" w14:textId="4A705843">
            <w:pPr>
              <w:spacing w:after="200" w:line="240" w:lineRule="auto"/>
              <w:rPr>
                <w:rFonts w:ascii="Verdana" w:hAnsi="Verdana"/>
                <w:b/>
              </w:rPr>
            </w:pPr>
            <w:r w:rsidRPr="002C6A86">
              <w:rPr>
                <w:rFonts w:ascii="Verdana" w:hAnsi="Verdana"/>
                <w:b/>
              </w:rPr>
              <w:t>Uitfasering van productie en consumptie van HFK</w:t>
            </w:r>
            <w:r w:rsidRPr="002C6A86" w:rsidR="00504AB2">
              <w:rPr>
                <w:rFonts w:ascii="Verdana" w:hAnsi="Verdana"/>
                <w:b/>
              </w:rPr>
              <w:t>’</w:t>
            </w:r>
            <w:r w:rsidRPr="002C6A86">
              <w:rPr>
                <w:rFonts w:ascii="Verdana" w:hAnsi="Verdana"/>
                <w:b/>
              </w:rPr>
              <w:t xml:space="preserve">s (in percentages) voor verschillende groepen landen o.b.v. Kigali </w:t>
            </w:r>
            <w:r w:rsidRPr="002C6A86" w:rsidR="00504AB2">
              <w:rPr>
                <w:rFonts w:ascii="Verdana" w:hAnsi="Verdana"/>
                <w:b/>
              </w:rPr>
              <w:t>A</w:t>
            </w:r>
            <w:r w:rsidRPr="002C6A86">
              <w:rPr>
                <w:rFonts w:ascii="Verdana" w:hAnsi="Verdana"/>
                <w:b/>
              </w:rPr>
              <w:t>mendement</w:t>
            </w:r>
          </w:p>
        </w:tc>
      </w:tr>
      <w:tr w:rsidRPr="002C6A86" w:rsidR="00811233" w:rsidTr="00811233" w14:paraId="63705710" w14:textId="77777777">
        <w:trPr>
          <w:trHeight w:val="298"/>
        </w:trPr>
        <w:tc>
          <w:tcPr>
            <w:tcW w:w="894" w:type="dxa"/>
          </w:tcPr>
          <w:p w:rsidRPr="002C6A86" w:rsidR="00811233" w:rsidP="00811233" w:rsidRDefault="00811233" w14:paraId="5AE79648" w14:textId="77777777">
            <w:pPr>
              <w:spacing w:after="200" w:line="240" w:lineRule="auto"/>
              <w:rPr>
                <w:rFonts w:ascii="Verdana" w:hAnsi="Verdana"/>
                <w:b/>
              </w:rPr>
            </w:pPr>
            <w:r w:rsidRPr="002C6A86">
              <w:rPr>
                <w:rFonts w:ascii="Verdana" w:hAnsi="Verdana"/>
                <w:b/>
              </w:rPr>
              <w:t>Reductiestap</w:t>
            </w:r>
          </w:p>
        </w:tc>
        <w:tc>
          <w:tcPr>
            <w:tcW w:w="1220" w:type="dxa"/>
          </w:tcPr>
          <w:p w:rsidRPr="002C6A86" w:rsidR="00811233" w:rsidP="00811233" w:rsidRDefault="00692E3F" w14:paraId="017D3AA7" w14:textId="77777777">
            <w:pPr>
              <w:spacing w:after="200" w:line="240" w:lineRule="auto"/>
              <w:rPr>
                <w:rFonts w:ascii="Verdana" w:hAnsi="Verdana"/>
                <w:b/>
              </w:rPr>
            </w:pPr>
            <w:r w:rsidRPr="002C6A86">
              <w:rPr>
                <w:rFonts w:ascii="Verdana" w:hAnsi="Verdana"/>
                <w:b/>
              </w:rPr>
              <w:t>P</w:t>
            </w:r>
            <w:r w:rsidRPr="002C6A86" w:rsidR="00811233">
              <w:rPr>
                <w:rFonts w:ascii="Verdana" w:hAnsi="Verdana"/>
                <w:b/>
              </w:rPr>
              <w:t>eriode</w:t>
            </w:r>
          </w:p>
        </w:tc>
        <w:tc>
          <w:tcPr>
            <w:tcW w:w="1308" w:type="dxa"/>
          </w:tcPr>
          <w:p w:rsidRPr="002C6A86" w:rsidR="00811233" w:rsidP="00811233" w:rsidRDefault="00811233" w14:paraId="3C3FBAC3" w14:textId="77777777">
            <w:pPr>
              <w:spacing w:after="200" w:line="240" w:lineRule="auto"/>
              <w:rPr>
                <w:rFonts w:ascii="Verdana" w:hAnsi="Verdana"/>
                <w:b/>
              </w:rPr>
            </w:pPr>
            <w:r w:rsidRPr="002C6A86">
              <w:rPr>
                <w:rFonts w:ascii="Verdana" w:hAnsi="Verdana"/>
                <w:b/>
              </w:rPr>
              <w:t>Artikel 2 (ontwikkelde landen) (%)</w:t>
            </w:r>
          </w:p>
        </w:tc>
        <w:tc>
          <w:tcPr>
            <w:tcW w:w="1190" w:type="dxa"/>
            <w:shd w:val="clear" w:color="auto" w:fill="EEECE1" w:themeFill="background2"/>
          </w:tcPr>
          <w:p w:rsidRPr="002C6A86" w:rsidR="00811233" w:rsidP="00811233" w:rsidRDefault="00811233" w14:paraId="73EC971D" w14:textId="77777777">
            <w:pPr>
              <w:spacing w:after="200" w:line="240" w:lineRule="auto"/>
              <w:rPr>
                <w:rFonts w:ascii="Verdana" w:hAnsi="Verdana"/>
                <w:b/>
              </w:rPr>
            </w:pPr>
            <w:r w:rsidRPr="002C6A86">
              <w:rPr>
                <w:rFonts w:ascii="Verdana" w:hAnsi="Verdana"/>
                <w:b/>
              </w:rPr>
              <w:t>periode</w:t>
            </w:r>
          </w:p>
        </w:tc>
        <w:tc>
          <w:tcPr>
            <w:tcW w:w="1308" w:type="dxa"/>
            <w:shd w:val="clear" w:color="auto" w:fill="EEECE1" w:themeFill="background2"/>
          </w:tcPr>
          <w:p w:rsidRPr="002C6A86" w:rsidR="00811233" w:rsidP="00811233" w:rsidRDefault="00811233" w14:paraId="566E3BC1" w14:textId="77777777">
            <w:pPr>
              <w:spacing w:after="200" w:line="240" w:lineRule="auto"/>
              <w:rPr>
                <w:rFonts w:ascii="Verdana" w:hAnsi="Verdana"/>
                <w:b/>
              </w:rPr>
            </w:pPr>
            <w:r w:rsidRPr="002C6A86">
              <w:rPr>
                <w:rFonts w:ascii="Verdana" w:hAnsi="Verdana"/>
                <w:b/>
              </w:rPr>
              <w:t>Artikel 2**</w:t>
            </w:r>
          </w:p>
          <w:p w:rsidRPr="002C6A86" w:rsidR="00811233" w:rsidP="00811233" w:rsidRDefault="00811233" w14:paraId="5DF73DA4" w14:textId="77777777">
            <w:pPr>
              <w:spacing w:after="200" w:line="240" w:lineRule="auto"/>
              <w:rPr>
                <w:rFonts w:ascii="Verdana" w:hAnsi="Verdana"/>
                <w:b/>
              </w:rPr>
            </w:pPr>
            <w:r w:rsidRPr="002C6A86">
              <w:rPr>
                <w:rFonts w:ascii="Verdana" w:hAnsi="Verdana"/>
                <w:b/>
              </w:rPr>
              <w:t>(Wit Rusland, Russische Federatie, Kazachstan, Tajikistan, Oezbekistan) (%)</w:t>
            </w:r>
          </w:p>
          <w:p w:rsidRPr="002C6A86" w:rsidR="00811233" w:rsidP="00811233" w:rsidRDefault="00811233" w14:paraId="7104B74F" w14:textId="77777777">
            <w:pPr>
              <w:spacing w:after="200" w:line="240" w:lineRule="auto"/>
              <w:rPr>
                <w:rFonts w:ascii="Verdana" w:hAnsi="Verdana"/>
                <w:b/>
              </w:rPr>
            </w:pPr>
          </w:p>
        </w:tc>
        <w:tc>
          <w:tcPr>
            <w:tcW w:w="1308" w:type="dxa"/>
          </w:tcPr>
          <w:p w:rsidRPr="002C6A86" w:rsidR="00811233" w:rsidP="00811233" w:rsidRDefault="00811233" w14:paraId="5CF93FC4" w14:textId="77777777">
            <w:pPr>
              <w:spacing w:after="200" w:line="240" w:lineRule="auto"/>
              <w:rPr>
                <w:rFonts w:ascii="Verdana" w:hAnsi="Verdana"/>
                <w:b/>
                <w:lang w:val="en-US"/>
              </w:rPr>
            </w:pPr>
            <w:r w:rsidRPr="002C6A86">
              <w:rPr>
                <w:rFonts w:ascii="Verdana" w:hAnsi="Verdana"/>
                <w:b/>
                <w:lang w:val="en-US"/>
              </w:rPr>
              <w:lastRenderedPageBreak/>
              <w:t xml:space="preserve">periode </w:t>
            </w:r>
          </w:p>
        </w:tc>
        <w:tc>
          <w:tcPr>
            <w:tcW w:w="1547" w:type="dxa"/>
          </w:tcPr>
          <w:p w:rsidRPr="002C6A86" w:rsidR="00811233" w:rsidP="00811233" w:rsidRDefault="00811233" w14:paraId="61103BF6" w14:textId="77777777">
            <w:pPr>
              <w:spacing w:after="200" w:line="240" w:lineRule="auto"/>
              <w:rPr>
                <w:rFonts w:ascii="Verdana" w:hAnsi="Verdana"/>
                <w:b/>
                <w:lang w:val="en-US"/>
              </w:rPr>
            </w:pPr>
            <w:r w:rsidRPr="002C6A86">
              <w:rPr>
                <w:rFonts w:ascii="Verdana" w:hAnsi="Verdana"/>
                <w:b/>
                <w:lang w:val="en-US"/>
              </w:rPr>
              <w:t xml:space="preserve">Artikel 5 Groep 1 </w:t>
            </w:r>
          </w:p>
          <w:p w:rsidRPr="002C6A86" w:rsidR="00811233" w:rsidP="00504AB2" w:rsidRDefault="00811233" w14:paraId="148FE5F0" w14:textId="0576E9E7">
            <w:pPr>
              <w:spacing w:after="200" w:line="240" w:lineRule="auto"/>
              <w:rPr>
                <w:rFonts w:ascii="Verdana" w:hAnsi="Verdana"/>
                <w:b/>
                <w:lang w:val="en-US"/>
              </w:rPr>
            </w:pPr>
            <w:r w:rsidRPr="002C6A86">
              <w:rPr>
                <w:rFonts w:ascii="Verdana" w:hAnsi="Verdana"/>
                <w:b/>
                <w:lang w:val="en-US"/>
              </w:rPr>
              <w:t>(</w:t>
            </w:r>
            <w:r w:rsidRPr="002C6A86" w:rsidR="00504AB2">
              <w:rPr>
                <w:rFonts w:ascii="Verdana" w:hAnsi="Verdana"/>
                <w:b/>
                <w:lang w:val="en-US"/>
              </w:rPr>
              <w:t>o</w:t>
            </w:r>
            <w:r w:rsidRPr="002C6A86">
              <w:rPr>
                <w:rFonts w:ascii="Verdana" w:hAnsi="Verdana"/>
                <w:b/>
                <w:lang w:val="en-US"/>
              </w:rPr>
              <w:t>ntwikkeling</w:t>
            </w:r>
            <w:r w:rsidRPr="002C6A86" w:rsidR="00504AB2">
              <w:rPr>
                <w:rFonts w:ascii="Verdana" w:hAnsi="Verdana"/>
                <w:b/>
                <w:lang w:val="en-US"/>
              </w:rPr>
              <w:t>slanden</w:t>
            </w:r>
            <w:r w:rsidRPr="002C6A86">
              <w:rPr>
                <w:rFonts w:ascii="Verdana" w:hAnsi="Verdana"/>
                <w:b/>
                <w:lang w:val="en-US"/>
              </w:rPr>
              <w:t>anden (%)</w:t>
            </w:r>
          </w:p>
        </w:tc>
        <w:tc>
          <w:tcPr>
            <w:tcW w:w="1190" w:type="dxa"/>
            <w:shd w:val="clear" w:color="auto" w:fill="EEECE1" w:themeFill="background2"/>
          </w:tcPr>
          <w:p w:rsidRPr="002C6A86" w:rsidR="00811233" w:rsidP="00811233" w:rsidRDefault="00504AB2" w14:paraId="6F74D631" w14:textId="77777777">
            <w:pPr>
              <w:spacing w:after="200" w:line="240" w:lineRule="auto"/>
              <w:rPr>
                <w:rFonts w:ascii="Verdana" w:hAnsi="Verdana"/>
                <w:b/>
                <w:lang w:val="en-US"/>
              </w:rPr>
            </w:pPr>
            <w:r w:rsidRPr="002C6A86">
              <w:rPr>
                <w:rFonts w:ascii="Verdana" w:hAnsi="Verdana"/>
                <w:b/>
                <w:lang w:val="en-US"/>
              </w:rPr>
              <w:t>P</w:t>
            </w:r>
            <w:r w:rsidRPr="002C6A86" w:rsidR="00811233">
              <w:rPr>
                <w:rFonts w:ascii="Verdana" w:hAnsi="Verdana"/>
                <w:b/>
                <w:lang w:val="en-US"/>
              </w:rPr>
              <w:t>eriode</w:t>
            </w:r>
          </w:p>
        </w:tc>
        <w:tc>
          <w:tcPr>
            <w:tcW w:w="1545" w:type="dxa"/>
            <w:shd w:val="clear" w:color="auto" w:fill="EEECE1" w:themeFill="background2"/>
          </w:tcPr>
          <w:p w:rsidRPr="002C6A86" w:rsidR="00811233" w:rsidP="00811233" w:rsidRDefault="00811233" w14:paraId="704A03DE" w14:textId="77777777">
            <w:pPr>
              <w:spacing w:after="200" w:line="240" w:lineRule="auto"/>
              <w:rPr>
                <w:rFonts w:ascii="Verdana" w:hAnsi="Verdana"/>
                <w:b/>
                <w:lang w:val="en-US"/>
              </w:rPr>
            </w:pPr>
            <w:r w:rsidRPr="002C6A86">
              <w:rPr>
                <w:rFonts w:ascii="Verdana" w:hAnsi="Verdana"/>
                <w:b/>
                <w:lang w:val="en-US"/>
              </w:rPr>
              <w:t>Artikel 5 Groep 2***</w:t>
            </w:r>
          </w:p>
          <w:p w:rsidRPr="002C6A86" w:rsidR="00811233" w:rsidP="00504AB2" w:rsidRDefault="00811233" w14:paraId="62835568" w14:textId="3DF7FFAF">
            <w:pPr>
              <w:spacing w:after="200" w:line="240" w:lineRule="auto"/>
              <w:rPr>
                <w:rFonts w:ascii="Verdana" w:hAnsi="Verdana"/>
                <w:b/>
                <w:lang w:val="en-US"/>
              </w:rPr>
            </w:pPr>
            <w:r w:rsidRPr="002C6A86">
              <w:rPr>
                <w:rFonts w:ascii="Verdana" w:hAnsi="Verdana"/>
                <w:b/>
                <w:lang w:val="en-US"/>
              </w:rPr>
              <w:t>(</w:t>
            </w:r>
            <w:r w:rsidRPr="002C6A86" w:rsidR="00504AB2">
              <w:rPr>
                <w:rFonts w:ascii="Verdana" w:hAnsi="Verdana"/>
                <w:b/>
                <w:lang w:val="en-US"/>
              </w:rPr>
              <w:t>o</w:t>
            </w:r>
            <w:r w:rsidRPr="002C6A86">
              <w:rPr>
                <w:rFonts w:ascii="Verdana" w:hAnsi="Verdana"/>
                <w:b/>
                <w:lang w:val="en-US"/>
              </w:rPr>
              <w:t>ntwikkelings landen)</w:t>
            </w:r>
          </w:p>
        </w:tc>
      </w:tr>
      <w:tr w:rsidRPr="002C6A86" w:rsidR="00811233" w:rsidTr="00811233" w14:paraId="74E32F94" w14:textId="77777777">
        <w:trPr>
          <w:trHeight w:val="298"/>
        </w:trPr>
        <w:tc>
          <w:tcPr>
            <w:tcW w:w="894" w:type="dxa"/>
          </w:tcPr>
          <w:p w:rsidRPr="002C6A86" w:rsidR="00811233" w:rsidP="00811233" w:rsidRDefault="00811233" w14:paraId="67C8EA4F" w14:textId="77777777">
            <w:pPr>
              <w:spacing w:after="200" w:line="240" w:lineRule="auto"/>
              <w:rPr>
                <w:rFonts w:ascii="Verdana" w:hAnsi="Verdana"/>
                <w:lang w:val="en-US"/>
              </w:rPr>
            </w:pPr>
            <w:r w:rsidRPr="002C6A86">
              <w:rPr>
                <w:rFonts w:ascii="Verdana" w:hAnsi="Verdana"/>
                <w:lang w:val="en-US"/>
              </w:rPr>
              <w:t>Basis *</w:t>
            </w:r>
          </w:p>
        </w:tc>
        <w:tc>
          <w:tcPr>
            <w:tcW w:w="1220" w:type="dxa"/>
          </w:tcPr>
          <w:p w:rsidRPr="002C6A86" w:rsidR="00811233" w:rsidP="00811233" w:rsidRDefault="00811233" w14:paraId="21D1CF50" w14:textId="77777777">
            <w:pPr>
              <w:spacing w:after="200" w:line="240" w:lineRule="auto"/>
              <w:rPr>
                <w:rFonts w:ascii="Verdana" w:hAnsi="Verdana"/>
                <w:lang w:val="en-US"/>
              </w:rPr>
            </w:pPr>
            <w:r w:rsidRPr="002C6A86">
              <w:rPr>
                <w:rFonts w:ascii="Verdana" w:hAnsi="Verdana"/>
                <w:lang w:val="en-US"/>
              </w:rPr>
              <w:t>2011-2013</w:t>
            </w:r>
          </w:p>
        </w:tc>
        <w:tc>
          <w:tcPr>
            <w:tcW w:w="1308" w:type="dxa"/>
          </w:tcPr>
          <w:p w:rsidRPr="002C6A86" w:rsidR="00811233" w:rsidP="00811233" w:rsidRDefault="00811233" w14:paraId="090AF826" w14:textId="77777777">
            <w:pPr>
              <w:spacing w:after="200" w:line="240" w:lineRule="auto"/>
              <w:rPr>
                <w:rFonts w:ascii="Verdana" w:hAnsi="Verdana"/>
                <w:lang w:val="en-US"/>
              </w:rPr>
            </w:pPr>
            <w:r w:rsidRPr="002C6A86">
              <w:rPr>
                <w:rFonts w:ascii="Verdana" w:hAnsi="Verdana"/>
                <w:lang w:val="en-US"/>
              </w:rPr>
              <w:t>HFK + 15% HCFK basis</w:t>
            </w:r>
          </w:p>
        </w:tc>
        <w:tc>
          <w:tcPr>
            <w:tcW w:w="1190" w:type="dxa"/>
            <w:shd w:val="clear" w:color="auto" w:fill="EEECE1" w:themeFill="background2"/>
          </w:tcPr>
          <w:p w:rsidRPr="002C6A86" w:rsidR="00811233" w:rsidP="00811233" w:rsidRDefault="00811233" w14:paraId="04DE733E" w14:textId="77777777">
            <w:pPr>
              <w:spacing w:after="200" w:line="240" w:lineRule="auto"/>
              <w:rPr>
                <w:rFonts w:ascii="Verdana" w:hAnsi="Verdana"/>
                <w:lang w:val="en-US"/>
              </w:rPr>
            </w:pPr>
            <w:r w:rsidRPr="002C6A86">
              <w:rPr>
                <w:rFonts w:ascii="Verdana" w:hAnsi="Verdana"/>
                <w:lang w:val="en-US"/>
              </w:rPr>
              <w:t>2011-2013</w:t>
            </w:r>
          </w:p>
        </w:tc>
        <w:tc>
          <w:tcPr>
            <w:tcW w:w="1308" w:type="dxa"/>
            <w:shd w:val="clear" w:color="auto" w:fill="EEECE1" w:themeFill="background2"/>
          </w:tcPr>
          <w:p w:rsidRPr="002C6A86" w:rsidR="00811233" w:rsidP="00811233" w:rsidRDefault="00811233" w14:paraId="64F7D628" w14:textId="77777777">
            <w:pPr>
              <w:spacing w:after="200" w:line="240" w:lineRule="auto"/>
              <w:rPr>
                <w:rFonts w:ascii="Verdana" w:hAnsi="Verdana"/>
                <w:lang w:val="en-US"/>
              </w:rPr>
            </w:pPr>
            <w:r w:rsidRPr="002C6A86">
              <w:rPr>
                <w:rFonts w:ascii="Verdana" w:hAnsi="Verdana"/>
                <w:lang w:val="en-US"/>
              </w:rPr>
              <w:t>HFK + 15% HCFK basis</w:t>
            </w:r>
          </w:p>
        </w:tc>
        <w:tc>
          <w:tcPr>
            <w:tcW w:w="1308" w:type="dxa"/>
          </w:tcPr>
          <w:p w:rsidRPr="002C6A86" w:rsidR="00811233" w:rsidP="00811233" w:rsidRDefault="00811233" w14:paraId="12DFA50F" w14:textId="77777777">
            <w:pPr>
              <w:spacing w:after="200" w:line="240" w:lineRule="auto"/>
              <w:rPr>
                <w:rFonts w:ascii="Verdana" w:hAnsi="Verdana"/>
                <w:lang w:val="en-US"/>
              </w:rPr>
            </w:pPr>
            <w:r w:rsidRPr="002C6A86">
              <w:rPr>
                <w:rFonts w:ascii="Verdana" w:hAnsi="Verdana"/>
                <w:lang w:val="en-AU"/>
              </w:rPr>
              <w:t>2020-2022</w:t>
            </w:r>
          </w:p>
        </w:tc>
        <w:tc>
          <w:tcPr>
            <w:tcW w:w="1547" w:type="dxa"/>
          </w:tcPr>
          <w:p w:rsidRPr="002C6A86" w:rsidR="00811233" w:rsidP="00811233" w:rsidRDefault="00811233" w14:paraId="28CBF2D6" w14:textId="77777777">
            <w:pPr>
              <w:spacing w:after="200" w:line="240" w:lineRule="auto"/>
              <w:rPr>
                <w:rFonts w:ascii="Verdana" w:hAnsi="Verdana"/>
                <w:lang w:val="en-US"/>
              </w:rPr>
            </w:pPr>
            <w:r w:rsidRPr="002C6A86">
              <w:rPr>
                <w:rFonts w:ascii="Verdana" w:hAnsi="Verdana"/>
                <w:lang w:val="en-US"/>
              </w:rPr>
              <w:t>HFK + 65% HCFK basis</w:t>
            </w:r>
          </w:p>
        </w:tc>
        <w:tc>
          <w:tcPr>
            <w:tcW w:w="1190" w:type="dxa"/>
            <w:shd w:val="clear" w:color="auto" w:fill="EEECE1" w:themeFill="background2"/>
          </w:tcPr>
          <w:p w:rsidRPr="002C6A86" w:rsidR="00811233" w:rsidP="00811233" w:rsidRDefault="00811233" w14:paraId="332FD309" w14:textId="77777777">
            <w:pPr>
              <w:spacing w:after="200" w:line="240" w:lineRule="auto"/>
              <w:rPr>
                <w:rFonts w:ascii="Verdana" w:hAnsi="Verdana"/>
                <w:lang w:val="en-US"/>
              </w:rPr>
            </w:pPr>
            <w:r w:rsidRPr="002C6A86">
              <w:rPr>
                <w:rFonts w:ascii="Verdana" w:hAnsi="Verdana"/>
                <w:lang w:val="en-US"/>
              </w:rPr>
              <w:t>2024-2026</w:t>
            </w:r>
          </w:p>
        </w:tc>
        <w:tc>
          <w:tcPr>
            <w:tcW w:w="1545" w:type="dxa"/>
            <w:shd w:val="clear" w:color="auto" w:fill="EEECE1" w:themeFill="background2"/>
          </w:tcPr>
          <w:p w:rsidRPr="002C6A86" w:rsidR="00811233" w:rsidP="00811233" w:rsidRDefault="00811233" w14:paraId="4CBFCB33" w14:textId="77777777">
            <w:pPr>
              <w:spacing w:after="200" w:line="240" w:lineRule="auto"/>
              <w:rPr>
                <w:rFonts w:ascii="Verdana" w:hAnsi="Verdana"/>
                <w:lang w:val="en-US"/>
              </w:rPr>
            </w:pPr>
            <w:r w:rsidRPr="002C6A86">
              <w:rPr>
                <w:rFonts w:ascii="Verdana" w:hAnsi="Verdana"/>
                <w:lang w:val="en-US"/>
              </w:rPr>
              <w:t>HFK + 65% HCFK basis</w:t>
            </w:r>
          </w:p>
        </w:tc>
      </w:tr>
      <w:tr w:rsidRPr="002C6A86" w:rsidR="00811233" w:rsidTr="00811233" w14:paraId="26BC62BB" w14:textId="77777777">
        <w:trPr>
          <w:trHeight w:val="298"/>
        </w:trPr>
        <w:tc>
          <w:tcPr>
            <w:tcW w:w="894" w:type="dxa"/>
          </w:tcPr>
          <w:p w:rsidRPr="002C6A86" w:rsidR="00811233" w:rsidP="00811233" w:rsidRDefault="00811233" w14:paraId="4AA5289E" w14:textId="77777777">
            <w:pPr>
              <w:spacing w:after="200" w:line="240" w:lineRule="auto"/>
              <w:rPr>
                <w:rFonts w:ascii="Verdana" w:hAnsi="Verdana"/>
                <w:lang w:val="en-US"/>
              </w:rPr>
            </w:pPr>
            <w:r w:rsidRPr="002C6A86">
              <w:rPr>
                <w:rFonts w:ascii="Verdana" w:hAnsi="Verdana"/>
                <w:lang w:val="en-US"/>
              </w:rPr>
              <w:t xml:space="preserve">Bevriezing </w:t>
            </w:r>
          </w:p>
        </w:tc>
        <w:tc>
          <w:tcPr>
            <w:tcW w:w="1220" w:type="dxa"/>
          </w:tcPr>
          <w:p w:rsidRPr="002C6A86" w:rsidR="00811233" w:rsidP="00811233" w:rsidRDefault="00811233" w14:paraId="3D1405F2" w14:textId="77777777">
            <w:pPr>
              <w:spacing w:after="200" w:line="240" w:lineRule="auto"/>
              <w:rPr>
                <w:rFonts w:ascii="Verdana" w:hAnsi="Verdana"/>
                <w:lang w:val="en-US"/>
              </w:rPr>
            </w:pPr>
          </w:p>
        </w:tc>
        <w:tc>
          <w:tcPr>
            <w:tcW w:w="1308" w:type="dxa"/>
          </w:tcPr>
          <w:p w:rsidRPr="002C6A86" w:rsidR="00811233" w:rsidP="00811233" w:rsidRDefault="00811233" w14:paraId="4434F8DE" w14:textId="77777777">
            <w:pPr>
              <w:spacing w:after="200" w:line="240" w:lineRule="auto"/>
              <w:rPr>
                <w:rFonts w:ascii="Verdana" w:hAnsi="Verdana"/>
                <w:lang w:val="en-US"/>
              </w:rPr>
            </w:pPr>
          </w:p>
        </w:tc>
        <w:tc>
          <w:tcPr>
            <w:tcW w:w="1190" w:type="dxa"/>
            <w:shd w:val="clear" w:color="auto" w:fill="EEECE1" w:themeFill="background2"/>
          </w:tcPr>
          <w:p w:rsidRPr="002C6A86" w:rsidR="00811233" w:rsidP="00811233" w:rsidRDefault="00811233" w14:paraId="3F3C4254" w14:textId="77777777">
            <w:pPr>
              <w:spacing w:after="200" w:line="240" w:lineRule="auto"/>
              <w:rPr>
                <w:rFonts w:ascii="Verdana" w:hAnsi="Verdana"/>
                <w:lang w:val="en-US"/>
              </w:rPr>
            </w:pPr>
          </w:p>
        </w:tc>
        <w:tc>
          <w:tcPr>
            <w:tcW w:w="1308" w:type="dxa"/>
            <w:shd w:val="clear" w:color="auto" w:fill="EEECE1" w:themeFill="background2"/>
          </w:tcPr>
          <w:p w:rsidRPr="002C6A86" w:rsidR="00811233" w:rsidP="00811233" w:rsidRDefault="00811233" w14:paraId="05C956A7" w14:textId="77777777">
            <w:pPr>
              <w:spacing w:after="200" w:line="240" w:lineRule="auto"/>
              <w:rPr>
                <w:rFonts w:ascii="Verdana" w:hAnsi="Verdana"/>
                <w:lang w:val="en-US"/>
              </w:rPr>
            </w:pPr>
          </w:p>
        </w:tc>
        <w:tc>
          <w:tcPr>
            <w:tcW w:w="1308" w:type="dxa"/>
          </w:tcPr>
          <w:p w:rsidRPr="002C6A86" w:rsidR="00811233" w:rsidP="00811233" w:rsidRDefault="00811233" w14:paraId="180DF8BF" w14:textId="77777777">
            <w:pPr>
              <w:spacing w:after="200" w:line="240" w:lineRule="auto"/>
              <w:rPr>
                <w:rFonts w:ascii="Verdana" w:hAnsi="Verdana"/>
                <w:lang w:val="en-US"/>
              </w:rPr>
            </w:pPr>
            <w:r w:rsidRPr="002C6A86">
              <w:rPr>
                <w:rFonts w:ascii="Verdana" w:hAnsi="Verdana"/>
                <w:lang w:val="en-US"/>
              </w:rPr>
              <w:t xml:space="preserve">2024 – 2028 </w:t>
            </w:r>
          </w:p>
        </w:tc>
        <w:tc>
          <w:tcPr>
            <w:tcW w:w="1547" w:type="dxa"/>
          </w:tcPr>
          <w:p w:rsidRPr="002C6A86" w:rsidR="00811233" w:rsidP="00811233" w:rsidRDefault="00811233" w14:paraId="6B0C7414" w14:textId="77777777">
            <w:pPr>
              <w:spacing w:after="200" w:line="240" w:lineRule="auto"/>
              <w:rPr>
                <w:rFonts w:ascii="Verdana" w:hAnsi="Verdana"/>
                <w:lang w:val="en-US"/>
              </w:rPr>
            </w:pPr>
            <w:r w:rsidRPr="002C6A86">
              <w:rPr>
                <w:rFonts w:ascii="Verdana" w:hAnsi="Verdana"/>
                <w:lang w:val="en-US"/>
              </w:rPr>
              <w:t>100</w:t>
            </w:r>
          </w:p>
        </w:tc>
        <w:tc>
          <w:tcPr>
            <w:tcW w:w="1190" w:type="dxa"/>
            <w:shd w:val="clear" w:color="auto" w:fill="EEECE1" w:themeFill="background2"/>
          </w:tcPr>
          <w:p w:rsidRPr="002C6A86" w:rsidR="00811233" w:rsidP="00811233" w:rsidRDefault="00811233" w14:paraId="57CE020C" w14:textId="6E18C253">
            <w:pPr>
              <w:spacing w:after="200" w:line="240" w:lineRule="auto"/>
              <w:rPr>
                <w:rFonts w:ascii="Verdana" w:hAnsi="Verdana"/>
                <w:lang w:val="en-US"/>
              </w:rPr>
            </w:pPr>
            <w:r w:rsidRPr="002C6A86">
              <w:rPr>
                <w:rFonts w:ascii="Verdana" w:hAnsi="Verdana"/>
                <w:lang w:val="en-US"/>
              </w:rPr>
              <w:t xml:space="preserve">2028 </w:t>
            </w:r>
            <w:r w:rsidRPr="002C6A86" w:rsidR="00504AB2">
              <w:rPr>
                <w:rFonts w:ascii="Verdana" w:hAnsi="Verdana"/>
                <w:lang w:val="en-US"/>
              </w:rPr>
              <w:t>–</w:t>
            </w:r>
            <w:r w:rsidRPr="002C6A86">
              <w:rPr>
                <w:rFonts w:ascii="Verdana" w:hAnsi="Verdana"/>
                <w:lang w:val="en-US"/>
              </w:rPr>
              <w:t xml:space="preserve"> 2031</w:t>
            </w:r>
          </w:p>
        </w:tc>
        <w:tc>
          <w:tcPr>
            <w:tcW w:w="1545" w:type="dxa"/>
            <w:shd w:val="clear" w:color="auto" w:fill="EEECE1" w:themeFill="background2"/>
          </w:tcPr>
          <w:p w:rsidRPr="002C6A86" w:rsidR="00811233" w:rsidP="00811233" w:rsidRDefault="00811233" w14:paraId="15317E06" w14:textId="77777777">
            <w:pPr>
              <w:spacing w:after="200" w:line="240" w:lineRule="auto"/>
              <w:rPr>
                <w:rFonts w:ascii="Verdana" w:hAnsi="Verdana"/>
                <w:lang w:val="en-US"/>
              </w:rPr>
            </w:pPr>
            <w:r w:rsidRPr="002C6A86">
              <w:rPr>
                <w:rFonts w:ascii="Verdana" w:hAnsi="Verdana"/>
                <w:lang w:val="en-US"/>
              </w:rPr>
              <w:t>100</w:t>
            </w:r>
          </w:p>
        </w:tc>
      </w:tr>
      <w:tr w:rsidRPr="002C6A86" w:rsidR="00811233" w:rsidTr="00811233" w14:paraId="717A1AE7" w14:textId="77777777">
        <w:trPr>
          <w:trHeight w:val="298"/>
        </w:trPr>
        <w:tc>
          <w:tcPr>
            <w:tcW w:w="894" w:type="dxa"/>
          </w:tcPr>
          <w:p w:rsidRPr="002C6A86" w:rsidR="00811233" w:rsidP="00811233" w:rsidRDefault="00811233" w14:paraId="24245C67" w14:textId="77777777">
            <w:pPr>
              <w:spacing w:after="200" w:line="240" w:lineRule="auto"/>
              <w:rPr>
                <w:rFonts w:ascii="Verdana" w:hAnsi="Verdana"/>
                <w:lang w:val="en-US"/>
              </w:rPr>
            </w:pPr>
            <w:r w:rsidRPr="002C6A86">
              <w:rPr>
                <w:rFonts w:ascii="Verdana" w:hAnsi="Verdana"/>
                <w:lang w:val="en-US"/>
              </w:rPr>
              <w:t>1</w:t>
            </w:r>
            <w:r w:rsidRPr="002C6A86">
              <w:rPr>
                <w:rFonts w:ascii="Verdana" w:hAnsi="Verdana"/>
                <w:vertAlign w:val="superscript"/>
                <w:lang w:val="en-US"/>
              </w:rPr>
              <w:t>st</w:t>
            </w:r>
            <w:r w:rsidRPr="002C6A86">
              <w:rPr>
                <w:rFonts w:ascii="Verdana" w:hAnsi="Verdana"/>
                <w:lang w:val="en-US"/>
              </w:rPr>
              <w:t xml:space="preserve"> </w:t>
            </w:r>
          </w:p>
        </w:tc>
        <w:tc>
          <w:tcPr>
            <w:tcW w:w="1220" w:type="dxa"/>
          </w:tcPr>
          <w:p w:rsidRPr="002C6A86" w:rsidR="00811233" w:rsidP="00811233" w:rsidRDefault="00811233" w14:paraId="21F9A54D" w14:textId="77777777">
            <w:pPr>
              <w:spacing w:after="200" w:line="240" w:lineRule="auto"/>
              <w:rPr>
                <w:rFonts w:ascii="Verdana" w:hAnsi="Verdana"/>
                <w:lang w:val="en-US"/>
              </w:rPr>
            </w:pPr>
            <w:r w:rsidRPr="002C6A86">
              <w:rPr>
                <w:rFonts w:ascii="Verdana" w:hAnsi="Verdana"/>
                <w:lang w:val="en-US"/>
              </w:rPr>
              <w:t>2019 - 2023</w:t>
            </w:r>
          </w:p>
        </w:tc>
        <w:tc>
          <w:tcPr>
            <w:tcW w:w="1308" w:type="dxa"/>
          </w:tcPr>
          <w:p w:rsidRPr="002C6A86" w:rsidR="00811233" w:rsidP="00811233" w:rsidRDefault="00811233" w14:paraId="01473233" w14:textId="77777777">
            <w:pPr>
              <w:spacing w:after="200" w:line="240" w:lineRule="auto"/>
              <w:rPr>
                <w:rFonts w:ascii="Verdana" w:hAnsi="Verdana"/>
                <w:lang w:val="en-US"/>
              </w:rPr>
            </w:pPr>
            <w:r w:rsidRPr="002C6A86">
              <w:rPr>
                <w:rFonts w:ascii="Verdana" w:hAnsi="Verdana"/>
                <w:lang w:val="en-US"/>
              </w:rPr>
              <w:t>90</w:t>
            </w:r>
          </w:p>
        </w:tc>
        <w:tc>
          <w:tcPr>
            <w:tcW w:w="1190" w:type="dxa"/>
            <w:shd w:val="clear" w:color="auto" w:fill="EEECE1" w:themeFill="background2"/>
          </w:tcPr>
          <w:p w:rsidRPr="002C6A86" w:rsidR="00811233" w:rsidP="00811233" w:rsidRDefault="00811233" w14:paraId="235D7CFC" w14:textId="77777777">
            <w:pPr>
              <w:spacing w:after="200" w:line="240" w:lineRule="auto"/>
              <w:rPr>
                <w:rFonts w:ascii="Verdana" w:hAnsi="Verdana"/>
                <w:lang w:val="en-US"/>
              </w:rPr>
            </w:pPr>
            <w:r w:rsidRPr="002C6A86">
              <w:rPr>
                <w:rFonts w:ascii="Verdana" w:hAnsi="Verdana"/>
                <w:lang w:val="en-US"/>
              </w:rPr>
              <w:t>2020 - 2024</w:t>
            </w:r>
          </w:p>
        </w:tc>
        <w:tc>
          <w:tcPr>
            <w:tcW w:w="1308" w:type="dxa"/>
            <w:shd w:val="clear" w:color="auto" w:fill="EEECE1" w:themeFill="background2"/>
          </w:tcPr>
          <w:p w:rsidRPr="002C6A86" w:rsidR="00811233" w:rsidP="00811233" w:rsidRDefault="00811233" w14:paraId="54909AB3" w14:textId="77777777">
            <w:pPr>
              <w:spacing w:after="200" w:line="240" w:lineRule="auto"/>
              <w:rPr>
                <w:rFonts w:ascii="Verdana" w:hAnsi="Verdana"/>
                <w:lang w:val="en-US"/>
              </w:rPr>
            </w:pPr>
            <w:r w:rsidRPr="002C6A86">
              <w:rPr>
                <w:rFonts w:ascii="Verdana" w:hAnsi="Verdana"/>
                <w:lang w:val="en-US"/>
              </w:rPr>
              <w:t>95</w:t>
            </w:r>
          </w:p>
        </w:tc>
        <w:tc>
          <w:tcPr>
            <w:tcW w:w="1308" w:type="dxa"/>
          </w:tcPr>
          <w:p w:rsidRPr="002C6A86" w:rsidR="00811233" w:rsidP="00811233" w:rsidRDefault="00811233" w14:paraId="4A8BB17C" w14:textId="77777777">
            <w:pPr>
              <w:spacing w:after="200" w:line="240" w:lineRule="auto"/>
              <w:rPr>
                <w:rFonts w:ascii="Verdana" w:hAnsi="Verdana"/>
                <w:lang w:val="en-US"/>
              </w:rPr>
            </w:pPr>
            <w:r w:rsidRPr="002C6A86">
              <w:rPr>
                <w:rFonts w:ascii="Verdana" w:hAnsi="Verdana"/>
                <w:lang w:val="en-US"/>
              </w:rPr>
              <w:t>2029 – 20 34</w:t>
            </w:r>
          </w:p>
        </w:tc>
        <w:tc>
          <w:tcPr>
            <w:tcW w:w="1547" w:type="dxa"/>
          </w:tcPr>
          <w:p w:rsidRPr="002C6A86" w:rsidR="00811233" w:rsidP="00811233" w:rsidRDefault="00811233" w14:paraId="6C24CC25" w14:textId="77777777">
            <w:pPr>
              <w:spacing w:after="200" w:line="240" w:lineRule="auto"/>
              <w:rPr>
                <w:rFonts w:ascii="Verdana" w:hAnsi="Verdana"/>
                <w:lang w:val="en-US"/>
              </w:rPr>
            </w:pPr>
            <w:r w:rsidRPr="002C6A86">
              <w:rPr>
                <w:rFonts w:ascii="Verdana" w:hAnsi="Verdana"/>
                <w:lang w:val="en-US"/>
              </w:rPr>
              <w:t>90</w:t>
            </w:r>
          </w:p>
        </w:tc>
        <w:tc>
          <w:tcPr>
            <w:tcW w:w="1190" w:type="dxa"/>
            <w:shd w:val="clear" w:color="auto" w:fill="EEECE1" w:themeFill="background2"/>
          </w:tcPr>
          <w:p w:rsidRPr="002C6A86" w:rsidR="00811233" w:rsidP="00811233" w:rsidRDefault="00811233" w14:paraId="5AB88912" w14:textId="46E3DD9E">
            <w:pPr>
              <w:spacing w:after="200" w:line="240" w:lineRule="auto"/>
              <w:rPr>
                <w:rFonts w:ascii="Verdana" w:hAnsi="Verdana"/>
                <w:lang w:val="en-US"/>
              </w:rPr>
            </w:pPr>
            <w:r w:rsidRPr="002C6A86">
              <w:rPr>
                <w:rFonts w:ascii="Verdana" w:hAnsi="Verdana"/>
                <w:lang w:val="en-US"/>
              </w:rPr>
              <w:t xml:space="preserve">2032 </w:t>
            </w:r>
            <w:r w:rsidRPr="002C6A86" w:rsidR="00504AB2">
              <w:rPr>
                <w:rFonts w:ascii="Verdana" w:hAnsi="Verdana"/>
                <w:lang w:val="en-US"/>
              </w:rPr>
              <w:t>–</w:t>
            </w:r>
            <w:r w:rsidRPr="002C6A86">
              <w:rPr>
                <w:rFonts w:ascii="Verdana" w:hAnsi="Verdana"/>
                <w:lang w:val="en-US"/>
              </w:rPr>
              <w:t xml:space="preserve"> 2036</w:t>
            </w:r>
          </w:p>
        </w:tc>
        <w:tc>
          <w:tcPr>
            <w:tcW w:w="1545" w:type="dxa"/>
            <w:shd w:val="clear" w:color="auto" w:fill="EEECE1" w:themeFill="background2"/>
          </w:tcPr>
          <w:p w:rsidRPr="002C6A86" w:rsidR="00811233" w:rsidP="00811233" w:rsidRDefault="00811233" w14:paraId="746F6B73" w14:textId="77777777">
            <w:pPr>
              <w:spacing w:after="200" w:line="240" w:lineRule="auto"/>
              <w:rPr>
                <w:rFonts w:ascii="Verdana" w:hAnsi="Verdana"/>
                <w:lang w:val="en-US"/>
              </w:rPr>
            </w:pPr>
            <w:r w:rsidRPr="002C6A86">
              <w:rPr>
                <w:rFonts w:ascii="Verdana" w:hAnsi="Verdana"/>
                <w:lang w:val="en-US"/>
              </w:rPr>
              <w:t>90</w:t>
            </w:r>
          </w:p>
        </w:tc>
      </w:tr>
      <w:tr w:rsidRPr="002C6A86" w:rsidR="00811233" w:rsidTr="00811233" w14:paraId="454D8674" w14:textId="77777777">
        <w:trPr>
          <w:trHeight w:val="204"/>
        </w:trPr>
        <w:tc>
          <w:tcPr>
            <w:tcW w:w="894" w:type="dxa"/>
          </w:tcPr>
          <w:p w:rsidRPr="002C6A86" w:rsidR="00811233" w:rsidP="00811233" w:rsidRDefault="00811233" w14:paraId="74670122" w14:textId="77777777">
            <w:pPr>
              <w:spacing w:after="200" w:line="240" w:lineRule="auto"/>
              <w:rPr>
                <w:rFonts w:ascii="Verdana" w:hAnsi="Verdana"/>
                <w:lang w:val="en-US"/>
              </w:rPr>
            </w:pPr>
            <w:r w:rsidRPr="002C6A86">
              <w:rPr>
                <w:rFonts w:ascii="Verdana" w:hAnsi="Verdana"/>
                <w:lang w:val="en-US"/>
              </w:rPr>
              <w:t>2</w:t>
            </w:r>
            <w:r w:rsidRPr="002C6A86">
              <w:rPr>
                <w:rFonts w:ascii="Verdana" w:hAnsi="Verdana"/>
                <w:vertAlign w:val="superscript"/>
                <w:lang w:val="en-US"/>
              </w:rPr>
              <w:t>nd</w:t>
            </w:r>
            <w:r w:rsidRPr="002C6A86">
              <w:rPr>
                <w:rFonts w:ascii="Verdana" w:hAnsi="Verdana"/>
                <w:lang w:val="en-US"/>
              </w:rPr>
              <w:t xml:space="preserve"> </w:t>
            </w:r>
          </w:p>
        </w:tc>
        <w:tc>
          <w:tcPr>
            <w:tcW w:w="1220" w:type="dxa"/>
          </w:tcPr>
          <w:p w:rsidRPr="002C6A86" w:rsidR="00811233" w:rsidP="00811233" w:rsidRDefault="00811233" w14:paraId="2EA360E0" w14:textId="77777777">
            <w:pPr>
              <w:spacing w:after="200" w:line="240" w:lineRule="auto"/>
              <w:rPr>
                <w:rFonts w:ascii="Verdana" w:hAnsi="Verdana"/>
                <w:lang w:val="en-US"/>
              </w:rPr>
            </w:pPr>
            <w:r w:rsidRPr="002C6A86">
              <w:rPr>
                <w:rFonts w:ascii="Verdana" w:hAnsi="Verdana"/>
                <w:lang w:val="en-US"/>
              </w:rPr>
              <w:t>2024 - 2028</w:t>
            </w:r>
          </w:p>
        </w:tc>
        <w:tc>
          <w:tcPr>
            <w:tcW w:w="1308" w:type="dxa"/>
          </w:tcPr>
          <w:p w:rsidRPr="002C6A86" w:rsidR="00811233" w:rsidP="00811233" w:rsidRDefault="00811233" w14:paraId="4CC83E07" w14:textId="77777777">
            <w:pPr>
              <w:spacing w:after="200" w:line="240" w:lineRule="auto"/>
              <w:rPr>
                <w:rFonts w:ascii="Verdana" w:hAnsi="Verdana"/>
                <w:lang w:val="en-US"/>
              </w:rPr>
            </w:pPr>
            <w:r w:rsidRPr="002C6A86">
              <w:rPr>
                <w:rFonts w:ascii="Verdana" w:hAnsi="Verdana"/>
                <w:lang w:val="en-US"/>
              </w:rPr>
              <w:t>60</w:t>
            </w:r>
          </w:p>
        </w:tc>
        <w:tc>
          <w:tcPr>
            <w:tcW w:w="1190" w:type="dxa"/>
            <w:shd w:val="clear" w:color="auto" w:fill="EEECE1" w:themeFill="background2"/>
          </w:tcPr>
          <w:p w:rsidRPr="002C6A86" w:rsidR="00811233" w:rsidP="00811233" w:rsidRDefault="00811233" w14:paraId="3900656A" w14:textId="77777777">
            <w:pPr>
              <w:spacing w:after="200" w:line="240" w:lineRule="auto"/>
              <w:rPr>
                <w:rFonts w:ascii="Verdana" w:hAnsi="Verdana"/>
                <w:lang w:val="en-US"/>
              </w:rPr>
            </w:pPr>
            <w:r w:rsidRPr="002C6A86">
              <w:rPr>
                <w:rFonts w:ascii="Verdana" w:hAnsi="Verdana"/>
                <w:lang w:val="en-US"/>
              </w:rPr>
              <w:t xml:space="preserve">2025 – 2028 </w:t>
            </w:r>
          </w:p>
        </w:tc>
        <w:tc>
          <w:tcPr>
            <w:tcW w:w="1308" w:type="dxa"/>
            <w:shd w:val="clear" w:color="auto" w:fill="EEECE1" w:themeFill="background2"/>
          </w:tcPr>
          <w:p w:rsidRPr="002C6A86" w:rsidR="00811233" w:rsidP="00811233" w:rsidRDefault="00811233" w14:paraId="5F3F694D" w14:textId="77777777">
            <w:pPr>
              <w:spacing w:after="200" w:line="240" w:lineRule="auto"/>
              <w:rPr>
                <w:rFonts w:ascii="Verdana" w:hAnsi="Verdana"/>
                <w:lang w:val="en-US"/>
              </w:rPr>
            </w:pPr>
            <w:r w:rsidRPr="002C6A86">
              <w:rPr>
                <w:rFonts w:ascii="Verdana" w:hAnsi="Verdana"/>
                <w:lang w:val="en-US"/>
              </w:rPr>
              <w:t>65</w:t>
            </w:r>
          </w:p>
        </w:tc>
        <w:tc>
          <w:tcPr>
            <w:tcW w:w="1308" w:type="dxa"/>
          </w:tcPr>
          <w:p w:rsidRPr="002C6A86" w:rsidR="00811233" w:rsidP="00811233" w:rsidRDefault="00811233" w14:paraId="1EB787FD" w14:textId="77777777">
            <w:pPr>
              <w:spacing w:after="200" w:line="240" w:lineRule="auto"/>
              <w:rPr>
                <w:rFonts w:ascii="Verdana" w:hAnsi="Verdana"/>
                <w:lang w:val="en-US"/>
              </w:rPr>
            </w:pPr>
            <w:r w:rsidRPr="002C6A86">
              <w:rPr>
                <w:rFonts w:ascii="Verdana" w:hAnsi="Verdana"/>
                <w:lang w:val="en-US"/>
              </w:rPr>
              <w:t xml:space="preserve">2035 – 2039 </w:t>
            </w:r>
          </w:p>
        </w:tc>
        <w:tc>
          <w:tcPr>
            <w:tcW w:w="1547" w:type="dxa"/>
          </w:tcPr>
          <w:p w:rsidRPr="002C6A86" w:rsidR="00811233" w:rsidP="00811233" w:rsidRDefault="00811233" w14:paraId="01E8C6A9" w14:textId="77777777">
            <w:pPr>
              <w:spacing w:after="200" w:line="240" w:lineRule="auto"/>
              <w:rPr>
                <w:rFonts w:ascii="Verdana" w:hAnsi="Verdana"/>
                <w:lang w:val="en-US"/>
              </w:rPr>
            </w:pPr>
            <w:r w:rsidRPr="002C6A86">
              <w:rPr>
                <w:rFonts w:ascii="Verdana" w:hAnsi="Verdana"/>
                <w:lang w:val="en-US"/>
              </w:rPr>
              <w:t>70</w:t>
            </w:r>
          </w:p>
        </w:tc>
        <w:tc>
          <w:tcPr>
            <w:tcW w:w="1190" w:type="dxa"/>
            <w:shd w:val="clear" w:color="auto" w:fill="EEECE1" w:themeFill="background2"/>
          </w:tcPr>
          <w:p w:rsidRPr="002C6A86" w:rsidR="00811233" w:rsidP="00811233" w:rsidRDefault="00811233" w14:paraId="5A19FB63" w14:textId="2EB9CCCB">
            <w:pPr>
              <w:spacing w:after="200" w:line="240" w:lineRule="auto"/>
              <w:rPr>
                <w:rFonts w:ascii="Verdana" w:hAnsi="Verdana"/>
                <w:lang w:val="en-US"/>
              </w:rPr>
            </w:pPr>
            <w:r w:rsidRPr="002C6A86">
              <w:rPr>
                <w:rFonts w:ascii="Verdana" w:hAnsi="Verdana"/>
                <w:lang w:val="en-US"/>
              </w:rPr>
              <w:t xml:space="preserve">2037 </w:t>
            </w:r>
            <w:r w:rsidRPr="002C6A86" w:rsidR="00504AB2">
              <w:rPr>
                <w:rFonts w:ascii="Verdana" w:hAnsi="Verdana"/>
                <w:lang w:val="en-US"/>
              </w:rPr>
              <w:t>–</w:t>
            </w:r>
            <w:r w:rsidRPr="002C6A86">
              <w:rPr>
                <w:rFonts w:ascii="Verdana" w:hAnsi="Verdana"/>
                <w:lang w:val="en-US"/>
              </w:rPr>
              <w:t xml:space="preserve"> 2041</w:t>
            </w:r>
          </w:p>
        </w:tc>
        <w:tc>
          <w:tcPr>
            <w:tcW w:w="1545" w:type="dxa"/>
            <w:shd w:val="clear" w:color="auto" w:fill="EEECE1" w:themeFill="background2"/>
          </w:tcPr>
          <w:p w:rsidRPr="002C6A86" w:rsidR="00811233" w:rsidP="00811233" w:rsidRDefault="00811233" w14:paraId="31CDF570" w14:textId="77777777">
            <w:pPr>
              <w:spacing w:after="200" w:line="240" w:lineRule="auto"/>
              <w:rPr>
                <w:rFonts w:ascii="Verdana" w:hAnsi="Verdana"/>
                <w:lang w:val="en-US"/>
              </w:rPr>
            </w:pPr>
            <w:r w:rsidRPr="002C6A86">
              <w:rPr>
                <w:rFonts w:ascii="Verdana" w:hAnsi="Verdana"/>
                <w:lang w:val="en-US"/>
              </w:rPr>
              <w:t>80</w:t>
            </w:r>
          </w:p>
        </w:tc>
      </w:tr>
      <w:tr w:rsidRPr="002C6A86" w:rsidR="00811233" w:rsidTr="00811233" w14:paraId="76E1FB03" w14:textId="77777777">
        <w:trPr>
          <w:trHeight w:val="204"/>
        </w:trPr>
        <w:tc>
          <w:tcPr>
            <w:tcW w:w="894" w:type="dxa"/>
          </w:tcPr>
          <w:p w:rsidRPr="002C6A86" w:rsidR="00811233" w:rsidP="00811233" w:rsidRDefault="00811233" w14:paraId="4A2BF5E5" w14:textId="77777777">
            <w:pPr>
              <w:spacing w:after="200" w:line="240" w:lineRule="auto"/>
              <w:rPr>
                <w:rFonts w:ascii="Verdana" w:hAnsi="Verdana"/>
                <w:lang w:val="en-US"/>
              </w:rPr>
            </w:pPr>
            <w:r w:rsidRPr="002C6A86">
              <w:rPr>
                <w:rFonts w:ascii="Verdana" w:hAnsi="Verdana"/>
                <w:lang w:val="en-US"/>
              </w:rPr>
              <w:t>3</w:t>
            </w:r>
            <w:r w:rsidRPr="002C6A86">
              <w:rPr>
                <w:rFonts w:ascii="Verdana" w:hAnsi="Verdana"/>
                <w:vertAlign w:val="superscript"/>
                <w:lang w:val="en-US"/>
              </w:rPr>
              <w:t>rd</w:t>
            </w:r>
            <w:r w:rsidRPr="002C6A86">
              <w:rPr>
                <w:rFonts w:ascii="Verdana" w:hAnsi="Verdana"/>
                <w:lang w:val="en-US"/>
              </w:rPr>
              <w:t xml:space="preserve"> </w:t>
            </w:r>
          </w:p>
        </w:tc>
        <w:tc>
          <w:tcPr>
            <w:tcW w:w="1220" w:type="dxa"/>
          </w:tcPr>
          <w:p w:rsidRPr="002C6A86" w:rsidR="00811233" w:rsidP="00811233" w:rsidRDefault="00811233" w14:paraId="13851F4C" w14:textId="77777777">
            <w:pPr>
              <w:spacing w:after="200" w:line="240" w:lineRule="auto"/>
              <w:rPr>
                <w:rFonts w:ascii="Verdana" w:hAnsi="Verdana"/>
                <w:lang w:val="en-US"/>
              </w:rPr>
            </w:pPr>
            <w:r w:rsidRPr="002C6A86">
              <w:rPr>
                <w:rFonts w:ascii="Verdana" w:hAnsi="Verdana"/>
                <w:lang w:val="en-US"/>
              </w:rPr>
              <w:t>2029 - 2033</w:t>
            </w:r>
          </w:p>
        </w:tc>
        <w:tc>
          <w:tcPr>
            <w:tcW w:w="1308" w:type="dxa"/>
          </w:tcPr>
          <w:p w:rsidRPr="002C6A86" w:rsidR="00811233" w:rsidP="00811233" w:rsidRDefault="00811233" w14:paraId="750E5690" w14:textId="77777777">
            <w:pPr>
              <w:spacing w:after="200" w:line="240" w:lineRule="auto"/>
              <w:rPr>
                <w:rFonts w:ascii="Verdana" w:hAnsi="Verdana"/>
                <w:lang w:val="en-US"/>
              </w:rPr>
            </w:pPr>
            <w:r w:rsidRPr="002C6A86">
              <w:rPr>
                <w:rFonts w:ascii="Verdana" w:hAnsi="Verdana"/>
                <w:lang w:val="en-US"/>
              </w:rPr>
              <w:t>30</w:t>
            </w:r>
          </w:p>
        </w:tc>
        <w:tc>
          <w:tcPr>
            <w:tcW w:w="1190" w:type="dxa"/>
            <w:shd w:val="clear" w:color="auto" w:fill="EEECE1" w:themeFill="background2"/>
          </w:tcPr>
          <w:p w:rsidRPr="002C6A86" w:rsidR="00811233" w:rsidP="00811233" w:rsidRDefault="00811233" w14:paraId="421BB5BE" w14:textId="77777777">
            <w:pPr>
              <w:spacing w:after="200" w:line="240" w:lineRule="auto"/>
              <w:rPr>
                <w:rFonts w:ascii="Verdana" w:hAnsi="Verdana"/>
                <w:lang w:val="en-US"/>
              </w:rPr>
            </w:pPr>
            <w:r w:rsidRPr="002C6A86">
              <w:rPr>
                <w:rFonts w:ascii="Verdana" w:hAnsi="Verdana"/>
                <w:lang w:val="en-US"/>
              </w:rPr>
              <w:t>2029 - 2033</w:t>
            </w:r>
          </w:p>
        </w:tc>
        <w:tc>
          <w:tcPr>
            <w:tcW w:w="1308" w:type="dxa"/>
            <w:shd w:val="clear" w:color="auto" w:fill="EEECE1" w:themeFill="background2"/>
          </w:tcPr>
          <w:p w:rsidRPr="002C6A86" w:rsidR="00811233" w:rsidP="00811233" w:rsidRDefault="00811233" w14:paraId="3C18155D" w14:textId="77777777">
            <w:pPr>
              <w:spacing w:after="200" w:line="240" w:lineRule="auto"/>
              <w:rPr>
                <w:rFonts w:ascii="Verdana" w:hAnsi="Verdana"/>
                <w:lang w:val="en-US"/>
              </w:rPr>
            </w:pPr>
            <w:r w:rsidRPr="002C6A86">
              <w:rPr>
                <w:rFonts w:ascii="Verdana" w:hAnsi="Verdana"/>
                <w:lang w:val="en-US"/>
              </w:rPr>
              <w:t>30</w:t>
            </w:r>
          </w:p>
        </w:tc>
        <w:tc>
          <w:tcPr>
            <w:tcW w:w="1308" w:type="dxa"/>
          </w:tcPr>
          <w:p w:rsidRPr="002C6A86" w:rsidR="00811233" w:rsidP="00811233" w:rsidRDefault="00811233" w14:paraId="02F85460" w14:textId="77777777">
            <w:pPr>
              <w:spacing w:after="200" w:line="240" w:lineRule="auto"/>
              <w:rPr>
                <w:rFonts w:ascii="Verdana" w:hAnsi="Verdana"/>
                <w:lang w:val="en-US"/>
              </w:rPr>
            </w:pPr>
            <w:r w:rsidRPr="002C6A86">
              <w:rPr>
                <w:rFonts w:ascii="Verdana" w:hAnsi="Verdana"/>
                <w:lang w:val="en-US"/>
              </w:rPr>
              <w:t>2040 - 2044</w:t>
            </w:r>
          </w:p>
        </w:tc>
        <w:tc>
          <w:tcPr>
            <w:tcW w:w="1547" w:type="dxa"/>
          </w:tcPr>
          <w:p w:rsidRPr="002C6A86" w:rsidR="00811233" w:rsidP="00811233" w:rsidRDefault="00811233" w14:paraId="0BC99436" w14:textId="77777777">
            <w:pPr>
              <w:spacing w:after="200" w:line="240" w:lineRule="auto"/>
              <w:rPr>
                <w:rFonts w:ascii="Verdana" w:hAnsi="Verdana"/>
                <w:lang w:val="en-US"/>
              </w:rPr>
            </w:pPr>
            <w:r w:rsidRPr="002C6A86">
              <w:rPr>
                <w:rFonts w:ascii="Verdana" w:hAnsi="Verdana"/>
                <w:lang w:val="en-US"/>
              </w:rPr>
              <w:t>50</w:t>
            </w:r>
          </w:p>
        </w:tc>
        <w:tc>
          <w:tcPr>
            <w:tcW w:w="1190" w:type="dxa"/>
            <w:shd w:val="clear" w:color="auto" w:fill="EEECE1" w:themeFill="background2"/>
          </w:tcPr>
          <w:p w:rsidRPr="002C6A86" w:rsidR="00811233" w:rsidP="00811233" w:rsidRDefault="00811233" w14:paraId="4F478AF9" w14:textId="77777777">
            <w:pPr>
              <w:spacing w:after="200" w:line="240" w:lineRule="auto"/>
              <w:rPr>
                <w:rFonts w:ascii="Verdana" w:hAnsi="Verdana"/>
                <w:lang w:val="en-US"/>
              </w:rPr>
            </w:pPr>
            <w:r w:rsidRPr="002C6A86">
              <w:rPr>
                <w:rFonts w:ascii="Verdana" w:hAnsi="Verdana"/>
                <w:lang w:val="en-US"/>
              </w:rPr>
              <w:t>2042 -2046</w:t>
            </w:r>
          </w:p>
        </w:tc>
        <w:tc>
          <w:tcPr>
            <w:tcW w:w="1545" w:type="dxa"/>
            <w:shd w:val="clear" w:color="auto" w:fill="EEECE1" w:themeFill="background2"/>
          </w:tcPr>
          <w:p w:rsidRPr="002C6A86" w:rsidR="00811233" w:rsidP="00811233" w:rsidRDefault="00811233" w14:paraId="06AB5B80" w14:textId="77777777">
            <w:pPr>
              <w:spacing w:after="200" w:line="240" w:lineRule="auto"/>
              <w:rPr>
                <w:rFonts w:ascii="Verdana" w:hAnsi="Verdana"/>
                <w:lang w:val="en-US"/>
              </w:rPr>
            </w:pPr>
            <w:r w:rsidRPr="002C6A86">
              <w:rPr>
                <w:rFonts w:ascii="Verdana" w:hAnsi="Verdana"/>
                <w:lang w:val="en-US"/>
              </w:rPr>
              <w:t>70</w:t>
            </w:r>
          </w:p>
        </w:tc>
      </w:tr>
      <w:tr w:rsidRPr="002C6A86" w:rsidR="00811233" w:rsidTr="00811233" w14:paraId="24CE02A2" w14:textId="77777777">
        <w:trPr>
          <w:trHeight w:val="204"/>
        </w:trPr>
        <w:tc>
          <w:tcPr>
            <w:tcW w:w="894" w:type="dxa"/>
          </w:tcPr>
          <w:p w:rsidRPr="002C6A86" w:rsidR="00811233" w:rsidP="00811233" w:rsidRDefault="00811233" w14:paraId="5667A729" w14:textId="77777777">
            <w:pPr>
              <w:spacing w:after="200" w:line="240" w:lineRule="auto"/>
              <w:rPr>
                <w:rFonts w:ascii="Verdana" w:hAnsi="Verdana"/>
                <w:lang w:val="en-US"/>
              </w:rPr>
            </w:pPr>
            <w:r w:rsidRPr="002C6A86">
              <w:rPr>
                <w:rFonts w:ascii="Verdana" w:hAnsi="Verdana"/>
                <w:lang w:val="en-US"/>
              </w:rPr>
              <w:t>4</w:t>
            </w:r>
            <w:r w:rsidRPr="002C6A86">
              <w:rPr>
                <w:rFonts w:ascii="Verdana" w:hAnsi="Verdana"/>
                <w:vertAlign w:val="superscript"/>
                <w:lang w:val="en-US"/>
              </w:rPr>
              <w:t>th</w:t>
            </w:r>
          </w:p>
        </w:tc>
        <w:tc>
          <w:tcPr>
            <w:tcW w:w="1220" w:type="dxa"/>
          </w:tcPr>
          <w:p w:rsidRPr="002C6A86" w:rsidR="00811233" w:rsidP="00811233" w:rsidRDefault="00811233" w14:paraId="6184C083" w14:textId="77777777">
            <w:pPr>
              <w:spacing w:after="200" w:line="240" w:lineRule="auto"/>
              <w:rPr>
                <w:rFonts w:ascii="Verdana" w:hAnsi="Verdana"/>
                <w:lang w:val="en-US"/>
              </w:rPr>
            </w:pPr>
            <w:r w:rsidRPr="002C6A86">
              <w:rPr>
                <w:rFonts w:ascii="Verdana" w:hAnsi="Verdana"/>
                <w:lang w:val="en-US"/>
              </w:rPr>
              <w:t>2034 - 2035</w:t>
            </w:r>
          </w:p>
        </w:tc>
        <w:tc>
          <w:tcPr>
            <w:tcW w:w="1308" w:type="dxa"/>
          </w:tcPr>
          <w:p w:rsidRPr="002C6A86" w:rsidR="00811233" w:rsidP="00811233" w:rsidRDefault="00811233" w14:paraId="3CDA3BA7" w14:textId="77777777">
            <w:pPr>
              <w:spacing w:after="200" w:line="240" w:lineRule="auto"/>
              <w:rPr>
                <w:rFonts w:ascii="Verdana" w:hAnsi="Verdana"/>
                <w:lang w:val="en-US"/>
              </w:rPr>
            </w:pPr>
            <w:r w:rsidRPr="002C6A86">
              <w:rPr>
                <w:rFonts w:ascii="Verdana" w:hAnsi="Verdana"/>
                <w:lang w:val="en-US"/>
              </w:rPr>
              <w:t>20</w:t>
            </w:r>
          </w:p>
        </w:tc>
        <w:tc>
          <w:tcPr>
            <w:tcW w:w="1190" w:type="dxa"/>
            <w:shd w:val="clear" w:color="auto" w:fill="EEECE1" w:themeFill="background2"/>
          </w:tcPr>
          <w:p w:rsidRPr="002C6A86" w:rsidR="00811233" w:rsidP="00811233" w:rsidRDefault="00811233" w14:paraId="1B2F5C3F" w14:textId="77777777">
            <w:pPr>
              <w:spacing w:after="200" w:line="240" w:lineRule="auto"/>
              <w:rPr>
                <w:rFonts w:ascii="Verdana" w:hAnsi="Verdana"/>
                <w:lang w:val="en-US"/>
              </w:rPr>
            </w:pPr>
            <w:r w:rsidRPr="002C6A86">
              <w:rPr>
                <w:rFonts w:ascii="Verdana" w:hAnsi="Verdana"/>
                <w:lang w:val="en-US"/>
              </w:rPr>
              <w:t xml:space="preserve">2034 – 2035 </w:t>
            </w:r>
          </w:p>
        </w:tc>
        <w:tc>
          <w:tcPr>
            <w:tcW w:w="1308" w:type="dxa"/>
            <w:shd w:val="clear" w:color="auto" w:fill="EEECE1" w:themeFill="background2"/>
          </w:tcPr>
          <w:p w:rsidRPr="002C6A86" w:rsidR="00811233" w:rsidP="00811233" w:rsidRDefault="00811233" w14:paraId="02F2A9EB" w14:textId="77777777">
            <w:pPr>
              <w:spacing w:after="200" w:line="240" w:lineRule="auto"/>
              <w:rPr>
                <w:rFonts w:ascii="Verdana" w:hAnsi="Verdana"/>
                <w:lang w:val="en-US"/>
              </w:rPr>
            </w:pPr>
            <w:r w:rsidRPr="002C6A86">
              <w:rPr>
                <w:rFonts w:ascii="Verdana" w:hAnsi="Verdana"/>
                <w:lang w:val="en-US"/>
              </w:rPr>
              <w:t>20</w:t>
            </w:r>
          </w:p>
        </w:tc>
        <w:tc>
          <w:tcPr>
            <w:tcW w:w="1308" w:type="dxa"/>
          </w:tcPr>
          <w:p w:rsidRPr="002C6A86" w:rsidR="00811233" w:rsidP="00811233" w:rsidRDefault="00811233" w14:paraId="326D455C" w14:textId="77777777">
            <w:pPr>
              <w:spacing w:after="200" w:line="240" w:lineRule="auto"/>
              <w:rPr>
                <w:rFonts w:ascii="Verdana" w:hAnsi="Verdana"/>
                <w:lang w:val="en-US"/>
              </w:rPr>
            </w:pPr>
            <w:r w:rsidRPr="002C6A86">
              <w:rPr>
                <w:rFonts w:ascii="Verdana" w:hAnsi="Verdana"/>
                <w:lang w:val="en-US"/>
              </w:rPr>
              <w:t>2045 en later</w:t>
            </w:r>
          </w:p>
        </w:tc>
        <w:tc>
          <w:tcPr>
            <w:tcW w:w="1547" w:type="dxa"/>
          </w:tcPr>
          <w:p w:rsidRPr="002C6A86" w:rsidR="00811233" w:rsidP="00811233" w:rsidRDefault="00811233" w14:paraId="250A9B9D" w14:textId="77777777">
            <w:pPr>
              <w:spacing w:after="200" w:line="240" w:lineRule="auto"/>
              <w:rPr>
                <w:rFonts w:ascii="Verdana" w:hAnsi="Verdana"/>
                <w:lang w:val="en-US"/>
              </w:rPr>
            </w:pPr>
            <w:r w:rsidRPr="002C6A86">
              <w:rPr>
                <w:rFonts w:ascii="Verdana" w:hAnsi="Verdana"/>
                <w:lang w:val="en-US"/>
              </w:rPr>
              <w:t>20</w:t>
            </w:r>
          </w:p>
        </w:tc>
        <w:tc>
          <w:tcPr>
            <w:tcW w:w="1190" w:type="dxa"/>
            <w:shd w:val="clear" w:color="auto" w:fill="EEECE1" w:themeFill="background2"/>
          </w:tcPr>
          <w:p w:rsidRPr="002C6A86" w:rsidR="00811233" w:rsidP="00811233" w:rsidRDefault="00811233" w14:paraId="2300A191" w14:textId="77777777">
            <w:pPr>
              <w:spacing w:after="200" w:line="240" w:lineRule="auto"/>
              <w:rPr>
                <w:rFonts w:ascii="Verdana" w:hAnsi="Verdana"/>
                <w:lang w:val="en-US"/>
              </w:rPr>
            </w:pPr>
            <w:r w:rsidRPr="002C6A86">
              <w:rPr>
                <w:rFonts w:ascii="Verdana" w:hAnsi="Verdana"/>
                <w:lang w:val="en-US"/>
              </w:rPr>
              <w:t>2047 en later</w:t>
            </w:r>
          </w:p>
        </w:tc>
        <w:tc>
          <w:tcPr>
            <w:tcW w:w="1545" w:type="dxa"/>
            <w:shd w:val="clear" w:color="auto" w:fill="EEECE1" w:themeFill="background2"/>
          </w:tcPr>
          <w:p w:rsidRPr="002C6A86" w:rsidR="00811233" w:rsidP="00811233" w:rsidRDefault="00811233" w14:paraId="6A42EEBF" w14:textId="77777777">
            <w:pPr>
              <w:spacing w:after="200" w:line="240" w:lineRule="auto"/>
              <w:rPr>
                <w:rFonts w:ascii="Verdana" w:hAnsi="Verdana"/>
                <w:lang w:val="en-US"/>
              </w:rPr>
            </w:pPr>
            <w:r w:rsidRPr="002C6A86">
              <w:rPr>
                <w:rFonts w:ascii="Verdana" w:hAnsi="Verdana"/>
                <w:lang w:val="en-US"/>
              </w:rPr>
              <w:t>15</w:t>
            </w:r>
          </w:p>
        </w:tc>
      </w:tr>
      <w:tr w:rsidRPr="002C6A86" w:rsidR="00811233" w:rsidTr="00811233" w14:paraId="13A64460" w14:textId="77777777">
        <w:trPr>
          <w:trHeight w:val="204"/>
        </w:trPr>
        <w:tc>
          <w:tcPr>
            <w:tcW w:w="894" w:type="dxa"/>
          </w:tcPr>
          <w:p w:rsidRPr="002C6A86" w:rsidR="00811233" w:rsidP="00811233" w:rsidRDefault="00811233" w14:paraId="0E47D440" w14:textId="77777777">
            <w:pPr>
              <w:spacing w:after="200" w:line="240" w:lineRule="auto"/>
              <w:rPr>
                <w:rFonts w:ascii="Verdana" w:hAnsi="Verdana"/>
                <w:lang w:val="en-US"/>
              </w:rPr>
            </w:pPr>
            <w:r w:rsidRPr="002C6A86">
              <w:rPr>
                <w:rFonts w:ascii="Verdana" w:hAnsi="Verdana"/>
                <w:lang w:val="en-US"/>
              </w:rPr>
              <w:t xml:space="preserve">Final </w:t>
            </w:r>
          </w:p>
        </w:tc>
        <w:tc>
          <w:tcPr>
            <w:tcW w:w="1220" w:type="dxa"/>
          </w:tcPr>
          <w:p w:rsidRPr="002C6A86" w:rsidR="00811233" w:rsidP="00811233" w:rsidRDefault="00811233" w14:paraId="74A65517" w14:textId="77777777">
            <w:pPr>
              <w:spacing w:after="200" w:line="240" w:lineRule="auto"/>
              <w:rPr>
                <w:rFonts w:ascii="Verdana" w:hAnsi="Verdana"/>
                <w:lang w:val="en-US"/>
              </w:rPr>
            </w:pPr>
            <w:r w:rsidRPr="002C6A86">
              <w:rPr>
                <w:rFonts w:ascii="Verdana" w:hAnsi="Verdana"/>
                <w:lang w:val="en-US"/>
              </w:rPr>
              <w:t>2036 en later</w:t>
            </w:r>
          </w:p>
        </w:tc>
        <w:tc>
          <w:tcPr>
            <w:tcW w:w="1308" w:type="dxa"/>
          </w:tcPr>
          <w:p w:rsidRPr="002C6A86" w:rsidR="00811233" w:rsidP="00811233" w:rsidRDefault="00811233" w14:paraId="2C1B5C40" w14:textId="77777777">
            <w:pPr>
              <w:spacing w:after="200" w:line="240" w:lineRule="auto"/>
              <w:rPr>
                <w:rFonts w:ascii="Verdana" w:hAnsi="Verdana"/>
                <w:lang w:val="en-US"/>
              </w:rPr>
            </w:pPr>
            <w:r w:rsidRPr="002C6A86">
              <w:rPr>
                <w:rFonts w:ascii="Verdana" w:hAnsi="Verdana"/>
                <w:lang w:val="en-US"/>
              </w:rPr>
              <w:t>15</w:t>
            </w:r>
          </w:p>
        </w:tc>
        <w:tc>
          <w:tcPr>
            <w:tcW w:w="1190" w:type="dxa"/>
            <w:shd w:val="clear" w:color="auto" w:fill="EEECE1" w:themeFill="background2"/>
          </w:tcPr>
          <w:p w:rsidRPr="002C6A86" w:rsidR="00811233" w:rsidP="00811233" w:rsidRDefault="00811233" w14:paraId="30AED7B2" w14:textId="77777777">
            <w:pPr>
              <w:spacing w:after="200" w:line="240" w:lineRule="auto"/>
              <w:rPr>
                <w:rFonts w:ascii="Verdana" w:hAnsi="Verdana"/>
                <w:lang w:val="en-US"/>
              </w:rPr>
            </w:pPr>
            <w:r w:rsidRPr="002C6A86">
              <w:rPr>
                <w:rFonts w:ascii="Verdana" w:hAnsi="Verdana"/>
                <w:lang w:val="en-US"/>
              </w:rPr>
              <w:t>2036 en later</w:t>
            </w:r>
          </w:p>
        </w:tc>
        <w:tc>
          <w:tcPr>
            <w:tcW w:w="1308" w:type="dxa"/>
            <w:shd w:val="clear" w:color="auto" w:fill="EEECE1" w:themeFill="background2"/>
          </w:tcPr>
          <w:p w:rsidRPr="002C6A86" w:rsidR="00811233" w:rsidP="00811233" w:rsidRDefault="00811233" w14:paraId="3E959657" w14:textId="77777777">
            <w:pPr>
              <w:spacing w:after="200" w:line="240" w:lineRule="auto"/>
              <w:rPr>
                <w:rFonts w:ascii="Verdana" w:hAnsi="Verdana"/>
                <w:lang w:val="en-US"/>
              </w:rPr>
            </w:pPr>
            <w:r w:rsidRPr="002C6A86">
              <w:rPr>
                <w:rFonts w:ascii="Verdana" w:hAnsi="Verdana"/>
                <w:lang w:val="en-US"/>
              </w:rPr>
              <w:t>15</w:t>
            </w:r>
          </w:p>
        </w:tc>
        <w:tc>
          <w:tcPr>
            <w:tcW w:w="1308" w:type="dxa"/>
          </w:tcPr>
          <w:p w:rsidRPr="002C6A86" w:rsidR="00811233" w:rsidP="00811233" w:rsidRDefault="00811233" w14:paraId="0BB556CF" w14:textId="77777777">
            <w:pPr>
              <w:spacing w:after="200" w:line="240" w:lineRule="auto"/>
              <w:rPr>
                <w:rFonts w:ascii="Verdana" w:hAnsi="Verdana"/>
                <w:lang w:val="en-US"/>
              </w:rPr>
            </w:pPr>
          </w:p>
        </w:tc>
        <w:tc>
          <w:tcPr>
            <w:tcW w:w="1547" w:type="dxa"/>
          </w:tcPr>
          <w:p w:rsidRPr="002C6A86" w:rsidR="00811233" w:rsidP="00811233" w:rsidRDefault="00811233" w14:paraId="46CFF673" w14:textId="77777777">
            <w:pPr>
              <w:spacing w:after="200" w:line="240" w:lineRule="auto"/>
              <w:rPr>
                <w:rFonts w:ascii="Verdana" w:hAnsi="Verdana"/>
                <w:lang w:val="en-US"/>
              </w:rPr>
            </w:pPr>
          </w:p>
        </w:tc>
        <w:tc>
          <w:tcPr>
            <w:tcW w:w="1190" w:type="dxa"/>
            <w:shd w:val="clear" w:color="auto" w:fill="EEECE1" w:themeFill="background2"/>
          </w:tcPr>
          <w:p w:rsidRPr="002C6A86" w:rsidR="00811233" w:rsidP="00811233" w:rsidRDefault="00811233" w14:paraId="332E7CE9" w14:textId="77777777">
            <w:pPr>
              <w:spacing w:after="200" w:line="240" w:lineRule="auto"/>
              <w:rPr>
                <w:rFonts w:ascii="Verdana" w:hAnsi="Verdana"/>
                <w:lang w:val="en-US"/>
              </w:rPr>
            </w:pPr>
          </w:p>
        </w:tc>
        <w:tc>
          <w:tcPr>
            <w:tcW w:w="1545" w:type="dxa"/>
            <w:shd w:val="clear" w:color="auto" w:fill="EEECE1" w:themeFill="background2"/>
          </w:tcPr>
          <w:p w:rsidRPr="002C6A86" w:rsidR="00811233" w:rsidP="00811233" w:rsidRDefault="00811233" w14:paraId="197AB609" w14:textId="77777777">
            <w:pPr>
              <w:spacing w:after="200" w:line="240" w:lineRule="auto"/>
              <w:rPr>
                <w:rFonts w:ascii="Verdana" w:hAnsi="Verdana"/>
                <w:lang w:val="en-US"/>
              </w:rPr>
            </w:pPr>
          </w:p>
        </w:tc>
      </w:tr>
    </w:tbl>
    <w:p w:rsidRPr="002C6A86" w:rsidR="00811233" w:rsidP="00811233" w:rsidRDefault="00811233" w14:paraId="6C99C6D4" w14:textId="77777777">
      <w:pPr>
        <w:spacing w:line="240" w:lineRule="auto"/>
      </w:pPr>
    </w:p>
    <w:p w:rsidRPr="002C6A86" w:rsidR="00811233" w:rsidP="00811233" w:rsidRDefault="00811233" w14:paraId="626D9672" w14:textId="77777777">
      <w:pPr>
        <w:spacing w:line="240" w:lineRule="auto"/>
        <w:rPr>
          <w:i/>
        </w:rPr>
      </w:pPr>
      <w:r w:rsidRPr="002C6A86">
        <w:rPr>
          <w:i/>
        </w:rPr>
        <w:t>* De basis (baseline) vormt de referentiewaarde voor het uitfaseerschema voor respectievelijk productie/consumptie. De formule voor de baseline wordt gevormd door de gemiddelde HFK productie/consumptie + x% van de HCFK baseline productie/consumptie, uitgedrukt in CO2eq. De HCFK baseline productie/consumptie is: voor A2 (ontwikkelde) landen: de HCFK productie/consumptie in 1989 + 2,8% van de CFK productie/consumptie in 1989 en voor A5 (ontwikkelingslanden: de gemiddelde HCFK productie/consumptie in 2009/2010.</w:t>
      </w:r>
    </w:p>
    <w:p w:rsidRPr="002C6A86" w:rsidR="00811233" w:rsidP="00811233" w:rsidRDefault="00811233" w14:paraId="21316EC1" w14:textId="77777777">
      <w:pPr>
        <w:spacing w:line="240" w:lineRule="auto"/>
        <w:rPr>
          <w:i/>
        </w:rPr>
      </w:pPr>
      <w:r w:rsidRPr="002C6A86">
        <w:rPr>
          <w:i/>
        </w:rPr>
        <w:t>** Voor bepaalde Oost Europese landen zijn afwijkende data en % afgesproken voor de eerste twee uitfaseerstappen.</w:t>
      </w:r>
    </w:p>
    <w:p w:rsidRPr="002C6A86" w:rsidR="00811233" w:rsidP="00811233" w:rsidRDefault="00811233" w14:paraId="0072A5B4" w14:textId="77777777">
      <w:pPr>
        <w:spacing w:line="240" w:lineRule="auto"/>
        <w:rPr>
          <w:i/>
        </w:rPr>
      </w:pPr>
      <w:r w:rsidRPr="002C6A86">
        <w:rPr>
          <w:i/>
        </w:rPr>
        <w:t>** Groep 1 Artikel 5 landen: Artikel 5 landen die niet vallen onder groep 2. Groep 2 Artikel 5 landen: Bachrein, India, Iran, Koeweit, Oman, Pakistan, Qatar, Saoedi Arabië, Verenigde Arabische Emiraten</w:t>
      </w:r>
    </w:p>
    <w:p w:rsidRPr="002C6A86" w:rsidR="00811233" w:rsidP="00811233" w:rsidRDefault="00811233" w14:paraId="494B97B9" w14:textId="77777777">
      <w:pPr>
        <w:spacing w:line="240" w:lineRule="auto"/>
        <w:rPr>
          <w:rFonts w:cs="Times New Roman"/>
          <w:iCs/>
        </w:rPr>
      </w:pPr>
    </w:p>
    <w:p w:rsidRPr="002C6A86" w:rsidR="003809A8" w:rsidP="003809A8" w:rsidRDefault="006404E8" w14:paraId="513CDC86" w14:textId="550DB4A2">
      <w:pPr>
        <w:spacing w:line="240" w:lineRule="auto"/>
        <w:rPr>
          <w:rFonts w:cs="Times New Roman"/>
          <w:iCs/>
        </w:rPr>
      </w:pPr>
      <w:r w:rsidRPr="002C6A86">
        <w:rPr>
          <w:rFonts w:cs="Times New Roman"/>
          <w:iCs/>
        </w:rPr>
        <w:t>In aanvulli</w:t>
      </w:r>
      <w:r w:rsidRPr="002C6A86" w:rsidR="00D32514">
        <w:rPr>
          <w:rFonts w:cs="Times New Roman"/>
          <w:iCs/>
        </w:rPr>
        <w:t>n</w:t>
      </w:r>
      <w:r w:rsidRPr="002C6A86">
        <w:rPr>
          <w:rFonts w:cs="Times New Roman"/>
          <w:iCs/>
        </w:rPr>
        <w:t>g hierop bepaalt</w:t>
      </w:r>
      <w:r w:rsidRPr="002C6A86" w:rsidR="003809A8">
        <w:rPr>
          <w:rFonts w:cs="Times New Roman"/>
          <w:iCs/>
        </w:rPr>
        <w:t xml:space="preserve"> </w:t>
      </w:r>
      <w:r w:rsidRPr="002C6A86" w:rsidR="00504AB2">
        <w:rPr>
          <w:rFonts w:cs="Times New Roman"/>
          <w:iCs/>
        </w:rPr>
        <w:t xml:space="preserve">het nieuwe </w:t>
      </w:r>
      <w:r w:rsidRPr="002C6A86" w:rsidR="003809A8">
        <w:rPr>
          <w:rFonts w:cs="Times New Roman"/>
          <w:iCs/>
        </w:rPr>
        <w:t>artikel 2J</w:t>
      </w:r>
      <w:r w:rsidRPr="002C6A86" w:rsidR="00D32514">
        <w:rPr>
          <w:rFonts w:cs="Times New Roman"/>
          <w:iCs/>
        </w:rPr>
        <w:t>, zevende</w:t>
      </w:r>
      <w:r w:rsidRPr="002C6A86" w:rsidR="003809A8">
        <w:rPr>
          <w:rFonts w:cs="Times New Roman"/>
          <w:iCs/>
        </w:rPr>
        <w:t xml:space="preserve"> lid</w:t>
      </w:r>
      <w:r w:rsidRPr="002C6A86" w:rsidR="00D32514">
        <w:rPr>
          <w:rFonts w:cs="Times New Roman"/>
          <w:iCs/>
        </w:rPr>
        <w:t>,</w:t>
      </w:r>
      <w:r w:rsidRPr="002C6A86">
        <w:rPr>
          <w:rFonts w:cs="Times New Roman"/>
          <w:iCs/>
        </w:rPr>
        <w:t xml:space="preserve"> van het Protocol</w:t>
      </w:r>
      <w:r w:rsidRPr="002C6A86" w:rsidR="003809A8">
        <w:rPr>
          <w:rFonts w:cs="Times New Roman"/>
          <w:iCs/>
        </w:rPr>
        <w:t xml:space="preserve"> dat HFK</w:t>
      </w:r>
      <w:r w:rsidRPr="002C6A86" w:rsidR="0080602D">
        <w:rPr>
          <w:rFonts w:cs="Times New Roman"/>
          <w:iCs/>
        </w:rPr>
        <w:t>-</w:t>
      </w:r>
      <w:r w:rsidRPr="002C6A86" w:rsidR="003809A8">
        <w:rPr>
          <w:rFonts w:cs="Times New Roman"/>
          <w:iCs/>
        </w:rPr>
        <w:t>23</w:t>
      </w:r>
      <w:r w:rsidRPr="002C6A86">
        <w:rPr>
          <w:rFonts w:cs="Times New Roman"/>
          <w:iCs/>
        </w:rPr>
        <w:t>,</w:t>
      </w:r>
      <w:r w:rsidRPr="002C6A86" w:rsidR="003809A8">
        <w:rPr>
          <w:rFonts w:cs="Times New Roman"/>
          <w:iCs/>
        </w:rPr>
        <w:t xml:space="preserve"> dat vrijkomt bij de productie van HCFK</w:t>
      </w:r>
      <w:r w:rsidRPr="002C6A86" w:rsidR="00F1435D">
        <w:rPr>
          <w:rFonts w:cs="Times New Roman"/>
          <w:iCs/>
        </w:rPr>
        <w:t>’</w:t>
      </w:r>
      <w:r w:rsidRPr="002C6A86" w:rsidR="003809A8">
        <w:rPr>
          <w:rFonts w:cs="Times New Roman"/>
          <w:iCs/>
        </w:rPr>
        <w:t xml:space="preserve">s </w:t>
      </w:r>
      <w:r w:rsidRPr="002C6A86" w:rsidR="00F1435D">
        <w:rPr>
          <w:rFonts w:cs="Times New Roman"/>
          <w:iCs/>
        </w:rPr>
        <w:t>of HFK’s</w:t>
      </w:r>
      <w:r w:rsidRPr="002C6A86" w:rsidR="00396554">
        <w:rPr>
          <w:rFonts w:cs="Times New Roman"/>
          <w:iCs/>
        </w:rPr>
        <w:t>,</w:t>
      </w:r>
      <w:r w:rsidRPr="002C6A86" w:rsidR="00F1435D">
        <w:rPr>
          <w:rFonts w:cs="Times New Roman"/>
          <w:iCs/>
        </w:rPr>
        <w:t xml:space="preserve"> </w:t>
      </w:r>
      <w:r w:rsidRPr="002C6A86" w:rsidR="003809A8">
        <w:rPr>
          <w:rFonts w:cs="Times New Roman"/>
          <w:iCs/>
        </w:rPr>
        <w:t>alleen met goedgekeurde technieken mag worden vernietigd</w:t>
      </w:r>
      <w:r w:rsidRPr="002C6A86" w:rsidR="00390A8C">
        <w:rPr>
          <w:rFonts w:cs="Times New Roman"/>
          <w:iCs/>
        </w:rPr>
        <w:t xml:space="preserve"> </w:t>
      </w:r>
      <w:r w:rsidRPr="002C6A86" w:rsidR="003809A8">
        <w:rPr>
          <w:rFonts w:cs="Times New Roman"/>
          <w:iCs/>
        </w:rPr>
        <w:t>om te voorkomen dat het alsnog in de atmosfeer terecht komt.</w:t>
      </w:r>
    </w:p>
    <w:p w:rsidRPr="002C6A86" w:rsidR="003809A8" w:rsidP="00D93E52" w:rsidRDefault="003809A8" w14:paraId="26E4CFF5" w14:textId="77777777">
      <w:pPr>
        <w:spacing w:line="240" w:lineRule="auto"/>
        <w:rPr>
          <w:rFonts w:cs="Times New Roman"/>
          <w:iCs/>
        </w:rPr>
      </w:pPr>
    </w:p>
    <w:p w:rsidRPr="002C6A86" w:rsidR="00B111CF" w:rsidP="00D93E52" w:rsidRDefault="00035EFB" w14:paraId="330ABB3A" w14:textId="6B1CDF8F">
      <w:pPr>
        <w:spacing w:line="240" w:lineRule="auto"/>
        <w:rPr>
          <w:rFonts w:cs="Times New Roman"/>
          <w:iCs/>
        </w:rPr>
      </w:pPr>
      <w:r w:rsidRPr="002C6A86">
        <w:rPr>
          <w:rFonts w:cs="Times New Roman"/>
          <w:iCs/>
        </w:rPr>
        <w:t xml:space="preserve">Het Montreal Protocol verbiedt </w:t>
      </w:r>
      <w:r w:rsidRPr="002C6A86" w:rsidR="0029127A">
        <w:rPr>
          <w:rFonts w:cs="Times New Roman"/>
          <w:iCs/>
        </w:rPr>
        <w:t>partijen</w:t>
      </w:r>
      <w:r w:rsidRPr="002C6A86">
        <w:rPr>
          <w:rFonts w:cs="Times New Roman"/>
          <w:iCs/>
        </w:rPr>
        <w:t xml:space="preserve"> om ozonlaagafbrekende stoffen te im</w:t>
      </w:r>
      <w:r w:rsidRPr="002C6A86" w:rsidR="0029127A">
        <w:rPr>
          <w:rFonts w:cs="Times New Roman"/>
          <w:iCs/>
        </w:rPr>
        <w:t>porteren</w:t>
      </w:r>
      <w:r w:rsidRPr="002C6A86">
        <w:rPr>
          <w:rFonts w:cs="Times New Roman"/>
          <w:iCs/>
        </w:rPr>
        <w:t xml:space="preserve"> en exporteren naar landen die geen </w:t>
      </w:r>
      <w:r w:rsidRPr="002C6A86" w:rsidR="0029127A">
        <w:rPr>
          <w:rFonts w:cs="Times New Roman"/>
          <w:iCs/>
        </w:rPr>
        <w:t xml:space="preserve">partij </w:t>
      </w:r>
      <w:r w:rsidRPr="002C6A86">
        <w:rPr>
          <w:rFonts w:cs="Times New Roman"/>
          <w:iCs/>
        </w:rPr>
        <w:t xml:space="preserve">zijn </w:t>
      </w:r>
      <w:r w:rsidRPr="002C6A86" w:rsidR="0029127A">
        <w:rPr>
          <w:rFonts w:cs="Times New Roman"/>
          <w:iCs/>
        </w:rPr>
        <w:t xml:space="preserve">bij </w:t>
      </w:r>
      <w:r w:rsidRPr="002C6A86">
        <w:rPr>
          <w:rFonts w:cs="Times New Roman"/>
          <w:iCs/>
        </w:rPr>
        <w:t>het Protocol</w:t>
      </w:r>
      <w:r w:rsidRPr="002C6A86" w:rsidR="0080602D">
        <w:rPr>
          <w:rFonts w:cs="Times New Roman"/>
          <w:iCs/>
        </w:rPr>
        <w:t xml:space="preserve">, zie </w:t>
      </w:r>
      <w:r w:rsidRPr="002C6A86" w:rsidR="006404E8">
        <w:rPr>
          <w:rFonts w:cs="Times New Roman"/>
          <w:iCs/>
        </w:rPr>
        <w:t>artikel 4</w:t>
      </w:r>
      <w:r w:rsidRPr="002C6A86" w:rsidR="0080602D">
        <w:rPr>
          <w:rFonts w:cs="Times New Roman"/>
          <w:iCs/>
        </w:rPr>
        <w:t xml:space="preserve"> van het Protocol</w:t>
      </w:r>
      <w:r w:rsidRPr="002C6A86">
        <w:rPr>
          <w:rFonts w:cs="Times New Roman"/>
          <w:iCs/>
        </w:rPr>
        <w:t xml:space="preserve">. Eenzelfde regime gaat gelden voor de nieuwe stoffen die op basis van het Kigali </w:t>
      </w:r>
      <w:r w:rsidRPr="002C6A86" w:rsidR="0029127A">
        <w:rPr>
          <w:rFonts w:cs="Times New Roman"/>
          <w:iCs/>
        </w:rPr>
        <w:t xml:space="preserve">Amendement </w:t>
      </w:r>
      <w:r w:rsidRPr="002C6A86" w:rsidR="0080602D">
        <w:rPr>
          <w:rFonts w:cs="Times New Roman"/>
          <w:iCs/>
        </w:rPr>
        <w:t>worden</w:t>
      </w:r>
      <w:r w:rsidRPr="002C6A86">
        <w:rPr>
          <w:rFonts w:cs="Times New Roman"/>
          <w:iCs/>
        </w:rPr>
        <w:t xml:space="preserve"> toegevoegd </w:t>
      </w:r>
      <w:r w:rsidRPr="002C6A86" w:rsidR="0002722A">
        <w:rPr>
          <w:rFonts w:cs="Times New Roman"/>
          <w:iCs/>
        </w:rPr>
        <w:t>(artikel 4</w:t>
      </w:r>
      <w:r w:rsidRPr="002C6A86" w:rsidR="00692E3F">
        <w:rPr>
          <w:rFonts w:cs="Times New Roman"/>
          <w:iCs/>
        </w:rPr>
        <w:t>,</w:t>
      </w:r>
      <w:r w:rsidRPr="002C6A86" w:rsidR="00811233">
        <w:rPr>
          <w:rFonts w:cs="Times New Roman"/>
          <w:iCs/>
        </w:rPr>
        <w:t xml:space="preserve"> paragraaf 1 sept en 2 </w:t>
      </w:r>
      <w:r w:rsidRPr="002C6A86" w:rsidR="0002722A">
        <w:rPr>
          <w:rFonts w:cs="Times New Roman"/>
          <w:iCs/>
        </w:rPr>
        <w:t>sept)</w:t>
      </w:r>
      <w:r w:rsidRPr="002C6A86">
        <w:rPr>
          <w:rFonts w:cs="Times New Roman"/>
          <w:iCs/>
        </w:rPr>
        <w:t>.</w:t>
      </w:r>
      <w:r w:rsidRPr="002C6A86" w:rsidR="001605AD">
        <w:rPr>
          <w:rFonts w:cs="Times New Roman"/>
          <w:iCs/>
        </w:rPr>
        <w:t xml:space="preserve"> Dit artikel treedt in werking op 1 januari 2033 als minstens </w:t>
      </w:r>
      <w:r w:rsidRPr="002C6A86" w:rsidR="00A2227B">
        <w:rPr>
          <w:rFonts w:cs="Times New Roman"/>
          <w:iCs/>
        </w:rPr>
        <w:t>zeventig</w:t>
      </w:r>
      <w:r w:rsidRPr="002C6A86" w:rsidR="001605AD">
        <w:rPr>
          <w:rFonts w:cs="Times New Roman"/>
          <w:iCs/>
        </w:rPr>
        <w:t xml:space="preserve"> partijen het Kigali Amendement hebben geratificeerd.</w:t>
      </w:r>
      <w:r w:rsidRPr="002C6A86" w:rsidR="00811233">
        <w:rPr>
          <w:rFonts w:cs="Times New Roman"/>
          <w:iCs/>
        </w:rPr>
        <w:t xml:space="preserve"> </w:t>
      </w:r>
      <w:r w:rsidRPr="002C6A86" w:rsidR="00A2227B">
        <w:rPr>
          <w:rFonts w:cs="Times New Roman"/>
          <w:iCs/>
        </w:rPr>
        <w:t>Indien op die datum het aantal van zeventig ratificaties niet gehaald is, treedt de bepaling in werking negentig dagen nadat de zeventigste ratificatie een feit is. D</w:t>
      </w:r>
      <w:r w:rsidRPr="002C6A86" w:rsidR="00200522">
        <w:rPr>
          <w:rFonts w:cs="Times New Roman"/>
          <w:iCs/>
        </w:rPr>
        <w:t>it betekent</w:t>
      </w:r>
      <w:r w:rsidRPr="002C6A86" w:rsidR="00A2227B">
        <w:rPr>
          <w:rFonts w:cs="Times New Roman"/>
          <w:iCs/>
        </w:rPr>
        <w:t xml:space="preserve"> dat de handel in </w:t>
      </w:r>
      <w:r w:rsidRPr="002C6A86" w:rsidR="00F1435D">
        <w:rPr>
          <w:rFonts w:cs="Times New Roman"/>
          <w:iCs/>
        </w:rPr>
        <w:t>HFK’s</w:t>
      </w:r>
      <w:r w:rsidRPr="002C6A86" w:rsidR="00A2227B">
        <w:rPr>
          <w:rFonts w:cs="Times New Roman"/>
          <w:iCs/>
        </w:rPr>
        <w:t xml:space="preserve"> tussen landen die het Kigali Amendement geratificeerd hebben en landen die dat niet hebben gedaan in ieder geval tot 1 januari 2033 toegestaan is.</w:t>
      </w:r>
    </w:p>
    <w:p w:rsidRPr="002C6A86" w:rsidR="0002722A" w:rsidP="00D93E52" w:rsidRDefault="0002722A" w14:paraId="3DBD7603" w14:textId="77777777">
      <w:pPr>
        <w:spacing w:line="240" w:lineRule="auto"/>
        <w:rPr>
          <w:rFonts w:cs="Times New Roman"/>
          <w:iCs/>
        </w:rPr>
      </w:pPr>
    </w:p>
    <w:p w:rsidRPr="002C6A86" w:rsidR="0002722A" w:rsidP="00D93E52" w:rsidRDefault="00390A8C" w14:paraId="2865380B" w14:textId="4DB96730">
      <w:pPr>
        <w:spacing w:line="240" w:lineRule="auto"/>
        <w:rPr>
          <w:rFonts w:cs="Times New Roman"/>
          <w:iCs/>
        </w:rPr>
      </w:pPr>
      <w:r w:rsidRPr="002C6A86">
        <w:rPr>
          <w:rFonts w:cs="Times New Roman"/>
          <w:iCs/>
        </w:rPr>
        <w:t xml:space="preserve">Op grond van artikel 4B van </w:t>
      </w:r>
      <w:r w:rsidRPr="002C6A86" w:rsidR="00035EFB">
        <w:rPr>
          <w:rFonts w:cs="Times New Roman"/>
          <w:iCs/>
        </w:rPr>
        <w:t xml:space="preserve">het </w:t>
      </w:r>
      <w:r w:rsidRPr="002C6A86" w:rsidR="006404E8">
        <w:rPr>
          <w:rFonts w:cs="Times New Roman"/>
          <w:iCs/>
        </w:rPr>
        <w:t>Montreal Protocol</w:t>
      </w:r>
      <w:r w:rsidRPr="002C6A86" w:rsidR="00035EFB">
        <w:rPr>
          <w:rFonts w:cs="Times New Roman"/>
          <w:iCs/>
        </w:rPr>
        <w:t xml:space="preserve"> </w:t>
      </w:r>
      <w:r w:rsidRPr="002C6A86">
        <w:rPr>
          <w:rFonts w:cs="Times New Roman"/>
          <w:iCs/>
        </w:rPr>
        <w:t xml:space="preserve">moeten </w:t>
      </w:r>
      <w:r w:rsidRPr="002C6A86" w:rsidR="0002722A">
        <w:rPr>
          <w:rFonts w:cs="Times New Roman"/>
          <w:iCs/>
        </w:rPr>
        <w:t xml:space="preserve">partijen </w:t>
      </w:r>
      <w:r w:rsidRPr="002C6A86" w:rsidR="00035EFB">
        <w:rPr>
          <w:rFonts w:cs="Times New Roman"/>
          <w:iCs/>
        </w:rPr>
        <w:t xml:space="preserve">een vergunningensysteem hebben </w:t>
      </w:r>
      <w:r w:rsidRPr="002C6A86" w:rsidR="006404E8">
        <w:rPr>
          <w:rFonts w:cs="Times New Roman"/>
          <w:iCs/>
        </w:rPr>
        <w:t xml:space="preserve">opgezet </w:t>
      </w:r>
      <w:r w:rsidRPr="002C6A86" w:rsidR="00035EFB">
        <w:rPr>
          <w:rFonts w:cs="Times New Roman"/>
          <w:iCs/>
        </w:rPr>
        <w:t xml:space="preserve">voor </w:t>
      </w:r>
      <w:r w:rsidRPr="002C6A86" w:rsidR="0002722A">
        <w:rPr>
          <w:rFonts w:cs="Times New Roman"/>
          <w:iCs/>
        </w:rPr>
        <w:t>import en export van nieuwe, gebruikte, hergebruikte en teruggewonnen stoffen</w:t>
      </w:r>
      <w:r w:rsidRPr="002C6A86" w:rsidR="00035EFB">
        <w:rPr>
          <w:rFonts w:cs="Times New Roman"/>
          <w:iCs/>
        </w:rPr>
        <w:t xml:space="preserve">. De </w:t>
      </w:r>
      <w:r w:rsidRPr="002C6A86" w:rsidR="00F1435D">
        <w:rPr>
          <w:rFonts w:cs="Times New Roman"/>
          <w:iCs/>
        </w:rPr>
        <w:t>HFK’s</w:t>
      </w:r>
      <w:r w:rsidRPr="002C6A86" w:rsidR="00035EFB">
        <w:rPr>
          <w:rFonts w:cs="Times New Roman"/>
          <w:iCs/>
        </w:rPr>
        <w:t xml:space="preserve"> vallend onder het Kigali </w:t>
      </w:r>
      <w:r w:rsidRPr="002C6A86">
        <w:rPr>
          <w:rFonts w:cs="Times New Roman"/>
          <w:iCs/>
        </w:rPr>
        <w:t xml:space="preserve">Amendement </w:t>
      </w:r>
      <w:r w:rsidRPr="002C6A86" w:rsidR="00035EFB">
        <w:rPr>
          <w:rFonts w:cs="Times New Roman"/>
          <w:iCs/>
        </w:rPr>
        <w:t xml:space="preserve">zullen ook onder dit systeem </w:t>
      </w:r>
      <w:r w:rsidRPr="002C6A86">
        <w:rPr>
          <w:rFonts w:cs="Times New Roman"/>
          <w:iCs/>
        </w:rPr>
        <w:t>worden gebracht. P</w:t>
      </w:r>
      <w:r w:rsidRPr="002C6A86" w:rsidR="00035EFB">
        <w:rPr>
          <w:rFonts w:cs="Times New Roman"/>
          <w:iCs/>
        </w:rPr>
        <w:t xml:space="preserve">artijen </w:t>
      </w:r>
      <w:r w:rsidRPr="002C6A86">
        <w:rPr>
          <w:rFonts w:cs="Times New Roman"/>
          <w:iCs/>
        </w:rPr>
        <w:t xml:space="preserve">dienen </w:t>
      </w:r>
      <w:r w:rsidRPr="002C6A86" w:rsidR="00035EFB">
        <w:rPr>
          <w:rFonts w:cs="Times New Roman"/>
          <w:iCs/>
        </w:rPr>
        <w:t>dit systeem uiterlijk drie maanden na inwerkingtreding operationeel te hebben</w:t>
      </w:r>
      <w:r w:rsidRPr="002C6A86" w:rsidR="0002722A">
        <w:rPr>
          <w:rFonts w:cs="Times New Roman"/>
          <w:iCs/>
        </w:rPr>
        <w:t>.</w:t>
      </w:r>
    </w:p>
    <w:p w:rsidRPr="002C6A86" w:rsidR="0002722A" w:rsidP="00D93E52" w:rsidRDefault="0002722A" w14:paraId="4E23C780" w14:textId="77777777">
      <w:pPr>
        <w:spacing w:line="240" w:lineRule="auto"/>
        <w:rPr>
          <w:rFonts w:cs="Times New Roman"/>
          <w:iCs/>
        </w:rPr>
      </w:pPr>
    </w:p>
    <w:p w:rsidRPr="002C6A86" w:rsidR="00CF4200" w:rsidP="00D93E52" w:rsidRDefault="00921E27" w14:paraId="4DA95A9B" w14:textId="77777777">
      <w:pPr>
        <w:spacing w:line="240" w:lineRule="auto"/>
        <w:rPr>
          <w:rFonts w:cs="Times New Roman"/>
          <w:iCs/>
        </w:rPr>
      </w:pPr>
      <w:r w:rsidRPr="002C6A86">
        <w:rPr>
          <w:rFonts w:cs="Times New Roman"/>
          <w:iCs/>
        </w:rPr>
        <w:t xml:space="preserve">Op basis van </w:t>
      </w:r>
      <w:r w:rsidRPr="002C6A86" w:rsidR="006404E8">
        <w:rPr>
          <w:rFonts w:cs="Times New Roman"/>
          <w:iCs/>
        </w:rPr>
        <w:t xml:space="preserve">artikel 7 van </w:t>
      </w:r>
      <w:r w:rsidRPr="002C6A86">
        <w:rPr>
          <w:rFonts w:cs="Times New Roman"/>
          <w:iCs/>
        </w:rPr>
        <w:t xml:space="preserve">het </w:t>
      </w:r>
      <w:r w:rsidRPr="002C6A86" w:rsidR="006404E8">
        <w:rPr>
          <w:rFonts w:cs="Times New Roman"/>
          <w:iCs/>
        </w:rPr>
        <w:t>Montreal Protocol</w:t>
      </w:r>
      <w:r w:rsidRPr="002C6A86">
        <w:rPr>
          <w:rFonts w:cs="Times New Roman"/>
          <w:iCs/>
        </w:rPr>
        <w:t xml:space="preserve"> </w:t>
      </w:r>
      <w:r w:rsidRPr="002C6A86" w:rsidR="006404E8">
        <w:rPr>
          <w:rFonts w:cs="Times New Roman"/>
          <w:iCs/>
        </w:rPr>
        <w:t>moeten</w:t>
      </w:r>
      <w:r w:rsidRPr="002C6A86">
        <w:rPr>
          <w:rFonts w:cs="Times New Roman"/>
          <w:iCs/>
        </w:rPr>
        <w:t xml:space="preserve"> partijen jaarlijks aan het secretariaat over de productie en consumptie van ozonlaagafbrekende stoffen</w:t>
      </w:r>
      <w:r w:rsidRPr="002C6A86" w:rsidR="001A47EC">
        <w:rPr>
          <w:rFonts w:cs="Times New Roman"/>
          <w:iCs/>
        </w:rPr>
        <w:t xml:space="preserve"> rapporteren</w:t>
      </w:r>
      <w:r w:rsidRPr="002C6A86">
        <w:rPr>
          <w:rFonts w:cs="Times New Roman"/>
          <w:iCs/>
        </w:rPr>
        <w:t>. Op basis van het Kigal</w:t>
      </w:r>
      <w:r w:rsidRPr="002C6A86" w:rsidR="00B111CF">
        <w:rPr>
          <w:rFonts w:cs="Times New Roman"/>
          <w:iCs/>
        </w:rPr>
        <w:t xml:space="preserve">i </w:t>
      </w:r>
      <w:r w:rsidRPr="002C6A86" w:rsidR="001A47EC">
        <w:rPr>
          <w:rFonts w:cs="Times New Roman"/>
          <w:iCs/>
        </w:rPr>
        <w:t>A</w:t>
      </w:r>
      <w:r w:rsidRPr="002C6A86" w:rsidR="00B111CF">
        <w:rPr>
          <w:rFonts w:cs="Times New Roman"/>
          <w:iCs/>
        </w:rPr>
        <w:t xml:space="preserve">mendement </w:t>
      </w:r>
      <w:r w:rsidRPr="002C6A86" w:rsidR="001A47EC">
        <w:rPr>
          <w:rFonts w:cs="Times New Roman"/>
          <w:iCs/>
        </w:rPr>
        <w:t>moet dit ook over</w:t>
      </w:r>
      <w:r w:rsidRPr="002C6A86" w:rsidR="00B111CF">
        <w:rPr>
          <w:rFonts w:cs="Times New Roman"/>
          <w:iCs/>
        </w:rPr>
        <w:t xml:space="preserve"> HFK</w:t>
      </w:r>
      <w:r w:rsidRPr="002C6A86" w:rsidR="001A47EC">
        <w:rPr>
          <w:rFonts w:cs="Times New Roman"/>
          <w:iCs/>
        </w:rPr>
        <w:t>’</w:t>
      </w:r>
      <w:r w:rsidRPr="002C6A86">
        <w:rPr>
          <w:rFonts w:cs="Times New Roman"/>
          <w:iCs/>
        </w:rPr>
        <w:t xml:space="preserve">s </w:t>
      </w:r>
      <w:r w:rsidRPr="002C6A86" w:rsidR="0002722A">
        <w:rPr>
          <w:rFonts w:cs="Times New Roman"/>
          <w:iCs/>
        </w:rPr>
        <w:t xml:space="preserve">(artikel </w:t>
      </w:r>
      <w:r w:rsidRPr="002C6A86" w:rsidR="002B626B">
        <w:rPr>
          <w:rFonts w:cs="Times New Roman"/>
          <w:iCs/>
        </w:rPr>
        <w:t xml:space="preserve">7, </w:t>
      </w:r>
      <w:r w:rsidRPr="002C6A86" w:rsidR="001A47EC">
        <w:rPr>
          <w:rFonts w:cs="Times New Roman"/>
          <w:iCs/>
        </w:rPr>
        <w:t xml:space="preserve">onderdelen </w:t>
      </w:r>
      <w:r w:rsidRPr="002C6A86" w:rsidR="002B626B">
        <w:rPr>
          <w:rFonts w:cs="Times New Roman"/>
          <w:iCs/>
        </w:rPr>
        <w:t>2, 3 en 3ter)</w:t>
      </w:r>
      <w:r w:rsidRPr="002C6A86">
        <w:rPr>
          <w:rFonts w:cs="Times New Roman"/>
          <w:iCs/>
        </w:rPr>
        <w:t>.</w:t>
      </w:r>
    </w:p>
    <w:p w:rsidRPr="002C6A86" w:rsidR="0051662A" w:rsidP="00D93E52" w:rsidRDefault="0051662A" w14:paraId="7505D5BB" w14:textId="77777777">
      <w:pPr>
        <w:spacing w:line="240" w:lineRule="auto"/>
        <w:rPr>
          <w:rFonts w:cs="Times New Roman"/>
          <w:iCs/>
        </w:rPr>
      </w:pPr>
    </w:p>
    <w:p w:rsidRPr="002C6A86" w:rsidR="00224CB1" w:rsidP="00D93E52" w:rsidRDefault="001A47EC" w14:paraId="7BE55693" w14:textId="239E51E4">
      <w:pPr>
        <w:spacing w:line="240" w:lineRule="auto"/>
        <w:rPr>
          <w:rFonts w:cs="Times New Roman"/>
          <w:iCs/>
        </w:rPr>
      </w:pPr>
      <w:r w:rsidRPr="002C6A86">
        <w:rPr>
          <w:rFonts w:cs="Times New Roman"/>
          <w:iCs/>
        </w:rPr>
        <w:t xml:space="preserve">Partijen kunnen </w:t>
      </w:r>
      <w:r w:rsidRPr="002C6A86" w:rsidR="00EB363B">
        <w:rPr>
          <w:rFonts w:cs="Times New Roman"/>
          <w:iCs/>
        </w:rPr>
        <w:t xml:space="preserve">overeenkomen dat sommige </w:t>
      </w:r>
      <w:r w:rsidRPr="002C6A86" w:rsidR="00692E3F">
        <w:rPr>
          <w:rFonts w:cs="Times New Roman"/>
          <w:iCs/>
        </w:rPr>
        <w:t>essentiële</w:t>
      </w:r>
      <w:r w:rsidRPr="002C6A86" w:rsidR="00EB363B">
        <w:rPr>
          <w:rFonts w:cs="Times New Roman"/>
          <w:iCs/>
        </w:rPr>
        <w:t xml:space="preserve"> en kritische</w:t>
      </w:r>
      <w:r w:rsidRPr="002C6A86" w:rsidR="0051662A">
        <w:rPr>
          <w:rFonts w:cs="Times New Roman"/>
          <w:iCs/>
        </w:rPr>
        <w:t xml:space="preserve"> toepassingen van HFK</w:t>
      </w:r>
      <w:r w:rsidRPr="002C6A86">
        <w:rPr>
          <w:rFonts w:cs="Times New Roman"/>
          <w:iCs/>
        </w:rPr>
        <w:t>’</w:t>
      </w:r>
      <w:r w:rsidRPr="002C6A86" w:rsidR="0051662A">
        <w:rPr>
          <w:rFonts w:cs="Times New Roman"/>
          <w:iCs/>
        </w:rPr>
        <w:t>s</w:t>
      </w:r>
      <w:r w:rsidRPr="002C6A86" w:rsidR="00224CB1">
        <w:rPr>
          <w:rFonts w:cs="Times New Roman"/>
          <w:iCs/>
        </w:rPr>
        <w:t xml:space="preserve"> </w:t>
      </w:r>
      <w:r w:rsidRPr="002C6A86">
        <w:rPr>
          <w:rFonts w:cs="Times New Roman"/>
          <w:iCs/>
        </w:rPr>
        <w:t xml:space="preserve">van </w:t>
      </w:r>
      <w:r w:rsidRPr="002C6A86" w:rsidR="00F1435D">
        <w:rPr>
          <w:rFonts w:cs="Times New Roman"/>
          <w:iCs/>
        </w:rPr>
        <w:t xml:space="preserve">de uitfaseerverplichtingen </w:t>
      </w:r>
      <w:r w:rsidRPr="002C6A86" w:rsidR="00EB363B">
        <w:rPr>
          <w:rFonts w:cs="Times New Roman"/>
          <w:iCs/>
        </w:rPr>
        <w:t>worden uitge</w:t>
      </w:r>
      <w:r w:rsidRPr="002C6A86">
        <w:rPr>
          <w:rFonts w:cs="Times New Roman"/>
          <w:iCs/>
        </w:rPr>
        <w:t>zonder</w:t>
      </w:r>
      <w:r w:rsidRPr="002C6A86" w:rsidR="00EB363B">
        <w:rPr>
          <w:rFonts w:cs="Times New Roman"/>
          <w:iCs/>
        </w:rPr>
        <w:t>d</w:t>
      </w:r>
      <w:r w:rsidRPr="002C6A86">
        <w:rPr>
          <w:rFonts w:cs="Times New Roman"/>
          <w:iCs/>
        </w:rPr>
        <w:t xml:space="preserve">. Voor deze toepassingen </w:t>
      </w:r>
      <w:r w:rsidRPr="002C6A86" w:rsidR="004330D3">
        <w:rPr>
          <w:rFonts w:cs="Times New Roman"/>
          <w:iCs/>
        </w:rPr>
        <w:t>zullen</w:t>
      </w:r>
      <w:r w:rsidRPr="002C6A86" w:rsidR="00F1435D">
        <w:rPr>
          <w:rFonts w:cs="Times New Roman"/>
          <w:iCs/>
        </w:rPr>
        <w:t xml:space="preserve"> </w:t>
      </w:r>
      <w:r w:rsidRPr="002C6A86" w:rsidR="00224CB1">
        <w:rPr>
          <w:rFonts w:cs="Times New Roman"/>
          <w:iCs/>
        </w:rPr>
        <w:t xml:space="preserve">vanaf 2029 </w:t>
      </w:r>
      <w:r w:rsidRPr="002C6A86">
        <w:rPr>
          <w:rFonts w:cs="Times New Roman"/>
          <w:iCs/>
        </w:rPr>
        <w:t>apart</w:t>
      </w:r>
      <w:r w:rsidRPr="002C6A86" w:rsidR="004330D3">
        <w:rPr>
          <w:rFonts w:cs="Times New Roman"/>
          <w:iCs/>
        </w:rPr>
        <w:t xml:space="preserve">e afspraken </w:t>
      </w:r>
      <w:r w:rsidRPr="002C6A86" w:rsidR="000D60B1">
        <w:rPr>
          <w:rFonts w:cs="Times New Roman"/>
          <w:iCs/>
        </w:rPr>
        <w:t xml:space="preserve">worden gemaakt </w:t>
      </w:r>
      <w:r w:rsidRPr="002C6A86" w:rsidR="004330D3">
        <w:rPr>
          <w:rFonts w:cs="Times New Roman"/>
          <w:iCs/>
        </w:rPr>
        <w:t>over de specifieke uitzonderingsgronden, inclusief het beoordelen en toekennen van deze uitzonderingen</w:t>
      </w:r>
      <w:r w:rsidRPr="002C6A86" w:rsidR="00224CB1">
        <w:rPr>
          <w:rFonts w:cs="Times New Roman"/>
          <w:iCs/>
        </w:rPr>
        <w:t>.</w:t>
      </w:r>
    </w:p>
    <w:p w:rsidRPr="002C6A86" w:rsidR="00224CB1" w:rsidP="00D93E52" w:rsidRDefault="00224CB1" w14:paraId="2837381F" w14:textId="77777777">
      <w:pPr>
        <w:spacing w:line="240" w:lineRule="auto"/>
        <w:rPr>
          <w:rFonts w:cs="Times New Roman"/>
          <w:iCs/>
        </w:rPr>
      </w:pPr>
    </w:p>
    <w:p w:rsidRPr="002C6A86" w:rsidR="0051662A" w:rsidP="00D93E52" w:rsidRDefault="00390A8C" w14:paraId="6970B455" w14:textId="40C5464B">
      <w:pPr>
        <w:spacing w:line="240" w:lineRule="auto"/>
        <w:rPr>
          <w:rFonts w:cs="Times New Roman"/>
          <w:iCs/>
        </w:rPr>
      </w:pPr>
      <w:r w:rsidRPr="002C6A86">
        <w:rPr>
          <w:rFonts w:cs="Times New Roman"/>
          <w:iCs/>
        </w:rPr>
        <w:t xml:space="preserve">Tenslotte </w:t>
      </w:r>
      <w:r w:rsidRPr="002C6A86" w:rsidR="0051662A">
        <w:rPr>
          <w:rFonts w:cs="Times New Roman"/>
          <w:iCs/>
        </w:rPr>
        <w:t>zijn er voor een aantal landen met een zeer hoge zomertemperatuur (</w:t>
      </w:r>
      <w:r w:rsidRPr="002C6A86">
        <w:rPr>
          <w:rFonts w:cs="Times New Roman"/>
          <w:iCs/>
        </w:rPr>
        <w:t xml:space="preserve">een </w:t>
      </w:r>
      <w:r w:rsidRPr="002C6A86" w:rsidR="0051662A">
        <w:rPr>
          <w:rFonts w:cs="Times New Roman"/>
          <w:iCs/>
        </w:rPr>
        <w:t>gemiddelde maandelijkse piektemperatuur boven de 35 graden Cel</w:t>
      </w:r>
      <w:r w:rsidRPr="002C6A86" w:rsidR="00D11F7E">
        <w:rPr>
          <w:rFonts w:cs="Times New Roman"/>
          <w:iCs/>
        </w:rPr>
        <w:t>s</w:t>
      </w:r>
      <w:r w:rsidRPr="002C6A86" w:rsidR="0051662A">
        <w:rPr>
          <w:rFonts w:cs="Times New Roman"/>
          <w:iCs/>
        </w:rPr>
        <w:t xml:space="preserve">ius) uitzonderingen </w:t>
      </w:r>
      <w:r w:rsidRPr="002C6A86">
        <w:rPr>
          <w:rFonts w:cs="Times New Roman"/>
          <w:iCs/>
        </w:rPr>
        <w:t xml:space="preserve">mogelijk </w:t>
      </w:r>
      <w:r w:rsidRPr="002C6A86" w:rsidR="0051662A">
        <w:rPr>
          <w:rFonts w:cs="Times New Roman"/>
          <w:iCs/>
        </w:rPr>
        <w:t>om HFK</w:t>
      </w:r>
      <w:r w:rsidRPr="002C6A86" w:rsidR="001A47EC">
        <w:rPr>
          <w:rFonts w:cs="Times New Roman"/>
          <w:iCs/>
        </w:rPr>
        <w:t>’</w:t>
      </w:r>
      <w:r w:rsidRPr="002C6A86" w:rsidR="0051662A">
        <w:rPr>
          <w:rFonts w:cs="Times New Roman"/>
          <w:iCs/>
        </w:rPr>
        <w:t>s in specifieke airconditioners te gebruiken</w:t>
      </w:r>
      <w:r w:rsidRPr="002C6A86" w:rsidR="00224CB1">
        <w:rPr>
          <w:rFonts w:cs="Times New Roman"/>
          <w:iCs/>
        </w:rPr>
        <w:t>. Het gaat daarbij om ingebouwde airconditioningsystemen met kanalen of systemen voor meerdere ruimtes.</w:t>
      </w:r>
    </w:p>
    <w:p w:rsidRPr="002C6A86" w:rsidR="00CC34F3" w:rsidP="00D93E52" w:rsidRDefault="00CC34F3" w14:paraId="23C30E20" w14:textId="77777777">
      <w:pPr>
        <w:spacing w:line="240" w:lineRule="auto"/>
        <w:rPr>
          <w:rFonts w:cs="Times New Roman"/>
          <w:iCs/>
        </w:rPr>
      </w:pPr>
    </w:p>
    <w:p w:rsidRPr="002C6A86" w:rsidR="008830EC" w:rsidP="00D93E52" w:rsidRDefault="008507EE" w14:paraId="0D01B506" w14:textId="77777777">
      <w:pPr>
        <w:spacing w:line="240" w:lineRule="auto"/>
        <w:rPr>
          <w:rFonts w:cs="Times New Roman"/>
          <w:i/>
          <w:iCs/>
        </w:rPr>
      </w:pPr>
      <w:r w:rsidRPr="002C6A86">
        <w:rPr>
          <w:rFonts w:cs="Times New Roman"/>
          <w:i/>
          <w:iCs/>
        </w:rPr>
        <w:t>Bijlagen</w:t>
      </w:r>
    </w:p>
    <w:p w:rsidRPr="002C6A86" w:rsidR="008830EC" w:rsidP="00D93E52" w:rsidRDefault="00390A8C" w14:paraId="158A6107" w14:textId="3D962824">
      <w:pPr>
        <w:spacing w:line="240" w:lineRule="auto"/>
        <w:rPr>
          <w:rFonts w:cs="Times New Roman"/>
          <w:iCs/>
        </w:rPr>
      </w:pPr>
      <w:r w:rsidRPr="002C6A86">
        <w:rPr>
          <w:rFonts w:cs="Times New Roman"/>
          <w:iCs/>
        </w:rPr>
        <w:t>Groep I van Bijlage A en Groep I van Bijlage E word</w:t>
      </w:r>
      <w:r w:rsidRPr="002C6A86" w:rsidR="00D11F7E">
        <w:rPr>
          <w:rFonts w:cs="Times New Roman"/>
          <w:iCs/>
        </w:rPr>
        <w:t xml:space="preserve">en </w:t>
      </w:r>
      <w:r w:rsidRPr="002C6A86">
        <w:rPr>
          <w:rFonts w:cs="Times New Roman"/>
          <w:iCs/>
        </w:rPr>
        <w:t xml:space="preserve">in </w:t>
      </w:r>
      <w:r w:rsidRPr="002C6A86" w:rsidR="00D11F7E">
        <w:rPr>
          <w:rFonts w:cs="Times New Roman"/>
          <w:iCs/>
        </w:rPr>
        <w:t xml:space="preserve">hun </w:t>
      </w:r>
      <w:r w:rsidRPr="002C6A86">
        <w:rPr>
          <w:rFonts w:cs="Times New Roman"/>
          <w:iCs/>
        </w:rPr>
        <w:t>geheel vervangen</w:t>
      </w:r>
      <w:r w:rsidRPr="002C6A86" w:rsidR="00793CBD">
        <w:rPr>
          <w:rFonts w:cs="Times New Roman"/>
          <w:iCs/>
        </w:rPr>
        <w:t xml:space="preserve"> omwille van toevoeging van de Global Warming Potentials van de gereguleerde stoffen</w:t>
      </w:r>
      <w:r w:rsidRPr="002C6A86">
        <w:rPr>
          <w:rFonts w:cs="Times New Roman"/>
          <w:iCs/>
        </w:rPr>
        <w:t>. Er wordt een nieuwe Bijlage F toegevoegd</w:t>
      </w:r>
      <w:r w:rsidRPr="002C6A86" w:rsidR="00793CBD">
        <w:rPr>
          <w:rFonts w:cs="Times New Roman"/>
          <w:iCs/>
        </w:rPr>
        <w:t xml:space="preserve"> met daarin opgenomen de gereguleerde HFK</w:t>
      </w:r>
      <w:r w:rsidRPr="002C6A86" w:rsidR="0080602D">
        <w:rPr>
          <w:rFonts w:cs="Times New Roman"/>
          <w:iCs/>
        </w:rPr>
        <w:t>’</w:t>
      </w:r>
      <w:r w:rsidRPr="002C6A86" w:rsidR="00793CBD">
        <w:rPr>
          <w:rFonts w:cs="Times New Roman"/>
          <w:iCs/>
        </w:rPr>
        <w:t>s</w:t>
      </w:r>
      <w:r w:rsidRPr="002C6A86">
        <w:rPr>
          <w:rFonts w:cs="Times New Roman"/>
          <w:iCs/>
        </w:rPr>
        <w:t>.</w:t>
      </w:r>
    </w:p>
    <w:p w:rsidRPr="002C6A86" w:rsidR="00C56F42" w:rsidP="00D93E52" w:rsidRDefault="00C56F42" w14:paraId="78B905B5" w14:textId="77777777">
      <w:pPr>
        <w:spacing w:line="240" w:lineRule="auto"/>
        <w:rPr>
          <w:rFonts w:cs="Times New Roman"/>
          <w:iCs/>
        </w:rPr>
      </w:pPr>
    </w:p>
    <w:p w:rsidRPr="002C6A86" w:rsidR="008830EC" w:rsidP="00D93E52" w:rsidRDefault="00787814" w14:paraId="6D1CEB7C" w14:textId="6ACEE055">
      <w:pPr>
        <w:spacing w:line="240" w:lineRule="auto"/>
        <w:rPr>
          <w:rFonts w:cs="Times New Roman"/>
          <w:iCs/>
        </w:rPr>
      </w:pPr>
      <w:r w:rsidRPr="002C6A86">
        <w:rPr>
          <w:rFonts w:cs="Times New Roman"/>
          <w:b/>
          <w:iCs/>
        </w:rPr>
        <w:t>Artikel II</w:t>
      </w:r>
      <w:r w:rsidRPr="002C6A86">
        <w:rPr>
          <w:rFonts w:cs="Times New Roman"/>
          <w:iCs/>
        </w:rPr>
        <w:t xml:space="preserve"> </w:t>
      </w:r>
      <w:r w:rsidRPr="002C6A86" w:rsidR="00793CBD">
        <w:rPr>
          <w:rFonts w:cs="Times New Roman"/>
          <w:iCs/>
        </w:rPr>
        <w:t xml:space="preserve">regelt dat </w:t>
      </w:r>
      <w:r w:rsidRPr="002C6A86" w:rsidR="00692E3F">
        <w:rPr>
          <w:rFonts w:cs="Times New Roman"/>
          <w:iCs/>
        </w:rPr>
        <w:t>p</w:t>
      </w:r>
      <w:r w:rsidRPr="002C6A86" w:rsidR="00793CBD">
        <w:rPr>
          <w:rFonts w:cs="Times New Roman"/>
          <w:iCs/>
        </w:rPr>
        <w:t xml:space="preserve">artijen </w:t>
      </w:r>
      <w:r w:rsidRPr="002C6A86" w:rsidR="003B2723">
        <w:rPr>
          <w:rFonts w:cs="Times New Roman"/>
          <w:iCs/>
        </w:rPr>
        <w:t>het Kigali A</w:t>
      </w:r>
      <w:r w:rsidRPr="002C6A86" w:rsidR="00793CBD">
        <w:rPr>
          <w:rFonts w:cs="Times New Roman"/>
          <w:iCs/>
        </w:rPr>
        <w:t xml:space="preserve">mendement </w:t>
      </w:r>
      <w:r w:rsidRPr="002C6A86" w:rsidR="002425ED">
        <w:rPr>
          <w:rFonts w:cs="Times New Roman"/>
          <w:iCs/>
        </w:rPr>
        <w:t xml:space="preserve">niet kunnen ratificeren </w:t>
      </w:r>
      <w:r w:rsidRPr="002C6A86" w:rsidR="00793CBD">
        <w:rPr>
          <w:rFonts w:cs="Times New Roman"/>
          <w:iCs/>
        </w:rPr>
        <w:t xml:space="preserve">zonder dat zij de wijziging </w:t>
      </w:r>
      <w:r w:rsidRPr="002C6A86" w:rsidR="003B2723">
        <w:rPr>
          <w:rFonts w:cs="Times New Roman"/>
          <w:iCs/>
        </w:rPr>
        <w:t xml:space="preserve">van 3 december </w:t>
      </w:r>
      <w:r w:rsidRPr="002C6A86" w:rsidR="00793CBD">
        <w:rPr>
          <w:rFonts w:cs="Times New Roman"/>
          <w:iCs/>
        </w:rPr>
        <w:t xml:space="preserve">1999 </w:t>
      </w:r>
      <w:r w:rsidRPr="002C6A86" w:rsidR="00E829FC">
        <w:rPr>
          <w:rFonts w:cs="Times New Roman"/>
          <w:iCs/>
        </w:rPr>
        <w:t xml:space="preserve">van Beijing, </w:t>
      </w:r>
      <w:r w:rsidRPr="002C6A86" w:rsidR="00793CBD">
        <w:rPr>
          <w:rFonts w:cs="Times New Roman"/>
          <w:iCs/>
        </w:rPr>
        <w:t>waarin de uitfasering van HCFK</w:t>
      </w:r>
      <w:r w:rsidRPr="002C6A86" w:rsidR="00D11F7E">
        <w:rPr>
          <w:rFonts w:cs="Times New Roman"/>
          <w:iCs/>
        </w:rPr>
        <w:t>’</w:t>
      </w:r>
      <w:r w:rsidRPr="002C6A86" w:rsidR="00793CBD">
        <w:rPr>
          <w:rFonts w:cs="Times New Roman"/>
          <w:iCs/>
        </w:rPr>
        <w:t>s verder is aangescherpt</w:t>
      </w:r>
      <w:r w:rsidRPr="002C6A86" w:rsidR="00E829FC">
        <w:rPr>
          <w:rFonts w:cs="Times New Roman"/>
          <w:iCs/>
        </w:rPr>
        <w:t>,</w:t>
      </w:r>
      <w:r w:rsidRPr="002C6A86" w:rsidR="00793CBD">
        <w:rPr>
          <w:rFonts w:cs="Times New Roman"/>
          <w:iCs/>
        </w:rPr>
        <w:t xml:space="preserve"> hebben geratificeerd.</w:t>
      </w:r>
      <w:r w:rsidRPr="002C6A86" w:rsidR="002425ED">
        <w:rPr>
          <w:rFonts w:cs="Times New Roman"/>
          <w:iCs/>
        </w:rPr>
        <w:t xml:space="preserve"> Dit betekent dat partijen eveneens de </w:t>
      </w:r>
      <w:r w:rsidRPr="002C6A86" w:rsidR="003A2874">
        <w:rPr>
          <w:rFonts w:cs="Times New Roman"/>
          <w:iCs/>
        </w:rPr>
        <w:t>voorafgaande wijzigingen van Montreal, Kopenhagen en Londen dienen te hebben geratificeerd</w:t>
      </w:r>
      <w:r w:rsidRPr="002C6A86" w:rsidR="002425ED">
        <w:rPr>
          <w:rFonts w:cs="Times New Roman"/>
          <w:iCs/>
        </w:rPr>
        <w:t xml:space="preserve">, overeenkomstig artikel 2 van de wijziging van 3 december 1999 van Beijing, artikel 2 van de wijziging van 17 december 1997 van </w:t>
      </w:r>
      <w:r w:rsidRPr="002C6A86" w:rsidR="003A2874">
        <w:rPr>
          <w:rFonts w:cs="Times New Roman"/>
          <w:iCs/>
        </w:rPr>
        <w:t xml:space="preserve">Montreal </w:t>
      </w:r>
      <w:r w:rsidRPr="002C6A86" w:rsidR="002425ED">
        <w:rPr>
          <w:rFonts w:cs="Times New Roman"/>
          <w:iCs/>
        </w:rPr>
        <w:t xml:space="preserve">en </w:t>
      </w:r>
      <w:r w:rsidRPr="002C6A86" w:rsidR="003A2874">
        <w:rPr>
          <w:rFonts w:cs="Times New Roman"/>
          <w:iCs/>
        </w:rPr>
        <w:t>artikel 2 van de wijziging van 25 november 1992 van Kopenhagen.</w:t>
      </w:r>
    </w:p>
    <w:p w:rsidRPr="002C6A86" w:rsidR="008830EC" w:rsidP="00D93E52" w:rsidRDefault="008830EC" w14:paraId="0982E245" w14:textId="77777777">
      <w:pPr>
        <w:spacing w:line="240" w:lineRule="auto"/>
        <w:rPr>
          <w:rFonts w:cs="Times New Roman"/>
          <w:iCs/>
        </w:rPr>
      </w:pPr>
    </w:p>
    <w:p w:rsidRPr="002C6A86" w:rsidR="008830EC" w:rsidP="00D93E52" w:rsidRDefault="00787814" w14:paraId="7D2F2C08" w14:textId="1D811345">
      <w:pPr>
        <w:spacing w:line="240" w:lineRule="auto"/>
        <w:rPr>
          <w:rFonts w:cs="Times New Roman"/>
          <w:iCs/>
        </w:rPr>
      </w:pPr>
      <w:r w:rsidRPr="002C6A86">
        <w:rPr>
          <w:rFonts w:cs="Times New Roman"/>
          <w:b/>
          <w:iCs/>
        </w:rPr>
        <w:t>Artikel III</w:t>
      </w:r>
      <w:r w:rsidRPr="002C6A86" w:rsidR="00063F63">
        <w:rPr>
          <w:rFonts w:cs="Times New Roman"/>
          <w:iCs/>
        </w:rPr>
        <w:t xml:space="preserve"> </w:t>
      </w:r>
      <w:r w:rsidRPr="002C6A86">
        <w:rPr>
          <w:rFonts w:cs="Times New Roman"/>
          <w:iCs/>
        </w:rPr>
        <w:t xml:space="preserve">verklaart dat de wijziging niet is bedoeld om </w:t>
      </w:r>
      <w:r w:rsidRPr="002C6A86" w:rsidR="00793CBD">
        <w:rPr>
          <w:rFonts w:cs="Times New Roman"/>
          <w:iCs/>
        </w:rPr>
        <w:t xml:space="preserve">HFK’s </w:t>
      </w:r>
      <w:r w:rsidRPr="002C6A86">
        <w:rPr>
          <w:rFonts w:cs="Times New Roman"/>
          <w:iCs/>
        </w:rPr>
        <w:t xml:space="preserve">uit te zonderen van de verplichtingen die zijn aangegaan in </w:t>
      </w:r>
      <w:r w:rsidRPr="002C6A86" w:rsidR="008830EC">
        <w:rPr>
          <w:rFonts w:cs="Times New Roman"/>
          <w:iCs/>
        </w:rPr>
        <w:t xml:space="preserve">het </w:t>
      </w:r>
      <w:r w:rsidRPr="002C6A86" w:rsidR="00692E3F">
        <w:rPr>
          <w:rFonts w:cs="Times New Roman"/>
          <w:iCs/>
        </w:rPr>
        <w:t>Raam</w:t>
      </w:r>
      <w:r w:rsidRPr="002C6A86" w:rsidR="008830EC">
        <w:rPr>
          <w:rFonts w:cs="Times New Roman"/>
          <w:iCs/>
        </w:rPr>
        <w:t xml:space="preserve">verdrag </w:t>
      </w:r>
      <w:r w:rsidRPr="002C6A86" w:rsidR="00692E3F">
        <w:rPr>
          <w:rFonts w:cs="Times New Roman"/>
          <w:iCs/>
        </w:rPr>
        <w:t xml:space="preserve">van de Verenigde Naties inzake klimaatverandering </w:t>
      </w:r>
      <w:r w:rsidRPr="002C6A86" w:rsidR="008830EC">
        <w:rPr>
          <w:rFonts w:cs="Times New Roman"/>
          <w:iCs/>
        </w:rPr>
        <w:t xml:space="preserve">en het </w:t>
      </w:r>
      <w:r w:rsidRPr="002C6A86" w:rsidR="00692E3F">
        <w:rPr>
          <w:rFonts w:cs="Times New Roman"/>
          <w:iCs/>
        </w:rPr>
        <w:t xml:space="preserve">op 11 december 1997 te </w:t>
      </w:r>
      <w:r w:rsidRPr="002C6A86" w:rsidR="008830EC">
        <w:rPr>
          <w:rFonts w:cs="Times New Roman"/>
          <w:iCs/>
        </w:rPr>
        <w:t xml:space="preserve">Kyoto </w:t>
      </w:r>
      <w:r w:rsidRPr="002C6A86" w:rsidR="00692E3F">
        <w:rPr>
          <w:rFonts w:cs="Times New Roman"/>
          <w:iCs/>
        </w:rPr>
        <w:t xml:space="preserve">tot stand gekomen </w:t>
      </w:r>
      <w:r w:rsidRPr="002C6A86" w:rsidR="008830EC">
        <w:rPr>
          <w:rFonts w:cs="Times New Roman"/>
          <w:iCs/>
        </w:rPr>
        <w:t>Protocol</w:t>
      </w:r>
      <w:r w:rsidRPr="002C6A86" w:rsidR="00692E3F">
        <w:rPr>
          <w:rFonts w:cs="Times New Roman"/>
          <w:iCs/>
        </w:rPr>
        <w:t xml:space="preserve"> van Kyoto bij het Raamverdrag van de Verenigde Naties inzake klimaatverandering (Trb. 1998, 170).</w:t>
      </w:r>
    </w:p>
    <w:p w:rsidRPr="002C6A86" w:rsidR="008830EC" w:rsidP="00D93E52" w:rsidRDefault="008830EC" w14:paraId="15B92D3D" w14:textId="77777777">
      <w:pPr>
        <w:spacing w:line="240" w:lineRule="auto"/>
        <w:rPr>
          <w:rFonts w:cs="Times New Roman"/>
          <w:iCs/>
        </w:rPr>
      </w:pPr>
      <w:r w:rsidRPr="002C6A86">
        <w:rPr>
          <w:rFonts w:cs="Times New Roman"/>
          <w:iCs/>
        </w:rPr>
        <w:br/>
      </w:r>
      <w:r w:rsidRPr="002C6A86" w:rsidR="00787814">
        <w:rPr>
          <w:rFonts w:cs="Times New Roman"/>
          <w:b/>
          <w:iCs/>
        </w:rPr>
        <w:t>Artikel IV</w:t>
      </w:r>
      <w:r w:rsidRPr="002C6A86" w:rsidR="00787814">
        <w:rPr>
          <w:rFonts w:cs="Times New Roman"/>
          <w:iCs/>
        </w:rPr>
        <w:t xml:space="preserve"> regelt de i</w:t>
      </w:r>
      <w:r w:rsidRPr="002C6A86">
        <w:rPr>
          <w:rFonts w:cs="Times New Roman"/>
          <w:iCs/>
        </w:rPr>
        <w:t>nwerkingtreding van de wijziging</w:t>
      </w:r>
      <w:r w:rsidRPr="002C6A86" w:rsidR="00390A8C">
        <w:rPr>
          <w:rFonts w:cs="Times New Roman"/>
          <w:iCs/>
        </w:rPr>
        <w:t xml:space="preserve">: op 1 januari 2019, mits het Amendement door twintig partijen is geratificeerd. Is dit niet het geval, dan treedt het in werking 90 dagen na de </w:t>
      </w:r>
      <w:r w:rsidRPr="002C6A86" w:rsidR="00063F63">
        <w:rPr>
          <w:rFonts w:cs="Times New Roman"/>
          <w:iCs/>
        </w:rPr>
        <w:t>dag van de twintigste ratificatie.</w:t>
      </w:r>
      <w:r w:rsidRPr="002C6A86">
        <w:rPr>
          <w:rFonts w:cs="Times New Roman"/>
          <w:iCs/>
        </w:rPr>
        <w:br/>
      </w:r>
    </w:p>
    <w:p w:rsidRPr="002C6A86" w:rsidR="008830EC" w:rsidP="00D93E52" w:rsidRDefault="00787814" w14:paraId="7C093A39" w14:textId="06051A01">
      <w:pPr>
        <w:spacing w:line="240" w:lineRule="auto"/>
        <w:rPr>
          <w:rFonts w:cs="Times New Roman"/>
          <w:iCs/>
        </w:rPr>
      </w:pPr>
      <w:r w:rsidRPr="002C6A86">
        <w:rPr>
          <w:rFonts w:cs="Times New Roman"/>
          <w:b/>
          <w:iCs/>
        </w:rPr>
        <w:t>Artikel V</w:t>
      </w:r>
      <w:r w:rsidRPr="002C6A86">
        <w:rPr>
          <w:rFonts w:cs="Times New Roman"/>
          <w:iCs/>
        </w:rPr>
        <w:t xml:space="preserve"> bepaalt dat </w:t>
      </w:r>
      <w:r w:rsidRPr="002C6A86" w:rsidR="001D12C0">
        <w:rPr>
          <w:rFonts w:cs="Times New Roman"/>
          <w:iCs/>
        </w:rPr>
        <w:t xml:space="preserve">partijen </w:t>
      </w:r>
      <w:r w:rsidRPr="002C6A86">
        <w:rPr>
          <w:rFonts w:cs="Times New Roman"/>
          <w:iCs/>
        </w:rPr>
        <w:t xml:space="preserve">ervoor kunnen kiezen </w:t>
      </w:r>
      <w:r w:rsidRPr="002C6A86" w:rsidR="001D12C0">
        <w:rPr>
          <w:rFonts w:cs="Times New Roman"/>
          <w:iCs/>
        </w:rPr>
        <w:t>de controlemaatr</w:t>
      </w:r>
      <w:r w:rsidRPr="002C6A86" w:rsidR="00692E3F">
        <w:rPr>
          <w:rFonts w:cs="Times New Roman"/>
          <w:iCs/>
        </w:rPr>
        <w:t>e</w:t>
      </w:r>
      <w:r w:rsidRPr="002C6A86" w:rsidR="001D12C0">
        <w:rPr>
          <w:rFonts w:cs="Times New Roman"/>
          <w:iCs/>
        </w:rPr>
        <w:t xml:space="preserve">gelen van </w:t>
      </w:r>
      <w:r w:rsidRPr="002C6A86">
        <w:rPr>
          <w:rFonts w:cs="Times New Roman"/>
          <w:iCs/>
        </w:rPr>
        <w:t xml:space="preserve">artikel 2J </w:t>
      </w:r>
      <w:r w:rsidRPr="002C6A86" w:rsidR="001D12C0">
        <w:rPr>
          <w:rFonts w:cs="Times New Roman"/>
          <w:iCs/>
        </w:rPr>
        <w:t xml:space="preserve">van het Protocol </w:t>
      </w:r>
      <w:r w:rsidRPr="002C6A86">
        <w:rPr>
          <w:rFonts w:cs="Times New Roman"/>
          <w:iCs/>
        </w:rPr>
        <w:t xml:space="preserve">en de corresponderende </w:t>
      </w:r>
      <w:r w:rsidRPr="002C6A86" w:rsidR="001D12C0">
        <w:rPr>
          <w:rFonts w:cs="Times New Roman"/>
          <w:iCs/>
        </w:rPr>
        <w:t>rapportage</w:t>
      </w:r>
      <w:r w:rsidRPr="002C6A86">
        <w:rPr>
          <w:rFonts w:cs="Times New Roman"/>
          <w:iCs/>
        </w:rPr>
        <w:t>verplichtingen uit artikel 7 van de wijziging alvast voorlopig toe te passen, vooruitlopend op de inwerkingtreding van de wijziging.</w:t>
      </w:r>
      <w:r w:rsidRPr="002C6A86" w:rsidR="001D12C0">
        <w:rPr>
          <w:rFonts w:cs="Times New Roman"/>
          <w:iCs/>
        </w:rPr>
        <w:t xml:space="preserve"> </w:t>
      </w:r>
      <w:r w:rsidRPr="002C6A86" w:rsidR="009F64F9">
        <w:rPr>
          <w:rFonts w:cs="Times New Roman"/>
          <w:iCs/>
        </w:rPr>
        <w:t xml:space="preserve">Vooralsnog </w:t>
      </w:r>
      <w:r w:rsidRPr="002C6A86" w:rsidR="0017673A">
        <w:rPr>
          <w:rFonts w:cs="Times New Roman"/>
          <w:iCs/>
        </w:rPr>
        <w:t xml:space="preserve">zullen noch </w:t>
      </w:r>
      <w:r w:rsidRPr="002C6A86" w:rsidR="00A620B0">
        <w:rPr>
          <w:rFonts w:cs="Times New Roman"/>
          <w:iCs/>
        </w:rPr>
        <w:t>de EU</w:t>
      </w:r>
      <w:r w:rsidRPr="002C6A86" w:rsidR="0017673A">
        <w:rPr>
          <w:rFonts w:cs="Times New Roman"/>
          <w:iCs/>
        </w:rPr>
        <w:t>, noch Nederland</w:t>
      </w:r>
      <w:r w:rsidRPr="002C6A86" w:rsidR="00A620B0">
        <w:rPr>
          <w:rFonts w:cs="Times New Roman"/>
          <w:iCs/>
        </w:rPr>
        <w:t xml:space="preserve"> </w:t>
      </w:r>
      <w:r w:rsidRPr="002C6A86" w:rsidR="0017673A">
        <w:rPr>
          <w:rFonts w:cs="Times New Roman"/>
          <w:iCs/>
        </w:rPr>
        <w:t>g</w:t>
      </w:r>
      <w:r w:rsidRPr="002C6A86" w:rsidR="00A620B0">
        <w:rPr>
          <w:rFonts w:cs="Times New Roman"/>
          <w:iCs/>
        </w:rPr>
        <w:t xml:space="preserve">ebruik </w:t>
      </w:r>
      <w:r w:rsidRPr="002C6A86" w:rsidR="0017673A">
        <w:rPr>
          <w:rFonts w:cs="Times New Roman"/>
          <w:iCs/>
        </w:rPr>
        <w:t xml:space="preserve">maken van deze mogelijkheid. </w:t>
      </w:r>
    </w:p>
    <w:p w:rsidRPr="002C6A86" w:rsidR="00CB60A0" w:rsidP="00CB60A0" w:rsidRDefault="00CB60A0" w14:paraId="50E1607A" w14:textId="51A619A6">
      <w:pPr>
        <w:spacing w:line="240" w:lineRule="auto"/>
      </w:pPr>
    </w:p>
    <w:p w:rsidRPr="002C6A86" w:rsidR="00D049D2" w:rsidP="00D93E52" w:rsidRDefault="00D049D2" w14:paraId="1D19C457" w14:textId="77777777">
      <w:pPr>
        <w:spacing w:line="240" w:lineRule="auto"/>
        <w:rPr>
          <w:rFonts w:cs="Times New Roman"/>
        </w:rPr>
      </w:pPr>
    </w:p>
    <w:p w:rsidRPr="002C6A86" w:rsidR="003419F5" w:rsidP="00D93E52" w:rsidRDefault="004F7005" w14:paraId="008DFAAD" w14:textId="77777777">
      <w:pPr>
        <w:spacing w:line="240" w:lineRule="auto"/>
        <w:rPr>
          <w:rFonts w:cs="Times New Roman"/>
          <w:b/>
        </w:rPr>
      </w:pPr>
      <w:r w:rsidRPr="002C6A86">
        <w:rPr>
          <w:rFonts w:cs="Times New Roman"/>
          <w:b/>
        </w:rPr>
        <w:t>6</w:t>
      </w:r>
      <w:r w:rsidRPr="002C6A86" w:rsidR="00955A23">
        <w:rPr>
          <w:rFonts w:cs="Times New Roman"/>
          <w:b/>
        </w:rPr>
        <w:t xml:space="preserve">. </w:t>
      </w:r>
      <w:r w:rsidRPr="002C6A86" w:rsidR="003419F5">
        <w:rPr>
          <w:rFonts w:cs="Times New Roman"/>
          <w:b/>
        </w:rPr>
        <w:t>Koninkrijkspositie</w:t>
      </w:r>
    </w:p>
    <w:p w:rsidRPr="002C6A86" w:rsidR="00A331FA" w:rsidP="00D93E52" w:rsidRDefault="00A331FA" w14:paraId="61D673BF" w14:textId="77777777">
      <w:pPr>
        <w:spacing w:line="240" w:lineRule="auto"/>
        <w:rPr>
          <w:rFonts w:cs="Times New Roman"/>
          <w:b/>
        </w:rPr>
      </w:pPr>
    </w:p>
    <w:p w:rsidRPr="002C6A86" w:rsidR="00A331FA" w:rsidP="004C6A72" w:rsidRDefault="000F052B" w14:paraId="7B23495D" w14:textId="424AEA30">
      <w:pPr>
        <w:spacing w:line="240" w:lineRule="auto"/>
      </w:pPr>
      <w:r w:rsidRPr="002C6A86">
        <w:t xml:space="preserve">Het Montreal Protocol </w:t>
      </w:r>
      <w:r w:rsidRPr="002C6A86" w:rsidR="000A6B40">
        <w:t xml:space="preserve">is aanvaard en </w:t>
      </w:r>
      <w:r w:rsidRPr="002C6A86">
        <w:t>geldt voor het gehele Koninkrijk.</w:t>
      </w:r>
      <w:r w:rsidRPr="002C6A86" w:rsidR="000A6B40">
        <w:t xml:space="preserve"> </w:t>
      </w:r>
      <w:r w:rsidRPr="002C6A86" w:rsidR="00DA626C">
        <w:t>D</w:t>
      </w:r>
      <w:r w:rsidRPr="002C6A86" w:rsidR="000A6B40">
        <w:t xml:space="preserve">e </w:t>
      </w:r>
      <w:r w:rsidRPr="002C6A86" w:rsidR="001F313C">
        <w:t>op 29 juni 199</w:t>
      </w:r>
      <w:r w:rsidRPr="002C6A86" w:rsidR="000D60B1">
        <w:t>0</w:t>
      </w:r>
      <w:r w:rsidRPr="002C6A86" w:rsidR="001F313C">
        <w:t xml:space="preserve"> te </w:t>
      </w:r>
      <w:r w:rsidRPr="002C6A86" w:rsidR="000A6B40">
        <w:t>Londen</w:t>
      </w:r>
      <w:r w:rsidRPr="002C6A86" w:rsidR="00A331FA">
        <w:t xml:space="preserve">, de op 25 november 1992 te Kopenhagen, de op 17 september 1997 te Montreal en de op 3 december 1999 te Beijing tot stand gekomen wijzigingen zijn aanvaard </w:t>
      </w:r>
      <w:r w:rsidRPr="002C6A86" w:rsidR="00DA626C">
        <w:t xml:space="preserve">voor </w:t>
      </w:r>
      <w:r w:rsidRPr="002C6A86" w:rsidR="00A331FA">
        <w:t xml:space="preserve">en gelden voor het Europese deel van Nederland. </w:t>
      </w:r>
      <w:r w:rsidRPr="002C6A86" w:rsidR="00802311">
        <w:t xml:space="preserve">De wijzigingen van Londen, Kopenhagen, Montreal en Beijing zijn nog niet aanvaard voor het Caribische deel van Nederland, zie paragraaf 3 hierboven. </w:t>
      </w:r>
      <w:r w:rsidRPr="002C6A86" w:rsidR="00466C8C">
        <w:t>Zodra de benodigde uitvoeringswetgeving gereed is</w:t>
      </w:r>
      <w:r w:rsidRPr="002C6A86" w:rsidR="00C573FF">
        <w:t>,</w:t>
      </w:r>
      <w:r w:rsidRPr="002C6A86" w:rsidR="00466C8C">
        <w:t xml:space="preserve"> zullen alle opeenvolgende wijzigingen voor Caribisch Nederland kunnen worden aanvaard.  </w:t>
      </w:r>
    </w:p>
    <w:p w:rsidRPr="002C6A86" w:rsidR="00DA626C" w:rsidP="004C6A72" w:rsidRDefault="00DA626C" w14:paraId="13C27E6E" w14:textId="4F071452">
      <w:pPr>
        <w:spacing w:line="240" w:lineRule="auto"/>
      </w:pPr>
      <w:r w:rsidRPr="002C6A86">
        <w:t>D</w:t>
      </w:r>
      <w:r w:rsidRPr="002C6A86" w:rsidR="00A331FA">
        <w:t>e op 29 juni 199</w:t>
      </w:r>
      <w:r w:rsidRPr="002C6A86" w:rsidR="000D60B1">
        <w:t>0</w:t>
      </w:r>
      <w:r w:rsidRPr="002C6A86" w:rsidR="00A331FA">
        <w:t xml:space="preserve"> te Londen tot stand gekomen wijziging </w:t>
      </w:r>
      <w:r w:rsidRPr="002C6A86">
        <w:t xml:space="preserve">is </w:t>
      </w:r>
      <w:r w:rsidRPr="002C6A86" w:rsidR="00A331FA">
        <w:t xml:space="preserve">aanvaard voor Aruba. De regering van Aruba wenst medegelding van de wijzigingen van Kopenhagen, Montreal en Beijing voor haar land. </w:t>
      </w:r>
    </w:p>
    <w:p w:rsidRPr="002C6A86" w:rsidR="00DA626C" w:rsidP="004C6A72" w:rsidRDefault="00DA626C" w14:paraId="27790F5D" w14:textId="77777777">
      <w:pPr>
        <w:spacing w:line="240" w:lineRule="auto"/>
      </w:pPr>
      <w:r w:rsidRPr="002C6A86">
        <w:t xml:space="preserve">De regeringen van Curaçao en Sint Maarten wensen de medegelding van de wijzigingen van Londen, Kopenhagen, Montreal en Beijing voor hun land. De noodzakelijke uitvoeringswetgeving voor aanvaarding van deze wijzigingen </w:t>
      </w:r>
      <w:r w:rsidRPr="002C6A86" w:rsidR="00CF409A">
        <w:t xml:space="preserve">voor de </w:t>
      </w:r>
      <w:r w:rsidRPr="002C6A86" w:rsidR="00C573FF">
        <w:t xml:space="preserve">drie </w:t>
      </w:r>
      <w:r w:rsidRPr="002C6A86" w:rsidR="00CF409A">
        <w:t xml:space="preserve">landen </w:t>
      </w:r>
      <w:r w:rsidRPr="002C6A86" w:rsidR="00802311">
        <w:t xml:space="preserve">is </w:t>
      </w:r>
      <w:r w:rsidRPr="002C6A86">
        <w:t xml:space="preserve">in voorbereiding.   </w:t>
      </w:r>
    </w:p>
    <w:p w:rsidRPr="002C6A86" w:rsidR="008C4BB8" w:rsidP="004C6A72" w:rsidRDefault="00DA626C" w14:paraId="6A4F2E9C" w14:textId="5DA3624F">
      <w:pPr>
        <w:spacing w:line="240" w:lineRule="auto"/>
        <w:rPr>
          <w:rFonts w:cs="Times New Roman"/>
        </w:rPr>
      </w:pPr>
      <w:r w:rsidRPr="002C6A86">
        <w:t>De regering</w:t>
      </w:r>
      <w:r w:rsidRPr="002C6A86" w:rsidR="003A2874">
        <w:t>en</w:t>
      </w:r>
      <w:r w:rsidRPr="002C6A86">
        <w:t xml:space="preserve"> van Aruba</w:t>
      </w:r>
      <w:r w:rsidRPr="002C6A86" w:rsidR="00802311">
        <w:t xml:space="preserve">, Curaçao en Sint Maarten hebben de wenselijkheid van </w:t>
      </w:r>
      <w:r w:rsidRPr="002C6A86">
        <w:t>medegelding van het Kigali Amendement</w:t>
      </w:r>
      <w:r w:rsidRPr="002C6A86" w:rsidR="00802311">
        <w:t xml:space="preserve"> voor hun land nog in beraad</w:t>
      </w:r>
      <w:r w:rsidRPr="002C6A86">
        <w:t>.</w:t>
      </w:r>
      <w:r w:rsidRPr="002C6A86" w:rsidR="00802311">
        <w:t xml:space="preserve"> Voor </w:t>
      </w:r>
      <w:r w:rsidRPr="002C6A86" w:rsidR="0017673A">
        <w:t xml:space="preserve">medegelding </w:t>
      </w:r>
      <w:r w:rsidRPr="002C6A86" w:rsidR="00CC4DEB">
        <w:t>van het Kigali Amendement</w:t>
      </w:r>
      <w:r w:rsidRPr="002C6A86" w:rsidR="0017673A">
        <w:t xml:space="preserve"> zal</w:t>
      </w:r>
      <w:r w:rsidRPr="002C6A86" w:rsidR="00802311">
        <w:t xml:space="preserve"> uitvoeringswetgeving noodzakelijk zijn</w:t>
      </w:r>
      <w:r w:rsidRPr="002C6A86" w:rsidR="0017673A">
        <w:t>. O</w:t>
      </w:r>
      <w:r w:rsidRPr="002C6A86" w:rsidR="00CF409A">
        <w:t xml:space="preserve">ok kan het Kigali Amendement pas </w:t>
      </w:r>
      <w:r w:rsidRPr="002C6A86" w:rsidR="003A2874">
        <w:t xml:space="preserve">voor Aruba, Curaçao en Sint Maarten </w:t>
      </w:r>
      <w:r w:rsidRPr="002C6A86" w:rsidR="00CF409A">
        <w:t>worden aanvaard, wanneer</w:t>
      </w:r>
      <w:r w:rsidRPr="002C6A86" w:rsidR="003A2874">
        <w:t xml:space="preserve"> </w:t>
      </w:r>
      <w:r w:rsidRPr="002C6A86" w:rsidR="00CF409A">
        <w:t>de wijziging</w:t>
      </w:r>
      <w:r w:rsidRPr="002C6A86" w:rsidR="003A2874">
        <w:t xml:space="preserve">en </w:t>
      </w:r>
      <w:r w:rsidRPr="002C6A86" w:rsidR="00CF409A">
        <w:t xml:space="preserve">van </w:t>
      </w:r>
      <w:r w:rsidRPr="002C6A86" w:rsidR="003A2874">
        <w:t xml:space="preserve">Londen, Kopenhagen, Montreal en </w:t>
      </w:r>
      <w:r w:rsidRPr="002C6A86" w:rsidR="00CF409A">
        <w:t xml:space="preserve">Beijing </w:t>
      </w:r>
      <w:r w:rsidRPr="002C6A86" w:rsidR="003A2874">
        <w:t xml:space="preserve">zijn </w:t>
      </w:r>
      <w:r w:rsidRPr="002C6A86" w:rsidR="00CF409A">
        <w:t>aanvaard</w:t>
      </w:r>
      <w:r w:rsidRPr="002C6A86" w:rsidR="00802311">
        <w:t xml:space="preserve">. </w:t>
      </w:r>
      <w:r w:rsidRPr="002C6A86">
        <w:t xml:space="preserve"> </w:t>
      </w:r>
      <w:r w:rsidRPr="002C6A86" w:rsidR="00A331FA">
        <w:t xml:space="preserve">   </w:t>
      </w:r>
    </w:p>
    <w:p w:rsidR="00144515" w:rsidP="00D90240" w:rsidRDefault="00144515" w14:paraId="7ABC0FFA" w14:textId="15B2DB4E">
      <w:pPr>
        <w:spacing w:line="360" w:lineRule="auto"/>
        <w:rPr>
          <w:rFonts w:cs="Times New Roman"/>
        </w:rPr>
      </w:pPr>
    </w:p>
    <w:p w:rsidR="002C6A86" w:rsidP="00D90240" w:rsidRDefault="002C6A86" w14:paraId="09940061" w14:textId="6D55ECCC">
      <w:pPr>
        <w:spacing w:line="360" w:lineRule="auto"/>
        <w:rPr>
          <w:rFonts w:cs="Times New Roman"/>
        </w:rPr>
      </w:pPr>
    </w:p>
    <w:p w:rsidRPr="002C6A86" w:rsidR="002C6A86" w:rsidP="00D90240" w:rsidRDefault="002C6A86" w14:paraId="146A2D59" w14:textId="77777777">
      <w:pPr>
        <w:spacing w:line="360" w:lineRule="auto"/>
        <w:rPr>
          <w:rFonts w:cs="Times New Roman"/>
        </w:rPr>
      </w:pPr>
    </w:p>
    <w:p w:rsidRPr="002C6A86" w:rsidR="002C6A86" w:rsidP="002C6A86" w:rsidRDefault="002C6A86" w14:paraId="719D4BF8" w14:textId="77777777">
      <w:pPr>
        <w:spacing w:line="360" w:lineRule="auto"/>
        <w:rPr>
          <w:rFonts w:cs="Times New Roman"/>
          <w:lang w:eastAsia="nl-NL"/>
        </w:rPr>
      </w:pPr>
      <w:r w:rsidRPr="002C6A86">
        <w:rPr>
          <w:rFonts w:cs="Times New Roman"/>
        </w:rPr>
        <w:t>De Staatssecretaris van Infrastructuur en Milieu,</w:t>
      </w:r>
    </w:p>
    <w:p w:rsidRPr="002C6A86" w:rsidR="002C6A86" w:rsidP="002C6A86" w:rsidRDefault="002C6A86" w14:paraId="3A78615B" w14:textId="77777777">
      <w:pPr>
        <w:spacing w:line="360" w:lineRule="auto"/>
        <w:rPr>
          <w:rFonts w:cs="Times New Roman"/>
        </w:rPr>
      </w:pPr>
    </w:p>
    <w:p w:rsidRPr="002C6A86" w:rsidR="002C6A86" w:rsidP="002C6A86" w:rsidRDefault="002C6A86" w14:paraId="373BA811" w14:textId="77777777">
      <w:pPr>
        <w:spacing w:line="360" w:lineRule="auto"/>
        <w:rPr>
          <w:rFonts w:cs="Times New Roman"/>
        </w:rPr>
      </w:pPr>
    </w:p>
    <w:p w:rsidRPr="002C6A86" w:rsidR="002C6A86" w:rsidP="002C6A86" w:rsidRDefault="002C6A86" w14:paraId="06AB5D03" w14:textId="77777777">
      <w:pPr>
        <w:spacing w:line="360" w:lineRule="auto"/>
        <w:rPr>
          <w:rFonts w:cs="Times New Roman"/>
        </w:rPr>
      </w:pPr>
    </w:p>
    <w:p w:rsidRPr="002C6A86" w:rsidR="002C6A86" w:rsidP="002C6A86" w:rsidRDefault="002C6A86" w14:paraId="771BDE7B" w14:textId="77777777">
      <w:pPr>
        <w:spacing w:line="360" w:lineRule="auto"/>
        <w:rPr>
          <w:rFonts w:cs="Times New Roman"/>
        </w:rPr>
      </w:pPr>
      <w:r w:rsidRPr="002C6A86">
        <w:rPr>
          <w:rFonts w:cs="Times New Roman"/>
        </w:rPr>
        <w:t>De Minister van Buitenlandse Zaken,</w:t>
      </w:r>
    </w:p>
    <w:p w:rsidRPr="002C6A86" w:rsidR="002C6A86" w:rsidP="00D90240" w:rsidRDefault="002C6A86" w14:paraId="287064F5" w14:textId="77777777">
      <w:pPr>
        <w:spacing w:line="360" w:lineRule="auto"/>
        <w:rPr>
          <w:rFonts w:cs="Times New Roman"/>
        </w:rPr>
      </w:pPr>
    </w:p>
    <w:p w:rsidRPr="002C6A86" w:rsidR="00144515" w:rsidP="00D90240" w:rsidRDefault="00144515" w14:paraId="1BBDECF3" w14:textId="77777777">
      <w:pPr>
        <w:spacing w:line="360" w:lineRule="auto"/>
        <w:rPr>
          <w:rFonts w:cs="Times New Roman"/>
        </w:rPr>
      </w:pPr>
    </w:p>
    <w:p w:rsidRPr="002C6A86" w:rsidR="00144515" w:rsidP="00D90240" w:rsidRDefault="00144515" w14:paraId="6037D4F5" w14:textId="77777777">
      <w:pPr>
        <w:spacing w:line="360" w:lineRule="auto"/>
        <w:rPr>
          <w:rFonts w:cs="Times New Roman"/>
        </w:rPr>
      </w:pPr>
    </w:p>
    <w:sectPr w:rsidRPr="002C6A86" w:rsidR="00144515" w:rsidSect="009B3418">
      <w:headerReference w:type="default" r:id="rId11"/>
      <w:footerReference w:type="default" r:id="rId12"/>
      <w:headerReference w:type="first" r:id="rId13"/>
      <w:footerReference w:type="first" r:id="rId14"/>
      <w:pgSz w:w="11906" w:h="16838" w:code="9"/>
      <w:pgMar w:top="851" w:right="1134" w:bottom="1418" w:left="1134" w:header="567"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DF1C" w14:textId="77777777" w:rsidR="003E5C2F" w:rsidRDefault="003E5C2F" w:rsidP="008F72E9">
      <w:pPr>
        <w:spacing w:line="240" w:lineRule="auto"/>
      </w:pPr>
      <w:r>
        <w:separator/>
      </w:r>
    </w:p>
  </w:endnote>
  <w:endnote w:type="continuationSeparator" w:id="0">
    <w:p w14:paraId="2086097F" w14:textId="77777777" w:rsidR="003E5C2F" w:rsidRDefault="003E5C2F" w:rsidP="008F72E9">
      <w:pPr>
        <w:spacing w:line="240" w:lineRule="auto"/>
      </w:pPr>
      <w:r>
        <w:continuationSeparator/>
      </w:r>
    </w:p>
  </w:endnote>
  <w:endnote w:type="continuationNotice" w:id="1">
    <w:p w14:paraId="655CDE82" w14:textId="77777777" w:rsidR="003E5C2F" w:rsidRDefault="003E5C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963685"/>
      <w:docPartObj>
        <w:docPartGallery w:val="Page Numbers (Bottom of Page)"/>
        <w:docPartUnique/>
      </w:docPartObj>
    </w:sdtPr>
    <w:sdtEndPr>
      <w:rPr>
        <w:noProof/>
      </w:rPr>
    </w:sdtEndPr>
    <w:sdtContent>
      <w:p w14:paraId="70937300" w14:textId="0129456D" w:rsidR="00C142A0" w:rsidRDefault="00C142A0">
        <w:pPr>
          <w:pStyle w:val="Voettekst"/>
          <w:jc w:val="center"/>
        </w:pPr>
        <w:r>
          <w:fldChar w:fldCharType="begin"/>
        </w:r>
        <w:r>
          <w:instrText xml:space="preserve"> PAGE   \* MERGEFORMAT </w:instrText>
        </w:r>
        <w:r>
          <w:fldChar w:fldCharType="separate"/>
        </w:r>
        <w:r w:rsidR="00D91763">
          <w:rPr>
            <w:noProof/>
          </w:rPr>
          <w:t>2</w:t>
        </w:r>
        <w:r>
          <w:rPr>
            <w:noProof/>
          </w:rPr>
          <w:fldChar w:fldCharType="end"/>
        </w:r>
      </w:p>
    </w:sdtContent>
  </w:sdt>
  <w:p w14:paraId="63AFBD4F" w14:textId="77777777" w:rsidR="00C142A0" w:rsidRDefault="00C142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93C45" w14:textId="0F3BB4BB" w:rsidR="009B3418" w:rsidRDefault="009B3418">
    <w:pPr>
      <w:pStyle w:val="Voettekst"/>
      <w:pBdr>
        <w:bottom w:val="single" w:sz="12" w:space="1" w:color="auto"/>
      </w:pBdr>
    </w:pPr>
  </w:p>
  <w:p w14:paraId="26E95E24" w14:textId="3914DF1D" w:rsidR="009B3418" w:rsidRDefault="009B3418">
    <w:pPr>
      <w:pStyle w:val="Voettekst"/>
    </w:pPr>
    <w:r w:rsidRPr="009B3418">
      <w:t>Het advies van de Afdeling advisering van de Raad van State van het Koninkrijk wordt niet openbaar gemaakt, omdat het zonder meer instemmend luidt (artikel 26, zesde lid jo vijfde lid, van de Wet op de Raad van State).</w:t>
    </w:r>
  </w:p>
  <w:p w14:paraId="089FE7DE" w14:textId="77777777" w:rsidR="00C142A0" w:rsidRDefault="00C142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B2A51" w14:textId="77777777" w:rsidR="003E5C2F" w:rsidRDefault="003E5C2F" w:rsidP="008F72E9">
      <w:pPr>
        <w:spacing w:line="240" w:lineRule="auto"/>
      </w:pPr>
      <w:r>
        <w:separator/>
      </w:r>
    </w:p>
  </w:footnote>
  <w:footnote w:type="continuationSeparator" w:id="0">
    <w:p w14:paraId="487B8920" w14:textId="77777777" w:rsidR="003E5C2F" w:rsidRDefault="003E5C2F" w:rsidP="008F72E9">
      <w:pPr>
        <w:spacing w:line="240" w:lineRule="auto"/>
      </w:pPr>
      <w:r>
        <w:continuationSeparator/>
      </w:r>
    </w:p>
  </w:footnote>
  <w:footnote w:type="continuationNotice" w:id="1">
    <w:p w14:paraId="63C1990D" w14:textId="77777777" w:rsidR="003E5C2F" w:rsidRDefault="003E5C2F">
      <w:pPr>
        <w:spacing w:line="240" w:lineRule="auto"/>
      </w:pPr>
    </w:p>
  </w:footnote>
  <w:footnote w:id="2">
    <w:p w14:paraId="37E81BD0" w14:textId="4367EBD3" w:rsidR="00C142A0" w:rsidRPr="007C44D7" w:rsidRDefault="00C142A0" w:rsidP="00B76EC8">
      <w:pPr>
        <w:pStyle w:val="Voetnoottekst"/>
        <w:rPr>
          <w:sz w:val="16"/>
          <w:szCs w:val="16"/>
        </w:rPr>
      </w:pPr>
      <w:r>
        <w:rPr>
          <w:rStyle w:val="Voetnootmarkering"/>
        </w:rPr>
        <w:footnoteRef/>
      </w:r>
      <w:r w:rsidRPr="00A21509">
        <w:rPr>
          <w:lang w:val="en-US"/>
        </w:rPr>
        <w:t xml:space="preserve"> </w:t>
      </w:r>
      <w:r w:rsidRPr="00A21509">
        <w:rPr>
          <w:sz w:val="16"/>
          <w:szCs w:val="16"/>
          <w:lang w:val="en-US"/>
        </w:rPr>
        <w:t xml:space="preserve">Environmental </w:t>
      </w:r>
      <w:r>
        <w:rPr>
          <w:sz w:val="16"/>
          <w:szCs w:val="16"/>
          <w:lang w:val="en-US"/>
        </w:rPr>
        <w:t>Effects Panel report 2014, p.74</w:t>
      </w:r>
      <w:r w:rsidRPr="00A21509">
        <w:rPr>
          <w:sz w:val="16"/>
          <w:szCs w:val="16"/>
          <w:lang w:val="en-US"/>
        </w:rPr>
        <w:t>: Past studies have estimated the health gains in terms of skin cancers avoided through the implementation of the Montreal</w:t>
      </w:r>
      <w:r>
        <w:rPr>
          <w:sz w:val="16"/>
          <w:szCs w:val="16"/>
          <w:lang w:val="en-US"/>
        </w:rPr>
        <w:t xml:space="preserve"> Protocol and its amendments.</w:t>
      </w:r>
      <w:r w:rsidRPr="00A21509">
        <w:rPr>
          <w:sz w:val="16"/>
          <w:szCs w:val="16"/>
          <w:lang w:val="en-US"/>
        </w:rPr>
        <w:t xml:space="preserve"> A recent update of this work that also integrated coupled climate-chemistry models has estimated that the world-wide incidence of skin cancer would have been 14% greater (2 million people) by 2030 without implementation of the Montreal</w:t>
      </w:r>
      <w:r>
        <w:rPr>
          <w:sz w:val="16"/>
          <w:szCs w:val="16"/>
          <w:lang w:val="en-US"/>
        </w:rPr>
        <w:t xml:space="preserve"> Protocol and its amendments,</w:t>
      </w:r>
      <w:r w:rsidRPr="00A21509">
        <w:rPr>
          <w:sz w:val="16"/>
          <w:szCs w:val="16"/>
          <w:lang w:val="en-US"/>
        </w:rPr>
        <w:t xml:space="preserve"> with the largest effects in the South West </w:t>
      </w:r>
      <w:r>
        <w:rPr>
          <w:sz w:val="16"/>
          <w:szCs w:val="16"/>
          <w:lang w:val="en-US"/>
        </w:rPr>
        <w:t xml:space="preserve">USA and in </w:t>
      </w:r>
      <w:r w:rsidRPr="00A21509">
        <w:rPr>
          <w:sz w:val="16"/>
          <w:szCs w:val="16"/>
          <w:lang w:val="en-US"/>
        </w:rPr>
        <w:t>Australia.</w:t>
      </w:r>
      <w:r w:rsidRPr="00782AEF">
        <w:rPr>
          <w:lang w:val="en-US"/>
        </w:rPr>
        <w:t xml:space="preserve"> </w:t>
      </w:r>
      <w:hyperlink r:id="rId1" w:history="1">
        <w:r w:rsidRPr="007C44D7">
          <w:rPr>
            <w:rStyle w:val="Hyperlink"/>
            <w:rFonts w:cs="Verdana"/>
            <w:sz w:val="16"/>
            <w:szCs w:val="16"/>
          </w:rPr>
          <w:t>http://ozone.unep.org/en/Assessment_Panels/EEAP/eeap_report_2014.pdf</w:t>
        </w:r>
      </w:hyperlink>
      <w:r w:rsidRPr="007C44D7">
        <w:rPr>
          <w:sz w:val="16"/>
          <w:szCs w:val="16"/>
        </w:rPr>
        <w:t xml:space="preserve"> </w:t>
      </w:r>
    </w:p>
  </w:footnote>
  <w:footnote w:id="3">
    <w:p w14:paraId="5E7FD00E" w14:textId="77777777" w:rsidR="00C142A0" w:rsidRPr="00A53471" w:rsidRDefault="00C142A0">
      <w:pPr>
        <w:pStyle w:val="Voetnoottekst"/>
        <w:rPr>
          <w:sz w:val="16"/>
          <w:szCs w:val="16"/>
        </w:rPr>
      </w:pPr>
      <w:r w:rsidRPr="006D1EC3">
        <w:rPr>
          <w:sz w:val="16"/>
          <w:szCs w:val="16"/>
          <w:lang w:val="en-US"/>
        </w:rPr>
        <w:footnoteRef/>
      </w:r>
      <w:r w:rsidRPr="00A53471">
        <w:rPr>
          <w:sz w:val="16"/>
          <w:szCs w:val="16"/>
        </w:rPr>
        <w:t xml:space="preserve"> Zie respectievelijk Trb. 1991, 49, Trb. 1993, 90, 1997, 42, Trb. 1998, 50, Trb. 2001, 72 en Trb. 2008, 120. </w:t>
      </w:r>
    </w:p>
  </w:footnote>
  <w:footnote w:id="4">
    <w:p w14:paraId="685D8C97" w14:textId="77777777" w:rsidR="00C142A0" w:rsidRPr="00226B6A" w:rsidRDefault="00C142A0" w:rsidP="001F313C">
      <w:pPr>
        <w:spacing w:line="240" w:lineRule="auto"/>
        <w:rPr>
          <w:sz w:val="16"/>
          <w:szCs w:val="16"/>
          <w:lang w:val="fr-FR"/>
        </w:rPr>
      </w:pPr>
      <w:r w:rsidRPr="001F313C">
        <w:rPr>
          <w:sz w:val="16"/>
          <w:szCs w:val="16"/>
          <w:lang w:val="en-US"/>
        </w:rPr>
        <w:footnoteRef/>
      </w:r>
      <w:r w:rsidRPr="00226B6A">
        <w:rPr>
          <w:sz w:val="16"/>
          <w:szCs w:val="16"/>
          <w:lang w:val="fr-FR"/>
        </w:rPr>
        <w:t xml:space="preserve"> Nairobi, 21 juni 1991; Trb. 1992, 16.</w:t>
      </w:r>
    </w:p>
    <w:p w14:paraId="67E75F16" w14:textId="77777777" w:rsidR="00C142A0" w:rsidRPr="00226B6A" w:rsidRDefault="00C142A0">
      <w:pPr>
        <w:pStyle w:val="Voetnoottekst"/>
        <w:rPr>
          <w:sz w:val="16"/>
          <w:szCs w:val="16"/>
          <w:lang w:val="fr-FR"/>
        </w:rPr>
      </w:pPr>
    </w:p>
  </w:footnote>
  <w:footnote w:id="5">
    <w:p w14:paraId="1D155C63" w14:textId="04CEC8A9" w:rsidR="00C142A0" w:rsidRPr="00226B6A" w:rsidRDefault="00C142A0">
      <w:pPr>
        <w:pStyle w:val="Voetnoottekst"/>
        <w:rPr>
          <w:lang w:val="fr-FR"/>
        </w:rPr>
      </w:pPr>
      <w:r>
        <w:rPr>
          <w:rStyle w:val="Voetnootmarkering"/>
        </w:rPr>
        <w:footnoteRef/>
      </w:r>
      <w:r w:rsidRPr="00226B6A">
        <w:rPr>
          <w:lang w:val="fr-FR"/>
        </w:rPr>
        <w:t xml:space="preserve"> </w:t>
      </w:r>
      <w:hyperlink r:id="rId2" w:history="1">
        <w:r w:rsidRPr="00226B6A">
          <w:rPr>
            <w:rStyle w:val="Hyperlink"/>
            <w:rFonts w:cs="Verdana"/>
            <w:sz w:val="16"/>
            <w:szCs w:val="16"/>
            <w:lang w:val="fr-FR"/>
          </w:rPr>
          <w:t>http://ozone.unep.org/en/handbook-montreal-protocol-substances-deplete-ozone-layer/41473</w:t>
        </w:r>
      </w:hyperlink>
    </w:p>
  </w:footnote>
  <w:footnote w:id="6">
    <w:p w14:paraId="4DB1ED58" w14:textId="0BF4A80E" w:rsidR="00C142A0" w:rsidRPr="00045A06" w:rsidRDefault="00C142A0">
      <w:pPr>
        <w:pStyle w:val="Voetnoottekst"/>
        <w:rPr>
          <w:sz w:val="16"/>
          <w:szCs w:val="16"/>
        </w:rPr>
      </w:pPr>
      <w:r>
        <w:rPr>
          <w:rStyle w:val="Voetnootmarkering"/>
        </w:rPr>
        <w:footnoteRef/>
      </w:r>
      <w:r>
        <w:t xml:space="preserve"> </w:t>
      </w:r>
      <w:r w:rsidRPr="00034152">
        <w:rPr>
          <w:sz w:val="16"/>
          <w:szCs w:val="16"/>
        </w:rPr>
        <w:t>Velders et al. 2013, 2015, 2016</w:t>
      </w:r>
      <w:r>
        <w:rPr>
          <w:sz w:val="16"/>
          <w:szCs w:val="16"/>
        </w:rPr>
        <w:t xml:space="preserve">: </w:t>
      </w:r>
      <w:r>
        <w:rPr>
          <w:sz w:val="16"/>
          <w:szCs w:val="16"/>
        </w:rPr>
        <w:br/>
      </w:r>
      <w:hyperlink r:id="rId3" w:history="1">
        <w:r w:rsidRPr="00DA0A78">
          <w:rPr>
            <w:rStyle w:val="Hyperlink"/>
            <w:rFonts w:cs="Verdana"/>
            <w:sz w:val="16"/>
            <w:szCs w:val="16"/>
          </w:rPr>
          <w:t>http://www.rivm.nl/Onderwerpen/F/Fluorkoolwaterstoffen/Montreal_protocol</w:t>
        </w:r>
      </w:hyperlink>
    </w:p>
  </w:footnote>
  <w:footnote w:id="7">
    <w:p w14:paraId="3DEB3551" w14:textId="43DFDE74" w:rsidR="00C142A0" w:rsidRDefault="00C142A0">
      <w:pPr>
        <w:pStyle w:val="Voetnoottekst"/>
        <w:rPr>
          <w:sz w:val="16"/>
          <w:szCs w:val="16"/>
          <w:lang w:val="en-US"/>
        </w:rPr>
      </w:pPr>
      <w:r w:rsidRPr="00034152">
        <w:rPr>
          <w:rStyle w:val="Voetnootmarkering"/>
          <w:sz w:val="16"/>
          <w:szCs w:val="16"/>
        </w:rPr>
        <w:footnoteRef/>
      </w:r>
      <w:r w:rsidRPr="00034152">
        <w:rPr>
          <w:sz w:val="16"/>
          <w:szCs w:val="16"/>
          <w:lang w:val="en-US"/>
        </w:rPr>
        <w:t xml:space="preserve"> TEAP, 2016:</w:t>
      </w:r>
      <w:r w:rsidRPr="00034152">
        <w:rPr>
          <w:sz w:val="16"/>
          <w:szCs w:val="16"/>
          <w:lang w:val="en-US"/>
        </w:rPr>
        <w:br/>
      </w:r>
      <w:hyperlink r:id="rId4" w:history="1">
        <w:r w:rsidRPr="00D820A6">
          <w:rPr>
            <w:rStyle w:val="Hyperlink"/>
            <w:rFonts w:cs="Verdana"/>
            <w:sz w:val="16"/>
            <w:szCs w:val="16"/>
            <w:lang w:val="en-US"/>
          </w:rPr>
          <w:t>http://conf.montreal-protocol.org/meeting/mop/mop-28/presession/Background%20Documents%20are%20available%20in%20English%20only/TEAP_ExIII-1_Report_Sept-2016.pdf</w:t>
        </w:r>
      </w:hyperlink>
      <w:r>
        <w:rPr>
          <w:sz w:val="16"/>
          <w:szCs w:val="16"/>
          <w:lang w:val="en-US"/>
        </w:rPr>
        <w:t xml:space="preserve"> </w:t>
      </w:r>
    </w:p>
    <w:p w14:paraId="036930EE" w14:textId="77777777" w:rsidR="00C142A0" w:rsidRPr="00034152" w:rsidRDefault="00C142A0">
      <w:pPr>
        <w:pStyle w:val="Voetnoottekst"/>
        <w:rPr>
          <w:sz w:val="16"/>
          <w:szCs w:val="16"/>
          <w:lang w:val="en-US"/>
        </w:rPr>
      </w:pPr>
    </w:p>
  </w:footnote>
  <w:footnote w:id="8">
    <w:p w14:paraId="523503BA" w14:textId="77777777" w:rsidR="00C142A0" w:rsidRPr="00464BF8" w:rsidRDefault="00C142A0" w:rsidP="007A0183">
      <w:pPr>
        <w:pStyle w:val="Voetnoottekst"/>
      </w:pPr>
      <w:r>
        <w:rPr>
          <w:rStyle w:val="Voetnootmarkering"/>
        </w:rPr>
        <w:footnoteRef/>
      </w:r>
      <w:r>
        <w:t xml:space="preserve"> </w:t>
      </w:r>
      <w:r w:rsidRPr="00464BF8">
        <w:rPr>
          <w:sz w:val="16"/>
          <w:szCs w:val="16"/>
        </w:rPr>
        <w:t>Verordening (EU) nr. 517/2014 van het Europees Parlement en de Raad van 16 april 2014 betreffende gefluoreerde broeikasgassen en tot intrekking van Verordening (EG) nr. 842/2006</w:t>
      </w:r>
      <w:r>
        <w:rPr>
          <w:sz w:val="16"/>
          <w:szCs w:val="16"/>
        </w:rPr>
        <w:t>, Pb EU</w:t>
      </w:r>
      <w:r w:rsidRPr="00464BF8">
        <w:rPr>
          <w:sz w:val="16"/>
          <w:szCs w:val="16"/>
        </w:rPr>
        <w:t xml:space="preserve"> L 150, 20.5.2014, p. 195–230</w:t>
      </w:r>
      <w:r>
        <w:rPr>
          <w:sz w:val="16"/>
          <w:szCs w:val="16"/>
        </w:rPr>
        <w:t>.</w:t>
      </w:r>
    </w:p>
  </w:footnote>
  <w:footnote w:id="9">
    <w:p w14:paraId="56DCCEE9" w14:textId="7E65D8E9" w:rsidR="00C142A0" w:rsidRPr="001B53D5" w:rsidRDefault="00C142A0">
      <w:pPr>
        <w:pStyle w:val="Voetnoottekst"/>
        <w:rPr>
          <w:sz w:val="16"/>
          <w:szCs w:val="16"/>
        </w:rPr>
      </w:pPr>
      <w:r>
        <w:rPr>
          <w:rStyle w:val="Voetnootmarkering"/>
        </w:rPr>
        <w:footnoteRef/>
      </w:r>
      <w:r>
        <w:t xml:space="preserve"> </w:t>
      </w:r>
      <w:hyperlink r:id="rId5" w:history="1">
        <w:r w:rsidRPr="00B96D8E">
          <w:rPr>
            <w:rStyle w:val="Hyperlink"/>
            <w:rFonts w:cs="Verdana"/>
            <w:sz w:val="16"/>
            <w:szCs w:val="16"/>
          </w:rPr>
          <w:t>http://wetten.overheid.nl/BWBR0037088/2015-12-01</w:t>
        </w:r>
      </w:hyperlink>
    </w:p>
  </w:footnote>
  <w:footnote w:id="10">
    <w:p w14:paraId="6FFAA066" w14:textId="243F5B82" w:rsidR="00C142A0" w:rsidRDefault="00C142A0">
      <w:pPr>
        <w:pStyle w:val="Voetnoottekst"/>
      </w:pPr>
      <w:r w:rsidRPr="001B53D5">
        <w:rPr>
          <w:rStyle w:val="Voetnootmarkering"/>
          <w:sz w:val="16"/>
          <w:szCs w:val="16"/>
        </w:rPr>
        <w:footnoteRef/>
      </w:r>
      <w:r w:rsidRPr="001B53D5">
        <w:rPr>
          <w:sz w:val="16"/>
          <w:szCs w:val="16"/>
        </w:rPr>
        <w:t xml:space="preserve"> </w:t>
      </w:r>
      <w:hyperlink r:id="rId6" w:history="1">
        <w:r w:rsidRPr="001B53D5">
          <w:rPr>
            <w:rStyle w:val="Hyperlink"/>
            <w:rFonts w:cs="Verdana"/>
            <w:sz w:val="16"/>
            <w:szCs w:val="16"/>
          </w:rPr>
          <w:t>http://wetten.overheid.nl/BWBR0037094/2015-12-01</w:t>
        </w:r>
      </w:hyperlink>
    </w:p>
  </w:footnote>
  <w:footnote w:id="11">
    <w:p w14:paraId="7BE411AB" w14:textId="5EDCCB59" w:rsidR="00C142A0" w:rsidRPr="00D85FB1" w:rsidRDefault="00C142A0" w:rsidP="00D85FB1">
      <w:pPr>
        <w:pStyle w:val="Voetnoottekst"/>
        <w:rPr>
          <w:sz w:val="16"/>
          <w:szCs w:val="16"/>
        </w:rPr>
      </w:pPr>
      <w:r>
        <w:rPr>
          <w:rStyle w:val="Voetnootmarkering"/>
        </w:rPr>
        <w:footnoteRef/>
      </w:r>
      <w:r>
        <w:t xml:space="preserve"> </w:t>
      </w:r>
      <w:r>
        <w:rPr>
          <w:sz w:val="16"/>
          <w:szCs w:val="16"/>
        </w:rPr>
        <w:t>Richtlijn</w:t>
      </w:r>
      <w:r w:rsidRPr="00D85FB1">
        <w:rPr>
          <w:sz w:val="16"/>
          <w:szCs w:val="16"/>
        </w:rPr>
        <w:t xml:space="preserve"> 2006/40/EG </w:t>
      </w:r>
      <w:r>
        <w:rPr>
          <w:sz w:val="16"/>
          <w:szCs w:val="16"/>
        </w:rPr>
        <w:t xml:space="preserve">van het Europees Parlement en de Raad </w:t>
      </w:r>
      <w:r w:rsidRPr="00D85FB1">
        <w:rPr>
          <w:sz w:val="16"/>
          <w:szCs w:val="16"/>
        </w:rPr>
        <w:t>van 17 mei 2006</w:t>
      </w:r>
      <w:r>
        <w:rPr>
          <w:sz w:val="16"/>
          <w:szCs w:val="16"/>
        </w:rPr>
        <w:t xml:space="preserve"> </w:t>
      </w:r>
      <w:r w:rsidRPr="00D85FB1">
        <w:rPr>
          <w:sz w:val="16"/>
          <w:szCs w:val="16"/>
        </w:rPr>
        <w:t>betreffende emissies van klimaatregelingsapparatuur in motorvoertuigen en houdende wijziging van</w:t>
      </w:r>
    </w:p>
    <w:p w14:paraId="7786BFFC" w14:textId="77777777" w:rsidR="00C142A0" w:rsidRPr="00D85FB1" w:rsidRDefault="00C142A0" w:rsidP="00D85FB1">
      <w:pPr>
        <w:pStyle w:val="Voetnoottekst"/>
      </w:pPr>
      <w:r w:rsidRPr="00D85FB1">
        <w:rPr>
          <w:sz w:val="16"/>
          <w:szCs w:val="16"/>
        </w:rPr>
        <w:t>Richtlijn 70/156/EEG van de Raad</w:t>
      </w:r>
      <w:r>
        <w:rPr>
          <w:sz w:val="16"/>
          <w:szCs w:val="16"/>
        </w:rPr>
        <w:t>, Pb EG L 161, 14.6.2006, p. 12 ev.</w:t>
      </w:r>
    </w:p>
  </w:footnote>
  <w:footnote w:id="12">
    <w:p w14:paraId="078011EC" w14:textId="2DA63D41" w:rsidR="00C142A0" w:rsidRDefault="00C142A0">
      <w:pPr>
        <w:pStyle w:val="Voetnoottekst"/>
        <w:rPr>
          <w:sz w:val="16"/>
          <w:szCs w:val="16"/>
        </w:rPr>
      </w:pPr>
      <w:r>
        <w:rPr>
          <w:rStyle w:val="Voetnootmarkering"/>
        </w:rPr>
        <w:footnoteRef/>
      </w:r>
      <w:r>
        <w:t xml:space="preserve"> </w:t>
      </w:r>
      <w:hyperlink r:id="rId7" w:history="1">
        <w:r w:rsidRPr="00B96D8E">
          <w:rPr>
            <w:rStyle w:val="Hyperlink"/>
            <w:rFonts w:cs="Verdana"/>
            <w:sz w:val="16"/>
            <w:szCs w:val="16"/>
          </w:rPr>
          <w:t>http://wetten.overheid.nl/BWBR0025554/2014-01-01</w:t>
        </w:r>
      </w:hyperlink>
    </w:p>
    <w:p w14:paraId="573C4973" w14:textId="77777777" w:rsidR="00C142A0" w:rsidRDefault="00C142A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ECD5D" w14:textId="77777777" w:rsidR="004336C0" w:rsidRDefault="004336C0" w:rsidP="004336C0">
    <w:pPr>
      <w:pStyle w:val="Koptekst"/>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99F02" w14:textId="77777777" w:rsidR="00C142A0" w:rsidRDefault="00C142A0" w:rsidP="008F72E9">
    <w:pPr>
      <w:pStyle w:val="Koptekst"/>
      <w:numPr>
        <w:ilvl w:val="0"/>
        <w:numId w:val="0"/>
      </w:numPr>
      <w:ind w:right="-11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607E8"/>
    <w:multiLevelType w:val="multilevel"/>
    <w:tmpl w:val="2162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C01C8"/>
    <w:multiLevelType w:val="hybridMultilevel"/>
    <w:tmpl w:val="D654CE00"/>
    <w:lvl w:ilvl="0" w:tplc="AB9CFF7C">
      <w:start w:val="1"/>
      <w:numFmt w:val="bullet"/>
      <w:lvlText w:val="-"/>
      <w:lvlJc w:val="left"/>
      <w:pPr>
        <w:ind w:left="720" w:hanging="360"/>
      </w:pPr>
      <w:rPr>
        <w:rFonts w:ascii="Verdana" w:eastAsia="Verdana"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85452B"/>
    <w:multiLevelType w:val="multilevel"/>
    <w:tmpl w:val="ABC2B4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D1799"/>
    <w:multiLevelType w:val="hybridMultilevel"/>
    <w:tmpl w:val="17B02A0E"/>
    <w:lvl w:ilvl="0" w:tplc="ACB64324">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A100E1"/>
    <w:multiLevelType w:val="multilevel"/>
    <w:tmpl w:val="BEC8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52EC5"/>
    <w:multiLevelType w:val="hybridMultilevel"/>
    <w:tmpl w:val="8910AE80"/>
    <w:lvl w:ilvl="0" w:tplc="AAB0D5B8">
      <w:numFmt w:val="bullet"/>
      <w:lvlText w:val="-"/>
      <w:lvlJc w:val="left"/>
      <w:pPr>
        <w:ind w:left="720" w:hanging="360"/>
      </w:pPr>
      <w:rPr>
        <w:rFonts w:ascii="Verdana" w:eastAsia="Verdan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F065E8"/>
    <w:multiLevelType w:val="multilevel"/>
    <w:tmpl w:val="761A2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D607B"/>
    <w:multiLevelType w:val="hybridMultilevel"/>
    <w:tmpl w:val="10A26B92"/>
    <w:lvl w:ilvl="0" w:tplc="3B4AE50A">
      <w:start w:val="1"/>
      <w:numFmt w:val="decimal"/>
      <w:pStyle w:val="Kop1"/>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15:restartNumberingAfterBreak="0">
    <w:nsid w:val="38D33C37"/>
    <w:multiLevelType w:val="hybridMultilevel"/>
    <w:tmpl w:val="29F85E6C"/>
    <w:lvl w:ilvl="0" w:tplc="8B3AB31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CFB2CA7"/>
    <w:multiLevelType w:val="hybridMultilevel"/>
    <w:tmpl w:val="89F60FEC"/>
    <w:lvl w:ilvl="0" w:tplc="55EA7DAA">
      <w:start w:val="1"/>
      <w:numFmt w:val="decimal"/>
      <w:pStyle w:val="Kop2"/>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15:restartNumberingAfterBreak="0">
    <w:nsid w:val="5C6D0E93"/>
    <w:multiLevelType w:val="hybridMultilevel"/>
    <w:tmpl w:val="780E4814"/>
    <w:lvl w:ilvl="0" w:tplc="04130001">
      <w:start w:val="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9219B2"/>
    <w:multiLevelType w:val="hybridMultilevel"/>
    <w:tmpl w:val="D83AC912"/>
    <w:lvl w:ilvl="0" w:tplc="EA0666E4">
      <w:start w:val="1"/>
      <w:numFmt w:val="decimal"/>
      <w:pStyle w:val="Koptekst"/>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7"/>
  </w:num>
  <w:num w:numId="2">
    <w:abstractNumId w:val="9"/>
  </w:num>
  <w:num w:numId="3">
    <w:abstractNumId w:val="11"/>
  </w:num>
  <w:num w:numId="4">
    <w:abstractNumId w:val="3"/>
  </w:num>
  <w:num w:numId="5">
    <w:abstractNumId w:val="5"/>
  </w:num>
  <w:num w:numId="6">
    <w:abstractNumId w:val="10"/>
  </w:num>
  <w:num w:numId="7">
    <w:abstractNumId w:val="8"/>
  </w:num>
  <w:num w:numId="8">
    <w:abstractNumId w:val="6"/>
  </w:num>
  <w:num w:numId="9">
    <w:abstractNumId w:val="4"/>
  </w:num>
  <w:num w:numId="10">
    <w:abstractNumId w:val="0"/>
  </w:num>
  <w:num w:numId="11">
    <w:abstractNumId w:val="7"/>
    <w:lvlOverride w:ilvl="0">
      <w:startOverride w:val="3"/>
    </w:lvlOverride>
  </w:num>
  <w:num w:numId="12">
    <w:abstractNumId w:val="7"/>
    <w:lvlOverride w:ilvl="0">
      <w:startOverride w:val="1"/>
    </w:lvlOverride>
  </w:num>
  <w:num w:numId="13">
    <w:abstractNumId w:val="1"/>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08"/>
  <w:hyphenationZone w:val="425"/>
  <w:drawingGridHorizontalSpacing w:val="9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A1"/>
    <w:rsid w:val="0000045C"/>
    <w:rsid w:val="00000CDD"/>
    <w:rsid w:val="00000FD1"/>
    <w:rsid w:val="0000102C"/>
    <w:rsid w:val="00001D3D"/>
    <w:rsid w:val="000058F7"/>
    <w:rsid w:val="000072AC"/>
    <w:rsid w:val="00010E5C"/>
    <w:rsid w:val="0001249D"/>
    <w:rsid w:val="00014A0F"/>
    <w:rsid w:val="0001567A"/>
    <w:rsid w:val="000212BF"/>
    <w:rsid w:val="00022070"/>
    <w:rsid w:val="00022638"/>
    <w:rsid w:val="00023489"/>
    <w:rsid w:val="000237AA"/>
    <w:rsid w:val="0002655A"/>
    <w:rsid w:val="0002722A"/>
    <w:rsid w:val="00027EAC"/>
    <w:rsid w:val="00030EF5"/>
    <w:rsid w:val="00032347"/>
    <w:rsid w:val="00033365"/>
    <w:rsid w:val="00033A23"/>
    <w:rsid w:val="00034035"/>
    <w:rsid w:val="00034152"/>
    <w:rsid w:val="000349BE"/>
    <w:rsid w:val="00035EFB"/>
    <w:rsid w:val="0004008B"/>
    <w:rsid w:val="00040C48"/>
    <w:rsid w:val="00041C12"/>
    <w:rsid w:val="00043B7E"/>
    <w:rsid w:val="00043C15"/>
    <w:rsid w:val="00043F86"/>
    <w:rsid w:val="00044AD7"/>
    <w:rsid w:val="00044BB1"/>
    <w:rsid w:val="00044F3A"/>
    <w:rsid w:val="00045A06"/>
    <w:rsid w:val="0004720E"/>
    <w:rsid w:val="000511FB"/>
    <w:rsid w:val="000519CB"/>
    <w:rsid w:val="000527DE"/>
    <w:rsid w:val="00052D28"/>
    <w:rsid w:val="000540B5"/>
    <w:rsid w:val="000545C1"/>
    <w:rsid w:val="00054B7D"/>
    <w:rsid w:val="00056909"/>
    <w:rsid w:val="00057473"/>
    <w:rsid w:val="00057AEC"/>
    <w:rsid w:val="00063F63"/>
    <w:rsid w:val="0006403C"/>
    <w:rsid w:val="00064C35"/>
    <w:rsid w:val="0007153F"/>
    <w:rsid w:val="00071EC7"/>
    <w:rsid w:val="00072434"/>
    <w:rsid w:val="00073684"/>
    <w:rsid w:val="00073C34"/>
    <w:rsid w:val="00074B38"/>
    <w:rsid w:val="00076179"/>
    <w:rsid w:val="0008070D"/>
    <w:rsid w:val="000807DE"/>
    <w:rsid w:val="00081B94"/>
    <w:rsid w:val="00082047"/>
    <w:rsid w:val="000833A0"/>
    <w:rsid w:val="00084669"/>
    <w:rsid w:val="00085A83"/>
    <w:rsid w:val="00085B7A"/>
    <w:rsid w:val="00085FF4"/>
    <w:rsid w:val="00087B8C"/>
    <w:rsid w:val="00090554"/>
    <w:rsid w:val="00090F97"/>
    <w:rsid w:val="000932A9"/>
    <w:rsid w:val="00093444"/>
    <w:rsid w:val="00094B30"/>
    <w:rsid w:val="00095034"/>
    <w:rsid w:val="00095073"/>
    <w:rsid w:val="00095B95"/>
    <w:rsid w:val="00096EE8"/>
    <w:rsid w:val="00096F5C"/>
    <w:rsid w:val="0009727C"/>
    <w:rsid w:val="0009751D"/>
    <w:rsid w:val="000A1718"/>
    <w:rsid w:val="000A3314"/>
    <w:rsid w:val="000A4451"/>
    <w:rsid w:val="000A4F24"/>
    <w:rsid w:val="000A4F6C"/>
    <w:rsid w:val="000A5F53"/>
    <w:rsid w:val="000A644C"/>
    <w:rsid w:val="000A6B40"/>
    <w:rsid w:val="000A6F44"/>
    <w:rsid w:val="000B0113"/>
    <w:rsid w:val="000B054B"/>
    <w:rsid w:val="000B2577"/>
    <w:rsid w:val="000B5606"/>
    <w:rsid w:val="000B5B4A"/>
    <w:rsid w:val="000B63EE"/>
    <w:rsid w:val="000C1447"/>
    <w:rsid w:val="000C559A"/>
    <w:rsid w:val="000C5B23"/>
    <w:rsid w:val="000C6C3F"/>
    <w:rsid w:val="000C6F1A"/>
    <w:rsid w:val="000C764F"/>
    <w:rsid w:val="000D0C85"/>
    <w:rsid w:val="000D60B1"/>
    <w:rsid w:val="000D6F9D"/>
    <w:rsid w:val="000E0063"/>
    <w:rsid w:val="000E0751"/>
    <w:rsid w:val="000E2172"/>
    <w:rsid w:val="000E2317"/>
    <w:rsid w:val="000E38C3"/>
    <w:rsid w:val="000E495E"/>
    <w:rsid w:val="000E4AA4"/>
    <w:rsid w:val="000E54AD"/>
    <w:rsid w:val="000E75E8"/>
    <w:rsid w:val="000E7EE8"/>
    <w:rsid w:val="000F052B"/>
    <w:rsid w:val="000F11DE"/>
    <w:rsid w:val="000F1316"/>
    <w:rsid w:val="000F1A8E"/>
    <w:rsid w:val="000F7AA0"/>
    <w:rsid w:val="0010035F"/>
    <w:rsid w:val="00100BC7"/>
    <w:rsid w:val="00101E1C"/>
    <w:rsid w:val="0010382F"/>
    <w:rsid w:val="00103DA8"/>
    <w:rsid w:val="0010541C"/>
    <w:rsid w:val="0010746E"/>
    <w:rsid w:val="00111659"/>
    <w:rsid w:val="00111D19"/>
    <w:rsid w:val="00112BAD"/>
    <w:rsid w:val="00112E29"/>
    <w:rsid w:val="00114103"/>
    <w:rsid w:val="00116E72"/>
    <w:rsid w:val="00117DFC"/>
    <w:rsid w:val="00121FF9"/>
    <w:rsid w:val="00122096"/>
    <w:rsid w:val="00124E80"/>
    <w:rsid w:val="0012725F"/>
    <w:rsid w:val="00127695"/>
    <w:rsid w:val="00131FE7"/>
    <w:rsid w:val="00133263"/>
    <w:rsid w:val="00141E3A"/>
    <w:rsid w:val="0014239B"/>
    <w:rsid w:val="00144515"/>
    <w:rsid w:val="00144C7C"/>
    <w:rsid w:val="00144D23"/>
    <w:rsid w:val="00145064"/>
    <w:rsid w:val="00150B08"/>
    <w:rsid w:val="0015288D"/>
    <w:rsid w:val="0015487E"/>
    <w:rsid w:val="00155A9A"/>
    <w:rsid w:val="00156140"/>
    <w:rsid w:val="001605AD"/>
    <w:rsid w:val="00160C7C"/>
    <w:rsid w:val="0016391D"/>
    <w:rsid w:val="00164237"/>
    <w:rsid w:val="0016533A"/>
    <w:rsid w:val="00166591"/>
    <w:rsid w:val="00166963"/>
    <w:rsid w:val="001672E9"/>
    <w:rsid w:val="001705AE"/>
    <w:rsid w:val="00174E8E"/>
    <w:rsid w:val="0017673A"/>
    <w:rsid w:val="00176D76"/>
    <w:rsid w:val="00177CAE"/>
    <w:rsid w:val="00180600"/>
    <w:rsid w:val="00180644"/>
    <w:rsid w:val="00182315"/>
    <w:rsid w:val="00182DEC"/>
    <w:rsid w:val="001834CE"/>
    <w:rsid w:val="0018368B"/>
    <w:rsid w:val="00184859"/>
    <w:rsid w:val="001851E2"/>
    <w:rsid w:val="00186448"/>
    <w:rsid w:val="00191D15"/>
    <w:rsid w:val="001A04CE"/>
    <w:rsid w:val="001A0D8C"/>
    <w:rsid w:val="001A188C"/>
    <w:rsid w:val="001A1B16"/>
    <w:rsid w:val="001A3667"/>
    <w:rsid w:val="001A40BE"/>
    <w:rsid w:val="001A47EC"/>
    <w:rsid w:val="001A597D"/>
    <w:rsid w:val="001A671B"/>
    <w:rsid w:val="001A6F54"/>
    <w:rsid w:val="001A7C75"/>
    <w:rsid w:val="001B11CB"/>
    <w:rsid w:val="001B3470"/>
    <w:rsid w:val="001B4A18"/>
    <w:rsid w:val="001B53D5"/>
    <w:rsid w:val="001B5C9A"/>
    <w:rsid w:val="001B62B5"/>
    <w:rsid w:val="001B7201"/>
    <w:rsid w:val="001B76C6"/>
    <w:rsid w:val="001B7FB3"/>
    <w:rsid w:val="001C08D8"/>
    <w:rsid w:val="001C193E"/>
    <w:rsid w:val="001C1FF0"/>
    <w:rsid w:val="001C26FD"/>
    <w:rsid w:val="001C2A61"/>
    <w:rsid w:val="001C2D39"/>
    <w:rsid w:val="001C4E2E"/>
    <w:rsid w:val="001C7215"/>
    <w:rsid w:val="001C7761"/>
    <w:rsid w:val="001C7F70"/>
    <w:rsid w:val="001C7F79"/>
    <w:rsid w:val="001D0A29"/>
    <w:rsid w:val="001D12C0"/>
    <w:rsid w:val="001D1D9E"/>
    <w:rsid w:val="001D7402"/>
    <w:rsid w:val="001E243B"/>
    <w:rsid w:val="001F01AC"/>
    <w:rsid w:val="001F0959"/>
    <w:rsid w:val="001F1804"/>
    <w:rsid w:val="001F27FA"/>
    <w:rsid w:val="001F313C"/>
    <w:rsid w:val="001F3D11"/>
    <w:rsid w:val="001F55F9"/>
    <w:rsid w:val="001F561E"/>
    <w:rsid w:val="001F6962"/>
    <w:rsid w:val="002003BC"/>
    <w:rsid w:val="00200522"/>
    <w:rsid w:val="00200954"/>
    <w:rsid w:val="00200C0C"/>
    <w:rsid w:val="00200E11"/>
    <w:rsid w:val="00201789"/>
    <w:rsid w:val="00202A85"/>
    <w:rsid w:val="0020302D"/>
    <w:rsid w:val="00203DCD"/>
    <w:rsid w:val="00204798"/>
    <w:rsid w:val="00207B1E"/>
    <w:rsid w:val="00207F38"/>
    <w:rsid w:val="0021071F"/>
    <w:rsid w:val="002128B0"/>
    <w:rsid w:val="00214089"/>
    <w:rsid w:val="00214798"/>
    <w:rsid w:val="002149DC"/>
    <w:rsid w:val="0021535A"/>
    <w:rsid w:val="00215A8E"/>
    <w:rsid w:val="002160CF"/>
    <w:rsid w:val="00217978"/>
    <w:rsid w:val="00224CB1"/>
    <w:rsid w:val="00225135"/>
    <w:rsid w:val="00226B4E"/>
    <w:rsid w:val="00226B6A"/>
    <w:rsid w:val="00231082"/>
    <w:rsid w:val="00231386"/>
    <w:rsid w:val="002314B1"/>
    <w:rsid w:val="00232822"/>
    <w:rsid w:val="00234AA3"/>
    <w:rsid w:val="00235AC8"/>
    <w:rsid w:val="00236C18"/>
    <w:rsid w:val="00237976"/>
    <w:rsid w:val="00240960"/>
    <w:rsid w:val="00241ECB"/>
    <w:rsid w:val="002425ED"/>
    <w:rsid w:val="00243178"/>
    <w:rsid w:val="00243D26"/>
    <w:rsid w:val="00250F75"/>
    <w:rsid w:val="002529D1"/>
    <w:rsid w:val="0025430E"/>
    <w:rsid w:val="0025559D"/>
    <w:rsid w:val="002559EA"/>
    <w:rsid w:val="00255C67"/>
    <w:rsid w:val="00256F69"/>
    <w:rsid w:val="002619E2"/>
    <w:rsid w:val="002634E4"/>
    <w:rsid w:val="00263F48"/>
    <w:rsid w:val="00264ECA"/>
    <w:rsid w:val="0026558C"/>
    <w:rsid w:val="00265AC0"/>
    <w:rsid w:val="00265D58"/>
    <w:rsid w:val="00266709"/>
    <w:rsid w:val="0027096A"/>
    <w:rsid w:val="00270DD1"/>
    <w:rsid w:val="002718DD"/>
    <w:rsid w:val="00271A2B"/>
    <w:rsid w:val="00271A33"/>
    <w:rsid w:val="00272554"/>
    <w:rsid w:val="002734BC"/>
    <w:rsid w:val="00275342"/>
    <w:rsid w:val="0027581D"/>
    <w:rsid w:val="00275EC7"/>
    <w:rsid w:val="002776D9"/>
    <w:rsid w:val="00277BE5"/>
    <w:rsid w:val="00282902"/>
    <w:rsid w:val="00283E17"/>
    <w:rsid w:val="00284554"/>
    <w:rsid w:val="00284B0D"/>
    <w:rsid w:val="002852B2"/>
    <w:rsid w:val="00285F0D"/>
    <w:rsid w:val="00286504"/>
    <w:rsid w:val="002876DE"/>
    <w:rsid w:val="00290FC6"/>
    <w:rsid w:val="002910FD"/>
    <w:rsid w:val="0029127A"/>
    <w:rsid w:val="0029139D"/>
    <w:rsid w:val="00292AC7"/>
    <w:rsid w:val="002935A1"/>
    <w:rsid w:val="002939E2"/>
    <w:rsid w:val="00293F2B"/>
    <w:rsid w:val="00294D9C"/>
    <w:rsid w:val="00295C92"/>
    <w:rsid w:val="002A0D11"/>
    <w:rsid w:val="002A0EC2"/>
    <w:rsid w:val="002A2680"/>
    <w:rsid w:val="002A3912"/>
    <w:rsid w:val="002A3E85"/>
    <w:rsid w:val="002A4351"/>
    <w:rsid w:val="002A7339"/>
    <w:rsid w:val="002A7C85"/>
    <w:rsid w:val="002B1688"/>
    <w:rsid w:val="002B1F2B"/>
    <w:rsid w:val="002B2239"/>
    <w:rsid w:val="002B26D5"/>
    <w:rsid w:val="002B2956"/>
    <w:rsid w:val="002B2EE2"/>
    <w:rsid w:val="002B626B"/>
    <w:rsid w:val="002C1FB7"/>
    <w:rsid w:val="002C21F4"/>
    <w:rsid w:val="002C4F3A"/>
    <w:rsid w:val="002C5CDD"/>
    <w:rsid w:val="002C6052"/>
    <w:rsid w:val="002C6A86"/>
    <w:rsid w:val="002C6BD5"/>
    <w:rsid w:val="002C7955"/>
    <w:rsid w:val="002D11E3"/>
    <w:rsid w:val="002D1C45"/>
    <w:rsid w:val="002D26DF"/>
    <w:rsid w:val="002D5814"/>
    <w:rsid w:val="002D69B5"/>
    <w:rsid w:val="002D6CCF"/>
    <w:rsid w:val="002D7B05"/>
    <w:rsid w:val="002D7EB9"/>
    <w:rsid w:val="002E023B"/>
    <w:rsid w:val="002E083F"/>
    <w:rsid w:val="002E1E38"/>
    <w:rsid w:val="002E1E4F"/>
    <w:rsid w:val="002E2EE8"/>
    <w:rsid w:val="002E2FA0"/>
    <w:rsid w:val="002E3AB4"/>
    <w:rsid w:val="002E3E45"/>
    <w:rsid w:val="002E4C3F"/>
    <w:rsid w:val="002E7421"/>
    <w:rsid w:val="002F0760"/>
    <w:rsid w:val="002F2A23"/>
    <w:rsid w:val="002F2F2F"/>
    <w:rsid w:val="002F30E9"/>
    <w:rsid w:val="002F3331"/>
    <w:rsid w:val="002F3DCB"/>
    <w:rsid w:val="002F4401"/>
    <w:rsid w:val="002F5A3F"/>
    <w:rsid w:val="0030228B"/>
    <w:rsid w:val="003027F4"/>
    <w:rsid w:val="00302EB7"/>
    <w:rsid w:val="00304701"/>
    <w:rsid w:val="003049AC"/>
    <w:rsid w:val="00305965"/>
    <w:rsid w:val="003100A4"/>
    <w:rsid w:val="003104DA"/>
    <w:rsid w:val="0031214F"/>
    <w:rsid w:val="003136E0"/>
    <w:rsid w:val="003144CC"/>
    <w:rsid w:val="003144F0"/>
    <w:rsid w:val="00315A61"/>
    <w:rsid w:val="00316972"/>
    <w:rsid w:val="00320B1E"/>
    <w:rsid w:val="00320B8E"/>
    <w:rsid w:val="00320F9B"/>
    <w:rsid w:val="00321173"/>
    <w:rsid w:val="003217EA"/>
    <w:rsid w:val="0032302A"/>
    <w:rsid w:val="00323EF2"/>
    <w:rsid w:val="00323FBA"/>
    <w:rsid w:val="00324395"/>
    <w:rsid w:val="00325DB3"/>
    <w:rsid w:val="00330443"/>
    <w:rsid w:val="00331AEF"/>
    <w:rsid w:val="00332426"/>
    <w:rsid w:val="003333C9"/>
    <w:rsid w:val="0033344F"/>
    <w:rsid w:val="00334D1B"/>
    <w:rsid w:val="003350A4"/>
    <w:rsid w:val="0033581D"/>
    <w:rsid w:val="00336620"/>
    <w:rsid w:val="00337294"/>
    <w:rsid w:val="00337579"/>
    <w:rsid w:val="003411F7"/>
    <w:rsid w:val="003419F5"/>
    <w:rsid w:val="00341CC3"/>
    <w:rsid w:val="00342330"/>
    <w:rsid w:val="00342BA8"/>
    <w:rsid w:val="00343B78"/>
    <w:rsid w:val="00345FD5"/>
    <w:rsid w:val="00346C3A"/>
    <w:rsid w:val="00350261"/>
    <w:rsid w:val="00352402"/>
    <w:rsid w:val="00352BBB"/>
    <w:rsid w:val="003542D1"/>
    <w:rsid w:val="00354826"/>
    <w:rsid w:val="00354AF8"/>
    <w:rsid w:val="00357A82"/>
    <w:rsid w:val="00360277"/>
    <w:rsid w:val="00360666"/>
    <w:rsid w:val="00365E35"/>
    <w:rsid w:val="00370E65"/>
    <w:rsid w:val="00370F21"/>
    <w:rsid w:val="0037226D"/>
    <w:rsid w:val="00372772"/>
    <w:rsid w:val="00373608"/>
    <w:rsid w:val="003743E3"/>
    <w:rsid w:val="00375723"/>
    <w:rsid w:val="003803DB"/>
    <w:rsid w:val="003809A8"/>
    <w:rsid w:val="00381E4E"/>
    <w:rsid w:val="00382C8C"/>
    <w:rsid w:val="00382F6B"/>
    <w:rsid w:val="00383CE6"/>
    <w:rsid w:val="00383DDC"/>
    <w:rsid w:val="00384128"/>
    <w:rsid w:val="003848D9"/>
    <w:rsid w:val="00390A8C"/>
    <w:rsid w:val="003911EA"/>
    <w:rsid w:val="00391BE1"/>
    <w:rsid w:val="00392147"/>
    <w:rsid w:val="00392ABC"/>
    <w:rsid w:val="00393F50"/>
    <w:rsid w:val="00394C5B"/>
    <w:rsid w:val="003960D2"/>
    <w:rsid w:val="003963EA"/>
    <w:rsid w:val="00396554"/>
    <w:rsid w:val="00396AC7"/>
    <w:rsid w:val="003A1935"/>
    <w:rsid w:val="003A1E9D"/>
    <w:rsid w:val="003A2743"/>
    <w:rsid w:val="003A2874"/>
    <w:rsid w:val="003A2D95"/>
    <w:rsid w:val="003A35A9"/>
    <w:rsid w:val="003A56F6"/>
    <w:rsid w:val="003B2723"/>
    <w:rsid w:val="003B37F7"/>
    <w:rsid w:val="003B3BEF"/>
    <w:rsid w:val="003B5698"/>
    <w:rsid w:val="003B5B30"/>
    <w:rsid w:val="003B6928"/>
    <w:rsid w:val="003C0C6E"/>
    <w:rsid w:val="003C3AFA"/>
    <w:rsid w:val="003C5F76"/>
    <w:rsid w:val="003D1E1C"/>
    <w:rsid w:val="003D322E"/>
    <w:rsid w:val="003D32C4"/>
    <w:rsid w:val="003D35D5"/>
    <w:rsid w:val="003D4507"/>
    <w:rsid w:val="003D4FE4"/>
    <w:rsid w:val="003D601E"/>
    <w:rsid w:val="003D6085"/>
    <w:rsid w:val="003D63C1"/>
    <w:rsid w:val="003E2883"/>
    <w:rsid w:val="003E29AB"/>
    <w:rsid w:val="003E437C"/>
    <w:rsid w:val="003E477B"/>
    <w:rsid w:val="003E521B"/>
    <w:rsid w:val="003E5C2F"/>
    <w:rsid w:val="003E6F7C"/>
    <w:rsid w:val="003F20E4"/>
    <w:rsid w:val="003F2509"/>
    <w:rsid w:val="003F3CFE"/>
    <w:rsid w:val="003F6DDB"/>
    <w:rsid w:val="00400E8F"/>
    <w:rsid w:val="0040152B"/>
    <w:rsid w:val="00401751"/>
    <w:rsid w:val="00401A0D"/>
    <w:rsid w:val="0040242C"/>
    <w:rsid w:val="004025C6"/>
    <w:rsid w:val="00402FE5"/>
    <w:rsid w:val="00404E8B"/>
    <w:rsid w:val="00405564"/>
    <w:rsid w:val="00405BFF"/>
    <w:rsid w:val="00407D06"/>
    <w:rsid w:val="004111A5"/>
    <w:rsid w:val="00411E94"/>
    <w:rsid w:val="004141D7"/>
    <w:rsid w:val="00414857"/>
    <w:rsid w:val="00416A66"/>
    <w:rsid w:val="00420C8A"/>
    <w:rsid w:val="00423726"/>
    <w:rsid w:val="00423E26"/>
    <w:rsid w:val="00424BD3"/>
    <w:rsid w:val="00427277"/>
    <w:rsid w:val="004272A8"/>
    <w:rsid w:val="004279D9"/>
    <w:rsid w:val="00430D12"/>
    <w:rsid w:val="004322A1"/>
    <w:rsid w:val="004330D3"/>
    <w:rsid w:val="004336C0"/>
    <w:rsid w:val="004340D4"/>
    <w:rsid w:val="004347BA"/>
    <w:rsid w:val="00435694"/>
    <w:rsid w:val="004378AF"/>
    <w:rsid w:val="00441CB7"/>
    <w:rsid w:val="00444F14"/>
    <w:rsid w:val="00445476"/>
    <w:rsid w:val="0044626E"/>
    <w:rsid w:val="00446AC4"/>
    <w:rsid w:val="00446FB0"/>
    <w:rsid w:val="00452679"/>
    <w:rsid w:val="00454AC5"/>
    <w:rsid w:val="00456472"/>
    <w:rsid w:val="00456671"/>
    <w:rsid w:val="00457F67"/>
    <w:rsid w:val="00460549"/>
    <w:rsid w:val="00460EBD"/>
    <w:rsid w:val="004614BD"/>
    <w:rsid w:val="00461C66"/>
    <w:rsid w:val="00464353"/>
    <w:rsid w:val="00464BF8"/>
    <w:rsid w:val="004654F3"/>
    <w:rsid w:val="00466685"/>
    <w:rsid w:val="00466C8C"/>
    <w:rsid w:val="00466FA9"/>
    <w:rsid w:val="00467927"/>
    <w:rsid w:val="0047096D"/>
    <w:rsid w:val="0047227A"/>
    <w:rsid w:val="00475F6A"/>
    <w:rsid w:val="00477B9C"/>
    <w:rsid w:val="0048293E"/>
    <w:rsid w:val="004829CA"/>
    <w:rsid w:val="00482A7F"/>
    <w:rsid w:val="00484E7F"/>
    <w:rsid w:val="00485424"/>
    <w:rsid w:val="004856DD"/>
    <w:rsid w:val="00486FAD"/>
    <w:rsid w:val="0048754A"/>
    <w:rsid w:val="00494439"/>
    <w:rsid w:val="00494CA5"/>
    <w:rsid w:val="00494ED9"/>
    <w:rsid w:val="004963E0"/>
    <w:rsid w:val="00496A03"/>
    <w:rsid w:val="00497E0A"/>
    <w:rsid w:val="004A3584"/>
    <w:rsid w:val="004A45CF"/>
    <w:rsid w:val="004A4DD9"/>
    <w:rsid w:val="004A5A68"/>
    <w:rsid w:val="004A7B9E"/>
    <w:rsid w:val="004B0EBE"/>
    <w:rsid w:val="004B43D8"/>
    <w:rsid w:val="004B4405"/>
    <w:rsid w:val="004B49ED"/>
    <w:rsid w:val="004B4A24"/>
    <w:rsid w:val="004B4E11"/>
    <w:rsid w:val="004B7D1E"/>
    <w:rsid w:val="004B7D7E"/>
    <w:rsid w:val="004C0301"/>
    <w:rsid w:val="004C171B"/>
    <w:rsid w:val="004C2C1E"/>
    <w:rsid w:val="004C4667"/>
    <w:rsid w:val="004C6A72"/>
    <w:rsid w:val="004D0525"/>
    <w:rsid w:val="004D063B"/>
    <w:rsid w:val="004D2E85"/>
    <w:rsid w:val="004D33CF"/>
    <w:rsid w:val="004D535A"/>
    <w:rsid w:val="004D547B"/>
    <w:rsid w:val="004D62FA"/>
    <w:rsid w:val="004D69D7"/>
    <w:rsid w:val="004E010B"/>
    <w:rsid w:val="004E1068"/>
    <w:rsid w:val="004E136F"/>
    <w:rsid w:val="004E166C"/>
    <w:rsid w:val="004E306F"/>
    <w:rsid w:val="004F0425"/>
    <w:rsid w:val="004F29BE"/>
    <w:rsid w:val="004F4497"/>
    <w:rsid w:val="004F487A"/>
    <w:rsid w:val="004F7005"/>
    <w:rsid w:val="004F7D56"/>
    <w:rsid w:val="00500D3A"/>
    <w:rsid w:val="0050402E"/>
    <w:rsid w:val="005046D3"/>
    <w:rsid w:val="00504AA0"/>
    <w:rsid w:val="00504AB2"/>
    <w:rsid w:val="00507582"/>
    <w:rsid w:val="005112F1"/>
    <w:rsid w:val="005131E3"/>
    <w:rsid w:val="00513AA5"/>
    <w:rsid w:val="005159C5"/>
    <w:rsid w:val="0051662A"/>
    <w:rsid w:val="00516F7A"/>
    <w:rsid w:val="00520A81"/>
    <w:rsid w:val="00523475"/>
    <w:rsid w:val="005262A0"/>
    <w:rsid w:val="005273E4"/>
    <w:rsid w:val="00527B2D"/>
    <w:rsid w:val="00530B96"/>
    <w:rsid w:val="00532530"/>
    <w:rsid w:val="00532D53"/>
    <w:rsid w:val="00533F20"/>
    <w:rsid w:val="00534784"/>
    <w:rsid w:val="005354F0"/>
    <w:rsid w:val="0053567F"/>
    <w:rsid w:val="00535F90"/>
    <w:rsid w:val="00537261"/>
    <w:rsid w:val="00537E88"/>
    <w:rsid w:val="00540473"/>
    <w:rsid w:val="005424C2"/>
    <w:rsid w:val="00542C03"/>
    <w:rsid w:val="00543855"/>
    <w:rsid w:val="0054446C"/>
    <w:rsid w:val="005457FE"/>
    <w:rsid w:val="00545C40"/>
    <w:rsid w:val="00546E36"/>
    <w:rsid w:val="00547A4D"/>
    <w:rsid w:val="005508ED"/>
    <w:rsid w:val="0055117C"/>
    <w:rsid w:val="00551B10"/>
    <w:rsid w:val="00555648"/>
    <w:rsid w:val="00556B92"/>
    <w:rsid w:val="00557036"/>
    <w:rsid w:val="00557F17"/>
    <w:rsid w:val="0056112E"/>
    <w:rsid w:val="00563332"/>
    <w:rsid w:val="005645F6"/>
    <w:rsid w:val="00566039"/>
    <w:rsid w:val="005667BF"/>
    <w:rsid w:val="005700B1"/>
    <w:rsid w:val="00573432"/>
    <w:rsid w:val="00573D65"/>
    <w:rsid w:val="0057551F"/>
    <w:rsid w:val="00575749"/>
    <w:rsid w:val="00580645"/>
    <w:rsid w:val="00581C85"/>
    <w:rsid w:val="005834AF"/>
    <w:rsid w:val="00583CD6"/>
    <w:rsid w:val="00585574"/>
    <w:rsid w:val="005856CE"/>
    <w:rsid w:val="005857C0"/>
    <w:rsid w:val="00585CD0"/>
    <w:rsid w:val="00592557"/>
    <w:rsid w:val="00593CA0"/>
    <w:rsid w:val="00594EA5"/>
    <w:rsid w:val="0059571B"/>
    <w:rsid w:val="0059674B"/>
    <w:rsid w:val="0059699D"/>
    <w:rsid w:val="005972D1"/>
    <w:rsid w:val="005977A6"/>
    <w:rsid w:val="005978FC"/>
    <w:rsid w:val="005A0149"/>
    <w:rsid w:val="005A0725"/>
    <w:rsid w:val="005A2960"/>
    <w:rsid w:val="005A470A"/>
    <w:rsid w:val="005A6717"/>
    <w:rsid w:val="005B0197"/>
    <w:rsid w:val="005B0D18"/>
    <w:rsid w:val="005B0FEC"/>
    <w:rsid w:val="005B1D26"/>
    <w:rsid w:val="005B3A85"/>
    <w:rsid w:val="005B6B26"/>
    <w:rsid w:val="005B7327"/>
    <w:rsid w:val="005B75A2"/>
    <w:rsid w:val="005B75F1"/>
    <w:rsid w:val="005C7DF4"/>
    <w:rsid w:val="005D3D1D"/>
    <w:rsid w:val="005D529B"/>
    <w:rsid w:val="005D5A88"/>
    <w:rsid w:val="005E02DE"/>
    <w:rsid w:val="005E1A69"/>
    <w:rsid w:val="005E1CF9"/>
    <w:rsid w:val="005E401F"/>
    <w:rsid w:val="005E48C3"/>
    <w:rsid w:val="005E532F"/>
    <w:rsid w:val="005E5CF4"/>
    <w:rsid w:val="005E7582"/>
    <w:rsid w:val="005E7762"/>
    <w:rsid w:val="005F12FC"/>
    <w:rsid w:val="005F1739"/>
    <w:rsid w:val="005F259E"/>
    <w:rsid w:val="005F2E63"/>
    <w:rsid w:val="005F2ED7"/>
    <w:rsid w:val="005F4298"/>
    <w:rsid w:val="005F5DBE"/>
    <w:rsid w:val="00600249"/>
    <w:rsid w:val="006012F2"/>
    <w:rsid w:val="00601BD2"/>
    <w:rsid w:val="00605B2D"/>
    <w:rsid w:val="00606A24"/>
    <w:rsid w:val="00611F92"/>
    <w:rsid w:val="0061665C"/>
    <w:rsid w:val="0062072A"/>
    <w:rsid w:val="00621387"/>
    <w:rsid w:val="006228BD"/>
    <w:rsid w:val="0062363B"/>
    <w:rsid w:val="00623737"/>
    <w:rsid w:val="00624EB0"/>
    <w:rsid w:val="00625F9F"/>
    <w:rsid w:val="00626B92"/>
    <w:rsid w:val="00626DF5"/>
    <w:rsid w:val="00630F84"/>
    <w:rsid w:val="0063101C"/>
    <w:rsid w:val="00631026"/>
    <w:rsid w:val="006345D6"/>
    <w:rsid w:val="00634C5B"/>
    <w:rsid w:val="00634F8A"/>
    <w:rsid w:val="00636F1A"/>
    <w:rsid w:val="00637FFA"/>
    <w:rsid w:val="00640043"/>
    <w:rsid w:val="006404E8"/>
    <w:rsid w:val="00640FC6"/>
    <w:rsid w:val="00642E43"/>
    <w:rsid w:val="00643CE3"/>
    <w:rsid w:val="006462E2"/>
    <w:rsid w:val="0064639C"/>
    <w:rsid w:val="00646B91"/>
    <w:rsid w:val="006521AE"/>
    <w:rsid w:val="0065261E"/>
    <w:rsid w:val="0065652A"/>
    <w:rsid w:val="006567C0"/>
    <w:rsid w:val="006575D2"/>
    <w:rsid w:val="006657F0"/>
    <w:rsid w:val="00665887"/>
    <w:rsid w:val="00666E41"/>
    <w:rsid w:val="006671FB"/>
    <w:rsid w:val="00671CDE"/>
    <w:rsid w:val="00672B9B"/>
    <w:rsid w:val="0067301A"/>
    <w:rsid w:val="00673DD7"/>
    <w:rsid w:val="0067496A"/>
    <w:rsid w:val="00674B1A"/>
    <w:rsid w:val="0067767D"/>
    <w:rsid w:val="00677A92"/>
    <w:rsid w:val="006819A2"/>
    <w:rsid w:val="00681C82"/>
    <w:rsid w:val="00682EAD"/>
    <w:rsid w:val="00685A8F"/>
    <w:rsid w:val="00686CD5"/>
    <w:rsid w:val="0068745D"/>
    <w:rsid w:val="00687A9F"/>
    <w:rsid w:val="006905EE"/>
    <w:rsid w:val="006924C9"/>
    <w:rsid w:val="00692E3F"/>
    <w:rsid w:val="00692F38"/>
    <w:rsid w:val="006931B6"/>
    <w:rsid w:val="006949BC"/>
    <w:rsid w:val="00694F0F"/>
    <w:rsid w:val="00695A42"/>
    <w:rsid w:val="006A0183"/>
    <w:rsid w:val="006A0896"/>
    <w:rsid w:val="006A2E91"/>
    <w:rsid w:val="006A55D7"/>
    <w:rsid w:val="006A6150"/>
    <w:rsid w:val="006A63ED"/>
    <w:rsid w:val="006A77EC"/>
    <w:rsid w:val="006B1908"/>
    <w:rsid w:val="006B303C"/>
    <w:rsid w:val="006B3D80"/>
    <w:rsid w:val="006B41B8"/>
    <w:rsid w:val="006C1A78"/>
    <w:rsid w:val="006C2008"/>
    <w:rsid w:val="006C2F11"/>
    <w:rsid w:val="006C343B"/>
    <w:rsid w:val="006C4514"/>
    <w:rsid w:val="006C4A62"/>
    <w:rsid w:val="006C7EF7"/>
    <w:rsid w:val="006D14B2"/>
    <w:rsid w:val="006D1788"/>
    <w:rsid w:val="006D17FD"/>
    <w:rsid w:val="006D1C03"/>
    <w:rsid w:val="006D1EC3"/>
    <w:rsid w:val="006D382A"/>
    <w:rsid w:val="006D7E1C"/>
    <w:rsid w:val="006D7F96"/>
    <w:rsid w:val="006E0AF8"/>
    <w:rsid w:val="006E2275"/>
    <w:rsid w:val="006E30CF"/>
    <w:rsid w:val="006E658B"/>
    <w:rsid w:val="006F1B7A"/>
    <w:rsid w:val="006F2AB5"/>
    <w:rsid w:val="006F3000"/>
    <w:rsid w:val="006F3D6E"/>
    <w:rsid w:val="006F3DD5"/>
    <w:rsid w:val="006F562C"/>
    <w:rsid w:val="006F702A"/>
    <w:rsid w:val="006F762B"/>
    <w:rsid w:val="00701AB6"/>
    <w:rsid w:val="00703C38"/>
    <w:rsid w:val="0071177B"/>
    <w:rsid w:val="00713897"/>
    <w:rsid w:val="00714295"/>
    <w:rsid w:val="007156A0"/>
    <w:rsid w:val="007161CE"/>
    <w:rsid w:val="00716BA5"/>
    <w:rsid w:val="0072015D"/>
    <w:rsid w:val="0072026E"/>
    <w:rsid w:val="0072057C"/>
    <w:rsid w:val="00723FCE"/>
    <w:rsid w:val="007251E7"/>
    <w:rsid w:val="007257E6"/>
    <w:rsid w:val="0072594D"/>
    <w:rsid w:val="0072686F"/>
    <w:rsid w:val="007268AD"/>
    <w:rsid w:val="00730F0A"/>
    <w:rsid w:val="007320A5"/>
    <w:rsid w:val="007323FC"/>
    <w:rsid w:val="0073286E"/>
    <w:rsid w:val="00735071"/>
    <w:rsid w:val="00736CE9"/>
    <w:rsid w:val="007372E2"/>
    <w:rsid w:val="00737B9E"/>
    <w:rsid w:val="0074005C"/>
    <w:rsid w:val="0074048E"/>
    <w:rsid w:val="00741C6F"/>
    <w:rsid w:val="007452AE"/>
    <w:rsid w:val="00746DBA"/>
    <w:rsid w:val="00750F27"/>
    <w:rsid w:val="00750F77"/>
    <w:rsid w:val="007514BA"/>
    <w:rsid w:val="007515E9"/>
    <w:rsid w:val="00751DB7"/>
    <w:rsid w:val="00751E36"/>
    <w:rsid w:val="00752571"/>
    <w:rsid w:val="00755B7F"/>
    <w:rsid w:val="00757D76"/>
    <w:rsid w:val="00762B1C"/>
    <w:rsid w:val="00762B80"/>
    <w:rsid w:val="0076757A"/>
    <w:rsid w:val="00767639"/>
    <w:rsid w:val="00770C74"/>
    <w:rsid w:val="0077372C"/>
    <w:rsid w:val="00773E4E"/>
    <w:rsid w:val="007754AD"/>
    <w:rsid w:val="00775E61"/>
    <w:rsid w:val="00775FFE"/>
    <w:rsid w:val="007778AA"/>
    <w:rsid w:val="00780495"/>
    <w:rsid w:val="0078251A"/>
    <w:rsid w:val="007828FD"/>
    <w:rsid w:val="00782AEF"/>
    <w:rsid w:val="00782EA5"/>
    <w:rsid w:val="00784544"/>
    <w:rsid w:val="00784D87"/>
    <w:rsid w:val="00784F86"/>
    <w:rsid w:val="0078503E"/>
    <w:rsid w:val="0078515E"/>
    <w:rsid w:val="007854B6"/>
    <w:rsid w:val="0078669E"/>
    <w:rsid w:val="00787814"/>
    <w:rsid w:val="007878A0"/>
    <w:rsid w:val="00790535"/>
    <w:rsid w:val="007912B9"/>
    <w:rsid w:val="0079161E"/>
    <w:rsid w:val="00792C37"/>
    <w:rsid w:val="00793CBD"/>
    <w:rsid w:val="0079433D"/>
    <w:rsid w:val="00795D5F"/>
    <w:rsid w:val="007964A2"/>
    <w:rsid w:val="007972F3"/>
    <w:rsid w:val="0079736E"/>
    <w:rsid w:val="00797CB4"/>
    <w:rsid w:val="007A0183"/>
    <w:rsid w:val="007A229C"/>
    <w:rsid w:val="007A41AE"/>
    <w:rsid w:val="007A52EA"/>
    <w:rsid w:val="007A5992"/>
    <w:rsid w:val="007A5DBD"/>
    <w:rsid w:val="007A6E06"/>
    <w:rsid w:val="007A6E3B"/>
    <w:rsid w:val="007A6E50"/>
    <w:rsid w:val="007A7CD3"/>
    <w:rsid w:val="007B0907"/>
    <w:rsid w:val="007B103E"/>
    <w:rsid w:val="007B11E4"/>
    <w:rsid w:val="007B18D7"/>
    <w:rsid w:val="007B2ED1"/>
    <w:rsid w:val="007B4BF0"/>
    <w:rsid w:val="007B70B3"/>
    <w:rsid w:val="007B76C5"/>
    <w:rsid w:val="007C0E72"/>
    <w:rsid w:val="007C1937"/>
    <w:rsid w:val="007C29C4"/>
    <w:rsid w:val="007C44D7"/>
    <w:rsid w:val="007C6F3B"/>
    <w:rsid w:val="007D0ED9"/>
    <w:rsid w:val="007D23CB"/>
    <w:rsid w:val="007D2413"/>
    <w:rsid w:val="007D2938"/>
    <w:rsid w:val="007D4A31"/>
    <w:rsid w:val="007D6FF2"/>
    <w:rsid w:val="007D76D2"/>
    <w:rsid w:val="007D7F0B"/>
    <w:rsid w:val="007E0277"/>
    <w:rsid w:val="007E061D"/>
    <w:rsid w:val="007E171C"/>
    <w:rsid w:val="007E3BDF"/>
    <w:rsid w:val="007E4FC8"/>
    <w:rsid w:val="007E5B8D"/>
    <w:rsid w:val="007E70E1"/>
    <w:rsid w:val="007F033E"/>
    <w:rsid w:val="007F5226"/>
    <w:rsid w:val="007F5481"/>
    <w:rsid w:val="007F7F87"/>
    <w:rsid w:val="00802311"/>
    <w:rsid w:val="00803EA4"/>
    <w:rsid w:val="00804B7E"/>
    <w:rsid w:val="0080602D"/>
    <w:rsid w:val="0081092E"/>
    <w:rsid w:val="00811233"/>
    <w:rsid w:val="008138B3"/>
    <w:rsid w:val="00813F24"/>
    <w:rsid w:val="008164D2"/>
    <w:rsid w:val="00817B46"/>
    <w:rsid w:val="00817D49"/>
    <w:rsid w:val="00820196"/>
    <w:rsid w:val="00821DA1"/>
    <w:rsid w:val="00826186"/>
    <w:rsid w:val="00826636"/>
    <w:rsid w:val="0082772C"/>
    <w:rsid w:val="00832D3E"/>
    <w:rsid w:val="00833368"/>
    <w:rsid w:val="00833515"/>
    <w:rsid w:val="0083391E"/>
    <w:rsid w:val="0083437F"/>
    <w:rsid w:val="0083499F"/>
    <w:rsid w:val="0083643E"/>
    <w:rsid w:val="00837A90"/>
    <w:rsid w:val="00837CF9"/>
    <w:rsid w:val="00837EAA"/>
    <w:rsid w:val="0084093B"/>
    <w:rsid w:val="008419E2"/>
    <w:rsid w:val="008423C4"/>
    <w:rsid w:val="008425BD"/>
    <w:rsid w:val="00844709"/>
    <w:rsid w:val="008507EE"/>
    <w:rsid w:val="008510DE"/>
    <w:rsid w:val="008514C8"/>
    <w:rsid w:val="00853271"/>
    <w:rsid w:val="00856F7C"/>
    <w:rsid w:val="00860B11"/>
    <w:rsid w:val="008617C6"/>
    <w:rsid w:val="008619D7"/>
    <w:rsid w:val="0086457D"/>
    <w:rsid w:val="0086473F"/>
    <w:rsid w:val="008654E1"/>
    <w:rsid w:val="0086551E"/>
    <w:rsid w:val="00865BEB"/>
    <w:rsid w:val="008665E7"/>
    <w:rsid w:val="00867639"/>
    <w:rsid w:val="00867EB2"/>
    <w:rsid w:val="00870F2B"/>
    <w:rsid w:val="008716AC"/>
    <w:rsid w:val="00873FD2"/>
    <w:rsid w:val="00880156"/>
    <w:rsid w:val="0088199D"/>
    <w:rsid w:val="00882126"/>
    <w:rsid w:val="008830EC"/>
    <w:rsid w:val="008848DA"/>
    <w:rsid w:val="008850AA"/>
    <w:rsid w:val="00885371"/>
    <w:rsid w:val="008870EC"/>
    <w:rsid w:val="008904F0"/>
    <w:rsid w:val="00891C0C"/>
    <w:rsid w:val="008944B4"/>
    <w:rsid w:val="008959C8"/>
    <w:rsid w:val="00896D26"/>
    <w:rsid w:val="008A1EF6"/>
    <w:rsid w:val="008A200B"/>
    <w:rsid w:val="008A2E5A"/>
    <w:rsid w:val="008A2FD5"/>
    <w:rsid w:val="008A3B90"/>
    <w:rsid w:val="008A5A8D"/>
    <w:rsid w:val="008A7423"/>
    <w:rsid w:val="008B00FA"/>
    <w:rsid w:val="008B0C86"/>
    <w:rsid w:val="008B2170"/>
    <w:rsid w:val="008B226B"/>
    <w:rsid w:val="008B2D34"/>
    <w:rsid w:val="008B592D"/>
    <w:rsid w:val="008C2F1A"/>
    <w:rsid w:val="008C4BB8"/>
    <w:rsid w:val="008C4E8A"/>
    <w:rsid w:val="008C56A4"/>
    <w:rsid w:val="008C57CE"/>
    <w:rsid w:val="008C6156"/>
    <w:rsid w:val="008C6F95"/>
    <w:rsid w:val="008C744C"/>
    <w:rsid w:val="008D04D5"/>
    <w:rsid w:val="008D1CEF"/>
    <w:rsid w:val="008D3C1A"/>
    <w:rsid w:val="008D4B1B"/>
    <w:rsid w:val="008D64B1"/>
    <w:rsid w:val="008D6723"/>
    <w:rsid w:val="008D6CD2"/>
    <w:rsid w:val="008E09BB"/>
    <w:rsid w:val="008E111C"/>
    <w:rsid w:val="008E338F"/>
    <w:rsid w:val="008E53BF"/>
    <w:rsid w:val="008E77CE"/>
    <w:rsid w:val="008E7AB2"/>
    <w:rsid w:val="008F1F42"/>
    <w:rsid w:val="008F2601"/>
    <w:rsid w:val="008F2F80"/>
    <w:rsid w:val="008F497D"/>
    <w:rsid w:val="008F592D"/>
    <w:rsid w:val="008F7150"/>
    <w:rsid w:val="008F72E9"/>
    <w:rsid w:val="008F7AB4"/>
    <w:rsid w:val="009004CF"/>
    <w:rsid w:val="009007CC"/>
    <w:rsid w:val="00900906"/>
    <w:rsid w:val="0090094B"/>
    <w:rsid w:val="00900AFD"/>
    <w:rsid w:val="0090260E"/>
    <w:rsid w:val="00906609"/>
    <w:rsid w:val="0091062E"/>
    <w:rsid w:val="00910A32"/>
    <w:rsid w:val="009110B0"/>
    <w:rsid w:val="00911710"/>
    <w:rsid w:val="00913286"/>
    <w:rsid w:val="00915D57"/>
    <w:rsid w:val="0091600F"/>
    <w:rsid w:val="00916461"/>
    <w:rsid w:val="00917EF1"/>
    <w:rsid w:val="00921823"/>
    <w:rsid w:val="00921ADF"/>
    <w:rsid w:val="00921BEB"/>
    <w:rsid w:val="00921E27"/>
    <w:rsid w:val="009221CA"/>
    <w:rsid w:val="00922688"/>
    <w:rsid w:val="0092604A"/>
    <w:rsid w:val="009300FA"/>
    <w:rsid w:val="0093062B"/>
    <w:rsid w:val="00931D26"/>
    <w:rsid w:val="009337F5"/>
    <w:rsid w:val="00935889"/>
    <w:rsid w:val="00935F53"/>
    <w:rsid w:val="00937C73"/>
    <w:rsid w:val="00940E5D"/>
    <w:rsid w:val="009415E8"/>
    <w:rsid w:val="0094164F"/>
    <w:rsid w:val="00942C67"/>
    <w:rsid w:val="0094793F"/>
    <w:rsid w:val="00947C53"/>
    <w:rsid w:val="00947F49"/>
    <w:rsid w:val="0095049B"/>
    <w:rsid w:val="0095067A"/>
    <w:rsid w:val="00951F6A"/>
    <w:rsid w:val="00952750"/>
    <w:rsid w:val="00952CC1"/>
    <w:rsid w:val="00952D39"/>
    <w:rsid w:val="00952EC9"/>
    <w:rsid w:val="0095498F"/>
    <w:rsid w:val="009550EA"/>
    <w:rsid w:val="00955427"/>
    <w:rsid w:val="00955A23"/>
    <w:rsid w:val="009565D8"/>
    <w:rsid w:val="00957F4B"/>
    <w:rsid w:val="00960253"/>
    <w:rsid w:val="009632C1"/>
    <w:rsid w:val="00964CB4"/>
    <w:rsid w:val="00966806"/>
    <w:rsid w:val="00966B3E"/>
    <w:rsid w:val="00970639"/>
    <w:rsid w:val="00970920"/>
    <w:rsid w:val="00971360"/>
    <w:rsid w:val="009721DE"/>
    <w:rsid w:val="00973879"/>
    <w:rsid w:val="00973F4C"/>
    <w:rsid w:val="0097586F"/>
    <w:rsid w:val="00976EB8"/>
    <w:rsid w:val="00977F4F"/>
    <w:rsid w:val="00980B98"/>
    <w:rsid w:val="00981148"/>
    <w:rsid w:val="00983CC4"/>
    <w:rsid w:val="00983D65"/>
    <w:rsid w:val="00984279"/>
    <w:rsid w:val="0098452B"/>
    <w:rsid w:val="0098511B"/>
    <w:rsid w:val="00985A6E"/>
    <w:rsid w:val="00986CFC"/>
    <w:rsid w:val="00991844"/>
    <w:rsid w:val="00991F5E"/>
    <w:rsid w:val="00994DE0"/>
    <w:rsid w:val="00994FF1"/>
    <w:rsid w:val="00995896"/>
    <w:rsid w:val="00996C7F"/>
    <w:rsid w:val="00997443"/>
    <w:rsid w:val="00997EC6"/>
    <w:rsid w:val="009A0156"/>
    <w:rsid w:val="009A1378"/>
    <w:rsid w:val="009A3F2B"/>
    <w:rsid w:val="009A427E"/>
    <w:rsid w:val="009A4D55"/>
    <w:rsid w:val="009A5988"/>
    <w:rsid w:val="009A7ED9"/>
    <w:rsid w:val="009B03E8"/>
    <w:rsid w:val="009B1EFC"/>
    <w:rsid w:val="009B2280"/>
    <w:rsid w:val="009B2817"/>
    <w:rsid w:val="009B2DA9"/>
    <w:rsid w:val="009B3418"/>
    <w:rsid w:val="009B3968"/>
    <w:rsid w:val="009B582B"/>
    <w:rsid w:val="009B7ECA"/>
    <w:rsid w:val="009C0BB4"/>
    <w:rsid w:val="009C16A4"/>
    <w:rsid w:val="009C1F4A"/>
    <w:rsid w:val="009C1F76"/>
    <w:rsid w:val="009C277D"/>
    <w:rsid w:val="009C63CF"/>
    <w:rsid w:val="009C67DA"/>
    <w:rsid w:val="009C6D2E"/>
    <w:rsid w:val="009C705E"/>
    <w:rsid w:val="009C7DC2"/>
    <w:rsid w:val="009D0FBF"/>
    <w:rsid w:val="009D12DE"/>
    <w:rsid w:val="009D1C1A"/>
    <w:rsid w:val="009D2698"/>
    <w:rsid w:val="009D3070"/>
    <w:rsid w:val="009D4B49"/>
    <w:rsid w:val="009D4DAF"/>
    <w:rsid w:val="009D5D1D"/>
    <w:rsid w:val="009D60A2"/>
    <w:rsid w:val="009D76DD"/>
    <w:rsid w:val="009E0D14"/>
    <w:rsid w:val="009E1255"/>
    <w:rsid w:val="009E2A53"/>
    <w:rsid w:val="009E5DE1"/>
    <w:rsid w:val="009E663E"/>
    <w:rsid w:val="009E6A79"/>
    <w:rsid w:val="009E771A"/>
    <w:rsid w:val="009F00A3"/>
    <w:rsid w:val="009F358B"/>
    <w:rsid w:val="009F36CA"/>
    <w:rsid w:val="009F3AC0"/>
    <w:rsid w:val="009F460C"/>
    <w:rsid w:val="009F49A5"/>
    <w:rsid w:val="009F4A93"/>
    <w:rsid w:val="009F5F76"/>
    <w:rsid w:val="009F64F9"/>
    <w:rsid w:val="009F654D"/>
    <w:rsid w:val="009F6CCC"/>
    <w:rsid w:val="009F7804"/>
    <w:rsid w:val="00A00D30"/>
    <w:rsid w:val="00A011EE"/>
    <w:rsid w:val="00A02041"/>
    <w:rsid w:val="00A0703E"/>
    <w:rsid w:val="00A0743B"/>
    <w:rsid w:val="00A1007B"/>
    <w:rsid w:val="00A11C58"/>
    <w:rsid w:val="00A14F99"/>
    <w:rsid w:val="00A20810"/>
    <w:rsid w:val="00A21509"/>
    <w:rsid w:val="00A21A9C"/>
    <w:rsid w:val="00A21B7E"/>
    <w:rsid w:val="00A21BD8"/>
    <w:rsid w:val="00A2227B"/>
    <w:rsid w:val="00A23967"/>
    <w:rsid w:val="00A247BE"/>
    <w:rsid w:val="00A25671"/>
    <w:rsid w:val="00A27027"/>
    <w:rsid w:val="00A32347"/>
    <w:rsid w:val="00A331FA"/>
    <w:rsid w:val="00A377C8"/>
    <w:rsid w:val="00A41D17"/>
    <w:rsid w:val="00A42BAC"/>
    <w:rsid w:val="00A43925"/>
    <w:rsid w:val="00A439C5"/>
    <w:rsid w:val="00A44E53"/>
    <w:rsid w:val="00A45218"/>
    <w:rsid w:val="00A52512"/>
    <w:rsid w:val="00A53471"/>
    <w:rsid w:val="00A53A89"/>
    <w:rsid w:val="00A53BF1"/>
    <w:rsid w:val="00A53E47"/>
    <w:rsid w:val="00A53F7D"/>
    <w:rsid w:val="00A5466C"/>
    <w:rsid w:val="00A56CF7"/>
    <w:rsid w:val="00A57275"/>
    <w:rsid w:val="00A6077F"/>
    <w:rsid w:val="00A608F5"/>
    <w:rsid w:val="00A60C7D"/>
    <w:rsid w:val="00A620B0"/>
    <w:rsid w:val="00A624EE"/>
    <w:rsid w:val="00A64D2D"/>
    <w:rsid w:val="00A746CA"/>
    <w:rsid w:val="00A74759"/>
    <w:rsid w:val="00A7582C"/>
    <w:rsid w:val="00A76E78"/>
    <w:rsid w:val="00A76F22"/>
    <w:rsid w:val="00A76FCA"/>
    <w:rsid w:val="00A77181"/>
    <w:rsid w:val="00A777C3"/>
    <w:rsid w:val="00A77A24"/>
    <w:rsid w:val="00A8097A"/>
    <w:rsid w:val="00A80B9E"/>
    <w:rsid w:val="00A8221D"/>
    <w:rsid w:val="00A837EF"/>
    <w:rsid w:val="00A84706"/>
    <w:rsid w:val="00A84895"/>
    <w:rsid w:val="00A849DF"/>
    <w:rsid w:val="00A85096"/>
    <w:rsid w:val="00A9169D"/>
    <w:rsid w:val="00A919A8"/>
    <w:rsid w:val="00A9261F"/>
    <w:rsid w:val="00A9272D"/>
    <w:rsid w:val="00A9407B"/>
    <w:rsid w:val="00A94BD7"/>
    <w:rsid w:val="00A96AF7"/>
    <w:rsid w:val="00A97DC2"/>
    <w:rsid w:val="00AA008C"/>
    <w:rsid w:val="00AA11FA"/>
    <w:rsid w:val="00AA37E0"/>
    <w:rsid w:val="00AA453E"/>
    <w:rsid w:val="00AA520F"/>
    <w:rsid w:val="00AA5CB1"/>
    <w:rsid w:val="00AA5FB4"/>
    <w:rsid w:val="00AA6378"/>
    <w:rsid w:val="00AA7247"/>
    <w:rsid w:val="00AA740F"/>
    <w:rsid w:val="00AB036D"/>
    <w:rsid w:val="00AB3A1A"/>
    <w:rsid w:val="00AB3DA0"/>
    <w:rsid w:val="00AB4258"/>
    <w:rsid w:val="00AB7B47"/>
    <w:rsid w:val="00AC09A4"/>
    <w:rsid w:val="00AC23CF"/>
    <w:rsid w:val="00AC38DF"/>
    <w:rsid w:val="00AC5168"/>
    <w:rsid w:val="00AC592D"/>
    <w:rsid w:val="00AD0B94"/>
    <w:rsid w:val="00AD5545"/>
    <w:rsid w:val="00AD72B0"/>
    <w:rsid w:val="00AD79EA"/>
    <w:rsid w:val="00AD7BEB"/>
    <w:rsid w:val="00AE0670"/>
    <w:rsid w:val="00AE0DB7"/>
    <w:rsid w:val="00AE0DE2"/>
    <w:rsid w:val="00AE167A"/>
    <w:rsid w:val="00AE315C"/>
    <w:rsid w:val="00AE58AC"/>
    <w:rsid w:val="00AF00F8"/>
    <w:rsid w:val="00AF0274"/>
    <w:rsid w:val="00AF4301"/>
    <w:rsid w:val="00AF5E5B"/>
    <w:rsid w:val="00AF6279"/>
    <w:rsid w:val="00AF7BD8"/>
    <w:rsid w:val="00AF7E62"/>
    <w:rsid w:val="00B009A1"/>
    <w:rsid w:val="00B00F7A"/>
    <w:rsid w:val="00B02D1E"/>
    <w:rsid w:val="00B041FF"/>
    <w:rsid w:val="00B0466B"/>
    <w:rsid w:val="00B060FC"/>
    <w:rsid w:val="00B06FC9"/>
    <w:rsid w:val="00B075FE"/>
    <w:rsid w:val="00B10369"/>
    <w:rsid w:val="00B10800"/>
    <w:rsid w:val="00B111CF"/>
    <w:rsid w:val="00B116F2"/>
    <w:rsid w:val="00B128BB"/>
    <w:rsid w:val="00B14223"/>
    <w:rsid w:val="00B1519D"/>
    <w:rsid w:val="00B152B8"/>
    <w:rsid w:val="00B15F29"/>
    <w:rsid w:val="00B22CA9"/>
    <w:rsid w:val="00B22D0D"/>
    <w:rsid w:val="00B232E9"/>
    <w:rsid w:val="00B246FF"/>
    <w:rsid w:val="00B31007"/>
    <w:rsid w:val="00B314ED"/>
    <w:rsid w:val="00B32B8B"/>
    <w:rsid w:val="00B35583"/>
    <w:rsid w:val="00B3675E"/>
    <w:rsid w:val="00B36C9E"/>
    <w:rsid w:val="00B43500"/>
    <w:rsid w:val="00B446FD"/>
    <w:rsid w:val="00B44D3F"/>
    <w:rsid w:val="00B45338"/>
    <w:rsid w:val="00B47403"/>
    <w:rsid w:val="00B50121"/>
    <w:rsid w:val="00B515F3"/>
    <w:rsid w:val="00B5238B"/>
    <w:rsid w:val="00B52529"/>
    <w:rsid w:val="00B52C09"/>
    <w:rsid w:val="00B53B6E"/>
    <w:rsid w:val="00B56A1D"/>
    <w:rsid w:val="00B56FC4"/>
    <w:rsid w:val="00B577FD"/>
    <w:rsid w:val="00B57861"/>
    <w:rsid w:val="00B601F7"/>
    <w:rsid w:val="00B60C93"/>
    <w:rsid w:val="00B61EA9"/>
    <w:rsid w:val="00B645A2"/>
    <w:rsid w:val="00B64D65"/>
    <w:rsid w:val="00B65BEC"/>
    <w:rsid w:val="00B66568"/>
    <w:rsid w:val="00B67D9E"/>
    <w:rsid w:val="00B726A9"/>
    <w:rsid w:val="00B73286"/>
    <w:rsid w:val="00B73588"/>
    <w:rsid w:val="00B73828"/>
    <w:rsid w:val="00B7449D"/>
    <w:rsid w:val="00B74987"/>
    <w:rsid w:val="00B74D0D"/>
    <w:rsid w:val="00B75A66"/>
    <w:rsid w:val="00B76DDE"/>
    <w:rsid w:val="00B76EC8"/>
    <w:rsid w:val="00B8034C"/>
    <w:rsid w:val="00B80A90"/>
    <w:rsid w:val="00B81E40"/>
    <w:rsid w:val="00B820DE"/>
    <w:rsid w:val="00B826B8"/>
    <w:rsid w:val="00B866A3"/>
    <w:rsid w:val="00B86E42"/>
    <w:rsid w:val="00B92F71"/>
    <w:rsid w:val="00B932C9"/>
    <w:rsid w:val="00B9623A"/>
    <w:rsid w:val="00BA0BDA"/>
    <w:rsid w:val="00BA23A8"/>
    <w:rsid w:val="00BA33A5"/>
    <w:rsid w:val="00BA59E1"/>
    <w:rsid w:val="00BA6424"/>
    <w:rsid w:val="00BA7FE4"/>
    <w:rsid w:val="00BB1447"/>
    <w:rsid w:val="00BB1A08"/>
    <w:rsid w:val="00BB4668"/>
    <w:rsid w:val="00BB4938"/>
    <w:rsid w:val="00BB5F20"/>
    <w:rsid w:val="00BB70B1"/>
    <w:rsid w:val="00BB7100"/>
    <w:rsid w:val="00BB7DAC"/>
    <w:rsid w:val="00BC22CD"/>
    <w:rsid w:val="00BC2B5C"/>
    <w:rsid w:val="00BC4082"/>
    <w:rsid w:val="00BC4A8D"/>
    <w:rsid w:val="00BC742F"/>
    <w:rsid w:val="00BC7EE1"/>
    <w:rsid w:val="00BD380F"/>
    <w:rsid w:val="00BD7F9C"/>
    <w:rsid w:val="00BE0838"/>
    <w:rsid w:val="00BE180E"/>
    <w:rsid w:val="00BE1EFE"/>
    <w:rsid w:val="00BE2A25"/>
    <w:rsid w:val="00BE3319"/>
    <w:rsid w:val="00BE3F10"/>
    <w:rsid w:val="00BE614E"/>
    <w:rsid w:val="00BE6366"/>
    <w:rsid w:val="00BE7110"/>
    <w:rsid w:val="00BE782A"/>
    <w:rsid w:val="00BF07F4"/>
    <w:rsid w:val="00BF16A1"/>
    <w:rsid w:val="00BF2319"/>
    <w:rsid w:val="00BF29CD"/>
    <w:rsid w:val="00BF5211"/>
    <w:rsid w:val="00C00E5F"/>
    <w:rsid w:val="00C034BF"/>
    <w:rsid w:val="00C037DB"/>
    <w:rsid w:val="00C03BA7"/>
    <w:rsid w:val="00C03D81"/>
    <w:rsid w:val="00C04044"/>
    <w:rsid w:val="00C04743"/>
    <w:rsid w:val="00C0621B"/>
    <w:rsid w:val="00C06710"/>
    <w:rsid w:val="00C07644"/>
    <w:rsid w:val="00C125AC"/>
    <w:rsid w:val="00C127B1"/>
    <w:rsid w:val="00C142A0"/>
    <w:rsid w:val="00C14A02"/>
    <w:rsid w:val="00C14EBD"/>
    <w:rsid w:val="00C14ECF"/>
    <w:rsid w:val="00C163CA"/>
    <w:rsid w:val="00C20BB8"/>
    <w:rsid w:val="00C21536"/>
    <w:rsid w:val="00C21E2B"/>
    <w:rsid w:val="00C22E52"/>
    <w:rsid w:val="00C23FCF"/>
    <w:rsid w:val="00C24A71"/>
    <w:rsid w:val="00C25AB3"/>
    <w:rsid w:val="00C30D36"/>
    <w:rsid w:val="00C311C6"/>
    <w:rsid w:val="00C32701"/>
    <w:rsid w:val="00C32B80"/>
    <w:rsid w:val="00C33B6F"/>
    <w:rsid w:val="00C35E2F"/>
    <w:rsid w:val="00C3668F"/>
    <w:rsid w:val="00C4075B"/>
    <w:rsid w:val="00C40CB9"/>
    <w:rsid w:val="00C41A0B"/>
    <w:rsid w:val="00C428D9"/>
    <w:rsid w:val="00C42B84"/>
    <w:rsid w:val="00C442E4"/>
    <w:rsid w:val="00C4636A"/>
    <w:rsid w:val="00C47DF0"/>
    <w:rsid w:val="00C47EBC"/>
    <w:rsid w:val="00C50879"/>
    <w:rsid w:val="00C528D2"/>
    <w:rsid w:val="00C53A24"/>
    <w:rsid w:val="00C53FA8"/>
    <w:rsid w:val="00C54C6F"/>
    <w:rsid w:val="00C55DB0"/>
    <w:rsid w:val="00C56F42"/>
    <w:rsid w:val="00C573FF"/>
    <w:rsid w:val="00C60474"/>
    <w:rsid w:val="00C60DC2"/>
    <w:rsid w:val="00C6281F"/>
    <w:rsid w:val="00C628A1"/>
    <w:rsid w:val="00C62D16"/>
    <w:rsid w:val="00C62D5B"/>
    <w:rsid w:val="00C63373"/>
    <w:rsid w:val="00C63403"/>
    <w:rsid w:val="00C63571"/>
    <w:rsid w:val="00C64691"/>
    <w:rsid w:val="00C65076"/>
    <w:rsid w:val="00C66F72"/>
    <w:rsid w:val="00C673DA"/>
    <w:rsid w:val="00C71F4E"/>
    <w:rsid w:val="00C76995"/>
    <w:rsid w:val="00C77E38"/>
    <w:rsid w:val="00C81511"/>
    <w:rsid w:val="00C825B5"/>
    <w:rsid w:val="00C827B8"/>
    <w:rsid w:val="00C82855"/>
    <w:rsid w:val="00C830D1"/>
    <w:rsid w:val="00C83E72"/>
    <w:rsid w:val="00C8406D"/>
    <w:rsid w:val="00C84879"/>
    <w:rsid w:val="00C8553E"/>
    <w:rsid w:val="00C86DEA"/>
    <w:rsid w:val="00C87428"/>
    <w:rsid w:val="00C91899"/>
    <w:rsid w:val="00CA11A7"/>
    <w:rsid w:val="00CA24D2"/>
    <w:rsid w:val="00CA29A3"/>
    <w:rsid w:val="00CA319B"/>
    <w:rsid w:val="00CA371C"/>
    <w:rsid w:val="00CA6E6A"/>
    <w:rsid w:val="00CB03D6"/>
    <w:rsid w:val="00CB0767"/>
    <w:rsid w:val="00CB1557"/>
    <w:rsid w:val="00CB1949"/>
    <w:rsid w:val="00CB2CBA"/>
    <w:rsid w:val="00CB2E36"/>
    <w:rsid w:val="00CB3AA2"/>
    <w:rsid w:val="00CB49AE"/>
    <w:rsid w:val="00CB602C"/>
    <w:rsid w:val="00CB60A0"/>
    <w:rsid w:val="00CB6695"/>
    <w:rsid w:val="00CC09D3"/>
    <w:rsid w:val="00CC0A39"/>
    <w:rsid w:val="00CC25CC"/>
    <w:rsid w:val="00CC34F3"/>
    <w:rsid w:val="00CC4245"/>
    <w:rsid w:val="00CC4DEB"/>
    <w:rsid w:val="00CC53AD"/>
    <w:rsid w:val="00CC7428"/>
    <w:rsid w:val="00CD0672"/>
    <w:rsid w:val="00CD173A"/>
    <w:rsid w:val="00CD18D6"/>
    <w:rsid w:val="00CD2717"/>
    <w:rsid w:val="00CD4A46"/>
    <w:rsid w:val="00CD4BBA"/>
    <w:rsid w:val="00CD4C85"/>
    <w:rsid w:val="00CE0436"/>
    <w:rsid w:val="00CE048F"/>
    <w:rsid w:val="00CE0713"/>
    <w:rsid w:val="00CE16FE"/>
    <w:rsid w:val="00CE1BB2"/>
    <w:rsid w:val="00CE284D"/>
    <w:rsid w:val="00CE2F1E"/>
    <w:rsid w:val="00CE51D2"/>
    <w:rsid w:val="00CE686E"/>
    <w:rsid w:val="00CE7C13"/>
    <w:rsid w:val="00CE7D75"/>
    <w:rsid w:val="00CE7EF3"/>
    <w:rsid w:val="00CE7FD0"/>
    <w:rsid w:val="00CF1212"/>
    <w:rsid w:val="00CF222E"/>
    <w:rsid w:val="00CF2B7C"/>
    <w:rsid w:val="00CF409A"/>
    <w:rsid w:val="00CF4200"/>
    <w:rsid w:val="00CF6659"/>
    <w:rsid w:val="00D0329D"/>
    <w:rsid w:val="00D03E54"/>
    <w:rsid w:val="00D03E68"/>
    <w:rsid w:val="00D049D2"/>
    <w:rsid w:val="00D04F37"/>
    <w:rsid w:val="00D04FCE"/>
    <w:rsid w:val="00D06FD4"/>
    <w:rsid w:val="00D07D7E"/>
    <w:rsid w:val="00D07F89"/>
    <w:rsid w:val="00D11F7E"/>
    <w:rsid w:val="00D122F1"/>
    <w:rsid w:val="00D12B5A"/>
    <w:rsid w:val="00D146E9"/>
    <w:rsid w:val="00D14AA5"/>
    <w:rsid w:val="00D162CD"/>
    <w:rsid w:val="00D16B9D"/>
    <w:rsid w:val="00D207DD"/>
    <w:rsid w:val="00D20EE0"/>
    <w:rsid w:val="00D237BE"/>
    <w:rsid w:val="00D23E91"/>
    <w:rsid w:val="00D2586C"/>
    <w:rsid w:val="00D26B0A"/>
    <w:rsid w:val="00D27585"/>
    <w:rsid w:val="00D27763"/>
    <w:rsid w:val="00D27E79"/>
    <w:rsid w:val="00D30E23"/>
    <w:rsid w:val="00D3147A"/>
    <w:rsid w:val="00D32514"/>
    <w:rsid w:val="00D33C09"/>
    <w:rsid w:val="00D34572"/>
    <w:rsid w:val="00D34FB2"/>
    <w:rsid w:val="00D36BB2"/>
    <w:rsid w:val="00D36CCB"/>
    <w:rsid w:val="00D37B33"/>
    <w:rsid w:val="00D37E45"/>
    <w:rsid w:val="00D40425"/>
    <w:rsid w:val="00D404F6"/>
    <w:rsid w:val="00D428A8"/>
    <w:rsid w:val="00D439C9"/>
    <w:rsid w:val="00D445A9"/>
    <w:rsid w:val="00D44723"/>
    <w:rsid w:val="00D4498A"/>
    <w:rsid w:val="00D44B1F"/>
    <w:rsid w:val="00D44D22"/>
    <w:rsid w:val="00D45966"/>
    <w:rsid w:val="00D526EF"/>
    <w:rsid w:val="00D5290A"/>
    <w:rsid w:val="00D562A3"/>
    <w:rsid w:val="00D564C1"/>
    <w:rsid w:val="00D56634"/>
    <w:rsid w:val="00D56D92"/>
    <w:rsid w:val="00D56FA8"/>
    <w:rsid w:val="00D57290"/>
    <w:rsid w:val="00D578F7"/>
    <w:rsid w:val="00D605CF"/>
    <w:rsid w:val="00D60872"/>
    <w:rsid w:val="00D60920"/>
    <w:rsid w:val="00D61F89"/>
    <w:rsid w:val="00D62686"/>
    <w:rsid w:val="00D63BD4"/>
    <w:rsid w:val="00D6412A"/>
    <w:rsid w:val="00D6540B"/>
    <w:rsid w:val="00D6718D"/>
    <w:rsid w:val="00D70D1A"/>
    <w:rsid w:val="00D70E31"/>
    <w:rsid w:val="00D71995"/>
    <w:rsid w:val="00D71DFC"/>
    <w:rsid w:val="00D72D0C"/>
    <w:rsid w:val="00D75A9D"/>
    <w:rsid w:val="00D77681"/>
    <w:rsid w:val="00D77F6F"/>
    <w:rsid w:val="00D80304"/>
    <w:rsid w:val="00D820A6"/>
    <w:rsid w:val="00D8390F"/>
    <w:rsid w:val="00D854B6"/>
    <w:rsid w:val="00D85FB1"/>
    <w:rsid w:val="00D869A8"/>
    <w:rsid w:val="00D87A5D"/>
    <w:rsid w:val="00D90240"/>
    <w:rsid w:val="00D91763"/>
    <w:rsid w:val="00D9206B"/>
    <w:rsid w:val="00D93974"/>
    <w:rsid w:val="00D93E52"/>
    <w:rsid w:val="00D95C19"/>
    <w:rsid w:val="00D95CFE"/>
    <w:rsid w:val="00D9623D"/>
    <w:rsid w:val="00D97227"/>
    <w:rsid w:val="00DA37A5"/>
    <w:rsid w:val="00DA3C10"/>
    <w:rsid w:val="00DA46C0"/>
    <w:rsid w:val="00DA5D0B"/>
    <w:rsid w:val="00DA626C"/>
    <w:rsid w:val="00DA72AA"/>
    <w:rsid w:val="00DB1ED2"/>
    <w:rsid w:val="00DB20EE"/>
    <w:rsid w:val="00DB2614"/>
    <w:rsid w:val="00DB388A"/>
    <w:rsid w:val="00DB3EFC"/>
    <w:rsid w:val="00DB53A9"/>
    <w:rsid w:val="00DB5623"/>
    <w:rsid w:val="00DC15D3"/>
    <w:rsid w:val="00DC34B3"/>
    <w:rsid w:val="00DC4CED"/>
    <w:rsid w:val="00DC5F8E"/>
    <w:rsid w:val="00DC66A7"/>
    <w:rsid w:val="00DC7BB5"/>
    <w:rsid w:val="00DD26A5"/>
    <w:rsid w:val="00DD398E"/>
    <w:rsid w:val="00DD67C8"/>
    <w:rsid w:val="00DD7EF9"/>
    <w:rsid w:val="00DE0939"/>
    <w:rsid w:val="00DE1C13"/>
    <w:rsid w:val="00DE28BE"/>
    <w:rsid w:val="00DE4043"/>
    <w:rsid w:val="00DE484F"/>
    <w:rsid w:val="00DE604B"/>
    <w:rsid w:val="00DE6370"/>
    <w:rsid w:val="00DE65A1"/>
    <w:rsid w:val="00DE7C48"/>
    <w:rsid w:val="00DF112C"/>
    <w:rsid w:val="00DF1347"/>
    <w:rsid w:val="00DF1433"/>
    <w:rsid w:val="00DF1D9F"/>
    <w:rsid w:val="00DF3276"/>
    <w:rsid w:val="00DF3874"/>
    <w:rsid w:val="00DF445E"/>
    <w:rsid w:val="00DF7467"/>
    <w:rsid w:val="00DF78A5"/>
    <w:rsid w:val="00DF7CAF"/>
    <w:rsid w:val="00DF7D25"/>
    <w:rsid w:val="00DF7E1E"/>
    <w:rsid w:val="00E00B24"/>
    <w:rsid w:val="00E012FD"/>
    <w:rsid w:val="00E02A52"/>
    <w:rsid w:val="00E03EAC"/>
    <w:rsid w:val="00E054AF"/>
    <w:rsid w:val="00E069D8"/>
    <w:rsid w:val="00E06C16"/>
    <w:rsid w:val="00E110D8"/>
    <w:rsid w:val="00E113F3"/>
    <w:rsid w:val="00E124A2"/>
    <w:rsid w:val="00E14818"/>
    <w:rsid w:val="00E15353"/>
    <w:rsid w:val="00E15B30"/>
    <w:rsid w:val="00E1619F"/>
    <w:rsid w:val="00E16AB9"/>
    <w:rsid w:val="00E20BA0"/>
    <w:rsid w:val="00E215E9"/>
    <w:rsid w:val="00E21D3F"/>
    <w:rsid w:val="00E21DA2"/>
    <w:rsid w:val="00E22C8B"/>
    <w:rsid w:val="00E23FB5"/>
    <w:rsid w:val="00E26C5E"/>
    <w:rsid w:val="00E32DB0"/>
    <w:rsid w:val="00E34832"/>
    <w:rsid w:val="00E35335"/>
    <w:rsid w:val="00E35B81"/>
    <w:rsid w:val="00E403D2"/>
    <w:rsid w:val="00E47850"/>
    <w:rsid w:val="00E5187D"/>
    <w:rsid w:val="00E51D09"/>
    <w:rsid w:val="00E5499D"/>
    <w:rsid w:val="00E54D89"/>
    <w:rsid w:val="00E5652F"/>
    <w:rsid w:val="00E56AA5"/>
    <w:rsid w:val="00E621E8"/>
    <w:rsid w:val="00E62FA7"/>
    <w:rsid w:val="00E64BC0"/>
    <w:rsid w:val="00E6637C"/>
    <w:rsid w:val="00E67292"/>
    <w:rsid w:val="00E70DFC"/>
    <w:rsid w:val="00E70F06"/>
    <w:rsid w:val="00E71662"/>
    <w:rsid w:val="00E72026"/>
    <w:rsid w:val="00E7270A"/>
    <w:rsid w:val="00E72DC8"/>
    <w:rsid w:val="00E73E42"/>
    <w:rsid w:val="00E7437C"/>
    <w:rsid w:val="00E76405"/>
    <w:rsid w:val="00E76821"/>
    <w:rsid w:val="00E77CF1"/>
    <w:rsid w:val="00E80895"/>
    <w:rsid w:val="00E829FC"/>
    <w:rsid w:val="00E82D60"/>
    <w:rsid w:val="00E848BD"/>
    <w:rsid w:val="00E84B7D"/>
    <w:rsid w:val="00E85E36"/>
    <w:rsid w:val="00E864B2"/>
    <w:rsid w:val="00E91267"/>
    <w:rsid w:val="00E91CC5"/>
    <w:rsid w:val="00E92BBA"/>
    <w:rsid w:val="00E955CD"/>
    <w:rsid w:val="00E959BC"/>
    <w:rsid w:val="00E97E2B"/>
    <w:rsid w:val="00EA00F4"/>
    <w:rsid w:val="00EA01B9"/>
    <w:rsid w:val="00EA0893"/>
    <w:rsid w:val="00EA0C37"/>
    <w:rsid w:val="00EA6D12"/>
    <w:rsid w:val="00EA79C6"/>
    <w:rsid w:val="00EA7C44"/>
    <w:rsid w:val="00EB016A"/>
    <w:rsid w:val="00EB0345"/>
    <w:rsid w:val="00EB1567"/>
    <w:rsid w:val="00EB1986"/>
    <w:rsid w:val="00EB363B"/>
    <w:rsid w:val="00EB3D12"/>
    <w:rsid w:val="00EB466C"/>
    <w:rsid w:val="00EB6236"/>
    <w:rsid w:val="00EB7427"/>
    <w:rsid w:val="00EC1CB8"/>
    <w:rsid w:val="00EC4624"/>
    <w:rsid w:val="00EC5357"/>
    <w:rsid w:val="00EC6762"/>
    <w:rsid w:val="00EC676C"/>
    <w:rsid w:val="00EC7F91"/>
    <w:rsid w:val="00ED10C8"/>
    <w:rsid w:val="00ED190F"/>
    <w:rsid w:val="00ED4281"/>
    <w:rsid w:val="00ED44C6"/>
    <w:rsid w:val="00ED507D"/>
    <w:rsid w:val="00ED7643"/>
    <w:rsid w:val="00ED7937"/>
    <w:rsid w:val="00EE3ED7"/>
    <w:rsid w:val="00EE4503"/>
    <w:rsid w:val="00EE4B4D"/>
    <w:rsid w:val="00EE4D8E"/>
    <w:rsid w:val="00EE539C"/>
    <w:rsid w:val="00EE6A47"/>
    <w:rsid w:val="00EE730F"/>
    <w:rsid w:val="00EE7CF4"/>
    <w:rsid w:val="00EF3567"/>
    <w:rsid w:val="00EF4178"/>
    <w:rsid w:val="00EF4379"/>
    <w:rsid w:val="00F00942"/>
    <w:rsid w:val="00F0103C"/>
    <w:rsid w:val="00F01313"/>
    <w:rsid w:val="00F01E0B"/>
    <w:rsid w:val="00F036E9"/>
    <w:rsid w:val="00F04830"/>
    <w:rsid w:val="00F055C5"/>
    <w:rsid w:val="00F062A4"/>
    <w:rsid w:val="00F07938"/>
    <w:rsid w:val="00F11AD1"/>
    <w:rsid w:val="00F12CA5"/>
    <w:rsid w:val="00F12E5F"/>
    <w:rsid w:val="00F141C5"/>
    <w:rsid w:val="00F1435D"/>
    <w:rsid w:val="00F145ED"/>
    <w:rsid w:val="00F14B3C"/>
    <w:rsid w:val="00F15909"/>
    <w:rsid w:val="00F16142"/>
    <w:rsid w:val="00F16279"/>
    <w:rsid w:val="00F209E0"/>
    <w:rsid w:val="00F20CAF"/>
    <w:rsid w:val="00F20D42"/>
    <w:rsid w:val="00F23827"/>
    <w:rsid w:val="00F23CF7"/>
    <w:rsid w:val="00F241D1"/>
    <w:rsid w:val="00F25109"/>
    <w:rsid w:val="00F25AF2"/>
    <w:rsid w:val="00F30255"/>
    <w:rsid w:val="00F302F2"/>
    <w:rsid w:val="00F30426"/>
    <w:rsid w:val="00F3199E"/>
    <w:rsid w:val="00F35A05"/>
    <w:rsid w:val="00F36BAD"/>
    <w:rsid w:val="00F40142"/>
    <w:rsid w:val="00F42CEC"/>
    <w:rsid w:val="00F44134"/>
    <w:rsid w:val="00F44292"/>
    <w:rsid w:val="00F45144"/>
    <w:rsid w:val="00F456B3"/>
    <w:rsid w:val="00F463D3"/>
    <w:rsid w:val="00F50E95"/>
    <w:rsid w:val="00F5236C"/>
    <w:rsid w:val="00F5319F"/>
    <w:rsid w:val="00F559C5"/>
    <w:rsid w:val="00F56286"/>
    <w:rsid w:val="00F70594"/>
    <w:rsid w:val="00F72C50"/>
    <w:rsid w:val="00F73E61"/>
    <w:rsid w:val="00F834E1"/>
    <w:rsid w:val="00F87E47"/>
    <w:rsid w:val="00F90E6A"/>
    <w:rsid w:val="00F922A9"/>
    <w:rsid w:val="00F9282D"/>
    <w:rsid w:val="00F93EFD"/>
    <w:rsid w:val="00F97031"/>
    <w:rsid w:val="00FA16C4"/>
    <w:rsid w:val="00FA2B40"/>
    <w:rsid w:val="00FA32AD"/>
    <w:rsid w:val="00FA3A87"/>
    <w:rsid w:val="00FA3DC5"/>
    <w:rsid w:val="00FA42F2"/>
    <w:rsid w:val="00FA748F"/>
    <w:rsid w:val="00FB0832"/>
    <w:rsid w:val="00FB1FAD"/>
    <w:rsid w:val="00FB28AB"/>
    <w:rsid w:val="00FB3D3B"/>
    <w:rsid w:val="00FB4A2D"/>
    <w:rsid w:val="00FB7B6C"/>
    <w:rsid w:val="00FC163C"/>
    <w:rsid w:val="00FC30B3"/>
    <w:rsid w:val="00FC37D8"/>
    <w:rsid w:val="00FC4C5C"/>
    <w:rsid w:val="00FC6F37"/>
    <w:rsid w:val="00FD1ED4"/>
    <w:rsid w:val="00FD27B8"/>
    <w:rsid w:val="00FD2ED9"/>
    <w:rsid w:val="00FD475D"/>
    <w:rsid w:val="00FD64FB"/>
    <w:rsid w:val="00FD670F"/>
    <w:rsid w:val="00FD697F"/>
    <w:rsid w:val="00FD6FDC"/>
    <w:rsid w:val="00FE131A"/>
    <w:rsid w:val="00FE1625"/>
    <w:rsid w:val="00FE5E6A"/>
    <w:rsid w:val="00FE7AD9"/>
    <w:rsid w:val="00FF0C4A"/>
    <w:rsid w:val="00FF2067"/>
    <w:rsid w:val="00FF23FD"/>
    <w:rsid w:val="00FF2500"/>
    <w:rsid w:val="00FF2998"/>
    <w:rsid w:val="00FF47AE"/>
    <w:rsid w:val="00FF58BE"/>
    <w:rsid w:val="00FF66EA"/>
    <w:rsid w:val="00FF79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522F5B"/>
  <w15:docId w15:val="{06BB6B93-A8F4-4235-969B-193F85C6A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Times New Roman"/>
        <w:sz w:val="22"/>
        <w:szCs w:val="22"/>
        <w:lang w:val="nl-NL"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6BAD"/>
    <w:pPr>
      <w:spacing w:line="240" w:lineRule="atLeast"/>
    </w:pPr>
    <w:rPr>
      <w:rFonts w:cs="Verdana"/>
      <w:sz w:val="18"/>
      <w:szCs w:val="18"/>
      <w:lang w:eastAsia="en-US"/>
    </w:rPr>
  </w:style>
  <w:style w:type="paragraph" w:styleId="Kop1">
    <w:name w:val="heading 1"/>
    <w:basedOn w:val="Standaard"/>
    <w:next w:val="Standaard"/>
    <w:link w:val="Kop1Char"/>
    <w:uiPriority w:val="99"/>
    <w:qFormat/>
    <w:rsid w:val="00F36BAD"/>
    <w:pPr>
      <w:keepNext/>
      <w:numPr>
        <w:numId w:val="1"/>
      </w:numPr>
      <w:spacing w:before="240" w:after="60"/>
      <w:outlineLvl w:val="0"/>
    </w:pPr>
    <w:rPr>
      <w:rFonts w:eastAsia="Times New Roman"/>
      <w:kern w:val="32"/>
      <w:sz w:val="24"/>
      <w:szCs w:val="24"/>
    </w:rPr>
  </w:style>
  <w:style w:type="paragraph" w:styleId="Kop2">
    <w:name w:val="heading 2"/>
    <w:basedOn w:val="Standaard"/>
    <w:next w:val="Standaard"/>
    <w:link w:val="Kop2Char"/>
    <w:uiPriority w:val="99"/>
    <w:qFormat/>
    <w:rsid w:val="00F36BAD"/>
    <w:pPr>
      <w:keepNext/>
      <w:numPr>
        <w:numId w:val="2"/>
      </w:numPr>
      <w:spacing w:before="240" w:after="60"/>
      <w:outlineLvl w:val="1"/>
    </w:pPr>
    <w:rPr>
      <w:rFonts w:eastAsia="Times New Roman"/>
      <w:b/>
      <w:bCs/>
    </w:rPr>
  </w:style>
  <w:style w:type="paragraph" w:styleId="Kop3">
    <w:name w:val="heading 3"/>
    <w:basedOn w:val="Kop1"/>
    <w:next w:val="Standaard"/>
    <w:link w:val="Kop3Char"/>
    <w:uiPriority w:val="99"/>
    <w:qFormat/>
    <w:rsid w:val="00F36BAD"/>
    <w:pPr>
      <w:ind w:left="0" w:firstLine="0"/>
      <w:outlineLvl w:val="2"/>
    </w:pPr>
    <w:rPr>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36BAD"/>
    <w:rPr>
      <w:rFonts w:eastAsia="Times New Roman" w:cs="Verdana"/>
      <w:kern w:val="32"/>
      <w:sz w:val="24"/>
      <w:szCs w:val="24"/>
      <w:lang w:eastAsia="en-US"/>
    </w:rPr>
  </w:style>
  <w:style w:type="character" w:customStyle="1" w:styleId="Kop2Char">
    <w:name w:val="Kop 2 Char"/>
    <w:basedOn w:val="Standaardalinea-lettertype"/>
    <w:link w:val="Kop2"/>
    <w:uiPriority w:val="99"/>
    <w:locked/>
    <w:rsid w:val="00F36BAD"/>
    <w:rPr>
      <w:rFonts w:eastAsia="Times New Roman" w:cs="Verdana"/>
      <w:b/>
      <w:bCs/>
      <w:sz w:val="18"/>
      <w:szCs w:val="18"/>
      <w:lang w:eastAsia="en-US"/>
    </w:rPr>
  </w:style>
  <w:style w:type="character" w:customStyle="1" w:styleId="Kop3Char">
    <w:name w:val="Kop 3 Char"/>
    <w:basedOn w:val="Standaardalinea-lettertype"/>
    <w:link w:val="Kop3"/>
    <w:uiPriority w:val="99"/>
    <w:locked/>
    <w:rsid w:val="00F36BAD"/>
    <w:rPr>
      <w:rFonts w:eastAsia="Times New Roman" w:cs="Verdana"/>
      <w:i/>
      <w:iCs/>
      <w:kern w:val="32"/>
      <w:sz w:val="18"/>
      <w:szCs w:val="18"/>
      <w:lang w:eastAsia="en-US"/>
    </w:rPr>
  </w:style>
  <w:style w:type="character" w:customStyle="1" w:styleId="65pt">
    <w:name w:val="6.5 pt"/>
    <w:basedOn w:val="Standaardalinea-lettertype"/>
    <w:uiPriority w:val="99"/>
    <w:rsid w:val="007251E7"/>
    <w:rPr>
      <w:rFonts w:cs="Times New Roman"/>
      <w:sz w:val="13"/>
      <w:szCs w:val="13"/>
    </w:rPr>
  </w:style>
  <w:style w:type="character" w:customStyle="1" w:styleId="Cursief">
    <w:name w:val="Cursief"/>
    <w:basedOn w:val="Standaardalinea-lettertype"/>
    <w:uiPriority w:val="99"/>
    <w:rsid w:val="007251E7"/>
    <w:rPr>
      <w:rFonts w:cs="Times New Roman"/>
      <w:i/>
      <w:iCs/>
    </w:rPr>
  </w:style>
  <w:style w:type="paragraph" w:customStyle="1" w:styleId="Huisstijl-Adres">
    <w:name w:val="Huisstijl-Adres"/>
    <w:basedOn w:val="Standaard"/>
    <w:uiPriority w:val="99"/>
    <w:rsid w:val="007251E7"/>
    <w:pPr>
      <w:tabs>
        <w:tab w:val="left" w:pos="193"/>
      </w:tabs>
      <w:spacing w:after="90" w:line="180" w:lineRule="exact"/>
    </w:pPr>
    <w:rPr>
      <w:noProof/>
      <w:sz w:val="13"/>
      <w:szCs w:val="13"/>
    </w:rPr>
  </w:style>
  <w:style w:type="paragraph" w:customStyle="1" w:styleId="Huisstijl-Gegeven">
    <w:name w:val="Huisstijl-Gegeven"/>
    <w:basedOn w:val="Standaard"/>
    <w:link w:val="Huisstijl-GegevenChar"/>
    <w:uiPriority w:val="99"/>
    <w:rsid w:val="007251E7"/>
    <w:pPr>
      <w:spacing w:after="92" w:line="180" w:lineRule="exact"/>
    </w:pPr>
    <w:rPr>
      <w:noProof/>
      <w:sz w:val="13"/>
      <w:szCs w:val="13"/>
    </w:rPr>
  </w:style>
  <w:style w:type="character" w:customStyle="1" w:styleId="Huisstijl-GegevenChar">
    <w:name w:val="Huisstijl-Gegeven Char"/>
    <w:basedOn w:val="Standaardalinea-lettertype"/>
    <w:link w:val="Huisstijl-Gegeven"/>
    <w:uiPriority w:val="99"/>
    <w:locked/>
    <w:rsid w:val="007251E7"/>
    <w:rPr>
      <w:rFonts w:ascii="Verdana" w:hAnsi="Verdana" w:cs="Verdana"/>
      <w:noProof/>
      <w:sz w:val="13"/>
      <w:szCs w:val="13"/>
    </w:rPr>
  </w:style>
  <w:style w:type="paragraph" w:customStyle="1" w:styleId="Huisstijl-Kopie">
    <w:name w:val="Huisstijl-Kopie"/>
    <w:basedOn w:val="Huisstijl-Gegeven"/>
    <w:uiPriority w:val="99"/>
    <w:rsid w:val="007251E7"/>
    <w:pPr>
      <w:spacing w:after="0"/>
    </w:pPr>
    <w:rPr>
      <w:b/>
      <w:bCs/>
    </w:rPr>
  </w:style>
  <w:style w:type="paragraph" w:customStyle="1" w:styleId="Huisstijl-NAW">
    <w:name w:val="Huisstijl-NAW"/>
    <w:basedOn w:val="Standaard"/>
    <w:uiPriority w:val="99"/>
    <w:rsid w:val="007251E7"/>
    <w:rPr>
      <w:noProof/>
    </w:rPr>
  </w:style>
  <w:style w:type="paragraph" w:customStyle="1" w:styleId="Huisstijl-Paginanummering">
    <w:name w:val="Huisstijl-Paginanummering"/>
    <w:basedOn w:val="Standaard"/>
    <w:uiPriority w:val="99"/>
    <w:rsid w:val="0048754A"/>
    <w:pPr>
      <w:spacing w:line="180" w:lineRule="exact"/>
    </w:pPr>
    <w:rPr>
      <w:noProof/>
      <w:sz w:val="13"/>
      <w:szCs w:val="13"/>
    </w:rPr>
  </w:style>
  <w:style w:type="paragraph" w:customStyle="1" w:styleId="Huisstijl-Rubricering">
    <w:name w:val="Huisstijl-Rubricering"/>
    <w:basedOn w:val="Standaard"/>
    <w:uiPriority w:val="99"/>
    <w:rsid w:val="0048754A"/>
    <w:pPr>
      <w:spacing w:line="180" w:lineRule="exact"/>
    </w:pPr>
    <w:rPr>
      <w:b/>
      <w:bCs/>
      <w:smallCaps/>
      <w:noProof/>
      <w:sz w:val="13"/>
      <w:szCs w:val="13"/>
    </w:rPr>
  </w:style>
  <w:style w:type="paragraph" w:customStyle="1" w:styleId="Huisstijl-Voorwaarden">
    <w:name w:val="Huisstijl-Voorwaarden"/>
    <w:basedOn w:val="Standaard"/>
    <w:uiPriority w:val="99"/>
    <w:rsid w:val="0048754A"/>
    <w:pPr>
      <w:spacing w:line="240" w:lineRule="exact"/>
    </w:pPr>
    <w:rPr>
      <w:i/>
      <w:iCs/>
      <w:noProof/>
      <w:sz w:val="13"/>
      <w:szCs w:val="13"/>
    </w:rPr>
  </w:style>
  <w:style w:type="paragraph" w:styleId="Koptekst">
    <w:name w:val="header"/>
    <w:basedOn w:val="Standaard"/>
    <w:link w:val="KoptekstChar"/>
    <w:uiPriority w:val="99"/>
    <w:rsid w:val="00F36BAD"/>
    <w:pPr>
      <w:numPr>
        <w:numId w:val="3"/>
      </w:num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F36BAD"/>
    <w:rPr>
      <w:rFonts w:cs="Verdana"/>
      <w:sz w:val="18"/>
      <w:szCs w:val="18"/>
      <w:lang w:eastAsia="en-US"/>
    </w:rPr>
  </w:style>
  <w:style w:type="paragraph" w:styleId="Lijstopsomteken">
    <w:name w:val="List Bullet"/>
    <w:basedOn w:val="Standaard"/>
    <w:uiPriority w:val="99"/>
    <w:semiHidden/>
    <w:rsid w:val="00F36BAD"/>
    <w:pPr>
      <w:ind w:left="360" w:hanging="360"/>
      <w:contextualSpacing/>
    </w:pPr>
    <w:rPr>
      <w:noProof/>
    </w:rPr>
  </w:style>
  <w:style w:type="paragraph" w:styleId="Lijstopsomteken2">
    <w:name w:val="List Bullet 2"/>
    <w:basedOn w:val="Standaard"/>
    <w:uiPriority w:val="99"/>
    <w:semiHidden/>
    <w:rsid w:val="00F36BAD"/>
    <w:pPr>
      <w:tabs>
        <w:tab w:val="left" w:pos="357"/>
        <w:tab w:val="left" w:pos="442"/>
      </w:tabs>
      <w:ind w:left="643" w:hanging="360"/>
      <w:contextualSpacing/>
    </w:pPr>
    <w:rPr>
      <w:noProof/>
    </w:rPr>
  </w:style>
  <w:style w:type="paragraph" w:styleId="Voettekst">
    <w:name w:val="footer"/>
    <w:basedOn w:val="Standaard"/>
    <w:link w:val="VoettekstChar"/>
    <w:uiPriority w:val="99"/>
    <w:rsid w:val="00F36BAD"/>
    <w:pPr>
      <w:tabs>
        <w:tab w:val="center" w:pos="4536"/>
        <w:tab w:val="right" w:pos="9072"/>
      </w:tabs>
      <w:spacing w:line="240" w:lineRule="auto"/>
    </w:pPr>
  </w:style>
  <w:style w:type="character" w:customStyle="1" w:styleId="VoettekstChar">
    <w:name w:val="Voettekst Char"/>
    <w:basedOn w:val="Standaardalinea-lettertype"/>
    <w:link w:val="Voettekst"/>
    <w:uiPriority w:val="99"/>
    <w:locked/>
    <w:rsid w:val="00F36BAD"/>
    <w:rPr>
      <w:rFonts w:ascii="Verdana" w:hAnsi="Verdana" w:cs="Verdana"/>
      <w:sz w:val="18"/>
      <w:szCs w:val="18"/>
    </w:rPr>
  </w:style>
  <w:style w:type="paragraph" w:styleId="Lijstalinea">
    <w:name w:val="List Paragraph"/>
    <w:basedOn w:val="Standaard"/>
    <w:uiPriority w:val="99"/>
    <w:qFormat/>
    <w:rsid w:val="002935A1"/>
    <w:pPr>
      <w:ind w:left="720"/>
      <w:contextualSpacing/>
    </w:pPr>
  </w:style>
  <w:style w:type="paragraph" w:styleId="Ballontekst">
    <w:name w:val="Balloon Text"/>
    <w:basedOn w:val="Standaard"/>
    <w:link w:val="BallontekstChar"/>
    <w:uiPriority w:val="99"/>
    <w:semiHidden/>
    <w:rsid w:val="0093588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35889"/>
    <w:rPr>
      <w:rFonts w:ascii="Tahoma" w:hAnsi="Tahoma" w:cs="Tahoma"/>
      <w:sz w:val="16"/>
      <w:szCs w:val="16"/>
    </w:rPr>
  </w:style>
  <w:style w:type="character" w:styleId="Hyperlink">
    <w:name w:val="Hyperlink"/>
    <w:basedOn w:val="Standaardalinea-lettertype"/>
    <w:uiPriority w:val="99"/>
    <w:semiHidden/>
    <w:rsid w:val="00CE1BB2"/>
    <w:rPr>
      <w:rFonts w:cs="Times New Roman"/>
      <w:color w:val="003399"/>
      <w:u w:val="single"/>
    </w:rPr>
  </w:style>
  <w:style w:type="paragraph" w:styleId="Revisie">
    <w:name w:val="Revision"/>
    <w:hidden/>
    <w:uiPriority w:val="99"/>
    <w:semiHidden/>
    <w:rsid w:val="00FC37D8"/>
    <w:rPr>
      <w:rFonts w:cs="Verdana"/>
      <w:sz w:val="18"/>
      <w:szCs w:val="18"/>
      <w:lang w:eastAsia="en-US"/>
    </w:rPr>
  </w:style>
  <w:style w:type="character" w:styleId="Zwaar">
    <w:name w:val="Strong"/>
    <w:basedOn w:val="Standaardalinea-lettertype"/>
    <w:uiPriority w:val="99"/>
    <w:qFormat/>
    <w:rsid w:val="00350261"/>
    <w:rPr>
      <w:rFonts w:cs="Times New Roman"/>
      <w:b/>
      <w:bCs/>
    </w:rPr>
  </w:style>
  <w:style w:type="character" w:styleId="Verwijzingopmerking">
    <w:name w:val="annotation reference"/>
    <w:basedOn w:val="Standaardalinea-lettertype"/>
    <w:uiPriority w:val="99"/>
    <w:semiHidden/>
    <w:rsid w:val="000D6F9D"/>
    <w:rPr>
      <w:rFonts w:cs="Times New Roman"/>
      <w:sz w:val="16"/>
      <w:szCs w:val="16"/>
    </w:rPr>
  </w:style>
  <w:style w:type="paragraph" w:styleId="Tekstopmerking">
    <w:name w:val="annotation text"/>
    <w:basedOn w:val="Standaard"/>
    <w:link w:val="TekstopmerkingChar"/>
    <w:uiPriority w:val="99"/>
    <w:semiHidden/>
    <w:rsid w:val="000D6F9D"/>
    <w:pPr>
      <w:spacing w:line="240" w:lineRule="auto"/>
    </w:pPr>
    <w:rPr>
      <w:sz w:val="20"/>
      <w:szCs w:val="20"/>
    </w:rPr>
  </w:style>
  <w:style w:type="character" w:customStyle="1" w:styleId="TekstopmerkingChar">
    <w:name w:val="Tekst opmerking Char"/>
    <w:basedOn w:val="Standaardalinea-lettertype"/>
    <w:link w:val="Tekstopmerking"/>
    <w:uiPriority w:val="99"/>
    <w:semiHidden/>
    <w:locked/>
    <w:rsid w:val="000D6F9D"/>
    <w:rPr>
      <w:rFonts w:cs="Verdana"/>
      <w:sz w:val="20"/>
      <w:szCs w:val="20"/>
      <w:lang w:val="nl-NL"/>
    </w:rPr>
  </w:style>
  <w:style w:type="paragraph" w:styleId="Onderwerpvanopmerking">
    <w:name w:val="annotation subject"/>
    <w:basedOn w:val="Tekstopmerking"/>
    <w:next w:val="Tekstopmerking"/>
    <w:link w:val="OnderwerpvanopmerkingChar"/>
    <w:uiPriority w:val="99"/>
    <w:semiHidden/>
    <w:rsid w:val="00994FF1"/>
    <w:rPr>
      <w:b/>
      <w:bCs/>
    </w:rPr>
  </w:style>
  <w:style w:type="character" w:customStyle="1" w:styleId="OnderwerpvanopmerkingChar">
    <w:name w:val="Onderwerp van opmerking Char"/>
    <w:basedOn w:val="TekstopmerkingChar"/>
    <w:link w:val="Onderwerpvanopmerking"/>
    <w:uiPriority w:val="99"/>
    <w:semiHidden/>
    <w:locked/>
    <w:rsid w:val="00994FF1"/>
    <w:rPr>
      <w:rFonts w:cs="Verdana"/>
      <w:b/>
      <w:bCs/>
      <w:sz w:val="20"/>
      <w:szCs w:val="20"/>
      <w:lang w:val="nl-NL"/>
    </w:rPr>
  </w:style>
  <w:style w:type="paragraph" w:styleId="Voetnoottekst">
    <w:name w:val="footnote text"/>
    <w:basedOn w:val="Standaard"/>
    <w:link w:val="VoetnoottekstChar"/>
    <w:semiHidden/>
    <w:rsid w:val="008C744C"/>
    <w:pPr>
      <w:spacing w:line="240" w:lineRule="auto"/>
    </w:pPr>
    <w:rPr>
      <w:sz w:val="20"/>
      <w:szCs w:val="20"/>
    </w:rPr>
  </w:style>
  <w:style w:type="character" w:customStyle="1" w:styleId="VoetnoottekstChar">
    <w:name w:val="Voetnoottekst Char"/>
    <w:basedOn w:val="Standaardalinea-lettertype"/>
    <w:link w:val="Voetnoottekst"/>
    <w:uiPriority w:val="99"/>
    <w:semiHidden/>
    <w:locked/>
    <w:rsid w:val="008C744C"/>
    <w:rPr>
      <w:rFonts w:cs="Verdana"/>
      <w:sz w:val="20"/>
      <w:szCs w:val="20"/>
      <w:lang w:val="nl-NL"/>
    </w:rPr>
  </w:style>
  <w:style w:type="character" w:styleId="Voetnootmarkering">
    <w:name w:val="footnote reference"/>
    <w:basedOn w:val="Standaardalinea-lettertype"/>
    <w:uiPriority w:val="99"/>
    <w:semiHidden/>
    <w:rsid w:val="008C744C"/>
    <w:rPr>
      <w:rFonts w:cs="Times New Roman"/>
      <w:vertAlign w:val="superscript"/>
    </w:rPr>
  </w:style>
  <w:style w:type="paragraph" w:customStyle="1" w:styleId="CM4">
    <w:name w:val="CM4"/>
    <w:basedOn w:val="Standaard"/>
    <w:next w:val="Standaard"/>
    <w:uiPriority w:val="99"/>
    <w:rsid w:val="005E401F"/>
    <w:pPr>
      <w:autoSpaceDE w:val="0"/>
      <w:autoSpaceDN w:val="0"/>
      <w:adjustRightInd w:val="0"/>
      <w:spacing w:line="240" w:lineRule="auto"/>
    </w:pPr>
    <w:rPr>
      <w:rFonts w:ascii="EUAlbertina" w:hAnsi="EUAlbertina" w:cs="Times New Roman"/>
      <w:sz w:val="24"/>
      <w:szCs w:val="24"/>
      <w:lang w:eastAsia="zh-CN"/>
    </w:rPr>
  </w:style>
  <w:style w:type="paragraph" w:customStyle="1" w:styleId="Default">
    <w:name w:val="Default"/>
    <w:rsid w:val="005E401F"/>
    <w:pPr>
      <w:autoSpaceDE w:val="0"/>
      <w:autoSpaceDN w:val="0"/>
      <w:adjustRightInd w:val="0"/>
    </w:pPr>
    <w:rPr>
      <w:rFonts w:ascii="Times New Roman" w:hAnsi="Times New Roman"/>
      <w:color w:val="000000"/>
      <w:sz w:val="24"/>
      <w:szCs w:val="24"/>
    </w:rPr>
  </w:style>
  <w:style w:type="character" w:customStyle="1" w:styleId="preformatted">
    <w:name w:val="preformatted"/>
    <w:basedOn w:val="Standaardalinea-lettertype"/>
    <w:rsid w:val="003963EA"/>
  </w:style>
  <w:style w:type="character" w:styleId="GevolgdeHyperlink">
    <w:name w:val="FollowedHyperlink"/>
    <w:basedOn w:val="Standaardalinea-lettertype"/>
    <w:uiPriority w:val="99"/>
    <w:semiHidden/>
    <w:unhideWhenUsed/>
    <w:locked/>
    <w:rsid w:val="00320F9B"/>
    <w:rPr>
      <w:color w:val="800080" w:themeColor="followedHyperlink"/>
      <w:u w:val="single"/>
    </w:rPr>
  </w:style>
  <w:style w:type="paragraph" w:styleId="Normaalweb">
    <w:name w:val="Normal (Web)"/>
    <w:basedOn w:val="Standaard"/>
    <w:uiPriority w:val="99"/>
    <w:unhideWhenUsed/>
    <w:locked/>
    <w:rsid w:val="000527DE"/>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locked/>
    <w:rsid w:val="00BF5211"/>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
    <w:name w:val="super"/>
    <w:basedOn w:val="Standaardalinea-lettertype"/>
    <w:rsid w:val="00200C0C"/>
    <w:rPr>
      <w:sz w:val="17"/>
      <w:szCs w:val="17"/>
      <w:vertAlign w:val="superscript"/>
    </w:rPr>
  </w:style>
  <w:style w:type="paragraph" w:customStyle="1" w:styleId="doc-ti2">
    <w:name w:val="doc-ti2"/>
    <w:basedOn w:val="Standaard"/>
    <w:rsid w:val="00200C0C"/>
    <w:pPr>
      <w:spacing w:before="184" w:after="92" w:line="312" w:lineRule="atLeast"/>
      <w:jc w:val="center"/>
    </w:pPr>
    <w:rPr>
      <w:rFonts w:ascii="Times New Roman" w:eastAsia="Times New Roman" w:hAnsi="Times New Roman" w:cs="Times New Roman"/>
      <w:b/>
      <w:bCs/>
      <w:sz w:val="24"/>
      <w:szCs w:val="24"/>
      <w:lang w:eastAsia="nl-NL"/>
    </w:rPr>
  </w:style>
  <w:style w:type="paragraph" w:customStyle="1" w:styleId="normal2">
    <w:name w:val="normal2"/>
    <w:basedOn w:val="Standaard"/>
    <w:rsid w:val="00200C0C"/>
    <w:pPr>
      <w:spacing w:before="92" w:line="312" w:lineRule="atLeast"/>
      <w:jc w:val="both"/>
    </w:pPr>
    <w:rPr>
      <w:rFonts w:ascii="Times New Roman" w:eastAsia="Times New Roman" w:hAnsi="Times New Roman" w:cs="Times New Roman"/>
      <w:sz w:val="24"/>
      <w:szCs w:val="24"/>
      <w:lang w:eastAsia="nl-NL"/>
    </w:rPr>
  </w:style>
  <w:style w:type="character" w:customStyle="1" w:styleId="sub">
    <w:name w:val="sub"/>
    <w:basedOn w:val="Standaardalinea-lettertype"/>
    <w:rsid w:val="00200C0C"/>
    <w:rPr>
      <w:sz w:val="17"/>
      <w:szCs w:val="17"/>
      <w:vertAlign w:val="subscript"/>
    </w:rPr>
  </w:style>
  <w:style w:type="paragraph" w:customStyle="1" w:styleId="tbl-hdr2">
    <w:name w:val="tbl-hdr2"/>
    <w:basedOn w:val="Standaard"/>
    <w:rsid w:val="00200C0C"/>
    <w:pPr>
      <w:spacing w:before="46" w:after="46" w:line="312" w:lineRule="atLeast"/>
      <w:ind w:right="150"/>
      <w:jc w:val="center"/>
    </w:pPr>
    <w:rPr>
      <w:rFonts w:ascii="Times New Roman" w:eastAsia="Times New Roman" w:hAnsi="Times New Roman" w:cs="Times New Roman"/>
      <w:b/>
      <w:bCs/>
      <w:sz w:val="22"/>
      <w:szCs w:val="22"/>
      <w:lang w:eastAsia="nl-NL"/>
    </w:rPr>
  </w:style>
  <w:style w:type="paragraph" w:customStyle="1" w:styleId="tbl-txt2">
    <w:name w:val="tbl-txt2"/>
    <w:basedOn w:val="Standaard"/>
    <w:rsid w:val="00200C0C"/>
    <w:pPr>
      <w:spacing w:before="46" w:after="46" w:line="312" w:lineRule="atLeast"/>
    </w:pPr>
    <w:rPr>
      <w:rFonts w:ascii="Times New Roman" w:eastAsia="Times New Roman" w:hAnsi="Times New Roman" w:cs="Times New Roman"/>
      <w:sz w:val="22"/>
      <w:szCs w:val="22"/>
      <w:lang w:eastAsia="nl-NL"/>
    </w:rPr>
  </w:style>
  <w:style w:type="paragraph" w:customStyle="1" w:styleId="tbl-num2">
    <w:name w:val="tbl-num2"/>
    <w:basedOn w:val="Standaard"/>
    <w:rsid w:val="00200C0C"/>
    <w:pPr>
      <w:spacing w:before="46" w:after="46" w:line="312" w:lineRule="atLeast"/>
      <w:ind w:right="150"/>
      <w:jc w:val="right"/>
    </w:pPr>
    <w:rPr>
      <w:rFonts w:ascii="Times New Roman" w:eastAsia="Times New Roman" w:hAnsi="Times New Roman" w:cs="Times New Roman"/>
      <w:sz w:val="22"/>
      <w:szCs w:val="22"/>
      <w:lang w:eastAsia="nl-NL"/>
    </w:rPr>
  </w:style>
  <w:style w:type="character" w:customStyle="1" w:styleId="fn">
    <w:name w:val="fn"/>
    <w:basedOn w:val="Standaardalinea-lettertype"/>
    <w:rsid w:val="00405564"/>
  </w:style>
  <w:style w:type="character" w:customStyle="1" w:styleId="source-title">
    <w:name w:val="source-title"/>
    <w:basedOn w:val="Standaardalinea-lettertype"/>
    <w:rsid w:val="00405564"/>
  </w:style>
  <w:style w:type="character" w:customStyle="1" w:styleId="volume">
    <w:name w:val="volume"/>
    <w:basedOn w:val="Standaardalinea-lettertype"/>
    <w:rsid w:val="00405564"/>
  </w:style>
  <w:style w:type="character" w:customStyle="1" w:styleId="start-page">
    <w:name w:val="start-page"/>
    <w:basedOn w:val="Standaardalinea-lettertype"/>
    <w:rsid w:val="00405564"/>
  </w:style>
  <w:style w:type="character" w:customStyle="1" w:styleId="end-page">
    <w:name w:val="end-page"/>
    <w:basedOn w:val="Standaardalinea-lettertype"/>
    <w:rsid w:val="00405564"/>
  </w:style>
  <w:style w:type="character" w:customStyle="1" w:styleId="year">
    <w:name w:val="year"/>
    <w:basedOn w:val="Standaardalinea-lettertype"/>
    <w:rsid w:val="0040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9014">
      <w:bodyDiv w:val="1"/>
      <w:marLeft w:val="0"/>
      <w:marRight w:val="0"/>
      <w:marTop w:val="0"/>
      <w:marBottom w:val="0"/>
      <w:divBdr>
        <w:top w:val="none" w:sz="0" w:space="0" w:color="auto"/>
        <w:left w:val="none" w:sz="0" w:space="0" w:color="auto"/>
        <w:bottom w:val="none" w:sz="0" w:space="0" w:color="auto"/>
        <w:right w:val="none" w:sz="0" w:space="0" w:color="auto"/>
      </w:divBdr>
      <w:divsChild>
        <w:div w:id="2112628992">
          <w:marLeft w:val="0"/>
          <w:marRight w:val="0"/>
          <w:marTop w:val="0"/>
          <w:marBottom w:val="0"/>
          <w:divBdr>
            <w:top w:val="none" w:sz="0" w:space="0" w:color="auto"/>
            <w:left w:val="none" w:sz="0" w:space="0" w:color="auto"/>
            <w:bottom w:val="none" w:sz="0" w:space="0" w:color="auto"/>
            <w:right w:val="none" w:sz="0" w:space="0" w:color="auto"/>
          </w:divBdr>
          <w:divsChild>
            <w:div w:id="626199419">
              <w:marLeft w:val="0"/>
              <w:marRight w:val="0"/>
              <w:marTop w:val="0"/>
              <w:marBottom w:val="0"/>
              <w:divBdr>
                <w:top w:val="none" w:sz="0" w:space="0" w:color="auto"/>
                <w:left w:val="none" w:sz="0" w:space="0" w:color="auto"/>
                <w:bottom w:val="none" w:sz="0" w:space="0" w:color="auto"/>
                <w:right w:val="none" w:sz="0" w:space="0" w:color="auto"/>
              </w:divBdr>
              <w:divsChild>
                <w:div w:id="2084254998">
                  <w:marLeft w:val="0"/>
                  <w:marRight w:val="0"/>
                  <w:marTop w:val="0"/>
                  <w:marBottom w:val="0"/>
                  <w:divBdr>
                    <w:top w:val="none" w:sz="0" w:space="0" w:color="auto"/>
                    <w:left w:val="none" w:sz="0" w:space="0" w:color="auto"/>
                    <w:bottom w:val="none" w:sz="0" w:space="0" w:color="auto"/>
                    <w:right w:val="none" w:sz="0" w:space="0" w:color="auto"/>
                  </w:divBdr>
                  <w:divsChild>
                    <w:div w:id="1473330103">
                      <w:marLeft w:val="0"/>
                      <w:marRight w:val="0"/>
                      <w:marTop w:val="0"/>
                      <w:marBottom w:val="0"/>
                      <w:divBdr>
                        <w:top w:val="none" w:sz="0" w:space="0" w:color="auto"/>
                        <w:left w:val="none" w:sz="0" w:space="0" w:color="auto"/>
                        <w:bottom w:val="none" w:sz="0" w:space="0" w:color="auto"/>
                        <w:right w:val="none" w:sz="0" w:space="0" w:color="auto"/>
                      </w:divBdr>
                      <w:divsChild>
                        <w:div w:id="428547076">
                          <w:marLeft w:val="0"/>
                          <w:marRight w:val="0"/>
                          <w:marTop w:val="0"/>
                          <w:marBottom w:val="0"/>
                          <w:divBdr>
                            <w:top w:val="none" w:sz="0" w:space="0" w:color="auto"/>
                            <w:left w:val="none" w:sz="0" w:space="0" w:color="auto"/>
                            <w:bottom w:val="none" w:sz="0" w:space="0" w:color="auto"/>
                            <w:right w:val="none" w:sz="0" w:space="0" w:color="auto"/>
                          </w:divBdr>
                          <w:divsChild>
                            <w:div w:id="841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68469">
      <w:bodyDiv w:val="1"/>
      <w:marLeft w:val="0"/>
      <w:marRight w:val="0"/>
      <w:marTop w:val="0"/>
      <w:marBottom w:val="0"/>
      <w:divBdr>
        <w:top w:val="none" w:sz="0" w:space="0" w:color="auto"/>
        <w:left w:val="none" w:sz="0" w:space="0" w:color="auto"/>
        <w:bottom w:val="none" w:sz="0" w:space="0" w:color="auto"/>
        <w:right w:val="none" w:sz="0" w:space="0" w:color="auto"/>
      </w:divBdr>
    </w:div>
    <w:div w:id="460151137">
      <w:bodyDiv w:val="1"/>
      <w:marLeft w:val="0"/>
      <w:marRight w:val="0"/>
      <w:marTop w:val="0"/>
      <w:marBottom w:val="0"/>
      <w:divBdr>
        <w:top w:val="none" w:sz="0" w:space="0" w:color="auto"/>
        <w:left w:val="none" w:sz="0" w:space="0" w:color="auto"/>
        <w:bottom w:val="none" w:sz="0" w:space="0" w:color="auto"/>
        <w:right w:val="none" w:sz="0" w:space="0" w:color="auto"/>
      </w:divBdr>
      <w:divsChild>
        <w:div w:id="167647187">
          <w:marLeft w:val="0"/>
          <w:marRight w:val="0"/>
          <w:marTop w:val="0"/>
          <w:marBottom w:val="0"/>
          <w:divBdr>
            <w:top w:val="none" w:sz="0" w:space="0" w:color="auto"/>
            <w:left w:val="none" w:sz="0" w:space="0" w:color="auto"/>
            <w:bottom w:val="none" w:sz="0" w:space="0" w:color="auto"/>
            <w:right w:val="none" w:sz="0" w:space="0" w:color="auto"/>
          </w:divBdr>
          <w:divsChild>
            <w:div w:id="2101871760">
              <w:marLeft w:val="0"/>
              <w:marRight w:val="0"/>
              <w:marTop w:val="0"/>
              <w:marBottom w:val="0"/>
              <w:divBdr>
                <w:top w:val="none" w:sz="0" w:space="0" w:color="auto"/>
                <w:left w:val="none" w:sz="0" w:space="0" w:color="auto"/>
                <w:bottom w:val="none" w:sz="0" w:space="0" w:color="auto"/>
                <w:right w:val="none" w:sz="0" w:space="0" w:color="auto"/>
              </w:divBdr>
              <w:divsChild>
                <w:div w:id="1649507940">
                  <w:marLeft w:val="0"/>
                  <w:marRight w:val="0"/>
                  <w:marTop w:val="0"/>
                  <w:marBottom w:val="0"/>
                  <w:divBdr>
                    <w:top w:val="none" w:sz="0" w:space="0" w:color="auto"/>
                    <w:left w:val="none" w:sz="0" w:space="0" w:color="auto"/>
                    <w:bottom w:val="none" w:sz="0" w:space="0" w:color="auto"/>
                    <w:right w:val="none" w:sz="0" w:space="0" w:color="auto"/>
                  </w:divBdr>
                  <w:divsChild>
                    <w:div w:id="655763272">
                      <w:marLeft w:val="0"/>
                      <w:marRight w:val="0"/>
                      <w:marTop w:val="0"/>
                      <w:marBottom w:val="0"/>
                      <w:divBdr>
                        <w:top w:val="none" w:sz="0" w:space="0" w:color="auto"/>
                        <w:left w:val="none" w:sz="0" w:space="0" w:color="auto"/>
                        <w:bottom w:val="none" w:sz="0" w:space="0" w:color="auto"/>
                        <w:right w:val="none" w:sz="0" w:space="0" w:color="auto"/>
                      </w:divBdr>
                      <w:divsChild>
                        <w:div w:id="9667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204927">
      <w:bodyDiv w:val="1"/>
      <w:marLeft w:val="0"/>
      <w:marRight w:val="0"/>
      <w:marTop w:val="0"/>
      <w:marBottom w:val="0"/>
      <w:divBdr>
        <w:top w:val="none" w:sz="0" w:space="0" w:color="auto"/>
        <w:left w:val="none" w:sz="0" w:space="0" w:color="auto"/>
        <w:bottom w:val="none" w:sz="0" w:space="0" w:color="auto"/>
        <w:right w:val="none" w:sz="0" w:space="0" w:color="auto"/>
      </w:divBdr>
      <w:divsChild>
        <w:div w:id="1072120721">
          <w:marLeft w:val="0"/>
          <w:marRight w:val="0"/>
          <w:marTop w:val="0"/>
          <w:marBottom w:val="0"/>
          <w:divBdr>
            <w:top w:val="none" w:sz="0" w:space="0" w:color="auto"/>
            <w:left w:val="none" w:sz="0" w:space="0" w:color="auto"/>
            <w:bottom w:val="none" w:sz="0" w:space="0" w:color="auto"/>
            <w:right w:val="none" w:sz="0" w:space="0" w:color="auto"/>
          </w:divBdr>
          <w:divsChild>
            <w:div w:id="35739462">
              <w:marLeft w:val="0"/>
              <w:marRight w:val="0"/>
              <w:marTop w:val="0"/>
              <w:marBottom w:val="0"/>
              <w:divBdr>
                <w:top w:val="none" w:sz="0" w:space="0" w:color="auto"/>
                <w:left w:val="none" w:sz="0" w:space="0" w:color="auto"/>
                <w:bottom w:val="none" w:sz="0" w:space="0" w:color="auto"/>
                <w:right w:val="none" w:sz="0" w:space="0" w:color="auto"/>
              </w:divBdr>
              <w:divsChild>
                <w:div w:id="1921450514">
                  <w:marLeft w:val="0"/>
                  <w:marRight w:val="0"/>
                  <w:marTop w:val="0"/>
                  <w:marBottom w:val="0"/>
                  <w:divBdr>
                    <w:top w:val="none" w:sz="0" w:space="0" w:color="auto"/>
                    <w:left w:val="none" w:sz="0" w:space="0" w:color="auto"/>
                    <w:bottom w:val="none" w:sz="0" w:space="0" w:color="auto"/>
                    <w:right w:val="none" w:sz="0" w:space="0" w:color="auto"/>
                  </w:divBdr>
                  <w:divsChild>
                    <w:div w:id="896282620">
                      <w:marLeft w:val="0"/>
                      <w:marRight w:val="0"/>
                      <w:marTop w:val="0"/>
                      <w:marBottom w:val="0"/>
                      <w:divBdr>
                        <w:top w:val="none" w:sz="0" w:space="0" w:color="auto"/>
                        <w:left w:val="none" w:sz="0" w:space="0" w:color="auto"/>
                        <w:bottom w:val="none" w:sz="0" w:space="0" w:color="auto"/>
                        <w:right w:val="none" w:sz="0" w:space="0" w:color="auto"/>
                      </w:divBdr>
                      <w:divsChild>
                        <w:div w:id="491797309">
                          <w:marLeft w:val="0"/>
                          <w:marRight w:val="0"/>
                          <w:marTop w:val="0"/>
                          <w:marBottom w:val="0"/>
                          <w:divBdr>
                            <w:top w:val="none" w:sz="0" w:space="0" w:color="auto"/>
                            <w:left w:val="none" w:sz="0" w:space="0" w:color="auto"/>
                            <w:bottom w:val="none" w:sz="0" w:space="0" w:color="auto"/>
                            <w:right w:val="none" w:sz="0" w:space="0" w:color="auto"/>
                          </w:divBdr>
                          <w:divsChild>
                            <w:div w:id="39021072">
                              <w:marLeft w:val="0"/>
                              <w:marRight w:val="0"/>
                              <w:marTop w:val="0"/>
                              <w:marBottom w:val="0"/>
                              <w:divBdr>
                                <w:top w:val="none" w:sz="0" w:space="0" w:color="auto"/>
                                <w:left w:val="none" w:sz="0" w:space="0" w:color="auto"/>
                                <w:bottom w:val="none" w:sz="0" w:space="0" w:color="auto"/>
                                <w:right w:val="none" w:sz="0" w:space="0" w:color="auto"/>
                              </w:divBdr>
                              <w:divsChild>
                                <w:div w:id="1079520352">
                                  <w:marLeft w:val="0"/>
                                  <w:marRight w:val="0"/>
                                  <w:marTop w:val="0"/>
                                  <w:marBottom w:val="0"/>
                                  <w:divBdr>
                                    <w:top w:val="none" w:sz="0" w:space="0" w:color="auto"/>
                                    <w:left w:val="none" w:sz="0" w:space="0" w:color="auto"/>
                                    <w:bottom w:val="none" w:sz="0" w:space="0" w:color="auto"/>
                                    <w:right w:val="none" w:sz="0" w:space="0" w:color="auto"/>
                                  </w:divBdr>
                                  <w:divsChild>
                                    <w:div w:id="15948233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430386">
      <w:bodyDiv w:val="1"/>
      <w:marLeft w:val="0"/>
      <w:marRight w:val="0"/>
      <w:marTop w:val="0"/>
      <w:marBottom w:val="0"/>
      <w:divBdr>
        <w:top w:val="none" w:sz="0" w:space="0" w:color="auto"/>
        <w:left w:val="none" w:sz="0" w:space="0" w:color="auto"/>
        <w:bottom w:val="none" w:sz="0" w:space="0" w:color="auto"/>
        <w:right w:val="none" w:sz="0" w:space="0" w:color="auto"/>
      </w:divBdr>
      <w:divsChild>
        <w:div w:id="655693239">
          <w:marLeft w:val="0"/>
          <w:marRight w:val="0"/>
          <w:marTop w:val="0"/>
          <w:marBottom w:val="0"/>
          <w:divBdr>
            <w:top w:val="none" w:sz="0" w:space="0" w:color="auto"/>
            <w:left w:val="none" w:sz="0" w:space="0" w:color="auto"/>
            <w:bottom w:val="none" w:sz="0" w:space="0" w:color="auto"/>
            <w:right w:val="none" w:sz="0" w:space="0" w:color="auto"/>
          </w:divBdr>
          <w:divsChild>
            <w:div w:id="964505854">
              <w:marLeft w:val="0"/>
              <w:marRight w:val="0"/>
              <w:marTop w:val="0"/>
              <w:marBottom w:val="0"/>
              <w:divBdr>
                <w:top w:val="none" w:sz="0" w:space="0" w:color="auto"/>
                <w:left w:val="none" w:sz="0" w:space="0" w:color="auto"/>
                <w:bottom w:val="none" w:sz="0" w:space="0" w:color="auto"/>
                <w:right w:val="none" w:sz="0" w:space="0" w:color="auto"/>
              </w:divBdr>
              <w:divsChild>
                <w:div w:id="1144658260">
                  <w:marLeft w:val="0"/>
                  <w:marRight w:val="0"/>
                  <w:marTop w:val="0"/>
                  <w:marBottom w:val="0"/>
                  <w:divBdr>
                    <w:top w:val="none" w:sz="0" w:space="0" w:color="auto"/>
                    <w:left w:val="none" w:sz="0" w:space="0" w:color="auto"/>
                    <w:bottom w:val="none" w:sz="0" w:space="0" w:color="auto"/>
                    <w:right w:val="none" w:sz="0" w:space="0" w:color="auto"/>
                  </w:divBdr>
                  <w:divsChild>
                    <w:div w:id="430320615">
                      <w:marLeft w:val="0"/>
                      <w:marRight w:val="0"/>
                      <w:marTop w:val="0"/>
                      <w:marBottom w:val="0"/>
                      <w:divBdr>
                        <w:top w:val="none" w:sz="0" w:space="0" w:color="auto"/>
                        <w:left w:val="none" w:sz="0" w:space="0" w:color="auto"/>
                        <w:bottom w:val="none" w:sz="0" w:space="0" w:color="auto"/>
                        <w:right w:val="none" w:sz="0" w:space="0" w:color="auto"/>
                      </w:divBdr>
                      <w:divsChild>
                        <w:div w:id="1093548947">
                          <w:marLeft w:val="0"/>
                          <w:marRight w:val="0"/>
                          <w:marTop w:val="0"/>
                          <w:marBottom w:val="0"/>
                          <w:divBdr>
                            <w:top w:val="none" w:sz="0" w:space="0" w:color="auto"/>
                            <w:left w:val="none" w:sz="0" w:space="0" w:color="auto"/>
                            <w:bottom w:val="none" w:sz="0" w:space="0" w:color="auto"/>
                            <w:right w:val="none" w:sz="0" w:space="0" w:color="auto"/>
                          </w:divBdr>
                          <w:divsChild>
                            <w:div w:id="20014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186694">
      <w:bodyDiv w:val="1"/>
      <w:marLeft w:val="0"/>
      <w:marRight w:val="0"/>
      <w:marTop w:val="0"/>
      <w:marBottom w:val="0"/>
      <w:divBdr>
        <w:top w:val="none" w:sz="0" w:space="0" w:color="auto"/>
        <w:left w:val="none" w:sz="0" w:space="0" w:color="auto"/>
        <w:bottom w:val="none" w:sz="0" w:space="0" w:color="auto"/>
        <w:right w:val="none" w:sz="0" w:space="0" w:color="auto"/>
      </w:divBdr>
      <w:divsChild>
        <w:div w:id="545221767">
          <w:marLeft w:val="0"/>
          <w:marRight w:val="0"/>
          <w:marTop w:val="0"/>
          <w:marBottom w:val="0"/>
          <w:divBdr>
            <w:top w:val="none" w:sz="0" w:space="0" w:color="auto"/>
            <w:left w:val="none" w:sz="0" w:space="0" w:color="auto"/>
            <w:bottom w:val="none" w:sz="0" w:space="0" w:color="auto"/>
            <w:right w:val="none" w:sz="0" w:space="0" w:color="auto"/>
          </w:divBdr>
          <w:divsChild>
            <w:div w:id="529539138">
              <w:marLeft w:val="0"/>
              <w:marRight w:val="0"/>
              <w:marTop w:val="0"/>
              <w:marBottom w:val="0"/>
              <w:divBdr>
                <w:top w:val="none" w:sz="0" w:space="0" w:color="auto"/>
                <w:left w:val="none" w:sz="0" w:space="0" w:color="auto"/>
                <w:bottom w:val="none" w:sz="0" w:space="0" w:color="auto"/>
                <w:right w:val="none" w:sz="0" w:space="0" w:color="auto"/>
              </w:divBdr>
              <w:divsChild>
                <w:div w:id="10972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1243">
      <w:bodyDiv w:val="1"/>
      <w:marLeft w:val="0"/>
      <w:marRight w:val="0"/>
      <w:marTop w:val="0"/>
      <w:marBottom w:val="0"/>
      <w:divBdr>
        <w:top w:val="none" w:sz="0" w:space="0" w:color="auto"/>
        <w:left w:val="none" w:sz="0" w:space="0" w:color="auto"/>
        <w:bottom w:val="none" w:sz="0" w:space="0" w:color="auto"/>
        <w:right w:val="none" w:sz="0" w:space="0" w:color="auto"/>
      </w:divBdr>
      <w:divsChild>
        <w:div w:id="540676902">
          <w:marLeft w:val="0"/>
          <w:marRight w:val="0"/>
          <w:marTop w:val="0"/>
          <w:marBottom w:val="0"/>
          <w:divBdr>
            <w:top w:val="none" w:sz="0" w:space="0" w:color="auto"/>
            <w:left w:val="none" w:sz="0" w:space="0" w:color="auto"/>
            <w:bottom w:val="none" w:sz="0" w:space="0" w:color="auto"/>
            <w:right w:val="none" w:sz="0" w:space="0" w:color="auto"/>
          </w:divBdr>
          <w:divsChild>
            <w:div w:id="592933917">
              <w:marLeft w:val="0"/>
              <w:marRight w:val="0"/>
              <w:marTop w:val="0"/>
              <w:marBottom w:val="0"/>
              <w:divBdr>
                <w:top w:val="none" w:sz="0" w:space="0" w:color="auto"/>
                <w:left w:val="none" w:sz="0" w:space="0" w:color="auto"/>
                <w:bottom w:val="none" w:sz="0" w:space="0" w:color="auto"/>
                <w:right w:val="none" w:sz="0" w:space="0" w:color="auto"/>
              </w:divBdr>
              <w:divsChild>
                <w:div w:id="1207982451">
                  <w:marLeft w:val="0"/>
                  <w:marRight w:val="0"/>
                  <w:marTop w:val="0"/>
                  <w:marBottom w:val="0"/>
                  <w:divBdr>
                    <w:top w:val="none" w:sz="0" w:space="0" w:color="auto"/>
                    <w:left w:val="none" w:sz="0" w:space="0" w:color="auto"/>
                    <w:bottom w:val="none" w:sz="0" w:space="0" w:color="auto"/>
                    <w:right w:val="none" w:sz="0" w:space="0" w:color="auto"/>
                  </w:divBdr>
                  <w:divsChild>
                    <w:div w:id="1433696610">
                      <w:marLeft w:val="0"/>
                      <w:marRight w:val="0"/>
                      <w:marTop w:val="0"/>
                      <w:marBottom w:val="0"/>
                      <w:divBdr>
                        <w:top w:val="none" w:sz="0" w:space="0" w:color="auto"/>
                        <w:left w:val="none" w:sz="0" w:space="0" w:color="auto"/>
                        <w:bottom w:val="none" w:sz="0" w:space="0" w:color="auto"/>
                        <w:right w:val="none" w:sz="0" w:space="0" w:color="auto"/>
                      </w:divBdr>
                      <w:divsChild>
                        <w:div w:id="407577414">
                          <w:marLeft w:val="0"/>
                          <w:marRight w:val="0"/>
                          <w:marTop w:val="0"/>
                          <w:marBottom w:val="0"/>
                          <w:divBdr>
                            <w:top w:val="none" w:sz="0" w:space="0" w:color="auto"/>
                            <w:left w:val="none" w:sz="0" w:space="0" w:color="auto"/>
                            <w:bottom w:val="none" w:sz="0" w:space="0" w:color="auto"/>
                            <w:right w:val="none" w:sz="0" w:space="0" w:color="auto"/>
                          </w:divBdr>
                          <w:divsChild>
                            <w:div w:id="325325319">
                              <w:marLeft w:val="0"/>
                              <w:marRight w:val="0"/>
                              <w:marTop w:val="0"/>
                              <w:marBottom w:val="0"/>
                              <w:divBdr>
                                <w:top w:val="none" w:sz="0" w:space="0" w:color="auto"/>
                                <w:left w:val="none" w:sz="0" w:space="0" w:color="auto"/>
                                <w:bottom w:val="none" w:sz="0" w:space="0" w:color="auto"/>
                                <w:right w:val="none" w:sz="0" w:space="0" w:color="auto"/>
                              </w:divBdr>
                              <w:divsChild>
                                <w:div w:id="1356690617">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144853">
      <w:bodyDiv w:val="1"/>
      <w:marLeft w:val="0"/>
      <w:marRight w:val="0"/>
      <w:marTop w:val="0"/>
      <w:marBottom w:val="0"/>
      <w:divBdr>
        <w:top w:val="none" w:sz="0" w:space="0" w:color="auto"/>
        <w:left w:val="none" w:sz="0" w:space="0" w:color="auto"/>
        <w:bottom w:val="none" w:sz="0" w:space="0" w:color="auto"/>
        <w:right w:val="none" w:sz="0" w:space="0" w:color="auto"/>
      </w:divBdr>
      <w:divsChild>
        <w:div w:id="549657409">
          <w:marLeft w:val="0"/>
          <w:marRight w:val="0"/>
          <w:marTop w:val="0"/>
          <w:marBottom w:val="0"/>
          <w:divBdr>
            <w:top w:val="none" w:sz="0" w:space="0" w:color="auto"/>
            <w:left w:val="none" w:sz="0" w:space="0" w:color="auto"/>
            <w:bottom w:val="none" w:sz="0" w:space="0" w:color="auto"/>
            <w:right w:val="none" w:sz="0" w:space="0" w:color="auto"/>
          </w:divBdr>
          <w:divsChild>
            <w:div w:id="27147623">
              <w:marLeft w:val="0"/>
              <w:marRight w:val="0"/>
              <w:marTop w:val="0"/>
              <w:marBottom w:val="0"/>
              <w:divBdr>
                <w:top w:val="none" w:sz="0" w:space="0" w:color="auto"/>
                <w:left w:val="none" w:sz="0" w:space="0" w:color="auto"/>
                <w:bottom w:val="none" w:sz="0" w:space="0" w:color="auto"/>
                <w:right w:val="none" w:sz="0" w:space="0" w:color="auto"/>
              </w:divBdr>
              <w:divsChild>
                <w:div w:id="1041638543">
                  <w:marLeft w:val="0"/>
                  <w:marRight w:val="0"/>
                  <w:marTop w:val="0"/>
                  <w:marBottom w:val="0"/>
                  <w:divBdr>
                    <w:top w:val="none" w:sz="0" w:space="0" w:color="auto"/>
                    <w:left w:val="none" w:sz="0" w:space="0" w:color="auto"/>
                    <w:bottom w:val="none" w:sz="0" w:space="0" w:color="auto"/>
                    <w:right w:val="none" w:sz="0" w:space="0" w:color="auto"/>
                  </w:divBdr>
                  <w:divsChild>
                    <w:div w:id="1966229267">
                      <w:marLeft w:val="0"/>
                      <w:marRight w:val="0"/>
                      <w:marTop w:val="0"/>
                      <w:marBottom w:val="0"/>
                      <w:divBdr>
                        <w:top w:val="none" w:sz="0" w:space="0" w:color="auto"/>
                        <w:left w:val="none" w:sz="0" w:space="0" w:color="auto"/>
                        <w:bottom w:val="none" w:sz="0" w:space="0" w:color="auto"/>
                        <w:right w:val="none" w:sz="0" w:space="0" w:color="auto"/>
                      </w:divBdr>
                      <w:divsChild>
                        <w:div w:id="1090197595">
                          <w:marLeft w:val="0"/>
                          <w:marRight w:val="0"/>
                          <w:marTop w:val="0"/>
                          <w:marBottom w:val="0"/>
                          <w:divBdr>
                            <w:top w:val="none" w:sz="0" w:space="0" w:color="auto"/>
                            <w:left w:val="none" w:sz="0" w:space="0" w:color="auto"/>
                            <w:bottom w:val="none" w:sz="0" w:space="0" w:color="auto"/>
                            <w:right w:val="none" w:sz="0" w:space="0" w:color="auto"/>
                          </w:divBdr>
                          <w:divsChild>
                            <w:div w:id="468401034">
                              <w:marLeft w:val="0"/>
                              <w:marRight w:val="0"/>
                              <w:marTop w:val="0"/>
                              <w:marBottom w:val="0"/>
                              <w:divBdr>
                                <w:top w:val="none" w:sz="0" w:space="0" w:color="auto"/>
                                <w:left w:val="none" w:sz="0" w:space="0" w:color="auto"/>
                                <w:bottom w:val="none" w:sz="0" w:space="0" w:color="auto"/>
                                <w:right w:val="none" w:sz="0" w:space="0" w:color="auto"/>
                              </w:divBdr>
                              <w:divsChild>
                                <w:div w:id="19227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7767">
      <w:marLeft w:val="0"/>
      <w:marRight w:val="0"/>
      <w:marTop w:val="0"/>
      <w:marBottom w:val="0"/>
      <w:divBdr>
        <w:top w:val="none" w:sz="0" w:space="0" w:color="auto"/>
        <w:left w:val="none" w:sz="0" w:space="0" w:color="auto"/>
        <w:bottom w:val="none" w:sz="0" w:space="0" w:color="auto"/>
        <w:right w:val="none" w:sz="0" w:space="0" w:color="auto"/>
      </w:divBdr>
      <w:divsChild>
        <w:div w:id="973947766">
          <w:marLeft w:val="0"/>
          <w:marRight w:val="0"/>
          <w:marTop w:val="0"/>
          <w:marBottom w:val="0"/>
          <w:divBdr>
            <w:top w:val="none" w:sz="0" w:space="0" w:color="auto"/>
            <w:left w:val="none" w:sz="0" w:space="0" w:color="auto"/>
            <w:bottom w:val="none" w:sz="0" w:space="0" w:color="auto"/>
            <w:right w:val="none" w:sz="0" w:space="0" w:color="auto"/>
          </w:divBdr>
          <w:divsChild>
            <w:div w:id="973947768">
              <w:marLeft w:val="0"/>
              <w:marRight w:val="0"/>
              <w:marTop w:val="0"/>
              <w:marBottom w:val="0"/>
              <w:divBdr>
                <w:top w:val="none" w:sz="0" w:space="0" w:color="auto"/>
                <w:left w:val="single" w:sz="6" w:space="0" w:color="3D62A8"/>
                <w:bottom w:val="single" w:sz="12" w:space="0" w:color="3D62A8"/>
                <w:right w:val="single" w:sz="12" w:space="0" w:color="83A5E4"/>
              </w:divBdr>
              <w:divsChild>
                <w:div w:id="973947769">
                  <w:marLeft w:val="0"/>
                  <w:marRight w:val="0"/>
                  <w:marTop w:val="0"/>
                  <w:marBottom w:val="0"/>
                  <w:divBdr>
                    <w:top w:val="single" w:sz="6" w:space="0" w:color="979BA4"/>
                    <w:left w:val="single" w:sz="6" w:space="0" w:color="979BA4"/>
                    <w:bottom w:val="single" w:sz="6" w:space="0" w:color="979BA4"/>
                    <w:right w:val="single" w:sz="6" w:space="0" w:color="979BA4"/>
                  </w:divBdr>
                </w:div>
              </w:divsChild>
            </w:div>
          </w:divsChild>
        </w:div>
      </w:divsChild>
    </w:div>
    <w:div w:id="998578032">
      <w:bodyDiv w:val="1"/>
      <w:marLeft w:val="0"/>
      <w:marRight w:val="0"/>
      <w:marTop w:val="0"/>
      <w:marBottom w:val="0"/>
      <w:divBdr>
        <w:top w:val="none" w:sz="0" w:space="0" w:color="auto"/>
        <w:left w:val="none" w:sz="0" w:space="0" w:color="auto"/>
        <w:bottom w:val="none" w:sz="0" w:space="0" w:color="auto"/>
        <w:right w:val="none" w:sz="0" w:space="0" w:color="auto"/>
      </w:divBdr>
      <w:divsChild>
        <w:div w:id="202181701">
          <w:marLeft w:val="0"/>
          <w:marRight w:val="0"/>
          <w:marTop w:val="0"/>
          <w:marBottom w:val="0"/>
          <w:divBdr>
            <w:top w:val="none" w:sz="0" w:space="0" w:color="auto"/>
            <w:left w:val="none" w:sz="0" w:space="0" w:color="auto"/>
            <w:bottom w:val="none" w:sz="0" w:space="0" w:color="auto"/>
            <w:right w:val="none" w:sz="0" w:space="0" w:color="auto"/>
          </w:divBdr>
          <w:divsChild>
            <w:div w:id="1593972237">
              <w:marLeft w:val="0"/>
              <w:marRight w:val="0"/>
              <w:marTop w:val="0"/>
              <w:marBottom w:val="0"/>
              <w:divBdr>
                <w:top w:val="none" w:sz="0" w:space="0" w:color="auto"/>
                <w:left w:val="none" w:sz="0" w:space="0" w:color="auto"/>
                <w:bottom w:val="none" w:sz="0" w:space="0" w:color="auto"/>
                <w:right w:val="none" w:sz="0" w:space="0" w:color="auto"/>
              </w:divBdr>
              <w:divsChild>
                <w:div w:id="951593055">
                  <w:marLeft w:val="-173"/>
                  <w:marRight w:val="-173"/>
                  <w:marTop w:val="0"/>
                  <w:marBottom w:val="0"/>
                  <w:divBdr>
                    <w:top w:val="none" w:sz="0" w:space="0" w:color="auto"/>
                    <w:left w:val="none" w:sz="0" w:space="0" w:color="auto"/>
                    <w:bottom w:val="none" w:sz="0" w:space="0" w:color="auto"/>
                    <w:right w:val="none" w:sz="0" w:space="0" w:color="auto"/>
                  </w:divBdr>
                  <w:divsChild>
                    <w:div w:id="2000499003">
                      <w:marLeft w:val="0"/>
                      <w:marRight w:val="0"/>
                      <w:marTop w:val="0"/>
                      <w:marBottom w:val="0"/>
                      <w:divBdr>
                        <w:top w:val="none" w:sz="0" w:space="0" w:color="auto"/>
                        <w:left w:val="none" w:sz="0" w:space="0" w:color="auto"/>
                        <w:bottom w:val="none" w:sz="0" w:space="0" w:color="auto"/>
                        <w:right w:val="none" w:sz="0" w:space="0" w:color="auto"/>
                      </w:divBdr>
                      <w:divsChild>
                        <w:div w:id="2026785003">
                          <w:marLeft w:val="0"/>
                          <w:marRight w:val="0"/>
                          <w:marTop w:val="0"/>
                          <w:marBottom w:val="0"/>
                          <w:divBdr>
                            <w:top w:val="none" w:sz="0" w:space="0" w:color="auto"/>
                            <w:left w:val="none" w:sz="0" w:space="0" w:color="auto"/>
                            <w:bottom w:val="none" w:sz="0" w:space="0" w:color="auto"/>
                            <w:right w:val="none" w:sz="0" w:space="0" w:color="auto"/>
                          </w:divBdr>
                          <w:divsChild>
                            <w:div w:id="986082792">
                              <w:marLeft w:val="0"/>
                              <w:marRight w:val="0"/>
                              <w:marTop w:val="0"/>
                              <w:marBottom w:val="0"/>
                              <w:divBdr>
                                <w:top w:val="none" w:sz="0" w:space="0" w:color="auto"/>
                                <w:left w:val="none" w:sz="0" w:space="0" w:color="auto"/>
                                <w:bottom w:val="none" w:sz="0" w:space="0" w:color="auto"/>
                                <w:right w:val="none" w:sz="0" w:space="0" w:color="auto"/>
                              </w:divBdr>
                              <w:divsChild>
                                <w:div w:id="725647073">
                                  <w:marLeft w:val="0"/>
                                  <w:marRight w:val="0"/>
                                  <w:marTop w:val="0"/>
                                  <w:marBottom w:val="0"/>
                                  <w:divBdr>
                                    <w:top w:val="none" w:sz="0" w:space="0" w:color="auto"/>
                                    <w:left w:val="none" w:sz="0" w:space="0" w:color="auto"/>
                                    <w:bottom w:val="none" w:sz="0" w:space="0" w:color="auto"/>
                                    <w:right w:val="none" w:sz="0" w:space="0" w:color="auto"/>
                                  </w:divBdr>
                                  <w:divsChild>
                                    <w:div w:id="837771856">
                                      <w:marLeft w:val="0"/>
                                      <w:marRight w:val="0"/>
                                      <w:marTop w:val="0"/>
                                      <w:marBottom w:val="0"/>
                                      <w:divBdr>
                                        <w:top w:val="none" w:sz="0" w:space="0" w:color="auto"/>
                                        <w:left w:val="none" w:sz="0" w:space="0" w:color="auto"/>
                                        <w:bottom w:val="none" w:sz="0" w:space="0" w:color="auto"/>
                                        <w:right w:val="none" w:sz="0" w:space="0" w:color="auto"/>
                                      </w:divBdr>
                                      <w:divsChild>
                                        <w:div w:id="18844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3052734">
      <w:bodyDiv w:val="1"/>
      <w:marLeft w:val="0"/>
      <w:marRight w:val="0"/>
      <w:marTop w:val="0"/>
      <w:marBottom w:val="0"/>
      <w:divBdr>
        <w:top w:val="none" w:sz="0" w:space="0" w:color="auto"/>
        <w:left w:val="none" w:sz="0" w:space="0" w:color="auto"/>
        <w:bottom w:val="none" w:sz="0" w:space="0" w:color="auto"/>
        <w:right w:val="none" w:sz="0" w:space="0" w:color="auto"/>
      </w:divBdr>
    </w:div>
    <w:div w:id="1168247563">
      <w:bodyDiv w:val="1"/>
      <w:marLeft w:val="0"/>
      <w:marRight w:val="0"/>
      <w:marTop w:val="0"/>
      <w:marBottom w:val="0"/>
      <w:divBdr>
        <w:top w:val="none" w:sz="0" w:space="0" w:color="auto"/>
        <w:left w:val="none" w:sz="0" w:space="0" w:color="auto"/>
        <w:bottom w:val="none" w:sz="0" w:space="0" w:color="auto"/>
        <w:right w:val="none" w:sz="0" w:space="0" w:color="auto"/>
      </w:divBdr>
    </w:div>
    <w:div w:id="1321813850">
      <w:bodyDiv w:val="1"/>
      <w:marLeft w:val="0"/>
      <w:marRight w:val="0"/>
      <w:marTop w:val="0"/>
      <w:marBottom w:val="0"/>
      <w:divBdr>
        <w:top w:val="none" w:sz="0" w:space="0" w:color="auto"/>
        <w:left w:val="none" w:sz="0" w:space="0" w:color="auto"/>
        <w:bottom w:val="none" w:sz="0" w:space="0" w:color="auto"/>
        <w:right w:val="none" w:sz="0" w:space="0" w:color="auto"/>
      </w:divBdr>
      <w:divsChild>
        <w:div w:id="214778650">
          <w:marLeft w:val="0"/>
          <w:marRight w:val="0"/>
          <w:marTop w:val="0"/>
          <w:marBottom w:val="0"/>
          <w:divBdr>
            <w:top w:val="none" w:sz="0" w:space="0" w:color="auto"/>
            <w:left w:val="none" w:sz="0" w:space="0" w:color="auto"/>
            <w:bottom w:val="none" w:sz="0" w:space="0" w:color="auto"/>
            <w:right w:val="none" w:sz="0" w:space="0" w:color="auto"/>
          </w:divBdr>
          <w:divsChild>
            <w:div w:id="1521509073">
              <w:marLeft w:val="0"/>
              <w:marRight w:val="0"/>
              <w:marTop w:val="0"/>
              <w:marBottom w:val="0"/>
              <w:divBdr>
                <w:top w:val="none" w:sz="0" w:space="0" w:color="auto"/>
                <w:left w:val="none" w:sz="0" w:space="0" w:color="auto"/>
                <w:bottom w:val="none" w:sz="0" w:space="0" w:color="auto"/>
                <w:right w:val="none" w:sz="0" w:space="0" w:color="auto"/>
              </w:divBdr>
              <w:divsChild>
                <w:div w:id="1870022333">
                  <w:marLeft w:val="0"/>
                  <w:marRight w:val="0"/>
                  <w:marTop w:val="0"/>
                  <w:marBottom w:val="0"/>
                  <w:divBdr>
                    <w:top w:val="none" w:sz="0" w:space="0" w:color="auto"/>
                    <w:left w:val="none" w:sz="0" w:space="0" w:color="auto"/>
                    <w:bottom w:val="none" w:sz="0" w:space="0" w:color="auto"/>
                    <w:right w:val="none" w:sz="0" w:space="0" w:color="auto"/>
                  </w:divBdr>
                  <w:divsChild>
                    <w:div w:id="884832531">
                      <w:marLeft w:val="1"/>
                      <w:marRight w:val="1"/>
                      <w:marTop w:val="0"/>
                      <w:marBottom w:val="0"/>
                      <w:divBdr>
                        <w:top w:val="none" w:sz="0" w:space="0" w:color="auto"/>
                        <w:left w:val="none" w:sz="0" w:space="0" w:color="auto"/>
                        <w:bottom w:val="none" w:sz="0" w:space="0" w:color="auto"/>
                        <w:right w:val="none" w:sz="0" w:space="0" w:color="auto"/>
                      </w:divBdr>
                      <w:divsChild>
                        <w:div w:id="989869561">
                          <w:marLeft w:val="0"/>
                          <w:marRight w:val="0"/>
                          <w:marTop w:val="0"/>
                          <w:marBottom w:val="0"/>
                          <w:divBdr>
                            <w:top w:val="none" w:sz="0" w:space="0" w:color="auto"/>
                            <w:left w:val="none" w:sz="0" w:space="0" w:color="auto"/>
                            <w:bottom w:val="none" w:sz="0" w:space="0" w:color="auto"/>
                            <w:right w:val="none" w:sz="0" w:space="0" w:color="auto"/>
                          </w:divBdr>
                          <w:divsChild>
                            <w:div w:id="959384345">
                              <w:marLeft w:val="0"/>
                              <w:marRight w:val="0"/>
                              <w:marTop w:val="0"/>
                              <w:marBottom w:val="360"/>
                              <w:divBdr>
                                <w:top w:val="none" w:sz="0" w:space="0" w:color="auto"/>
                                <w:left w:val="none" w:sz="0" w:space="0" w:color="auto"/>
                                <w:bottom w:val="none" w:sz="0" w:space="0" w:color="auto"/>
                                <w:right w:val="none" w:sz="0" w:space="0" w:color="auto"/>
                              </w:divBdr>
                              <w:divsChild>
                                <w:div w:id="1453983906">
                                  <w:marLeft w:val="0"/>
                                  <w:marRight w:val="0"/>
                                  <w:marTop w:val="0"/>
                                  <w:marBottom w:val="0"/>
                                  <w:divBdr>
                                    <w:top w:val="none" w:sz="0" w:space="0" w:color="auto"/>
                                    <w:left w:val="none" w:sz="0" w:space="0" w:color="auto"/>
                                    <w:bottom w:val="none" w:sz="0" w:space="0" w:color="auto"/>
                                    <w:right w:val="none" w:sz="0" w:space="0" w:color="auto"/>
                                  </w:divBdr>
                                  <w:divsChild>
                                    <w:div w:id="1720006238">
                                      <w:marLeft w:val="0"/>
                                      <w:marRight w:val="0"/>
                                      <w:marTop w:val="0"/>
                                      <w:marBottom w:val="0"/>
                                      <w:divBdr>
                                        <w:top w:val="none" w:sz="0" w:space="0" w:color="auto"/>
                                        <w:left w:val="none" w:sz="0" w:space="0" w:color="auto"/>
                                        <w:bottom w:val="none" w:sz="0" w:space="0" w:color="auto"/>
                                        <w:right w:val="none" w:sz="0" w:space="0" w:color="auto"/>
                                      </w:divBdr>
                                      <w:divsChild>
                                        <w:div w:id="1026440826">
                                          <w:marLeft w:val="0"/>
                                          <w:marRight w:val="0"/>
                                          <w:marTop w:val="0"/>
                                          <w:marBottom w:val="0"/>
                                          <w:divBdr>
                                            <w:top w:val="none" w:sz="0" w:space="0" w:color="auto"/>
                                            <w:left w:val="none" w:sz="0" w:space="0" w:color="auto"/>
                                            <w:bottom w:val="none" w:sz="0" w:space="0" w:color="auto"/>
                                            <w:right w:val="none" w:sz="0" w:space="0" w:color="auto"/>
                                          </w:divBdr>
                                          <w:divsChild>
                                            <w:div w:id="1283725222">
                                              <w:marLeft w:val="0"/>
                                              <w:marRight w:val="0"/>
                                              <w:marTop w:val="0"/>
                                              <w:marBottom w:val="0"/>
                                              <w:divBdr>
                                                <w:top w:val="none" w:sz="0" w:space="0" w:color="auto"/>
                                                <w:left w:val="none" w:sz="0" w:space="0" w:color="auto"/>
                                                <w:bottom w:val="none" w:sz="0" w:space="0" w:color="auto"/>
                                                <w:right w:val="none" w:sz="0" w:space="0" w:color="auto"/>
                                              </w:divBdr>
                                              <w:divsChild>
                                                <w:div w:id="2055425051">
                                                  <w:marLeft w:val="0"/>
                                                  <w:marRight w:val="0"/>
                                                  <w:marTop w:val="0"/>
                                                  <w:marBottom w:val="0"/>
                                                  <w:divBdr>
                                                    <w:top w:val="none" w:sz="0" w:space="0" w:color="auto"/>
                                                    <w:left w:val="none" w:sz="0" w:space="0" w:color="auto"/>
                                                    <w:bottom w:val="none" w:sz="0" w:space="0" w:color="auto"/>
                                                    <w:right w:val="none" w:sz="0" w:space="0" w:color="auto"/>
                                                  </w:divBdr>
                                                  <w:divsChild>
                                                    <w:div w:id="15755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000744">
      <w:bodyDiv w:val="1"/>
      <w:marLeft w:val="0"/>
      <w:marRight w:val="0"/>
      <w:marTop w:val="0"/>
      <w:marBottom w:val="0"/>
      <w:divBdr>
        <w:top w:val="none" w:sz="0" w:space="0" w:color="auto"/>
        <w:left w:val="none" w:sz="0" w:space="0" w:color="auto"/>
        <w:bottom w:val="none" w:sz="0" w:space="0" w:color="auto"/>
        <w:right w:val="none" w:sz="0" w:space="0" w:color="auto"/>
      </w:divBdr>
      <w:divsChild>
        <w:div w:id="546528661">
          <w:marLeft w:val="0"/>
          <w:marRight w:val="0"/>
          <w:marTop w:val="0"/>
          <w:marBottom w:val="0"/>
          <w:divBdr>
            <w:top w:val="none" w:sz="0" w:space="0" w:color="auto"/>
            <w:left w:val="none" w:sz="0" w:space="0" w:color="auto"/>
            <w:bottom w:val="none" w:sz="0" w:space="0" w:color="auto"/>
            <w:right w:val="none" w:sz="0" w:space="0" w:color="auto"/>
          </w:divBdr>
          <w:divsChild>
            <w:div w:id="981540620">
              <w:marLeft w:val="0"/>
              <w:marRight w:val="0"/>
              <w:marTop w:val="0"/>
              <w:marBottom w:val="0"/>
              <w:divBdr>
                <w:top w:val="none" w:sz="0" w:space="0" w:color="auto"/>
                <w:left w:val="none" w:sz="0" w:space="0" w:color="auto"/>
                <w:bottom w:val="none" w:sz="0" w:space="0" w:color="auto"/>
                <w:right w:val="none" w:sz="0" w:space="0" w:color="auto"/>
              </w:divBdr>
              <w:divsChild>
                <w:div w:id="1888954732">
                  <w:marLeft w:val="0"/>
                  <w:marRight w:val="0"/>
                  <w:marTop w:val="0"/>
                  <w:marBottom w:val="0"/>
                  <w:divBdr>
                    <w:top w:val="none" w:sz="0" w:space="0" w:color="auto"/>
                    <w:left w:val="none" w:sz="0" w:space="0" w:color="auto"/>
                    <w:bottom w:val="none" w:sz="0" w:space="0" w:color="auto"/>
                    <w:right w:val="none" w:sz="0" w:space="0" w:color="auto"/>
                  </w:divBdr>
                  <w:divsChild>
                    <w:div w:id="1405765013">
                      <w:marLeft w:val="1"/>
                      <w:marRight w:val="1"/>
                      <w:marTop w:val="0"/>
                      <w:marBottom w:val="0"/>
                      <w:divBdr>
                        <w:top w:val="none" w:sz="0" w:space="0" w:color="auto"/>
                        <w:left w:val="none" w:sz="0" w:space="0" w:color="auto"/>
                        <w:bottom w:val="none" w:sz="0" w:space="0" w:color="auto"/>
                        <w:right w:val="none" w:sz="0" w:space="0" w:color="auto"/>
                      </w:divBdr>
                      <w:divsChild>
                        <w:div w:id="838035165">
                          <w:marLeft w:val="0"/>
                          <w:marRight w:val="0"/>
                          <w:marTop w:val="0"/>
                          <w:marBottom w:val="0"/>
                          <w:divBdr>
                            <w:top w:val="none" w:sz="0" w:space="0" w:color="auto"/>
                            <w:left w:val="none" w:sz="0" w:space="0" w:color="auto"/>
                            <w:bottom w:val="none" w:sz="0" w:space="0" w:color="auto"/>
                            <w:right w:val="none" w:sz="0" w:space="0" w:color="auto"/>
                          </w:divBdr>
                          <w:divsChild>
                            <w:div w:id="453451232">
                              <w:marLeft w:val="0"/>
                              <w:marRight w:val="0"/>
                              <w:marTop w:val="0"/>
                              <w:marBottom w:val="360"/>
                              <w:divBdr>
                                <w:top w:val="none" w:sz="0" w:space="0" w:color="auto"/>
                                <w:left w:val="none" w:sz="0" w:space="0" w:color="auto"/>
                                <w:bottom w:val="none" w:sz="0" w:space="0" w:color="auto"/>
                                <w:right w:val="none" w:sz="0" w:space="0" w:color="auto"/>
                              </w:divBdr>
                              <w:divsChild>
                                <w:div w:id="615908947">
                                  <w:marLeft w:val="0"/>
                                  <w:marRight w:val="0"/>
                                  <w:marTop w:val="0"/>
                                  <w:marBottom w:val="0"/>
                                  <w:divBdr>
                                    <w:top w:val="none" w:sz="0" w:space="0" w:color="auto"/>
                                    <w:left w:val="none" w:sz="0" w:space="0" w:color="auto"/>
                                    <w:bottom w:val="none" w:sz="0" w:space="0" w:color="auto"/>
                                    <w:right w:val="none" w:sz="0" w:space="0" w:color="auto"/>
                                  </w:divBdr>
                                  <w:divsChild>
                                    <w:div w:id="2105108291">
                                      <w:marLeft w:val="0"/>
                                      <w:marRight w:val="0"/>
                                      <w:marTop w:val="0"/>
                                      <w:marBottom w:val="0"/>
                                      <w:divBdr>
                                        <w:top w:val="none" w:sz="0" w:space="0" w:color="auto"/>
                                        <w:left w:val="none" w:sz="0" w:space="0" w:color="auto"/>
                                        <w:bottom w:val="none" w:sz="0" w:space="0" w:color="auto"/>
                                        <w:right w:val="none" w:sz="0" w:space="0" w:color="auto"/>
                                      </w:divBdr>
                                      <w:divsChild>
                                        <w:div w:id="1755086056">
                                          <w:marLeft w:val="0"/>
                                          <w:marRight w:val="0"/>
                                          <w:marTop w:val="0"/>
                                          <w:marBottom w:val="0"/>
                                          <w:divBdr>
                                            <w:top w:val="none" w:sz="0" w:space="0" w:color="auto"/>
                                            <w:left w:val="none" w:sz="0" w:space="0" w:color="auto"/>
                                            <w:bottom w:val="none" w:sz="0" w:space="0" w:color="auto"/>
                                            <w:right w:val="none" w:sz="0" w:space="0" w:color="auto"/>
                                          </w:divBdr>
                                          <w:divsChild>
                                            <w:div w:id="237642260">
                                              <w:marLeft w:val="0"/>
                                              <w:marRight w:val="0"/>
                                              <w:marTop w:val="0"/>
                                              <w:marBottom w:val="0"/>
                                              <w:divBdr>
                                                <w:top w:val="none" w:sz="0" w:space="0" w:color="auto"/>
                                                <w:left w:val="none" w:sz="0" w:space="0" w:color="auto"/>
                                                <w:bottom w:val="none" w:sz="0" w:space="0" w:color="auto"/>
                                                <w:right w:val="none" w:sz="0" w:space="0" w:color="auto"/>
                                              </w:divBdr>
                                              <w:divsChild>
                                                <w:div w:id="120038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896191">
      <w:bodyDiv w:val="1"/>
      <w:marLeft w:val="0"/>
      <w:marRight w:val="0"/>
      <w:marTop w:val="0"/>
      <w:marBottom w:val="0"/>
      <w:divBdr>
        <w:top w:val="none" w:sz="0" w:space="0" w:color="auto"/>
        <w:left w:val="none" w:sz="0" w:space="0" w:color="auto"/>
        <w:bottom w:val="none" w:sz="0" w:space="0" w:color="auto"/>
        <w:right w:val="none" w:sz="0" w:space="0" w:color="auto"/>
      </w:divBdr>
      <w:divsChild>
        <w:div w:id="144856493">
          <w:marLeft w:val="0"/>
          <w:marRight w:val="0"/>
          <w:marTop w:val="0"/>
          <w:marBottom w:val="0"/>
          <w:divBdr>
            <w:top w:val="none" w:sz="0" w:space="0" w:color="auto"/>
            <w:left w:val="none" w:sz="0" w:space="0" w:color="auto"/>
            <w:bottom w:val="none" w:sz="0" w:space="0" w:color="auto"/>
            <w:right w:val="none" w:sz="0" w:space="0" w:color="auto"/>
          </w:divBdr>
          <w:divsChild>
            <w:div w:id="994720816">
              <w:marLeft w:val="0"/>
              <w:marRight w:val="0"/>
              <w:marTop w:val="0"/>
              <w:marBottom w:val="0"/>
              <w:divBdr>
                <w:top w:val="none" w:sz="0" w:space="0" w:color="auto"/>
                <w:left w:val="none" w:sz="0" w:space="0" w:color="auto"/>
                <w:bottom w:val="none" w:sz="0" w:space="0" w:color="auto"/>
                <w:right w:val="none" w:sz="0" w:space="0" w:color="auto"/>
              </w:divBdr>
              <w:divsChild>
                <w:div w:id="375589870">
                  <w:marLeft w:val="0"/>
                  <w:marRight w:val="0"/>
                  <w:marTop w:val="0"/>
                  <w:marBottom w:val="0"/>
                  <w:divBdr>
                    <w:top w:val="none" w:sz="0" w:space="0" w:color="auto"/>
                    <w:left w:val="none" w:sz="0" w:space="0" w:color="auto"/>
                    <w:bottom w:val="none" w:sz="0" w:space="0" w:color="auto"/>
                    <w:right w:val="none" w:sz="0" w:space="0" w:color="auto"/>
                  </w:divBdr>
                  <w:divsChild>
                    <w:div w:id="1715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42673">
      <w:bodyDiv w:val="1"/>
      <w:marLeft w:val="0"/>
      <w:marRight w:val="0"/>
      <w:marTop w:val="0"/>
      <w:marBottom w:val="0"/>
      <w:divBdr>
        <w:top w:val="none" w:sz="0" w:space="0" w:color="auto"/>
        <w:left w:val="none" w:sz="0" w:space="0" w:color="auto"/>
        <w:bottom w:val="none" w:sz="0" w:space="0" w:color="auto"/>
        <w:right w:val="none" w:sz="0" w:space="0" w:color="auto"/>
      </w:divBdr>
    </w:div>
    <w:div w:id="2071147009">
      <w:bodyDiv w:val="1"/>
      <w:marLeft w:val="0"/>
      <w:marRight w:val="0"/>
      <w:marTop w:val="0"/>
      <w:marBottom w:val="0"/>
      <w:divBdr>
        <w:top w:val="none" w:sz="0" w:space="0" w:color="auto"/>
        <w:left w:val="none" w:sz="0" w:space="0" w:color="auto"/>
        <w:bottom w:val="none" w:sz="0" w:space="0" w:color="auto"/>
        <w:right w:val="none" w:sz="0" w:space="0" w:color="auto"/>
      </w:divBdr>
    </w:div>
    <w:div w:id="2144731998">
      <w:bodyDiv w:val="1"/>
      <w:marLeft w:val="0"/>
      <w:marRight w:val="0"/>
      <w:marTop w:val="0"/>
      <w:marBottom w:val="0"/>
      <w:divBdr>
        <w:top w:val="none" w:sz="0" w:space="0" w:color="auto"/>
        <w:left w:val="none" w:sz="0" w:space="0" w:color="auto"/>
        <w:bottom w:val="none" w:sz="0" w:space="0" w:color="auto"/>
        <w:right w:val="none" w:sz="0" w:space="0" w:color="auto"/>
      </w:divBdr>
      <w:divsChild>
        <w:div w:id="528957328">
          <w:marLeft w:val="0"/>
          <w:marRight w:val="0"/>
          <w:marTop w:val="0"/>
          <w:marBottom w:val="0"/>
          <w:divBdr>
            <w:top w:val="none" w:sz="0" w:space="0" w:color="auto"/>
            <w:left w:val="none" w:sz="0" w:space="0" w:color="auto"/>
            <w:bottom w:val="none" w:sz="0" w:space="0" w:color="auto"/>
            <w:right w:val="none" w:sz="0" w:space="0" w:color="auto"/>
          </w:divBdr>
          <w:divsChild>
            <w:div w:id="1598906919">
              <w:marLeft w:val="0"/>
              <w:marRight w:val="0"/>
              <w:marTop w:val="0"/>
              <w:marBottom w:val="0"/>
              <w:divBdr>
                <w:top w:val="none" w:sz="0" w:space="0" w:color="auto"/>
                <w:left w:val="none" w:sz="0" w:space="0" w:color="auto"/>
                <w:bottom w:val="none" w:sz="0" w:space="0" w:color="auto"/>
                <w:right w:val="none" w:sz="0" w:space="0" w:color="auto"/>
              </w:divBdr>
              <w:divsChild>
                <w:div w:id="1409424515">
                  <w:marLeft w:val="0"/>
                  <w:marRight w:val="0"/>
                  <w:marTop w:val="0"/>
                  <w:marBottom w:val="0"/>
                  <w:divBdr>
                    <w:top w:val="none" w:sz="0" w:space="0" w:color="auto"/>
                    <w:left w:val="none" w:sz="0" w:space="0" w:color="auto"/>
                    <w:bottom w:val="none" w:sz="0" w:space="0" w:color="auto"/>
                    <w:right w:val="none" w:sz="0" w:space="0" w:color="auto"/>
                  </w:divBdr>
                  <w:divsChild>
                    <w:div w:id="1024013651">
                      <w:marLeft w:val="0"/>
                      <w:marRight w:val="0"/>
                      <w:marTop w:val="0"/>
                      <w:marBottom w:val="0"/>
                      <w:divBdr>
                        <w:top w:val="none" w:sz="0" w:space="0" w:color="auto"/>
                        <w:left w:val="none" w:sz="0" w:space="0" w:color="auto"/>
                        <w:bottom w:val="none" w:sz="0" w:space="0" w:color="auto"/>
                        <w:right w:val="none" w:sz="0" w:space="0" w:color="auto"/>
                      </w:divBdr>
                      <w:divsChild>
                        <w:div w:id="15799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www.rivm.nl/Onderwerpen/F/Fluorkoolwaterstoffen/Montreal_protocol" TargetMode="External"/><Relationship Id="rId7" Type="http://schemas.openxmlformats.org/officeDocument/2006/relationships/hyperlink" Target="http://wetten.overheid.nl/BWBR0025554/2014-01-01" TargetMode="External"/><Relationship Id="rId2" Type="http://schemas.openxmlformats.org/officeDocument/2006/relationships/hyperlink" Target="http://ozone.unep.org/en/handbook-montreal-protocol-substances-deplete-ozone-layer/41473" TargetMode="External"/><Relationship Id="rId1" Type="http://schemas.openxmlformats.org/officeDocument/2006/relationships/hyperlink" Target="http://ozone.unep.org/en/Assessment_Panels/EEAP/eeap_report_2014.pdf" TargetMode="External"/><Relationship Id="rId6" Type="http://schemas.openxmlformats.org/officeDocument/2006/relationships/hyperlink" Target="http://wetten.overheid.nl/BWBR0037094/2015-12-01" TargetMode="External"/><Relationship Id="rId5" Type="http://schemas.openxmlformats.org/officeDocument/2006/relationships/hyperlink" Target="http://wetten.overheid.nl/BWBR0037088/2015-12-01" TargetMode="External"/><Relationship Id="rId4" Type="http://schemas.openxmlformats.org/officeDocument/2006/relationships/hyperlink" Target="http://conf.montreal-protocol.org/meeting/mop/mop-28/presession/Background%20Documents%20are%20available%20in%20English%20only/TEAP_ExIII-1_Report_Sept-2016.pdf%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3664</ap:Words>
  <ap:Characters>20156</ap:Characters>
  <ap:DocSecurity>0</ap:DocSecurity>
  <ap:Lines>167</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Toelichtende nota</vt:lpstr>
      <vt:lpstr>Toelichtende nota</vt:lpstr>
    </vt:vector>
  </ap:TitlesOfParts>
  <ap:LinksUpToDate>false</ap:LinksUpToDate>
  <ap:CharactersWithSpaces>23773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2017-08-30T11:51:00.0000000Z</lastPrinted>
  <dcterms:created xsi:type="dcterms:W3CDTF">2017-09-05T09:13:00.0000000Z</dcterms:created>
  <dcterms:modified xsi:type="dcterms:W3CDTF">2017-09-05T09:14:00.0000000Z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0x01010016D5A7ABA7209F46B33D1B215BB66972</vt:lpwstr>
  </property>
  <property fmtid="{D5CDD505-2E9C-101B-9397-08002B2CF9AE}" pid="3" name="IsMyDocuments">
    <vt:bool>true</vt:bool>
  </property>
</Properties>
</file>