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29" w:rsidP="007426AA" w:rsidRDefault="003F1E29">
      <w:pPr>
        <w:rPr>
          <w:szCs w:val="18"/>
        </w:rPr>
      </w:pPr>
    </w:p>
    <w:p w:rsidR="009D1416" w:rsidP="007426AA" w:rsidRDefault="009F0499">
      <w:pPr>
        <w:rPr>
          <w:szCs w:val="18"/>
        </w:rPr>
      </w:pPr>
      <w:r>
        <w:rPr>
          <w:szCs w:val="18"/>
        </w:rPr>
        <w:t xml:space="preserve">Geachte Voorzitter, </w:t>
      </w:r>
    </w:p>
    <w:p w:rsidRPr="007426AA" w:rsidR="009F0499" w:rsidP="007426AA" w:rsidRDefault="009F0499">
      <w:pPr>
        <w:rPr>
          <w:szCs w:val="18"/>
        </w:rPr>
      </w:pPr>
    </w:p>
    <w:p w:rsidR="009F0499" w:rsidP="00810C93" w:rsidRDefault="003F1E29">
      <w:r>
        <w:t>O</w:t>
      </w:r>
      <w:r w:rsidR="009F0499">
        <w:t xml:space="preserve">p 6 april </w:t>
      </w:r>
      <w:r>
        <w:t>jl. hebben</w:t>
      </w:r>
      <w:r w:rsidR="009F0499">
        <w:t xml:space="preserve"> </w:t>
      </w:r>
      <w:r>
        <w:t>de l</w:t>
      </w:r>
      <w:r w:rsidR="009F0499">
        <w:t>eden Van der Lee en Kröger (beiden GroenLinks)</w:t>
      </w:r>
      <w:r w:rsidR="009F0499">
        <w:rPr>
          <w:rStyle w:val="Voetnootmarkering"/>
        </w:rPr>
        <w:footnoteReference w:id="1"/>
      </w:r>
      <w:r>
        <w:t xml:space="preserve"> en</w:t>
      </w:r>
      <w:r w:rsidR="009F0499">
        <w:t xml:space="preserve"> het lid Van Veldhoven (D66)</w:t>
      </w:r>
      <w:r w:rsidR="009F0499">
        <w:rPr>
          <w:rStyle w:val="Voetnootmarkering"/>
        </w:rPr>
        <w:footnoteReference w:id="2"/>
      </w:r>
      <w:r w:rsidR="009F0499">
        <w:t xml:space="preserve"> </w:t>
      </w:r>
      <w:r>
        <w:t>Kamer</w:t>
      </w:r>
      <w:r w:rsidR="009F0499">
        <w:t xml:space="preserve">vragen </w:t>
      </w:r>
      <w:r>
        <w:t>gesteld</w:t>
      </w:r>
      <w:r w:rsidR="009F0499">
        <w:t xml:space="preserve"> over het bericht dat de CO</w:t>
      </w:r>
      <w:r w:rsidR="009F0499">
        <w:rPr>
          <w:rFonts w:ascii="Cambria" w:hAnsi="Cambria"/>
        </w:rPr>
        <w:t>₂</w:t>
      </w:r>
      <w:r w:rsidR="00FC01DB">
        <w:t>-</w:t>
      </w:r>
      <w:r w:rsidR="009F0499">
        <w:t>uitstoot van de Nederlandse industrie in 2016 niet is gedaald</w:t>
      </w:r>
      <w:r>
        <w:t>. Op dezelfde datum heeft de vaste commissie voor Infrastructuur en Milieu schriftelijke vragen gesteld over hetzelfde onderwerp.</w:t>
      </w:r>
      <w:r>
        <w:rPr>
          <w:rStyle w:val="Voetnootmarkering"/>
        </w:rPr>
        <w:footnoteReference w:id="3"/>
      </w:r>
      <w:r>
        <w:t xml:space="preserve"> Vanwege voor de beantwoording benodigde afstemming</w:t>
      </w:r>
      <w:r w:rsidR="009F0499">
        <w:t xml:space="preserve"> kunnen</w:t>
      </w:r>
      <w:r>
        <w:t xml:space="preserve"> deze vragen</w:t>
      </w:r>
      <w:r w:rsidR="009F0499">
        <w:t xml:space="preserve"> niet binnen de gebruikelijke termijn van drie weken worden beantwoord. </w:t>
      </w:r>
      <w:r>
        <w:t xml:space="preserve">Ik streef ernaar om de vragen, samen met de staatssecretaris van Infrastructuur en Milieu en in onderlinge samenhang, uiterlijk medio mei te beantwoorden. </w:t>
      </w:r>
    </w:p>
    <w:p w:rsidRPr="008F06CE" w:rsidR="00006709" w:rsidP="00006709" w:rsidRDefault="00006709">
      <w:pPr>
        <w:tabs>
          <w:tab w:val="left" w:pos="5580"/>
        </w:tabs>
        <w:rPr>
          <w:szCs w:val="18"/>
        </w:rPr>
      </w:pPr>
    </w:p>
    <w:p w:rsidRPr="008F06CE" w:rsidR="00006709" w:rsidP="00006709" w:rsidRDefault="00006709">
      <w:pPr>
        <w:tabs>
          <w:tab w:val="left" w:pos="5580"/>
        </w:tabs>
        <w:rPr>
          <w:szCs w:val="18"/>
        </w:rPr>
      </w:pPr>
    </w:p>
    <w:p w:rsidRPr="008F06CE" w:rsidR="00006709" w:rsidP="00006709" w:rsidRDefault="00006709">
      <w:pPr>
        <w:tabs>
          <w:tab w:val="left" w:pos="5580"/>
        </w:tabs>
        <w:rPr>
          <w:szCs w:val="18"/>
        </w:rPr>
      </w:pPr>
    </w:p>
    <w:p w:rsidRPr="008F06CE" w:rsidR="00006709" w:rsidP="00006709" w:rsidRDefault="00006709">
      <w:pPr>
        <w:tabs>
          <w:tab w:val="left" w:pos="5580"/>
        </w:tabs>
        <w:rPr>
          <w:szCs w:val="18"/>
        </w:rPr>
      </w:pPr>
    </w:p>
    <w:p w:rsidRPr="008F06CE" w:rsidR="00006709" w:rsidP="00006709" w:rsidRDefault="00265813">
      <w:pPr>
        <w:tabs>
          <w:tab w:val="left" w:pos="5580"/>
        </w:tabs>
        <w:rPr>
          <w:szCs w:val="18"/>
        </w:rPr>
      </w:pPr>
      <w:r>
        <w:rPr>
          <w:szCs w:val="18"/>
        </w:rPr>
        <w:t>(w.g.)</w:t>
      </w:r>
    </w:p>
    <w:p w:rsidRPr="008F06CE" w:rsidR="00006709" w:rsidP="00006709" w:rsidRDefault="00006709">
      <w:pPr>
        <w:tabs>
          <w:tab w:val="left" w:pos="5580"/>
        </w:tabs>
        <w:rPr>
          <w:szCs w:val="18"/>
        </w:rPr>
      </w:pPr>
      <w:r w:rsidRPr="008F06CE">
        <w:rPr>
          <w:szCs w:val="18"/>
        </w:rPr>
        <w:t xml:space="preserve">H.G.J. Kamp </w:t>
      </w:r>
    </w:p>
    <w:p w:rsidR="00A50CF6" w:rsidP="00006709" w:rsidRDefault="00006709">
      <w:r w:rsidRPr="008F06CE">
        <w:rPr>
          <w:szCs w:val="18"/>
        </w:rPr>
        <w:t>Minister van Economische Zaken</w:t>
      </w:r>
    </w:p>
    <w:sectPr w:rsidR="00A50CF6" w:rsidSect="00D60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16" w:rsidRDefault="009D1416">
      <w:r>
        <w:separator/>
      </w:r>
    </w:p>
    <w:p w:rsidR="009D1416" w:rsidRDefault="009D1416"/>
  </w:endnote>
  <w:endnote w:type="continuationSeparator" w:id="0">
    <w:p w:rsidR="009D1416" w:rsidRDefault="009D1416">
      <w:r>
        <w:continuationSeparator/>
      </w:r>
    </w:p>
    <w:p w:rsidR="009D1416" w:rsidRDefault="009D1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5D" w:rsidRDefault="0089485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9D1416" w:rsidP="009D1416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9D1416" w:rsidP="009D1416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89485D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89485D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16" w:rsidRDefault="009D1416">
      <w:r>
        <w:separator/>
      </w:r>
    </w:p>
    <w:p w:rsidR="009D1416" w:rsidRDefault="009D1416"/>
  </w:footnote>
  <w:footnote w:type="continuationSeparator" w:id="0">
    <w:p w:rsidR="009D1416" w:rsidRDefault="009D1416">
      <w:r>
        <w:continuationSeparator/>
      </w:r>
    </w:p>
    <w:p w:rsidR="009D1416" w:rsidRDefault="009D1416"/>
  </w:footnote>
  <w:footnote w:id="1">
    <w:p w:rsidR="009F0499" w:rsidRPr="003F1E29" w:rsidRDefault="009F0499">
      <w:pPr>
        <w:pStyle w:val="Voetnoottekst"/>
        <w:rPr>
          <w:sz w:val="13"/>
          <w:szCs w:val="13"/>
        </w:rPr>
      </w:pPr>
      <w:r w:rsidRPr="003F1E29">
        <w:rPr>
          <w:rStyle w:val="Voetnootmarkering"/>
          <w:sz w:val="13"/>
          <w:szCs w:val="13"/>
        </w:rPr>
        <w:footnoteRef/>
      </w:r>
      <w:r w:rsidRPr="003F1E29">
        <w:rPr>
          <w:sz w:val="13"/>
          <w:szCs w:val="13"/>
        </w:rPr>
        <w:t xml:space="preserve"> Kenmerk 2017Z04590</w:t>
      </w:r>
    </w:p>
  </w:footnote>
  <w:footnote w:id="2">
    <w:p w:rsidR="009F0499" w:rsidRPr="003F1E29" w:rsidRDefault="009F0499">
      <w:pPr>
        <w:pStyle w:val="Voetnoottekst"/>
        <w:rPr>
          <w:sz w:val="13"/>
          <w:szCs w:val="13"/>
        </w:rPr>
      </w:pPr>
      <w:r w:rsidRPr="003F1E29">
        <w:rPr>
          <w:rStyle w:val="Voetnootmarkering"/>
          <w:sz w:val="13"/>
          <w:szCs w:val="13"/>
        </w:rPr>
        <w:footnoteRef/>
      </w:r>
      <w:r w:rsidRPr="003F1E29">
        <w:rPr>
          <w:sz w:val="13"/>
          <w:szCs w:val="13"/>
        </w:rPr>
        <w:t xml:space="preserve"> Kenmerk 2017Z04601</w:t>
      </w:r>
    </w:p>
  </w:footnote>
  <w:footnote w:id="3">
    <w:p w:rsidR="003F1E29" w:rsidRDefault="003F1E29" w:rsidP="003F1E29">
      <w:pPr>
        <w:pStyle w:val="Voetnoottekst"/>
      </w:pPr>
      <w:r w:rsidRPr="003F1E29">
        <w:rPr>
          <w:rStyle w:val="Voetnootmarkering"/>
          <w:sz w:val="13"/>
          <w:szCs w:val="13"/>
        </w:rPr>
        <w:footnoteRef/>
      </w:r>
      <w:r w:rsidRPr="003F1E29">
        <w:rPr>
          <w:sz w:val="13"/>
          <w:szCs w:val="13"/>
        </w:rPr>
        <w:t xml:space="preserve"> Kenmerk 2017Z04585/2017D09551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5D" w:rsidRDefault="0089485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9D1416" w:rsidP="009D1416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Energie, Telecom &amp; Mededinging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Energiemarkt en Innovatie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9D1416" w:rsidP="009D1416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9D1416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DGETM-EI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17063191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3F1E29" w:rsidP="009D1416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5FA70C62" wp14:editId="2692E85D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9F0499" w:rsidTr="00A50CF6">
      <w:tc>
        <w:tcPr>
          <w:tcW w:w="2160" w:type="dxa"/>
          <w:shd w:val="clear" w:color="auto" w:fill="auto"/>
        </w:tcPr>
        <w:p w:rsidR="00527BD4" w:rsidRPr="005819CE" w:rsidRDefault="009D1416" w:rsidP="009D1416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Energie, Telecom &amp; Mededinging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Energiemarkt en Innovatie</w:t>
          </w:r>
        </w:p>
        <w:p w:rsidR="009D1416" w:rsidRDefault="009D1416" w:rsidP="009D1416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9D1416" w:rsidRDefault="009D1416" w:rsidP="009D1416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9D1416" w:rsidRPr="005B3814" w:rsidRDefault="009D1416" w:rsidP="009D1416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BE5ED9" w:rsidRDefault="009D1416" w:rsidP="009D1416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  <w:p w:rsidR="00527BD4" w:rsidRPr="009F0499" w:rsidRDefault="00527BD4" w:rsidP="009F0499">
          <w:pPr>
            <w:pStyle w:val="Huisstijl-Adres"/>
            <w:rPr>
              <w:noProof w:val="0"/>
              <w:lang w:val="fr-FR"/>
            </w:rPr>
          </w:pPr>
        </w:p>
      </w:tc>
    </w:tr>
    <w:tr w:rsidR="00527BD4" w:rsidRPr="009F0499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9F0499" w:rsidRDefault="00527BD4" w:rsidP="00A50CF6">
          <w:pPr>
            <w:rPr>
              <w:lang w:val="fr-FR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9D1416" w:rsidP="009D1416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9D1416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DGETM-EI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17063191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527BD4" w:rsidP="00006709">
          <w:pPr>
            <w:pStyle w:val="Huisstijl-Gegeven"/>
            <w:rPr>
              <w:noProof w:val="0"/>
            </w:rPr>
          </w:pP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9D1416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9D1416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006709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006709" w:rsidRPr="008F06CE" w:rsidRDefault="00006709" w:rsidP="009F204A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 xml:space="preserve">De Voorzitter van de </w:t>
          </w:r>
          <w:smartTag w:uri="urn:schemas-microsoft-com:office:smarttags" w:element="metricconverter">
            <w:smartTagPr>
              <w:attr w:name="ProductID" w:val="Tweede Kamer"/>
            </w:smartTagPr>
            <w:r w:rsidRPr="008F06CE">
              <w:rPr>
                <w:szCs w:val="18"/>
              </w:rPr>
              <w:t>Tweede Kamer</w:t>
            </w:r>
          </w:smartTag>
        </w:p>
        <w:p w:rsidR="00006709" w:rsidRPr="008F06CE" w:rsidRDefault="00006709" w:rsidP="009F204A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:rsidR="00006709" w:rsidRPr="008F06CE" w:rsidRDefault="00006709" w:rsidP="009F204A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Binnenhof 4</w:t>
          </w:r>
        </w:p>
        <w:p w:rsidR="00006709" w:rsidRPr="008F06CE" w:rsidRDefault="00006709" w:rsidP="009F204A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 xml:space="preserve">2513 AA  </w:t>
          </w:r>
          <w:r>
            <w:rPr>
              <w:szCs w:val="18"/>
            </w:rPr>
            <w:t>DEN HAAG</w:t>
          </w:r>
        </w:p>
      </w:tc>
    </w:tr>
    <w:tr w:rsidR="00006709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06709" w:rsidRPr="00035E67" w:rsidRDefault="00006709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06709" w:rsidTr="00A50CF6">
      <w:trPr>
        <w:trHeight w:val="240"/>
      </w:trPr>
      <w:tc>
        <w:tcPr>
          <w:tcW w:w="900" w:type="dxa"/>
          <w:shd w:val="clear" w:color="auto" w:fill="auto"/>
        </w:tcPr>
        <w:p w:rsidR="00006709" w:rsidRPr="007709EF" w:rsidRDefault="00006709" w:rsidP="009D1416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06709" w:rsidRPr="007709EF" w:rsidRDefault="0089485D" w:rsidP="00A50CF6">
          <w:r>
            <w:t>26 april 2017</w:t>
          </w:r>
        </w:p>
      </w:tc>
    </w:tr>
    <w:tr w:rsidR="00006709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06709" w:rsidRPr="007709EF" w:rsidRDefault="00006709" w:rsidP="009D1416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06709" w:rsidRPr="007709EF" w:rsidRDefault="00006709" w:rsidP="00FC01DB">
          <w:bookmarkStart w:id="0" w:name="_GoBack"/>
          <w:r>
            <w:t>Uitstel beantwoording vragen over het bericht dat de CO</w:t>
          </w:r>
          <w:r w:rsidRPr="00FC01DB">
            <w:rPr>
              <w:vertAlign w:val="subscript"/>
            </w:rPr>
            <w:t>2</w:t>
          </w:r>
          <w:r>
            <w:t xml:space="preserve">-uitstoot van de Nederlandse industrie in 2016 niet is gedaald 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3C7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063191"/>
    <w:docVar w:name="HC_HBLIB" w:val="DOMUS"/>
  </w:docVars>
  <w:rsids>
    <w:rsidRoot w:val="009D1416"/>
    <w:rsid w:val="000049FB"/>
    <w:rsid w:val="00006709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65813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E29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9485D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1416"/>
    <w:rsid w:val="009F0499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01DB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link w:val="VoetnoottekstChar"/>
    <w:rsid w:val="009F04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F0499"/>
    <w:rPr>
      <w:rFonts w:ascii="Verdana" w:hAnsi="Verdana"/>
    </w:rPr>
  </w:style>
  <w:style w:type="character" w:styleId="Voetnootmarkering">
    <w:name w:val="footnote reference"/>
    <w:basedOn w:val="Standaardalinea-lettertype"/>
    <w:rsid w:val="009F0499"/>
    <w:rPr>
      <w:vertAlign w:val="superscript"/>
    </w:rPr>
  </w:style>
  <w:style w:type="paragraph" w:styleId="Ballontekst">
    <w:name w:val="Balloon Text"/>
    <w:basedOn w:val="Standaard"/>
    <w:link w:val="BallontekstChar"/>
    <w:rsid w:val="00FC0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0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link w:val="VoetnoottekstChar"/>
    <w:rsid w:val="009F04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F0499"/>
    <w:rPr>
      <w:rFonts w:ascii="Verdana" w:hAnsi="Verdana"/>
    </w:rPr>
  </w:style>
  <w:style w:type="character" w:styleId="Voetnootmarkering">
    <w:name w:val="footnote reference"/>
    <w:basedOn w:val="Standaardalinea-lettertype"/>
    <w:rsid w:val="009F0499"/>
    <w:rPr>
      <w:vertAlign w:val="superscript"/>
    </w:rPr>
  </w:style>
  <w:style w:type="paragraph" w:styleId="Ballontekst">
    <w:name w:val="Balloon Text"/>
    <w:basedOn w:val="Standaard"/>
    <w:link w:val="BallontekstChar"/>
    <w:rsid w:val="00FC0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2017-04-26T09:02:00.0000000Z</lastPrinted>
  <dcterms:created xsi:type="dcterms:W3CDTF">2017-04-26T09:03:00.0000000Z</dcterms:created>
  <dcterms:modified xsi:type="dcterms:W3CDTF">2017-04-26T12:02:00.0000000Z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0x010100D23879A98160ED42849C917C5CCAD0D1</vt:lpwstr>
  </property>
</Properties>
</file>