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5C6" w:rsidP="00531240" w:rsidRDefault="005765C6">
      <w:pPr>
        <w:spacing w:line="276" w:lineRule="auto"/>
        <w:rPr>
          <w:b/>
        </w:rPr>
      </w:pPr>
      <w:bookmarkStart w:name="_GoBack" w:id="0"/>
      <w:bookmarkEnd w:id="0"/>
      <w:r w:rsidRPr="00A64101">
        <w:rPr>
          <w:b/>
        </w:rPr>
        <w:t xml:space="preserve">VERSLAG VAN </w:t>
      </w:r>
      <w:r w:rsidR="000D4384">
        <w:rPr>
          <w:b/>
        </w:rPr>
        <w:t xml:space="preserve">RAPPORTEUR </w:t>
      </w:r>
      <w:r w:rsidR="00707837">
        <w:rPr>
          <w:b/>
        </w:rPr>
        <w:t xml:space="preserve">CEGEREK </w:t>
      </w:r>
      <w:r w:rsidR="000D4384">
        <w:rPr>
          <w:b/>
        </w:rPr>
        <w:t xml:space="preserve">OVER </w:t>
      </w:r>
      <w:r w:rsidR="000A7AC2">
        <w:rPr>
          <w:b/>
        </w:rPr>
        <w:t>EEN WERKBEZOEK AAN</w:t>
      </w:r>
      <w:r>
        <w:rPr>
          <w:b/>
        </w:rPr>
        <w:t xml:space="preserve"> </w:t>
      </w:r>
      <w:r w:rsidR="00707837">
        <w:rPr>
          <w:b/>
        </w:rPr>
        <w:t xml:space="preserve">BRUSSEL </w:t>
      </w:r>
      <w:r w:rsidR="00AD5DA6">
        <w:rPr>
          <w:b/>
        </w:rPr>
        <w:t xml:space="preserve">OP </w:t>
      </w:r>
      <w:r w:rsidR="000A7AC2">
        <w:rPr>
          <w:b/>
        </w:rPr>
        <w:t xml:space="preserve">6 FEBRUARI 2017 </w:t>
      </w:r>
    </w:p>
    <w:p w:rsidR="000D4384" w:rsidP="00531240" w:rsidRDefault="000D4384">
      <w:pPr>
        <w:spacing w:line="276" w:lineRule="auto"/>
      </w:pPr>
    </w:p>
    <w:p w:rsidR="000D4384" w:rsidP="00531240" w:rsidRDefault="000D4384">
      <w:pPr>
        <w:spacing w:line="276" w:lineRule="auto"/>
      </w:pPr>
    </w:p>
    <w:p w:rsidR="00C8161E" w:rsidP="00531240" w:rsidRDefault="005765C6">
      <w:pPr>
        <w:spacing w:line="276" w:lineRule="auto"/>
      </w:pPr>
      <w:r>
        <w:t>Namens de vaste commissie I</w:t>
      </w:r>
      <w:r w:rsidR="004B5532">
        <w:t>nfrastructuur en Milieu (I</w:t>
      </w:r>
      <w:r>
        <w:t>&amp;M</w:t>
      </w:r>
      <w:r w:rsidR="004B5532">
        <w:t>)</w:t>
      </w:r>
      <w:r>
        <w:t xml:space="preserve"> heeft het lid </w:t>
      </w:r>
      <w:r w:rsidR="00AD5DA6">
        <w:t xml:space="preserve">Yasemin Cegerek (PvdA) op </w:t>
      </w:r>
      <w:r w:rsidR="000A7AC2">
        <w:t xml:space="preserve">maandag 6 februari 2017 </w:t>
      </w:r>
      <w:r>
        <w:t xml:space="preserve">als Tweede Kamer rapporteur </w:t>
      </w:r>
      <w:r w:rsidR="000A7AC2">
        <w:t>een werkbezoek over Circulaire economie aan Commissie en Parlement in Brussel gebracht</w:t>
      </w:r>
      <w:r w:rsidR="00C8161E">
        <w:t xml:space="preserve">. </w:t>
      </w:r>
    </w:p>
    <w:p w:rsidR="00C8161E" w:rsidP="00531240" w:rsidRDefault="00C8161E">
      <w:pPr>
        <w:spacing w:line="276" w:lineRule="auto"/>
      </w:pPr>
    </w:p>
    <w:p w:rsidR="00DF12FB" w:rsidP="00531240" w:rsidRDefault="00F44880">
      <w:pPr>
        <w:autoSpaceDE w:val="0"/>
        <w:autoSpaceDN w:val="0"/>
        <w:adjustRightInd w:val="0"/>
        <w:spacing w:line="276" w:lineRule="auto"/>
      </w:pPr>
      <w:r>
        <w:t xml:space="preserve">Het doel van </w:t>
      </w:r>
      <w:r w:rsidR="000A7AC2">
        <w:t xml:space="preserve">dit werkbezoek </w:t>
      </w:r>
      <w:r>
        <w:t>van rapporteur Cegerek was om namens de commissie I</w:t>
      </w:r>
      <w:r w:rsidR="004B5532">
        <w:t xml:space="preserve">&amp;M </w:t>
      </w:r>
      <w:r w:rsidR="000A7AC2">
        <w:t xml:space="preserve">op een aantal vlakken </w:t>
      </w:r>
      <w:r>
        <w:t xml:space="preserve">informatie over het </w:t>
      </w:r>
      <w:r w:rsidR="000A7AC2">
        <w:t xml:space="preserve">al verschenen </w:t>
      </w:r>
      <w:r>
        <w:t xml:space="preserve">pakket ‘Circulaire economie’ </w:t>
      </w:r>
      <w:r w:rsidR="000A7AC2">
        <w:t xml:space="preserve">en over nog in 2017 te verschijnen voorstellen </w:t>
      </w:r>
      <w:r>
        <w:t xml:space="preserve">in te winnen </w:t>
      </w:r>
      <w:r w:rsidR="000A7AC2">
        <w:t xml:space="preserve">ten behoeve van haar </w:t>
      </w:r>
      <w:r w:rsidR="00886ABD">
        <w:t xml:space="preserve">rapporteurschap en het </w:t>
      </w:r>
      <w:r w:rsidR="000A7AC2">
        <w:t xml:space="preserve">eindverslag </w:t>
      </w:r>
      <w:r w:rsidR="00886ABD">
        <w:t>daarvan.</w:t>
      </w:r>
      <w:r w:rsidR="000A7AC2">
        <w:t xml:space="preserve"> Daartoe heeft zij een aantal gesprekken gevoerd met vertegenwoordigers van de </w:t>
      </w:r>
      <w:r>
        <w:t xml:space="preserve">Europese Commissie, de milieuafdeling van de Nederlandse Permanente Vertegenwoordiging bij de EU </w:t>
      </w:r>
      <w:r w:rsidR="00A02FE8">
        <w:t xml:space="preserve">(PV EU) </w:t>
      </w:r>
      <w:r>
        <w:t xml:space="preserve">en </w:t>
      </w:r>
      <w:r w:rsidR="000A7AC2">
        <w:t>het Europees Parlement</w:t>
      </w:r>
      <w:r>
        <w:t xml:space="preserve">. </w:t>
      </w:r>
      <w:r w:rsidR="00DF12FB">
        <w:t xml:space="preserve">Bij de voorbereiding en het werkbezoek zelf, werd rapporteur Cegerek ambtelijk begeleid door </w:t>
      </w:r>
      <w:r w:rsidR="000A7AC2">
        <w:t>Anke Willemstein</w:t>
      </w:r>
      <w:r w:rsidR="00DF12FB">
        <w:t>, EU adviseur voor de commissie I</w:t>
      </w:r>
      <w:r w:rsidR="004B5532">
        <w:t>&amp;M</w:t>
      </w:r>
      <w:r w:rsidR="000A7AC2">
        <w:t xml:space="preserve"> en deels door PV EU (Hagar Ligtvoet en Ruben Dekker) en deels door Suzanne Nollen, de parlementair vertegenwoordiger bij de EU</w:t>
      </w:r>
      <w:r w:rsidR="004B5532">
        <w:t xml:space="preserve">. </w:t>
      </w:r>
      <w:r w:rsidR="00DF12FB">
        <w:t xml:space="preserve"> </w:t>
      </w:r>
    </w:p>
    <w:p w:rsidR="00DF12FB" w:rsidP="00531240" w:rsidRDefault="00DF12FB">
      <w:pPr>
        <w:autoSpaceDE w:val="0"/>
        <w:autoSpaceDN w:val="0"/>
        <w:adjustRightInd w:val="0"/>
        <w:spacing w:line="276" w:lineRule="auto"/>
      </w:pPr>
    </w:p>
    <w:p w:rsidR="00E945B5" w:rsidP="00531240" w:rsidRDefault="00DF12FB">
      <w:pPr>
        <w:spacing w:line="276" w:lineRule="auto"/>
      </w:pPr>
      <w:r>
        <w:t xml:space="preserve">In onderstaand verslag koppelt rapporteur Cegerek </w:t>
      </w:r>
      <w:r w:rsidR="0009523B">
        <w:t xml:space="preserve">de </w:t>
      </w:r>
      <w:r>
        <w:t xml:space="preserve">belangrijkste </w:t>
      </w:r>
      <w:r w:rsidR="003C00EA">
        <w:t xml:space="preserve">bevindingen </w:t>
      </w:r>
      <w:r>
        <w:t xml:space="preserve">terug </w:t>
      </w:r>
      <w:r w:rsidR="002302DB">
        <w:t xml:space="preserve">van haar werkbezoek </w:t>
      </w:r>
      <w:r w:rsidR="00884EF0">
        <w:t xml:space="preserve">aan </w:t>
      </w:r>
      <w:r w:rsidR="000A7AC2">
        <w:t xml:space="preserve">Brussel, zij zal deze bevindingen gebruiken als (deel van de) input om het eindrapport voor het rapporteurschap Circulaire economie af te ronden. </w:t>
      </w:r>
      <w:r w:rsidR="0009523B">
        <w:t xml:space="preserve"> Verder wordt aan het eind van het verslag een overzicht gegeven van de </w:t>
      </w:r>
      <w:r w:rsidR="000A7AC2">
        <w:t xml:space="preserve">verdere </w:t>
      </w:r>
      <w:r w:rsidR="0009523B">
        <w:t xml:space="preserve">planning </w:t>
      </w:r>
      <w:r w:rsidR="000A7AC2">
        <w:t xml:space="preserve">van onderdelen van het pakket </w:t>
      </w:r>
      <w:r w:rsidR="0081728D">
        <w:t>‘Circulaire economie’</w:t>
      </w:r>
      <w:r w:rsidR="00965F78">
        <w:t xml:space="preserve"> </w:t>
      </w:r>
      <w:r w:rsidR="000A7AC2">
        <w:t>in 2017</w:t>
      </w:r>
      <w:r w:rsidR="004C5911">
        <w:t>.</w:t>
      </w:r>
      <w:r w:rsidR="00A02FE8">
        <w:t xml:space="preserve"> </w:t>
      </w:r>
    </w:p>
    <w:p w:rsidR="00645A9B" w:rsidP="00531240" w:rsidRDefault="00645A9B">
      <w:pPr>
        <w:spacing w:line="276" w:lineRule="auto"/>
      </w:pPr>
    </w:p>
    <w:p w:rsidRPr="000A7AC2" w:rsidR="00CC1C71" w:rsidP="00531240" w:rsidRDefault="000A7AC2">
      <w:pPr>
        <w:spacing w:line="276" w:lineRule="auto"/>
        <w:rPr>
          <w:b/>
        </w:rPr>
      </w:pPr>
      <w:r w:rsidRPr="000A7AC2">
        <w:rPr>
          <w:b/>
        </w:rPr>
        <w:t xml:space="preserve">Verslag gesprekken </w:t>
      </w:r>
    </w:p>
    <w:p w:rsidR="000A7AC2" w:rsidP="00531240" w:rsidRDefault="000A7AC2">
      <w:pPr>
        <w:spacing w:line="276" w:lineRule="auto"/>
      </w:pPr>
    </w:p>
    <w:p w:rsidR="00A02FE8" w:rsidP="00531240" w:rsidRDefault="000A7AC2">
      <w:pPr>
        <w:spacing w:line="276" w:lineRule="auto"/>
      </w:pPr>
      <w:r>
        <w:t xml:space="preserve">Bezoek aan </w:t>
      </w:r>
      <w:r w:rsidRPr="00A17876">
        <w:rPr>
          <w:b/>
        </w:rPr>
        <w:t>Directoraat-generaal Environment</w:t>
      </w:r>
      <w:r>
        <w:t xml:space="preserve"> </w:t>
      </w:r>
      <w:r w:rsidR="00861152">
        <w:t xml:space="preserve">(Els de Roeck en Bettina Doeser van de waterdirectie) </w:t>
      </w:r>
      <w:r>
        <w:t xml:space="preserve">met als invalshoek de aangekondigde  voorstellen over drinkwaterherziening en waterhergebruik (beide </w:t>
      </w:r>
      <w:r w:rsidR="00A02FE8">
        <w:t xml:space="preserve">zijn </w:t>
      </w:r>
      <w:r>
        <w:t>onderdeel van het Circulaire-economiepakket in het Werkprogramma</w:t>
      </w:r>
      <w:r w:rsidR="00A02FE8">
        <w:t xml:space="preserve"> van de </w:t>
      </w:r>
      <w:r w:rsidRPr="00A02FE8" w:rsidR="00A02FE8">
        <w:t>Commissie</w:t>
      </w:r>
      <w:r>
        <w:t xml:space="preserve"> voor 2017). </w:t>
      </w:r>
      <w:r w:rsidR="00CA43B3">
        <w:t xml:space="preserve">De herziening van de </w:t>
      </w:r>
      <w:r w:rsidRPr="00861152" w:rsidR="00CA43B3">
        <w:rPr>
          <w:u w:val="single"/>
        </w:rPr>
        <w:t>drinkwaterrichtlijn</w:t>
      </w:r>
      <w:r w:rsidR="00CA43B3">
        <w:t xml:space="preserve"> is gebaseerd op een evaluatie van de </w:t>
      </w:r>
      <w:hyperlink w:history="1" r:id="rId13">
        <w:r w:rsidRPr="004C5911" w:rsidR="00CA43B3">
          <w:rPr>
            <w:rStyle w:val="Hyperlink"/>
          </w:rPr>
          <w:t>huidige richtlijn</w:t>
        </w:r>
      </w:hyperlink>
      <w:r w:rsidR="00CA43B3">
        <w:t xml:space="preserve"> en een </w:t>
      </w:r>
      <w:hyperlink w:history="1" r:id="rId14">
        <w:r w:rsidRPr="004C5911" w:rsidR="00CA43B3">
          <w:rPr>
            <w:rStyle w:val="Hyperlink"/>
          </w:rPr>
          <w:t>consultatie van burgers over drinkwater</w:t>
        </w:r>
      </w:hyperlink>
      <w:r w:rsidR="00CA43B3">
        <w:t>. De</w:t>
      </w:r>
      <w:r w:rsidR="00A02FE8">
        <w:t xml:space="preserve"> uitkomst van de </w:t>
      </w:r>
      <w:r w:rsidR="00CA43B3">
        <w:t xml:space="preserve">consultatie </w:t>
      </w:r>
      <w:r w:rsidR="00A02FE8">
        <w:t xml:space="preserve">is </w:t>
      </w:r>
      <w:r w:rsidR="00CA43B3">
        <w:t xml:space="preserve">dat burgers </w:t>
      </w:r>
      <w:r w:rsidR="00A02FE8">
        <w:t xml:space="preserve">in algemene zin zeer </w:t>
      </w:r>
      <w:r w:rsidR="00CA43B3">
        <w:t xml:space="preserve">gerust zijn over de kwaliteit van drinkwater in eigen land maar zich zorgen maken over </w:t>
      </w:r>
      <w:r w:rsidR="00A02FE8">
        <w:t xml:space="preserve">de drinkwaterkwaliteit in </w:t>
      </w:r>
      <w:r w:rsidR="00CA43B3">
        <w:t xml:space="preserve">andere landen; en dat ze het water betaalbaar vinden maar angst hebben voor privatisering, en daarmee </w:t>
      </w:r>
      <w:r w:rsidR="00A02FE8">
        <w:t xml:space="preserve">mogelijk gepaard gaande </w:t>
      </w:r>
      <w:r w:rsidR="00CA43B3">
        <w:t xml:space="preserve">hogere kosten en slecht toezicht. De evaluatie van de richtlijn heeft uitgewezen </w:t>
      </w:r>
      <w:r w:rsidR="00CA43B3">
        <w:lastRenderedPageBreak/>
        <w:t xml:space="preserve">dat </w:t>
      </w:r>
      <w:r w:rsidR="00A02FE8">
        <w:t>deze</w:t>
      </w:r>
      <w:r w:rsidR="00CA43B3">
        <w:t xml:space="preserve"> in grote lijnen goed werkt, maar dat er nog een </w:t>
      </w:r>
      <w:r w:rsidR="00861152">
        <w:t>aan</w:t>
      </w:r>
      <w:r w:rsidR="00CA43B3">
        <w:t xml:space="preserve">tal verbeterpunten </w:t>
      </w:r>
      <w:r w:rsidR="00A02FE8">
        <w:t>zijn</w:t>
      </w:r>
      <w:r w:rsidR="00CA43B3">
        <w:t>. Op basis hiervan werkt de Commissie aan</w:t>
      </w:r>
      <w:r w:rsidR="00A02FE8">
        <w:t>:</w:t>
      </w:r>
      <w:r w:rsidR="00CA43B3">
        <w:t xml:space="preserve"> </w:t>
      </w:r>
    </w:p>
    <w:p w:rsidR="00A02FE8" w:rsidP="004C5911" w:rsidRDefault="00CA43B3">
      <w:pPr>
        <w:pStyle w:val="Lijstalinea"/>
        <w:numPr>
          <w:ilvl w:val="0"/>
          <w:numId w:val="4"/>
        </w:numPr>
        <w:spacing w:line="276" w:lineRule="auto"/>
      </w:pPr>
      <w:r>
        <w:t xml:space="preserve">verbetering </w:t>
      </w:r>
      <w:r w:rsidR="00A02FE8">
        <w:t xml:space="preserve">van de </w:t>
      </w:r>
      <w:r>
        <w:t xml:space="preserve">informatievoorziening aan </w:t>
      </w:r>
      <w:r w:rsidR="00A02FE8">
        <w:t xml:space="preserve">de </w:t>
      </w:r>
      <w:r>
        <w:t xml:space="preserve">consument over verbruik; waterverstrekker; prijsopbouw en kwaliteit. </w:t>
      </w:r>
    </w:p>
    <w:p w:rsidR="00A02FE8" w:rsidP="004C5911" w:rsidRDefault="00CA43B3">
      <w:pPr>
        <w:pStyle w:val="Lijstalinea"/>
        <w:numPr>
          <w:ilvl w:val="0"/>
          <w:numId w:val="4"/>
        </w:numPr>
        <w:spacing w:line="276" w:lineRule="auto"/>
      </w:pPr>
      <w:r>
        <w:t xml:space="preserve">parameters in het water: zijn normen nog adequaat, op welke punten kun je het best meten? </w:t>
      </w:r>
    </w:p>
    <w:p w:rsidR="00A02FE8" w:rsidP="004C5911" w:rsidRDefault="00861152">
      <w:pPr>
        <w:pStyle w:val="Lijstalinea"/>
        <w:numPr>
          <w:ilvl w:val="0"/>
          <w:numId w:val="4"/>
        </w:numPr>
        <w:spacing w:line="276" w:lineRule="auto"/>
      </w:pPr>
      <w:r>
        <w:t xml:space="preserve">risicogebaseerd toezicht: in plaats van het monitoren van alle parameters in detail (kostbaar en inefficiënt), kan worden volstaan met het meten van relevante parameters op belangrijke plekken (bij de tap); </w:t>
      </w:r>
    </w:p>
    <w:p w:rsidR="00861152" w:rsidP="004C5911" w:rsidRDefault="00861152">
      <w:pPr>
        <w:pStyle w:val="Lijstalinea"/>
        <w:numPr>
          <w:ilvl w:val="0"/>
          <w:numId w:val="4"/>
        </w:numPr>
        <w:spacing w:line="276" w:lineRule="auto"/>
      </w:pPr>
      <w:r>
        <w:t xml:space="preserve">materialen in contact met drinkwater: de huidige richtlijn is niet duidelijk over eisen aan materialen in contact met drinkwater (pijpleidingen e.d.) waardoor een grote diversiteit van normen in Lidstaten is ontstaan, die leidt tot verstoring interne markt (typen buizen of ‘ellebogen’ die </w:t>
      </w:r>
      <w:r w:rsidRPr="00A02FE8">
        <w:t>b</w:t>
      </w:r>
      <w:r w:rsidRPr="00A02FE8" w:rsidR="00A02FE8">
        <w:t xml:space="preserve">ijvoorbeeld </w:t>
      </w:r>
      <w:r>
        <w:t xml:space="preserve">in NL zijn goedgekeurd, mogen niet verhandeld worden in bepaalde andere </w:t>
      </w:r>
      <w:r w:rsidR="00A02FE8">
        <w:t>Lidstaten</w:t>
      </w:r>
      <w:r>
        <w:t>). Voor deze onderwerpen worden nu meerdere scenario’s in een impact</w:t>
      </w:r>
      <w:r w:rsidR="004C5911">
        <w:t xml:space="preserve"> </w:t>
      </w:r>
      <w:r>
        <w:t xml:space="preserve">assessment onderzocht, dit zal leiden tot een nieuw voorstel tegen het eind van 2017. </w:t>
      </w:r>
    </w:p>
    <w:p w:rsidR="00861152" w:rsidP="00531240" w:rsidRDefault="007E099A">
      <w:pPr>
        <w:spacing w:line="276" w:lineRule="auto"/>
      </w:pPr>
      <w:r>
        <w:t xml:space="preserve">Een commissievoorstel voor </w:t>
      </w:r>
      <w:r>
        <w:rPr>
          <w:u w:val="single"/>
        </w:rPr>
        <w:t>w</w:t>
      </w:r>
      <w:r w:rsidRPr="00861152" w:rsidR="00861152">
        <w:rPr>
          <w:u w:val="single"/>
        </w:rPr>
        <w:t>at</w:t>
      </w:r>
      <w:r>
        <w:rPr>
          <w:u w:val="single"/>
        </w:rPr>
        <w:t xml:space="preserve">erhergebruik </w:t>
      </w:r>
      <w:r w:rsidRPr="007E099A">
        <w:t>is eveneens</w:t>
      </w:r>
      <w:r>
        <w:t xml:space="preserve"> voorzien in december 2017</w:t>
      </w:r>
      <w:r w:rsidR="00A17876">
        <w:t xml:space="preserve"> (de Commissie gaat nu een impactassessment starten)</w:t>
      </w:r>
      <w:r>
        <w:t xml:space="preserve">. </w:t>
      </w:r>
    </w:p>
    <w:p w:rsidR="007E099A" w:rsidP="00531240" w:rsidRDefault="00A17876">
      <w:pPr>
        <w:spacing w:line="276" w:lineRule="auto"/>
      </w:pPr>
      <w:r>
        <w:t xml:space="preserve">Het voorstel zal zich vooral richten op gelijke normstelling binnen de EU voor water(hergebruik). Een aantal </w:t>
      </w:r>
      <w:r w:rsidR="00A02FE8">
        <w:t xml:space="preserve">Lidstaten </w:t>
      </w:r>
      <w:r>
        <w:t xml:space="preserve">hergebruikt al veel afvalwater </w:t>
      </w:r>
      <w:r w:rsidR="00A02FE8">
        <w:t>(</w:t>
      </w:r>
      <w:r>
        <w:t>met name in de landbouw</w:t>
      </w:r>
      <w:r w:rsidR="00A02FE8">
        <w:t>).</w:t>
      </w:r>
      <w:r>
        <w:t xml:space="preserve"> </w:t>
      </w:r>
      <w:r w:rsidR="00A02FE8">
        <w:t>H</w:t>
      </w:r>
      <w:r>
        <w:t xml:space="preserve">et is van belang dat er op wordt toegezien dat dit water voldoende schoon is (geen </w:t>
      </w:r>
      <w:r w:rsidR="00A02FE8">
        <w:t>‘</w:t>
      </w:r>
      <w:r>
        <w:t>verkeerde</w:t>
      </w:r>
      <w:r w:rsidR="00A02FE8">
        <w:t>’</w:t>
      </w:r>
      <w:r>
        <w:t xml:space="preserve"> bacteriën bevat)</w:t>
      </w:r>
      <w:r w:rsidR="00A02FE8">
        <w:t>.</w:t>
      </w:r>
      <w:r>
        <w:t xml:space="preserve"> </w:t>
      </w:r>
      <w:r w:rsidR="00A02FE8">
        <w:t>H</w:t>
      </w:r>
      <w:r>
        <w:t xml:space="preserve">et is dus vooral een gezondheidsissue. Het voorstel zal met name zien op specifiek hergebruik: gebruik in de landbouw en hergebruik van water in waterlichamen (bv in geval van droogte). Industrieel gebruik is al geregeld in de </w:t>
      </w:r>
      <w:hyperlink w:history="1" r:id="rId15">
        <w:r w:rsidRPr="003F5B25">
          <w:rPr>
            <w:rStyle w:val="Hyperlink"/>
          </w:rPr>
          <w:t>Richtlijn industriële emissies</w:t>
        </w:r>
      </w:hyperlink>
      <w:r>
        <w:t xml:space="preserve">. De Commissie heeft niet het plan om via deze mededeling het hergebruik als zodanig te stimuleren, daartoe is in de </w:t>
      </w:r>
      <w:hyperlink w:history="1" r:id="rId16">
        <w:r w:rsidRPr="003F5B25">
          <w:rPr>
            <w:rStyle w:val="Hyperlink"/>
          </w:rPr>
          <w:t>Kaderrichtlijn water</w:t>
        </w:r>
      </w:hyperlink>
      <w:r w:rsidR="00A02FE8">
        <w:t xml:space="preserve"> </w:t>
      </w:r>
      <w:r>
        <w:t xml:space="preserve"> al voorzien. </w:t>
      </w:r>
    </w:p>
    <w:p w:rsidR="00A17876" w:rsidP="00531240" w:rsidRDefault="00A17876">
      <w:pPr>
        <w:spacing w:line="276" w:lineRule="auto"/>
      </w:pPr>
      <w:r>
        <w:t xml:space="preserve">Desgevraagd </w:t>
      </w:r>
      <w:r w:rsidR="00A02FE8">
        <w:t>werd verteld</w:t>
      </w:r>
      <w:r>
        <w:t xml:space="preserve"> dat binnenkort een roadmap </w:t>
      </w:r>
      <w:r w:rsidR="00A02FE8">
        <w:t xml:space="preserve">zal verschijnen </w:t>
      </w:r>
      <w:r>
        <w:t xml:space="preserve">over </w:t>
      </w:r>
      <w:r w:rsidRPr="00A17876" w:rsidR="00A02FE8">
        <w:rPr>
          <w:u w:val="single"/>
        </w:rPr>
        <w:t>medicijn</w:t>
      </w:r>
      <w:r w:rsidR="00A02FE8">
        <w:rPr>
          <w:u w:val="single"/>
        </w:rPr>
        <w:t>resten</w:t>
      </w:r>
      <w:r w:rsidRPr="00A17876" w:rsidR="00A02FE8">
        <w:rPr>
          <w:u w:val="single"/>
        </w:rPr>
        <w:t xml:space="preserve"> </w:t>
      </w:r>
      <w:r w:rsidRPr="00A17876">
        <w:rPr>
          <w:u w:val="single"/>
        </w:rPr>
        <w:t>in water</w:t>
      </w:r>
      <w:r>
        <w:t xml:space="preserve">. Over de inhoud hiervan kon </w:t>
      </w:r>
      <w:r w:rsidR="00A02FE8">
        <w:t xml:space="preserve">op dit moment </w:t>
      </w:r>
      <w:r>
        <w:t xml:space="preserve">nog niets worden meegedeeld. </w:t>
      </w:r>
    </w:p>
    <w:p w:rsidR="00A17876" w:rsidP="00531240" w:rsidRDefault="00A17876">
      <w:pPr>
        <w:spacing w:line="276" w:lineRule="auto"/>
      </w:pPr>
    </w:p>
    <w:p w:rsidR="00541585" w:rsidP="00531240" w:rsidRDefault="000A7AC2">
      <w:pPr>
        <w:spacing w:line="276" w:lineRule="auto"/>
      </w:pPr>
      <w:r>
        <w:t xml:space="preserve">Daarvoor en daarna </w:t>
      </w:r>
      <w:r w:rsidRPr="00C3572A">
        <w:rPr>
          <w:u w:val="single"/>
        </w:rPr>
        <w:t>briefing door de PV EU</w:t>
      </w:r>
      <w:r>
        <w:t xml:space="preserve"> (</w:t>
      </w:r>
      <w:r w:rsidR="00F3735C">
        <w:t xml:space="preserve">Ruben Dekker en Hagar Ligtvoet) over stand van zaken en achtergronden van </w:t>
      </w:r>
      <w:r w:rsidR="00C3572A">
        <w:t>de water</w:t>
      </w:r>
      <w:r w:rsidR="00F3735C">
        <w:t>vo</w:t>
      </w:r>
      <w:r w:rsidR="00A17876">
        <w:t xml:space="preserve">orstellen, afvalrichtlijnen, ecodesign </w:t>
      </w:r>
      <w:r w:rsidR="00C3572A">
        <w:t>en het vervolg op het pakket Circulaire economie (</w:t>
      </w:r>
      <w:hyperlink w:history="1" r:id="rId17">
        <w:r w:rsidRPr="003F5B25" w:rsidR="00C3572A">
          <w:rPr>
            <w:rStyle w:val="Hyperlink"/>
          </w:rPr>
          <w:t>mededeling over monitoring van het CE-actieplan</w:t>
        </w:r>
      </w:hyperlink>
      <w:r w:rsidR="00C3572A">
        <w:t xml:space="preserve">; mededeling </w:t>
      </w:r>
      <w:hyperlink w:history="1" r:id="rId18">
        <w:r w:rsidR="003F5B25">
          <w:rPr>
            <w:rStyle w:val="Hyperlink"/>
          </w:rPr>
          <w:t>Waste-to-</w:t>
        </w:r>
        <w:r w:rsidRPr="003F5B25" w:rsidR="00C3572A">
          <w:rPr>
            <w:rStyle w:val="Hyperlink"/>
          </w:rPr>
          <w:t>energy</w:t>
        </w:r>
      </w:hyperlink>
      <w:r w:rsidR="00C3572A">
        <w:t>)</w:t>
      </w:r>
      <w:r w:rsidR="00541585">
        <w:t>. Waste</w:t>
      </w:r>
      <w:r w:rsidR="003F5B25">
        <w:t>-</w:t>
      </w:r>
      <w:r w:rsidR="00541585">
        <w:t>to</w:t>
      </w:r>
      <w:r w:rsidR="003F5B25">
        <w:t>-</w:t>
      </w:r>
      <w:r w:rsidR="00541585">
        <w:t xml:space="preserve">energy is interessant omdat het een </w:t>
      </w:r>
      <w:r w:rsidR="003F5B25">
        <w:t xml:space="preserve">‘ladder’ </w:t>
      </w:r>
      <w:r w:rsidR="00541585">
        <w:t xml:space="preserve">binnen de al bestaande afvalhiërarchie aanbrengt voor verschillende </w:t>
      </w:r>
      <w:r w:rsidR="00541585">
        <w:lastRenderedPageBreak/>
        <w:t>manieren van verbranding ( ‘anaerobic digestion of biodegradable waste’ die als een vorm van recycling beschouwd kan worden; verbranding</w:t>
      </w:r>
      <w:r w:rsidR="00C3572A">
        <w:t xml:space="preserve"> </w:t>
      </w:r>
      <w:r w:rsidR="00541585">
        <w:t xml:space="preserve">met hoge of lage energieterugwinning, die weer iets lager in de pikorde staan, etc.). </w:t>
      </w:r>
    </w:p>
    <w:p w:rsidR="00F3735C" w:rsidP="00531240" w:rsidRDefault="00F3735C">
      <w:pPr>
        <w:spacing w:line="276" w:lineRule="auto"/>
      </w:pPr>
    </w:p>
    <w:p w:rsidR="00A02FE8" w:rsidP="00531240" w:rsidRDefault="00541585">
      <w:pPr>
        <w:spacing w:line="276" w:lineRule="auto"/>
      </w:pPr>
      <w:r>
        <w:t>In de middag vi</w:t>
      </w:r>
      <w:r w:rsidR="00F3735C">
        <w:t>nd</w:t>
      </w:r>
      <w:r>
        <w:t>t</w:t>
      </w:r>
      <w:r w:rsidR="00F3735C">
        <w:t xml:space="preserve"> een gesprek plaats met Robert Schröder van </w:t>
      </w:r>
      <w:r w:rsidRPr="00E52434" w:rsidR="00F3735C">
        <w:rPr>
          <w:u w:val="single"/>
        </w:rPr>
        <w:t>het kabinet Moedas (research</w:t>
      </w:r>
      <w:r w:rsidRPr="00E52434" w:rsidR="00116712">
        <w:rPr>
          <w:u w:val="single"/>
        </w:rPr>
        <w:t>, science</w:t>
      </w:r>
      <w:r w:rsidRPr="00E52434" w:rsidR="00F3735C">
        <w:rPr>
          <w:u w:val="single"/>
        </w:rPr>
        <w:t xml:space="preserve"> &amp; </w:t>
      </w:r>
      <w:r w:rsidRPr="00E52434" w:rsidR="00116712">
        <w:rPr>
          <w:u w:val="single"/>
        </w:rPr>
        <w:t>innovation</w:t>
      </w:r>
      <w:r w:rsidRPr="00E52434" w:rsidR="00F3735C">
        <w:rPr>
          <w:u w:val="single"/>
        </w:rPr>
        <w:t>)</w:t>
      </w:r>
      <w:r w:rsidR="00F3735C">
        <w:t xml:space="preserve">, met name gericht op de </w:t>
      </w:r>
      <w:r w:rsidRPr="00C3572A" w:rsidR="00F3735C">
        <w:rPr>
          <w:u w:val="single"/>
        </w:rPr>
        <w:t>f</w:t>
      </w:r>
      <w:r w:rsidR="00E52434">
        <w:rPr>
          <w:u w:val="single"/>
        </w:rPr>
        <w:t>inanciering</w:t>
      </w:r>
      <w:r w:rsidRPr="003F5B25" w:rsidR="00E52434">
        <w:t xml:space="preserve"> </w:t>
      </w:r>
      <w:r w:rsidR="00F3735C">
        <w:t>van de Circulaire economie</w:t>
      </w:r>
      <w:r w:rsidR="00C3572A">
        <w:t xml:space="preserve"> en op </w:t>
      </w:r>
      <w:r w:rsidRPr="00C3572A" w:rsidR="00C3572A">
        <w:rPr>
          <w:u w:val="single"/>
        </w:rPr>
        <w:t>innovatiemogelijkheden</w:t>
      </w:r>
      <w:r w:rsidR="00C3572A">
        <w:t xml:space="preserve">. </w:t>
      </w:r>
      <w:r w:rsidR="00370E62">
        <w:t xml:space="preserve">Kabinet Moedas focust op </w:t>
      </w:r>
      <w:r w:rsidR="00A02FE8">
        <w:rPr>
          <w:u w:val="single"/>
        </w:rPr>
        <w:t>drie</w:t>
      </w:r>
      <w:r w:rsidRPr="000C21E0" w:rsidR="00A02FE8">
        <w:rPr>
          <w:u w:val="single"/>
        </w:rPr>
        <w:t xml:space="preserve">  </w:t>
      </w:r>
      <w:r w:rsidRPr="000C21E0" w:rsidR="00370E62">
        <w:rPr>
          <w:u w:val="single"/>
        </w:rPr>
        <w:t>hoofdzaken</w:t>
      </w:r>
      <w:r w:rsidR="00370E62">
        <w:t xml:space="preserve">: </w:t>
      </w:r>
    </w:p>
    <w:p w:rsidR="00A02FE8" w:rsidP="003F5B25" w:rsidRDefault="00370E62">
      <w:pPr>
        <w:pStyle w:val="Lijstalinea"/>
        <w:numPr>
          <w:ilvl w:val="0"/>
          <w:numId w:val="6"/>
        </w:numPr>
        <w:spacing w:line="276" w:lineRule="auto"/>
      </w:pPr>
      <w:r w:rsidRPr="00A02FE8">
        <w:rPr>
          <w:i/>
        </w:rPr>
        <w:t>Horizon 2020</w:t>
      </w:r>
      <w:r>
        <w:t xml:space="preserve"> – er zijn calls gedaan en inmiddels is de Commissie toe aan toekenning van enkele projecten. Dit zijn vooral samenwerkingsprojecten gericht op demonstraties CE-innovaties. De Commissie zorgt dan voor cofinanciering van 50 – 70%. Dit jaar ligt de focus hierbij op watersystemen en blauwdrukken voor smart specialisation om innovatie te stimuleren.</w:t>
      </w:r>
      <w:r w:rsidR="00823788">
        <w:t xml:space="preserve"> Samenwerking tussen regio’s en lidstaten is een element voor de financiering. Betrokkenheid MKB’s is geen harde eis (maar gebeurt wel in de praktijk). De volgende periode voor calls loopt van 2018 – 2020, de laatste 3 jaar van het programma – er is dan overall 30 mrd beschikbaar, en de Commissie is op dit moment bezig prioriteiten en focus op te stellen; wel is al besloten dat Circulaire economie terugkomt als ‘horizontale prioriteit’. </w:t>
      </w:r>
    </w:p>
    <w:p w:rsidR="009F484A" w:rsidP="003F5B25" w:rsidRDefault="00A02FE8">
      <w:pPr>
        <w:pStyle w:val="Lijstalinea"/>
        <w:numPr>
          <w:ilvl w:val="0"/>
          <w:numId w:val="6"/>
        </w:numPr>
        <w:spacing w:line="276" w:lineRule="auto"/>
      </w:pPr>
      <w:r>
        <w:rPr>
          <w:i/>
        </w:rPr>
        <w:t>I</w:t>
      </w:r>
      <w:r w:rsidRPr="00A02FE8" w:rsidR="00823788">
        <w:rPr>
          <w:i/>
        </w:rPr>
        <w:t>nnovation deals</w:t>
      </w:r>
      <w:r w:rsidR="00823788">
        <w:t xml:space="preserve"> (gebaseerd op de Nederlandse green deal-aanpak): </w:t>
      </w:r>
      <w:r w:rsidR="0069672B">
        <w:t xml:space="preserve">dg Research &amp; Development is bezig met een pilot en afgelopen zomer is een call geopend waarop 32 reacties, </w:t>
      </w:r>
      <w:r>
        <w:t xml:space="preserve">twee </w:t>
      </w:r>
      <w:r w:rsidR="0069672B">
        <w:t xml:space="preserve">ervan (deels) uit Nederland – deze gaan over batterijen </w:t>
      </w:r>
      <w:r>
        <w:t>van elektrische</w:t>
      </w:r>
      <w:r w:rsidR="0069672B">
        <w:t xml:space="preserve"> auto’s en terugwinnen grondstoffen uit afvalwater via anaerobic digestion. Op dit moment is </w:t>
      </w:r>
      <w:r w:rsidR="00541585">
        <w:t xml:space="preserve">de </w:t>
      </w:r>
      <w:r w:rsidR="0069672B">
        <w:t xml:space="preserve">Commissie in </w:t>
      </w:r>
      <w:r w:rsidR="00541585">
        <w:t xml:space="preserve">de </w:t>
      </w:r>
      <w:r w:rsidR="0069672B">
        <w:t xml:space="preserve">laatste fase van onderhandeling met de consortia. </w:t>
      </w:r>
      <w:r w:rsidR="00E52434">
        <w:t xml:space="preserve">Als projecten wel aan de criteria voldoen maar toch niet uitverkoren worden wegens beperkte hoeveelheid geld versus aantal aanmeldingen, krijgen zij een ‘seal of excellence’ waarmee zij een grotere kans maken op financiering vanuit andere (cohesie)fondsen. </w:t>
      </w:r>
      <w:r w:rsidR="003F5B25">
        <w:t xml:space="preserve"> </w:t>
      </w:r>
      <w:r w:rsidR="0069672B">
        <w:t xml:space="preserve">Veel projecten die zich aanmeldden bij de call </w:t>
      </w:r>
      <w:r>
        <w:t xml:space="preserve">zijn </w:t>
      </w:r>
      <w:r w:rsidR="0069672B">
        <w:t xml:space="preserve">gericht op wetgeving in ontwikkeling, terwijl de Commissie het juist van belang vond om te horen waar bestaande wetgeving in de weg staat, om te kijken of, waar en hoe die moet worden aangepast. Gevraagd naar experimenteerregelgeving gaf de Commissie aan dat </w:t>
      </w:r>
      <w:r>
        <w:t xml:space="preserve">het </w:t>
      </w:r>
      <w:r w:rsidR="0069672B">
        <w:t xml:space="preserve">eerder de bedoeling is </w:t>
      </w:r>
      <w:r w:rsidR="0053268F">
        <w:t>om</w:t>
      </w:r>
      <w:r w:rsidR="003F5B25">
        <w:t xml:space="preserve"> -</w:t>
      </w:r>
      <w:r w:rsidR="0053268F">
        <w:t xml:space="preserve"> </w:t>
      </w:r>
      <w:r w:rsidR="0069672B">
        <w:t>zoals Nederland bij de green deals</w:t>
      </w:r>
      <w:r w:rsidR="0053268F">
        <w:t xml:space="preserve"> doet</w:t>
      </w:r>
      <w:r w:rsidR="0069672B">
        <w:t xml:space="preserve"> </w:t>
      </w:r>
      <w:r w:rsidR="003F5B25">
        <w:t xml:space="preserve">- </w:t>
      </w:r>
      <w:r w:rsidR="0069672B">
        <w:t xml:space="preserve">te kijken waar ruimte </w:t>
      </w:r>
      <w:r w:rsidR="0053268F">
        <w:t>en</w:t>
      </w:r>
      <w:r w:rsidR="0069672B">
        <w:t>/</w:t>
      </w:r>
      <w:r w:rsidR="0053268F">
        <w:t>of</w:t>
      </w:r>
      <w:r w:rsidR="0069672B">
        <w:t xml:space="preserve"> flexibiliteit zit in bestaande regelgeving</w:t>
      </w:r>
      <w:r w:rsidR="0053268F">
        <w:t>,</w:t>
      </w:r>
      <w:r w:rsidR="0069672B">
        <w:t xml:space="preserve"> terwijl bij nieuwe of herziening van bestaande wetgeving de relatie met innovatie standaard een aandachtspunt is voor het maken van regels. Gekeken wordt dan naar instrumenten als doelregelgeving of </w:t>
      </w:r>
      <w:r w:rsidR="00116712">
        <w:t xml:space="preserve">dynamische </w:t>
      </w:r>
      <w:r w:rsidR="0069672B">
        <w:t>normstelling</w:t>
      </w:r>
      <w:r w:rsidR="00116712">
        <w:t xml:space="preserve">. DG research, science &amp; innovation ondersteunt andere </w:t>
      </w:r>
      <w:r w:rsidR="00116712">
        <w:lastRenderedPageBreak/>
        <w:t xml:space="preserve">directoraten-generaal hierbij. Succes van de </w:t>
      </w:r>
      <w:r w:rsidR="009F484A">
        <w:t>I</w:t>
      </w:r>
      <w:r w:rsidR="00116712">
        <w:t xml:space="preserve">nnovationdeals is dat het nu een geaccepteerd begrip is en dat dit, en de circulaire economie en resource efficiency steeds meer </w:t>
      </w:r>
      <w:r w:rsidR="003F5B25">
        <w:t xml:space="preserve">geïntegreerd </w:t>
      </w:r>
      <w:r w:rsidR="00116712">
        <w:t>is en wordt</w:t>
      </w:r>
      <w:r w:rsidR="003F5B25">
        <w:t xml:space="preserve"> binnen ander beleid</w:t>
      </w:r>
      <w:r w:rsidR="00116712">
        <w:t xml:space="preserve">, ook bij multinationals i.v.m. kostendrukkend effect en concurrerende bedrijfsstrategie. </w:t>
      </w:r>
    </w:p>
    <w:p w:rsidRPr="003F5B25" w:rsidR="00E52434" w:rsidP="00531240" w:rsidRDefault="00116712">
      <w:pPr>
        <w:pStyle w:val="Lijstalinea"/>
        <w:numPr>
          <w:ilvl w:val="0"/>
          <w:numId w:val="8"/>
        </w:numPr>
        <w:spacing w:line="276" w:lineRule="auto"/>
        <w:rPr>
          <w:color w:val="191919"/>
        </w:rPr>
      </w:pPr>
      <w:r w:rsidRPr="009F484A">
        <w:rPr>
          <w:i/>
        </w:rPr>
        <w:t>financiering</w:t>
      </w:r>
      <w:r>
        <w:t xml:space="preserve"> van Circulaire economie</w:t>
      </w:r>
      <w:r w:rsidR="00E52434">
        <w:t xml:space="preserve">. Commissie heeft samen met de Europese Investeringsbank, financiële organisaties en bedrijven een Finance platform opgericht om beter bewustzijn te creëren voor het financieren van CE-projecten zodat innovaties op dit vlak meer financiers aantrekken. </w:t>
      </w:r>
      <w:r w:rsidRPr="009F484A" w:rsidR="00E52434">
        <w:rPr>
          <w:color w:val="191919"/>
        </w:rPr>
        <w:t xml:space="preserve">Circulaire economie wordt nu vaak als een te onduidelijk concept beschouwd in de investeringswereld (80% van het bedrijfsleven worstelt </w:t>
      </w:r>
      <w:r w:rsidR="009F484A">
        <w:rPr>
          <w:color w:val="191919"/>
        </w:rPr>
        <w:t xml:space="preserve">volgens de Commissie </w:t>
      </w:r>
      <w:r w:rsidRPr="009F484A" w:rsidR="00E52434">
        <w:rPr>
          <w:color w:val="191919"/>
        </w:rPr>
        <w:t>met de definitie). Met dit platform moet meer duidelijkheid worden geregeld</w:t>
      </w:r>
      <w:r w:rsidR="003F5B25">
        <w:rPr>
          <w:color w:val="191919"/>
        </w:rPr>
        <w:t xml:space="preserve"> en match tussen (financierings-)vraag en -aanbod</w:t>
      </w:r>
      <w:r w:rsidRPr="009F484A" w:rsidR="00E52434">
        <w:rPr>
          <w:color w:val="191919"/>
        </w:rPr>
        <w:t xml:space="preserve">. </w:t>
      </w:r>
      <w:r w:rsidR="003F5B25">
        <w:rPr>
          <w:color w:val="191919"/>
        </w:rPr>
        <w:br/>
      </w:r>
      <w:r w:rsidRPr="003F5B25" w:rsidR="00E52434">
        <w:rPr>
          <w:color w:val="191919"/>
        </w:rPr>
        <w:t>Daarnaast is</w:t>
      </w:r>
      <w:r w:rsidRPr="003F5B25" w:rsidR="00541585">
        <w:rPr>
          <w:color w:val="191919"/>
        </w:rPr>
        <w:t xml:space="preserve"> </w:t>
      </w:r>
      <w:r w:rsidRPr="003F5B25" w:rsidR="00E52434">
        <w:rPr>
          <w:color w:val="191919"/>
        </w:rPr>
        <w:t>– naast het bestaande Junckerfonds – het Innofin</w:t>
      </w:r>
      <w:r w:rsidR="003F5B25">
        <w:rPr>
          <w:color w:val="191919"/>
        </w:rPr>
        <w:t>-</w:t>
      </w:r>
      <w:r w:rsidRPr="003F5B25" w:rsidR="009F484A">
        <w:rPr>
          <w:color w:val="191919"/>
        </w:rPr>
        <w:t>fonds</w:t>
      </w:r>
      <w:r w:rsidRPr="003F5B25" w:rsidR="00E52434">
        <w:rPr>
          <w:color w:val="191919"/>
        </w:rPr>
        <w:t xml:space="preserve"> opgericht. Dit is een fonds à la het Junckerfonds maar dan met</w:t>
      </w:r>
      <w:r w:rsidRPr="003F5B25" w:rsidR="009F484A">
        <w:rPr>
          <w:color w:val="191919"/>
        </w:rPr>
        <w:t xml:space="preserve"> een</w:t>
      </w:r>
      <w:r w:rsidRPr="003F5B25" w:rsidR="00E52434">
        <w:rPr>
          <w:color w:val="191919"/>
        </w:rPr>
        <w:t xml:space="preserve"> specifieke focus op innovatie met </w:t>
      </w:r>
      <w:r w:rsidRPr="003F5B25" w:rsidR="00EF7199">
        <w:rPr>
          <w:color w:val="191919"/>
        </w:rPr>
        <w:t xml:space="preserve">hoog-risicoleningen: als het fout gaat dekt dit fonds de eerste risico’s. Het is niet specifiek bedoeld voor </w:t>
      </w:r>
      <w:r w:rsidRPr="003F5B25" w:rsidR="009F484A">
        <w:rPr>
          <w:color w:val="191919"/>
        </w:rPr>
        <w:t>CE</w:t>
      </w:r>
      <w:r w:rsidRPr="003F5B25" w:rsidR="00EF7199">
        <w:rPr>
          <w:color w:val="191919"/>
        </w:rPr>
        <w:t xml:space="preserve">, maar de criteria zijn er wel voor opgerekt om CE hieronder te laten vallen; daarnaast wordt gekeken of speciale </w:t>
      </w:r>
      <w:r w:rsidRPr="003F5B25" w:rsidR="009F484A">
        <w:rPr>
          <w:color w:val="191919"/>
        </w:rPr>
        <w:t xml:space="preserve">oormerking </w:t>
      </w:r>
      <w:r w:rsidRPr="003F5B25" w:rsidR="00EF7199">
        <w:rPr>
          <w:color w:val="191919"/>
        </w:rPr>
        <w:t xml:space="preserve">voor CE haalbaar is. </w:t>
      </w:r>
    </w:p>
    <w:p w:rsidRPr="00370E62" w:rsidR="00F3735C" w:rsidP="00531240" w:rsidRDefault="009F484A">
      <w:pPr>
        <w:spacing w:line="276" w:lineRule="auto"/>
        <w:rPr>
          <w:rFonts w:asciiTheme="majorHAnsi" w:hAnsiTheme="majorHAnsi"/>
        </w:rPr>
      </w:pPr>
      <w:r>
        <w:t xml:space="preserve">Op de keper beschouwd </w:t>
      </w:r>
      <w:r w:rsidR="00EF7199">
        <w:t xml:space="preserve">is de zorg en de aandacht vooral gericht op het meer verbreden (naar alle </w:t>
      </w:r>
      <w:r>
        <w:t>Lidstaten</w:t>
      </w:r>
      <w:r w:rsidR="00EF7199">
        <w:t xml:space="preserve">) van </w:t>
      </w:r>
      <w:r>
        <w:t>CE</w:t>
      </w:r>
      <w:r w:rsidR="00EF7199">
        <w:t xml:space="preserve">, en het meer </w:t>
      </w:r>
      <w:r w:rsidRPr="003F5B25" w:rsidR="00EF7199">
        <w:rPr>
          <w:i/>
        </w:rPr>
        <w:t>mainstreamen</w:t>
      </w:r>
      <w:r w:rsidR="00EF7199">
        <w:t xml:space="preserve"> ervan (dat wil zeggen: aansluiten bij bestaande modellen en strategieën in plaats van als een aparte milieu-actie te worden gezien). </w:t>
      </w:r>
      <w:r w:rsidR="00823788">
        <w:t xml:space="preserve"> </w:t>
      </w:r>
    </w:p>
    <w:p w:rsidR="00F3735C" w:rsidP="00531240" w:rsidRDefault="00F3735C">
      <w:pPr>
        <w:spacing w:line="276" w:lineRule="auto"/>
      </w:pPr>
    </w:p>
    <w:p w:rsidR="00996D71" w:rsidP="00531240" w:rsidRDefault="00F3735C">
      <w:pPr>
        <w:spacing w:line="276" w:lineRule="auto"/>
      </w:pPr>
      <w:r>
        <w:t xml:space="preserve">Een bezoek aan het </w:t>
      </w:r>
      <w:r w:rsidRPr="00996D71">
        <w:rPr>
          <w:u w:val="single"/>
        </w:rPr>
        <w:t>kabinet Timmermans</w:t>
      </w:r>
      <w:r>
        <w:t xml:space="preserve"> (Sarah Neelen, Liesbeth Koenen, Veronica Vecchio) </w:t>
      </w:r>
      <w:r w:rsidR="00541585">
        <w:t xml:space="preserve">geeft </w:t>
      </w:r>
      <w:r w:rsidR="00996D71">
        <w:t xml:space="preserve">meer inzicht in </w:t>
      </w:r>
      <w:r>
        <w:t>Ecodesign</w:t>
      </w:r>
      <w:r w:rsidR="00EF7199">
        <w:t>, plastics</w:t>
      </w:r>
      <w:r w:rsidR="009F484A">
        <w:t xml:space="preserve"> en</w:t>
      </w:r>
      <w:r w:rsidR="00EF7199">
        <w:t xml:space="preserve"> </w:t>
      </w:r>
      <w:r w:rsidR="00996D71">
        <w:t>afvalrichtlijn</w:t>
      </w:r>
      <w:r w:rsidR="001C6BDD">
        <w:t>en</w:t>
      </w:r>
      <w:r w:rsidR="00996D71">
        <w:t xml:space="preserve"> en </w:t>
      </w:r>
      <w:r w:rsidR="009F484A">
        <w:t xml:space="preserve">de </w:t>
      </w:r>
      <w:r w:rsidR="00996D71">
        <w:t>algemene aanpak</w:t>
      </w:r>
      <w:r w:rsidR="001C6BDD">
        <w:t xml:space="preserve"> van de Circulaire economie</w:t>
      </w:r>
      <w:r w:rsidR="00996D71">
        <w:t xml:space="preserve">. </w:t>
      </w:r>
    </w:p>
    <w:p w:rsidR="00996D71" w:rsidP="00531240" w:rsidRDefault="001C6BDD">
      <w:pPr>
        <w:spacing w:line="276" w:lineRule="auto"/>
      </w:pPr>
      <w:r>
        <w:t xml:space="preserve">Eind januari </w:t>
      </w:r>
      <w:r w:rsidR="00996D71">
        <w:t>is een rapportage van de Commissie verschenen over de uitvoering van he</w:t>
      </w:r>
      <w:r>
        <w:t>t Circulaire economie actieplan.</w:t>
      </w:r>
      <w:r w:rsidR="00996D71">
        <w:t xml:space="preserve"> Onder meer wordt aangegeven dat de plastics</w:t>
      </w:r>
      <w:r>
        <w:t>-</w:t>
      </w:r>
      <w:r w:rsidR="00996D71">
        <w:t>strategie</w:t>
      </w:r>
      <w:r w:rsidR="00EF7199">
        <w:t xml:space="preserve"> </w:t>
      </w:r>
      <w:r w:rsidR="00996D71">
        <w:t>eind 2017 verschijnt. De Commissie werkt nauw met de Nederlandse regering samen om dit vorm te geven</w:t>
      </w:r>
      <w:r>
        <w:t xml:space="preserve">. </w:t>
      </w:r>
      <w:r w:rsidR="00996D71">
        <w:t>De plastics strateg</w:t>
      </w:r>
      <w:r>
        <w:t>ie</w:t>
      </w:r>
      <w:r w:rsidR="00996D71">
        <w:t xml:space="preserve"> </w:t>
      </w:r>
      <w:r>
        <w:t xml:space="preserve">legt een link tussen EU- en mondiaal belang (plastic soup), </w:t>
      </w:r>
      <w:r w:rsidR="00996D71">
        <w:t xml:space="preserve">zal over de gehele keten van (productie/gebruik) plastics gaan en bevat maatregelen tegen microplastics. Er is een link met de </w:t>
      </w:r>
      <w:hyperlink w:history="1" r:id="rId19">
        <w:r w:rsidRPr="001C6BDD">
          <w:rPr>
            <w:rStyle w:val="Hyperlink"/>
          </w:rPr>
          <w:t xml:space="preserve">mededeling over internationale </w:t>
        </w:r>
        <w:r w:rsidRPr="001C6BDD" w:rsidR="00996D71">
          <w:rPr>
            <w:rStyle w:val="Hyperlink"/>
          </w:rPr>
          <w:t>Ocean Governance</w:t>
        </w:r>
      </w:hyperlink>
      <w:r w:rsidR="00996D71">
        <w:t xml:space="preserve"> mededeling die </w:t>
      </w:r>
      <w:r>
        <w:t xml:space="preserve">november </w:t>
      </w:r>
      <w:r w:rsidR="00996D71">
        <w:t>vorig jaar is uitgebracht</w:t>
      </w:r>
      <w:r>
        <w:t xml:space="preserve">, </w:t>
      </w:r>
      <w:r w:rsidR="00996D71">
        <w:t xml:space="preserve">en </w:t>
      </w:r>
      <w:r>
        <w:t xml:space="preserve">ook met </w:t>
      </w:r>
      <w:r w:rsidR="00996D71">
        <w:t xml:space="preserve">de </w:t>
      </w:r>
      <w:hyperlink w:history="1" r:id="rId20">
        <w:r w:rsidRPr="001C6BDD" w:rsidR="00996D71">
          <w:rPr>
            <w:rStyle w:val="Hyperlink"/>
          </w:rPr>
          <w:t>sustainable development goals</w:t>
        </w:r>
      </w:hyperlink>
      <w:r w:rsidR="00996D71">
        <w:t xml:space="preserve"> op het vlak van circulaire economie (</w:t>
      </w:r>
      <w:r>
        <w:t xml:space="preserve">sdg 12 over beheer van de oceanen, het </w:t>
      </w:r>
      <w:r w:rsidR="00996D71">
        <w:t xml:space="preserve">tegengaan </w:t>
      </w:r>
      <w:r>
        <w:t xml:space="preserve">van </w:t>
      </w:r>
      <w:r w:rsidR="00996D71">
        <w:t>plastic so</w:t>
      </w:r>
      <w:r>
        <w:t>u</w:t>
      </w:r>
      <w:r w:rsidR="00996D71">
        <w:t>p en</w:t>
      </w:r>
      <w:r>
        <w:t xml:space="preserve"> sdg 14 over verantwoorde productie en consumptie</w:t>
      </w:r>
      <w:r w:rsidR="00996D71">
        <w:t xml:space="preserve">). </w:t>
      </w:r>
    </w:p>
    <w:p w:rsidR="00F3735C" w:rsidP="00531240" w:rsidRDefault="00996D71">
      <w:pPr>
        <w:spacing w:line="276" w:lineRule="auto"/>
      </w:pPr>
      <w:r>
        <w:lastRenderedPageBreak/>
        <w:t xml:space="preserve">Verder  is een richtsnoer over de samenhang tussen chemische stoffen en </w:t>
      </w:r>
      <w:r w:rsidR="00541585">
        <w:t xml:space="preserve">producten </w:t>
      </w:r>
      <w:r>
        <w:t xml:space="preserve">/ </w:t>
      </w:r>
      <w:r w:rsidR="00541585">
        <w:t xml:space="preserve">afvalrichtlijnen </w:t>
      </w:r>
      <w:r>
        <w:t>op komst</w:t>
      </w:r>
      <w:r w:rsidR="003B2E62">
        <w:t>,</w:t>
      </w:r>
      <w:r>
        <w:t xml:space="preserve"> waarschijnlijk zal </w:t>
      </w:r>
      <w:r w:rsidR="003B2E62">
        <w:t xml:space="preserve">deze aan het </w:t>
      </w:r>
      <w:r>
        <w:t>eind</w:t>
      </w:r>
      <w:r w:rsidR="003B2E62">
        <w:t>e</w:t>
      </w:r>
      <w:r>
        <w:t xml:space="preserve"> van </w:t>
      </w:r>
      <w:r w:rsidR="003B2E62">
        <w:t>2017</w:t>
      </w:r>
      <w:r>
        <w:t xml:space="preserve"> verschijnen. </w:t>
      </w:r>
    </w:p>
    <w:p w:rsidR="00996D71" w:rsidP="00531240" w:rsidRDefault="00996D71">
      <w:pPr>
        <w:spacing w:line="276" w:lineRule="auto"/>
      </w:pPr>
      <w:r>
        <w:t xml:space="preserve">Over Ecodesign heeft de Commissie een </w:t>
      </w:r>
      <w:hyperlink w:history="1" r:id="rId21">
        <w:r w:rsidRPr="001C6BDD">
          <w:rPr>
            <w:rStyle w:val="Hyperlink"/>
          </w:rPr>
          <w:t>werkplan</w:t>
        </w:r>
      </w:hyperlink>
      <w:r>
        <w:t xml:space="preserve"> uitgebracht als onderdeel van het Winterpakket over energie. Dit omdat </w:t>
      </w:r>
      <w:r w:rsidR="003B2E62">
        <w:t xml:space="preserve">er in dit werkplan een belangrijke nadruk </w:t>
      </w:r>
      <w:r>
        <w:t xml:space="preserve">op energielabelling ligt </w:t>
      </w:r>
      <w:r w:rsidR="003B2E62">
        <w:t xml:space="preserve">met </w:t>
      </w:r>
      <w:r>
        <w:t xml:space="preserve">bijbehorende maatregelen. Het kabinet Timmermans wil zich </w:t>
      </w:r>
      <w:r w:rsidR="001C6BDD">
        <w:t xml:space="preserve">daarnaast ook gaan richten op het herzien van </w:t>
      </w:r>
      <w:hyperlink w:history="1" r:id="rId22">
        <w:r w:rsidRPr="001C6BDD" w:rsidR="001C6BDD">
          <w:rPr>
            <w:rStyle w:val="Hyperlink"/>
          </w:rPr>
          <w:t>al bestaande productspecificaties op grond van ecodesign</w:t>
        </w:r>
      </w:hyperlink>
      <w:r w:rsidR="001C6BDD">
        <w:t xml:space="preserve"> en dan juist meer focussen op </w:t>
      </w:r>
      <w:r>
        <w:t>repareerbaarheid</w:t>
      </w:r>
      <w:r w:rsidR="00950E90">
        <w:t>, grondstoffenefficiency</w:t>
      </w:r>
      <w:r>
        <w:t xml:space="preserve"> e.d.</w:t>
      </w:r>
      <w:r w:rsidR="001C6BDD">
        <w:t xml:space="preserve"> (dus acties die meer bij de circulaire economie-aanpak passen). </w:t>
      </w:r>
      <w:r>
        <w:t xml:space="preserve"> </w:t>
      </w:r>
      <w:r w:rsidR="00950E90">
        <w:t>Echt</w:t>
      </w:r>
      <w:r w:rsidR="003B2E62">
        <w:t>e</w:t>
      </w:r>
      <w:r w:rsidR="000F55BC">
        <w:t xml:space="preserve"> uitbreiding van het pakket E</w:t>
      </w:r>
      <w:r w:rsidR="00950E90">
        <w:t xml:space="preserve">codesign maatregelen met nieuwe producten (anders dan al in het Ecodesign werkplan van november jl. gemeld zijn) wil het kabinet Timmermans niet. </w:t>
      </w:r>
      <w:r w:rsidR="0058376E">
        <w:t xml:space="preserve">Er zijn al voldoende maatregelen voor voldoende productgroepen, vindt </w:t>
      </w:r>
      <w:r w:rsidR="000F55BC">
        <w:t>het kabinet</w:t>
      </w:r>
      <w:r w:rsidR="0058376E">
        <w:t xml:space="preserve">. </w:t>
      </w:r>
    </w:p>
    <w:p w:rsidR="00D14481" w:rsidP="00531240" w:rsidRDefault="0058376E">
      <w:pPr>
        <w:spacing w:line="276" w:lineRule="auto"/>
      </w:pPr>
      <w:r>
        <w:t>Kabinet T</w:t>
      </w:r>
      <w:r w:rsidR="00541585">
        <w:t>immermans</w:t>
      </w:r>
      <w:r>
        <w:t xml:space="preserve"> verwacht dat de uitkomst </w:t>
      </w:r>
      <w:r w:rsidR="00541585">
        <w:t xml:space="preserve">van de onderhandelingen over de afvalrichtlijnen tussen de standpunten van EP (ambitieus) en Raad (afzwakkend) in zal </w:t>
      </w:r>
      <w:r w:rsidR="003B2E62">
        <w:t>liggen</w:t>
      </w:r>
      <w:r>
        <w:t xml:space="preserve">, dus </w:t>
      </w:r>
      <w:r w:rsidR="000F55BC">
        <w:t xml:space="preserve">meer conform </w:t>
      </w:r>
      <w:r>
        <w:t xml:space="preserve">het oorspronkelijke Commissievoorstel. </w:t>
      </w:r>
      <w:r w:rsidR="00541585">
        <w:t xml:space="preserve">De </w:t>
      </w:r>
      <w:r>
        <w:t xml:space="preserve">Commissie hecht vooral belang aan betrouwbaarheid en meetbaarheid. Voor een aantal afvalaspecten is dit laatste heel moeilijk – dit was ook het verhaal van de PV EU: er wordt op allerlei manieren en via verschillende methodologieën gemeten en begrippen hebben in verschillende landen een verschillende invulling. Dit maakt dat het halen van doelen niet per definitie vergelijkbaar is tussen Lidstaten en bij een eenduidige methodologie zou de verhouding tussen Lidstaten mogelijk ook heel anders liggen. Als het gaat over de verschillende ‘niveaus’ in Lidstaten, denkt de Commissie dat een aantal Oost-Europese Lidstaten de sprong van storten naar circulair werken wel kan maken maar nog wat tijd nodig heeft. 2030 is dan haalbaar. Sommige ‘oudere’ Lidstaten zijn ook zorgenkindjes, bijv Zuid-Italië (terwijl het noorden het weer heel goed doet).  Het kabinet Timmermans ziet de rol van de Commissie als meer dan alleen regelgevend: ook het ondersteunen bij uitwisselen van best practices, de verplichting tot het maken van een </w:t>
      </w:r>
      <w:r w:rsidR="00A3732B">
        <w:t>afval</w:t>
      </w:r>
      <w:r w:rsidR="000F55BC">
        <w:t>beheers</w:t>
      </w:r>
      <w:r>
        <w:t xml:space="preserve">plan in de Lidstaten en het verspreiden van nieuwe technieken heeft de aandacht. </w:t>
      </w:r>
    </w:p>
    <w:p w:rsidR="0058376E" w:rsidP="00531240" w:rsidRDefault="00D14481">
      <w:pPr>
        <w:spacing w:line="276" w:lineRule="auto"/>
      </w:pPr>
      <w:r>
        <w:t xml:space="preserve">Werkgelegenheid als gevolg van Circulaire economie is niet een item waar de Commissie in stuurt, </w:t>
      </w:r>
      <w:r w:rsidR="00A3732B">
        <w:t>al</w:t>
      </w:r>
      <w:r>
        <w:t xml:space="preserve"> geeft </w:t>
      </w:r>
      <w:r w:rsidR="00A3732B">
        <w:t xml:space="preserve">zij </w:t>
      </w:r>
      <w:r>
        <w:t xml:space="preserve">wel aan wat </w:t>
      </w:r>
      <w:r w:rsidR="00A3732B">
        <w:t xml:space="preserve">de </w:t>
      </w:r>
      <w:r>
        <w:t xml:space="preserve">verwachtingen en statistieken zijn. Met behulp van het financieringsplatform (samen met </w:t>
      </w:r>
      <w:r w:rsidR="000F55BC">
        <w:t>de Europese Investeringsbank (</w:t>
      </w:r>
      <w:r>
        <w:t>EIB</w:t>
      </w:r>
      <w:r w:rsidR="000F55BC">
        <w:t>)</w:t>
      </w:r>
      <w:r>
        <w:t xml:space="preserve"> en andere actoren) wordt ook geprobeerd verder te stimuleren. </w:t>
      </w:r>
    </w:p>
    <w:p w:rsidR="00D14481" w:rsidP="00531240" w:rsidRDefault="00D14481">
      <w:pPr>
        <w:spacing w:line="276" w:lineRule="auto"/>
      </w:pPr>
      <w:r>
        <w:t xml:space="preserve">In maart </w:t>
      </w:r>
      <w:r w:rsidR="00A3732B">
        <w:t xml:space="preserve">2017 </w:t>
      </w:r>
      <w:r>
        <w:t>zal een stakeholder</w:t>
      </w:r>
      <w:r w:rsidR="000F55BC">
        <w:t xml:space="preserve"> dialoog</w:t>
      </w:r>
      <w:r>
        <w:t xml:space="preserve"> worden gestart tussen Lidstaten, bedrijven, ngo’s, regio’s e.d. </w:t>
      </w:r>
    </w:p>
    <w:p w:rsidR="00D14481" w:rsidP="00531240" w:rsidRDefault="00D14481">
      <w:pPr>
        <w:spacing w:line="276" w:lineRule="auto"/>
      </w:pPr>
      <w:r>
        <w:t xml:space="preserve">Tot slot </w:t>
      </w:r>
      <w:r w:rsidR="00541585">
        <w:t xml:space="preserve">is duidelijk </w:t>
      </w:r>
      <w:r>
        <w:t>dat de cross silo approach (</w:t>
      </w:r>
      <w:r w:rsidR="00A3732B">
        <w:t xml:space="preserve">het </w:t>
      </w:r>
      <w:r>
        <w:t>over hokjes binnen de Commissie heen</w:t>
      </w:r>
      <w:r w:rsidR="00A3732B">
        <w:t xml:space="preserve"> werken/ denken</w:t>
      </w:r>
      <w:r w:rsidR="000F55BC">
        <w:t>) steeds meer gemeengoed wordt en dat het onderwerp</w:t>
      </w:r>
      <w:r>
        <w:t xml:space="preserve"> Circulaire </w:t>
      </w:r>
      <w:r>
        <w:lastRenderedPageBreak/>
        <w:t xml:space="preserve">economie </w:t>
      </w:r>
      <w:r w:rsidR="000F55BC">
        <w:t xml:space="preserve">daar een belangrijke stimulans bij is, omdat het </w:t>
      </w:r>
      <w:r>
        <w:t xml:space="preserve">als onderdeel van andere beleidsterreinen </w:t>
      </w:r>
      <w:r w:rsidR="000F55BC">
        <w:t xml:space="preserve">wordt geïncorporeerd.  </w:t>
      </w:r>
      <w:r>
        <w:t xml:space="preserve">Vicepresidenten Katainen en Timmermans werken ook nauw samen. </w:t>
      </w:r>
    </w:p>
    <w:p w:rsidR="000F55BC" w:rsidP="00531240" w:rsidRDefault="000F55BC">
      <w:pPr>
        <w:spacing w:line="276" w:lineRule="auto"/>
      </w:pPr>
    </w:p>
    <w:p w:rsidR="00F3735C" w:rsidP="00531240" w:rsidRDefault="00F3735C">
      <w:pPr>
        <w:spacing w:line="276" w:lineRule="auto"/>
      </w:pPr>
      <w:r>
        <w:t xml:space="preserve">Tot slot </w:t>
      </w:r>
      <w:r w:rsidR="00541585">
        <w:t xml:space="preserve">een </w:t>
      </w:r>
      <w:r w:rsidRPr="000F55BC" w:rsidR="00541585">
        <w:rPr>
          <w:u w:val="single"/>
        </w:rPr>
        <w:t xml:space="preserve">gesprek </w:t>
      </w:r>
      <w:r w:rsidRPr="000F55BC">
        <w:rPr>
          <w:u w:val="single"/>
        </w:rPr>
        <w:t>met Bas Eickhout</w:t>
      </w:r>
      <w:r>
        <w:t>, namens GroenLinks als Europarlementariër werkzaam (bij de Groen</w:t>
      </w:r>
      <w:r w:rsidR="007B1176">
        <w:t>en, in de milieucommissie</w:t>
      </w:r>
      <w:r w:rsidR="00A3732B">
        <w:t xml:space="preserve"> ENVI</w:t>
      </w:r>
      <w:r w:rsidR="007B1176">
        <w:t xml:space="preserve">). Hij verwacht dat de uitkomsten van de stemmingen in de milieucommissie over de afvalrichtlijnen overeind </w:t>
      </w:r>
      <w:r w:rsidR="00A3732B">
        <w:t>zullen blijven</w:t>
      </w:r>
      <w:r w:rsidR="007B1176">
        <w:t xml:space="preserve">, maar ziet eveneens een groot verzet in de Raad. Duitsland </w:t>
      </w:r>
      <w:r w:rsidR="00A3732B">
        <w:t xml:space="preserve">handelt </w:t>
      </w:r>
      <w:r w:rsidR="007B1176">
        <w:t>teleurstellend</w:t>
      </w:r>
      <w:r w:rsidR="00A3732B">
        <w:t xml:space="preserve">, zeker gezien de reputatie </w:t>
      </w:r>
      <w:r w:rsidR="007B1176">
        <w:t xml:space="preserve">als </w:t>
      </w:r>
      <w:r w:rsidR="000F55BC">
        <w:t>voorloper</w:t>
      </w:r>
      <w:r w:rsidR="00A3732B">
        <w:t>:</w:t>
      </w:r>
      <w:r w:rsidR="007B1176">
        <w:t xml:space="preserve"> de wet van de remmende voorsprong. Duitsland beschouwt sorteren als een vorm van recycling, dat is ook een reden waarom zij als voorloper bekend staan, terwijl een andere meetmethode en andere definities misschien een heel ander beeld zou laten zien. Het EP heeft geen voorstellen gedaan voor nieuwe meetmethodieken omdat ze het eens waren met de voorstellen op dat vlak van de Commissie, maar helaas (aldus Eickhout) </w:t>
      </w:r>
      <w:r w:rsidR="000F55BC">
        <w:t xml:space="preserve">lijken </w:t>
      </w:r>
      <w:r w:rsidR="007B1176">
        <w:t>die voorstellen door de Raad alweer teruggedraaid</w:t>
      </w:r>
      <w:r w:rsidR="000F55BC">
        <w:t xml:space="preserve"> te worden. </w:t>
      </w:r>
      <w:r w:rsidR="007B1176">
        <w:t xml:space="preserve">Opvallend is dat in een land als Italië een snelle sprong wordt gemaakt naar een circulaire economie vanuit een achterstandspositie op dit dossier. </w:t>
      </w:r>
    </w:p>
    <w:p w:rsidR="000A7AC2" w:rsidP="00531240" w:rsidRDefault="007B1176">
      <w:pPr>
        <w:spacing w:line="276" w:lineRule="auto"/>
      </w:pPr>
      <w:r>
        <w:t xml:space="preserve">Hij is kritisch over het verschepen van afval van het ene naar het andere land als gevolg van overcapaciteit in verbrandingsinstallaties (zoals in Nederland). </w:t>
      </w:r>
    </w:p>
    <w:p w:rsidR="000F55BC" w:rsidP="00531240" w:rsidRDefault="007B1176">
      <w:pPr>
        <w:spacing w:line="276" w:lineRule="auto"/>
      </w:pPr>
      <w:r>
        <w:t>Hij is ook kritisch op de activiteiten van de Commissie</w:t>
      </w:r>
      <w:r w:rsidR="00A3732B">
        <w:t>:</w:t>
      </w:r>
      <w:r>
        <w:t xml:space="preserve"> </w:t>
      </w:r>
      <w:r w:rsidR="00A3732B">
        <w:t>I</w:t>
      </w:r>
      <w:r>
        <w:t xml:space="preserve">n wezen is er nog veel te weinig gebeurd, vindt hij. </w:t>
      </w:r>
      <w:r w:rsidR="00A3732B">
        <w:t>De standpunten en acties op het gebied van p</w:t>
      </w:r>
      <w:r>
        <w:t xml:space="preserve">lastics </w:t>
      </w:r>
      <w:r w:rsidR="00A3732B">
        <w:t xml:space="preserve">zijn </w:t>
      </w:r>
      <w:r>
        <w:t>nog te vaag; op afval moet</w:t>
      </w:r>
      <w:r w:rsidR="000F55BC">
        <w:t xml:space="preserve"> nog </w:t>
      </w:r>
      <w:r w:rsidR="00A3732B">
        <w:t>blijken</w:t>
      </w:r>
      <w:r>
        <w:t xml:space="preserve"> wat </w:t>
      </w:r>
      <w:r w:rsidR="00A3732B">
        <w:t>het resultaat wordt</w:t>
      </w:r>
      <w:r>
        <w:t>. Ecodesign is uiteindelijk een compromis geworden (het werkplan)</w:t>
      </w:r>
      <w:r w:rsidR="00A3732B">
        <w:t>,</w:t>
      </w:r>
      <w:r>
        <w:t xml:space="preserve"> want een aantal huishoudelijke apparaten zijn uit </w:t>
      </w:r>
      <w:r w:rsidR="00A3732B">
        <w:t xml:space="preserve">het werkplan </w:t>
      </w:r>
      <w:r>
        <w:t xml:space="preserve">gehaald, naar zijn </w:t>
      </w:r>
      <w:r w:rsidR="00541585">
        <w:t xml:space="preserve">idee vooral vanwege </w:t>
      </w:r>
      <w:r>
        <w:t xml:space="preserve">de </w:t>
      </w:r>
      <w:r w:rsidR="00541585">
        <w:t xml:space="preserve">negatieve </w:t>
      </w:r>
      <w:r>
        <w:t>beeldvorming</w:t>
      </w:r>
      <w:r w:rsidR="000F55BC">
        <w:t>, zeker bij het Verenigd Koninkrijk</w:t>
      </w:r>
      <w:r>
        <w:t xml:space="preserve"> </w:t>
      </w:r>
      <w:r w:rsidR="00541585">
        <w:t xml:space="preserve">(‘EU bemoeit zich met de broodroosters’) </w:t>
      </w:r>
      <w:r>
        <w:t xml:space="preserve">terwijl daarop juist ongelooflijke </w:t>
      </w:r>
      <w:r w:rsidR="000F55BC">
        <w:t>impact kan worden bereikt (een E</w:t>
      </w:r>
      <w:r>
        <w:t xml:space="preserve">codesign maatregel op stofzuigers heeft </w:t>
      </w:r>
      <w:r w:rsidR="000F55BC">
        <w:t xml:space="preserve">een vergelijkbaar </w:t>
      </w:r>
      <w:r>
        <w:t xml:space="preserve">effect als </w:t>
      </w:r>
      <w:r w:rsidR="00541585">
        <w:t xml:space="preserve">het </w:t>
      </w:r>
      <w:r>
        <w:t>sluiten van vier kolencentrales). Bovendien verbetert het juist de concurrentiepositie van EU</w:t>
      </w:r>
      <w:r w:rsidR="00A3732B">
        <w:t>-</w:t>
      </w:r>
      <w:r>
        <w:t xml:space="preserve">bedrijven als ze zuiniger </w:t>
      </w:r>
      <w:r w:rsidR="00541585">
        <w:t xml:space="preserve">producten </w:t>
      </w:r>
      <w:r>
        <w:t xml:space="preserve">moeten produceren, </w:t>
      </w:r>
      <w:r w:rsidR="00541585">
        <w:t xml:space="preserve">dit </w:t>
      </w:r>
      <w:r>
        <w:t xml:space="preserve">geeft een voorsprong. Er is </w:t>
      </w:r>
      <w:r w:rsidR="00A3732B">
        <w:t xml:space="preserve">een </w:t>
      </w:r>
      <w:r>
        <w:t xml:space="preserve">discussie gaande over </w:t>
      </w:r>
      <w:r w:rsidR="0087700E">
        <w:t xml:space="preserve">verbreding </w:t>
      </w:r>
      <w:r w:rsidR="00A3732B">
        <w:t xml:space="preserve">van </w:t>
      </w:r>
      <w:r w:rsidR="000F55BC">
        <w:t>E</w:t>
      </w:r>
      <w:r w:rsidR="0087700E">
        <w:t xml:space="preserve">codesign naar productontwerp – energie-ngo’s zijn bang voor verwatering en voor openbreking van bestaande regels. </w:t>
      </w:r>
    </w:p>
    <w:p w:rsidR="0087700E" w:rsidP="00531240" w:rsidRDefault="000F55BC">
      <w:pPr>
        <w:spacing w:line="276" w:lineRule="auto"/>
      </w:pPr>
      <w:r>
        <w:t xml:space="preserve">Eickhout </w:t>
      </w:r>
      <w:r w:rsidR="0087700E">
        <w:t xml:space="preserve">vindt het een positieve ontwikkeling dat Circulaire economie binnen de Commissie centraal wordt opgepakt. </w:t>
      </w:r>
    </w:p>
    <w:p w:rsidR="0087700E" w:rsidP="00531240" w:rsidRDefault="0087700E">
      <w:pPr>
        <w:spacing w:line="276" w:lineRule="auto"/>
      </w:pPr>
      <w:r>
        <w:t xml:space="preserve">Over het ophanden zijnde voorstel over </w:t>
      </w:r>
      <w:r w:rsidR="00A3732B">
        <w:t xml:space="preserve">de </w:t>
      </w:r>
      <w:r>
        <w:t xml:space="preserve">samenhang </w:t>
      </w:r>
      <w:r w:rsidR="00A3732B">
        <w:t xml:space="preserve">tussen </w:t>
      </w:r>
      <w:r>
        <w:t xml:space="preserve">chemische stoffen en recycling /producten geeft hij aan </w:t>
      </w:r>
      <w:r w:rsidR="000F55BC">
        <w:t xml:space="preserve">zorg te hebben over </w:t>
      </w:r>
      <w:r>
        <w:t xml:space="preserve">de </w:t>
      </w:r>
      <w:r w:rsidR="000F55BC">
        <w:t>chemische industrie-</w:t>
      </w:r>
      <w:r>
        <w:t xml:space="preserve">lobby die zich inzet voor het minder streng omgaan met gevaarlijke stoffen. </w:t>
      </w:r>
      <w:r w:rsidR="000F55BC">
        <w:t>H</w:t>
      </w:r>
      <w:r w:rsidR="00A3732B">
        <w:t>ij vindt het</w:t>
      </w:r>
      <w:r>
        <w:t xml:space="preserve"> belangrijk </w:t>
      </w:r>
      <w:r w:rsidR="00A3732B">
        <w:t xml:space="preserve">dat </w:t>
      </w:r>
      <w:r>
        <w:t>gevaarlijke stoffen zo s</w:t>
      </w:r>
      <w:r w:rsidR="009A3995">
        <w:t xml:space="preserve">nel mogelijk uit de keten </w:t>
      </w:r>
      <w:r w:rsidR="00A3732B">
        <w:t>worden gehaald</w:t>
      </w:r>
      <w:r>
        <w:t xml:space="preserve">. </w:t>
      </w:r>
    </w:p>
    <w:p w:rsidRPr="00976B1B" w:rsidR="00AD4DA9" w:rsidP="00531240" w:rsidRDefault="00AD4DA9">
      <w:pPr>
        <w:spacing w:line="276" w:lineRule="auto"/>
      </w:pPr>
    </w:p>
    <w:p w:rsidRPr="0098039C" w:rsidR="005765C6" w:rsidP="00531240" w:rsidRDefault="000A7AC2">
      <w:pPr>
        <w:spacing w:after="200" w:line="276" w:lineRule="auto"/>
        <w:rPr>
          <w:b/>
        </w:rPr>
      </w:pPr>
      <w:r>
        <w:rPr>
          <w:b/>
        </w:rPr>
        <w:t>Vervolgstappen 2017</w:t>
      </w:r>
    </w:p>
    <w:p w:rsidRPr="009A3995" w:rsidR="009A3995" w:rsidP="009A3995" w:rsidRDefault="009A3995">
      <w:pPr>
        <w:pStyle w:val="Lijstalinea"/>
        <w:numPr>
          <w:ilvl w:val="0"/>
          <w:numId w:val="1"/>
        </w:numPr>
        <w:spacing w:line="276" w:lineRule="auto"/>
        <w:rPr>
          <w:b/>
        </w:rPr>
      </w:pPr>
      <w:r>
        <w:rPr>
          <w:b/>
        </w:rPr>
        <w:t xml:space="preserve">Afvalrichtlijnen: </w:t>
      </w:r>
      <w:hyperlink w:history="1" r:id="rId23">
        <w:r w:rsidRPr="000F55BC" w:rsidR="00EF5C70">
          <w:rPr>
            <w:rStyle w:val="Hyperlink"/>
          </w:rPr>
          <w:t>S</w:t>
        </w:r>
        <w:r w:rsidRPr="000F55BC">
          <w:rPr>
            <w:rStyle w:val="Hyperlink"/>
          </w:rPr>
          <w:t>temming</w:t>
        </w:r>
      </w:hyperlink>
      <w:r>
        <w:t xml:space="preserve"> </w:t>
      </w:r>
      <w:r w:rsidR="000F55BC">
        <w:t xml:space="preserve">over het rapport van rapporteur Simona Bonafé </w:t>
      </w:r>
      <w:r>
        <w:t xml:space="preserve">heeft </w:t>
      </w:r>
      <w:r w:rsidR="00E225F0">
        <w:t xml:space="preserve">in januari </w:t>
      </w:r>
      <w:r>
        <w:t xml:space="preserve">plaatsgevonden in de </w:t>
      </w:r>
      <w:r w:rsidR="00A3732B">
        <w:t xml:space="preserve">ENVI </w:t>
      </w:r>
      <w:r>
        <w:t xml:space="preserve">commissie en plenair zal worden gestemd tussen 13 – 16 maart. Daarna zal informeel al worden overlegd met de Raad (die nog formeel een standpunt moet innemen). Het is de vraag of die (informele) triloog dit jaar nog zal worden afgerond. </w:t>
      </w:r>
    </w:p>
    <w:p w:rsidRPr="009A3995" w:rsidR="009A3995" w:rsidP="009A3995" w:rsidRDefault="009A3995">
      <w:pPr>
        <w:pStyle w:val="Lijstalinea"/>
        <w:numPr>
          <w:ilvl w:val="0"/>
          <w:numId w:val="1"/>
        </w:numPr>
        <w:spacing w:line="276" w:lineRule="auto"/>
        <w:rPr>
          <w:b/>
        </w:rPr>
      </w:pPr>
      <w:r>
        <w:rPr>
          <w:b/>
        </w:rPr>
        <w:t xml:space="preserve">Net gepubliceerd: </w:t>
      </w:r>
      <w:r>
        <w:br/>
        <w:t>-    Rapport over de implementatie van het actieplan circulaire economie</w:t>
      </w:r>
      <w:r w:rsidR="00EF5C70">
        <w:t xml:space="preserve"> </w:t>
      </w:r>
    </w:p>
    <w:p w:rsidR="009A3995" w:rsidP="009A3995" w:rsidRDefault="00940ABD">
      <w:pPr>
        <w:pStyle w:val="Lijstalinea"/>
        <w:numPr>
          <w:ilvl w:val="0"/>
          <w:numId w:val="2"/>
        </w:numPr>
        <w:spacing w:line="276" w:lineRule="auto"/>
      </w:pPr>
      <w:hyperlink w:history="1" r:id="rId24">
        <w:r w:rsidRPr="00E225F0" w:rsidR="009A3995">
          <w:rPr>
            <w:rStyle w:val="Hyperlink"/>
          </w:rPr>
          <w:t>Wijziging richtlijn beperking gebruik gevaarlijke stoffen in electrische en electronische apparaten (RoHs)</w:t>
        </w:r>
      </w:hyperlink>
    </w:p>
    <w:p w:rsidR="009A3995" w:rsidP="009A3995" w:rsidRDefault="009A3995">
      <w:pPr>
        <w:pStyle w:val="Lijstalinea"/>
        <w:numPr>
          <w:ilvl w:val="0"/>
          <w:numId w:val="2"/>
        </w:numPr>
        <w:spacing w:line="276" w:lineRule="auto"/>
      </w:pPr>
      <w:r>
        <w:t>Mededeling over de rol van ‘waste-to-energy’ in de circulaire economie (een hiërarchie binnen het spectrum van verbranden) als onderdeel van de algemene al bestaande afvalhiërarchie</w:t>
      </w:r>
    </w:p>
    <w:p w:rsidR="009A3995" w:rsidP="009A3995" w:rsidRDefault="009A3995">
      <w:pPr>
        <w:pStyle w:val="Lijstalinea"/>
        <w:numPr>
          <w:ilvl w:val="0"/>
          <w:numId w:val="1"/>
        </w:numPr>
        <w:spacing w:line="276" w:lineRule="auto"/>
      </w:pPr>
      <w:r w:rsidRPr="009A3995">
        <w:rPr>
          <w:b/>
        </w:rPr>
        <w:t>Verwacht in 2017</w:t>
      </w:r>
      <w:r>
        <w:t xml:space="preserve">als onderdeel Circulaire economiepakket: </w:t>
      </w:r>
    </w:p>
    <w:p w:rsidR="009A3995" w:rsidP="009A3995" w:rsidRDefault="009A3995">
      <w:pPr>
        <w:pStyle w:val="Lijstalinea"/>
        <w:numPr>
          <w:ilvl w:val="0"/>
          <w:numId w:val="2"/>
        </w:numPr>
        <w:spacing w:line="276" w:lineRule="auto"/>
      </w:pPr>
      <w:r>
        <w:t xml:space="preserve">Herziening drinkwaterrichtlijn (december) </w:t>
      </w:r>
    </w:p>
    <w:p w:rsidR="009A3995" w:rsidP="009A3995" w:rsidRDefault="009A3995">
      <w:pPr>
        <w:pStyle w:val="Lijstalinea"/>
        <w:numPr>
          <w:ilvl w:val="0"/>
          <w:numId w:val="2"/>
        </w:numPr>
        <w:spacing w:line="276" w:lineRule="auto"/>
      </w:pPr>
      <w:r>
        <w:t>Mededeling (of richtlijn?) over waterhergebruik (december)</w:t>
      </w:r>
    </w:p>
    <w:p w:rsidR="009A3995" w:rsidP="009A3995" w:rsidRDefault="009A3995">
      <w:pPr>
        <w:pStyle w:val="Lijstalinea"/>
        <w:numPr>
          <w:ilvl w:val="0"/>
          <w:numId w:val="2"/>
        </w:numPr>
        <w:spacing w:line="276" w:lineRule="auto"/>
      </w:pPr>
      <w:r>
        <w:t>Plastics strategy (december)</w:t>
      </w:r>
    </w:p>
    <w:p w:rsidR="009A3995" w:rsidP="009A3995" w:rsidRDefault="009A3995">
      <w:pPr>
        <w:pStyle w:val="Lijstalinea"/>
        <w:numPr>
          <w:ilvl w:val="0"/>
          <w:numId w:val="2"/>
        </w:numPr>
        <w:spacing w:line="276" w:lineRule="auto"/>
      </w:pPr>
      <w:r>
        <w:t xml:space="preserve">Verscheping van afval (wijziging bestaande verordening EVOA) </w:t>
      </w:r>
    </w:p>
    <w:p w:rsidR="009A3995" w:rsidP="009A3995" w:rsidRDefault="009A3995">
      <w:pPr>
        <w:pStyle w:val="Lijstalinea"/>
        <w:numPr>
          <w:ilvl w:val="0"/>
          <w:numId w:val="2"/>
        </w:numPr>
        <w:spacing w:line="276" w:lineRule="auto"/>
      </w:pPr>
      <w:r>
        <w:t xml:space="preserve">Mededeling over samenhang tussen chemische stoffen, producten / afval </w:t>
      </w:r>
    </w:p>
    <w:p w:rsidRPr="009A3995" w:rsidR="009A3995" w:rsidP="009A3995" w:rsidRDefault="009A3995">
      <w:pPr>
        <w:pStyle w:val="Lijstalinea"/>
        <w:numPr>
          <w:ilvl w:val="0"/>
          <w:numId w:val="2"/>
        </w:numPr>
        <w:spacing w:line="276" w:lineRule="auto"/>
      </w:pPr>
      <w:r>
        <w:t>Mogelijk de in het werkplan ecodesign aangekondigde maatregelen over een beperkt aantal nieuwe productgroepen.</w:t>
      </w:r>
    </w:p>
    <w:p w:rsidR="009A3995" w:rsidP="00531240" w:rsidRDefault="009A3995">
      <w:pPr>
        <w:spacing w:line="276" w:lineRule="auto"/>
        <w:rPr>
          <w:b/>
        </w:rPr>
      </w:pPr>
    </w:p>
    <w:p w:rsidRPr="00095E97" w:rsidR="005765C6" w:rsidP="00531240" w:rsidRDefault="005765C6">
      <w:pPr>
        <w:spacing w:line="276" w:lineRule="auto"/>
        <w:rPr>
          <w:b/>
        </w:rPr>
      </w:pPr>
      <w:r w:rsidRPr="00095E97">
        <w:rPr>
          <w:b/>
        </w:rPr>
        <w:t>Tot slot</w:t>
      </w:r>
    </w:p>
    <w:p w:rsidR="007D4DBC" w:rsidP="009A3995" w:rsidRDefault="00F33086">
      <w:pPr>
        <w:spacing w:after="200" w:line="276" w:lineRule="auto"/>
      </w:pPr>
      <w:r>
        <w:t>R</w:t>
      </w:r>
      <w:r w:rsidR="005765C6">
        <w:t xml:space="preserve">apporteur </w:t>
      </w:r>
      <w:r w:rsidR="00D12DD2">
        <w:t xml:space="preserve">Cegerek </w:t>
      </w:r>
      <w:r>
        <w:t xml:space="preserve">wil </w:t>
      </w:r>
      <w:r w:rsidR="001B235B">
        <w:t xml:space="preserve">haar </w:t>
      </w:r>
      <w:r w:rsidR="00F31A89">
        <w:t xml:space="preserve">gesprekspartners </w:t>
      </w:r>
      <w:r w:rsidR="001B235B">
        <w:t xml:space="preserve">bij de Europese Commissie, </w:t>
      </w:r>
      <w:r w:rsidR="00541585">
        <w:t xml:space="preserve">het Europees parlement, </w:t>
      </w:r>
      <w:r w:rsidR="001B235B">
        <w:t>de Nederlandse Permanent</w:t>
      </w:r>
      <w:r w:rsidR="000A7AC2">
        <w:t xml:space="preserve">e Vertegenwoordiging bij de EU en </w:t>
      </w:r>
      <w:r w:rsidR="00541585">
        <w:t xml:space="preserve">de Parlementair vertegenwoordiger in Brussel </w:t>
      </w:r>
      <w:r w:rsidR="00CC394E">
        <w:t xml:space="preserve">danken </w:t>
      </w:r>
      <w:r w:rsidR="00F31A89">
        <w:t xml:space="preserve">voor </w:t>
      </w:r>
      <w:r w:rsidR="005765C6">
        <w:t>hun gastvrijheid</w:t>
      </w:r>
      <w:r w:rsidR="00046C5A">
        <w:t xml:space="preserve">, </w:t>
      </w:r>
      <w:r w:rsidR="00924B82">
        <w:t xml:space="preserve">hun </w:t>
      </w:r>
      <w:r w:rsidR="00046C5A">
        <w:t xml:space="preserve">tijd en moeite om </w:t>
      </w:r>
      <w:r w:rsidR="00102386">
        <w:t>i</w:t>
      </w:r>
      <w:r w:rsidR="00046C5A">
        <w:t xml:space="preserve">nformatie te verstrekken over </w:t>
      </w:r>
      <w:r w:rsidR="000A7AC2">
        <w:t>de lopende en de verwachte voorstellen voor de Circulaire economie</w:t>
      </w:r>
      <w:r w:rsidR="00046C5A">
        <w:t xml:space="preserve">. </w:t>
      </w:r>
    </w:p>
    <w:p w:rsidR="007D4DBC" w:rsidP="00531240" w:rsidRDefault="007D4DBC">
      <w:pPr>
        <w:spacing w:line="276" w:lineRule="auto"/>
      </w:pPr>
    </w:p>
    <w:p w:rsidR="005765C6" w:rsidP="00531240" w:rsidRDefault="005765C6">
      <w:pPr>
        <w:spacing w:line="276" w:lineRule="auto"/>
      </w:pPr>
      <w:r>
        <w:t>De rapporteur,</w:t>
      </w:r>
    </w:p>
    <w:p w:rsidR="005765C6" w:rsidP="00531240" w:rsidRDefault="00D12DD2">
      <w:pPr>
        <w:spacing w:line="276" w:lineRule="auto"/>
      </w:pPr>
      <w:r>
        <w:t xml:space="preserve">Yasemin Cegerek </w:t>
      </w:r>
    </w:p>
    <w:p w:rsidR="005765C6" w:rsidP="00531240" w:rsidRDefault="005765C6">
      <w:pPr>
        <w:spacing w:line="276" w:lineRule="auto"/>
      </w:pPr>
    </w:p>
    <w:p w:rsidR="005765C6" w:rsidP="00531240" w:rsidRDefault="005765C6">
      <w:pPr>
        <w:spacing w:line="276" w:lineRule="auto"/>
      </w:pPr>
      <w:r>
        <w:t>De EU adviseur,</w:t>
      </w:r>
    </w:p>
    <w:p w:rsidR="00A61C32" w:rsidP="00531240" w:rsidRDefault="000A7AC2">
      <w:pPr>
        <w:spacing w:line="276" w:lineRule="auto"/>
      </w:pPr>
      <w:r>
        <w:t>Anke Willemstein</w:t>
      </w:r>
    </w:p>
    <w:p w:rsidR="00A61C32" w:rsidRDefault="00A61C32">
      <w:r>
        <w:br w:type="page"/>
      </w:r>
    </w:p>
    <w:p w:rsidR="00401AAB" w:rsidP="00531240" w:rsidRDefault="00A61C32">
      <w:pPr>
        <w:spacing w:line="276" w:lineRule="auto"/>
      </w:pPr>
      <w:r>
        <w:lastRenderedPageBreak/>
        <w:t>Bijlage 1 Afval - stemmingen in milieucommissie (ENVI) Europees Parlement 24/1/2017</w:t>
      </w:r>
    </w:p>
    <w:p w:rsidRPr="00A61C32" w:rsidR="00A61C32" w:rsidP="00A61C32" w:rsidRDefault="00A61C32">
      <w:pPr>
        <w:shd w:val="clear" w:color="auto" w:fill="FFFFFF"/>
        <w:spacing w:before="100" w:beforeAutospacing="1" w:after="100" w:afterAutospacing="1"/>
        <w:outlineLvl w:val="1"/>
        <w:rPr>
          <w:rFonts w:eastAsia="Times New Roman" w:cs="Arial"/>
          <w:b/>
          <w:bCs/>
          <w:color w:val="13334D"/>
          <w:kern w:val="36"/>
          <w:szCs w:val="18"/>
          <w:lang w:val="en" w:eastAsia="nl-NL"/>
        </w:rPr>
      </w:pPr>
      <w:r w:rsidRPr="00A61C32">
        <w:rPr>
          <w:rFonts w:eastAsia="Times New Roman" w:cs="Arial"/>
          <w:b/>
          <w:bCs/>
          <w:color w:val="13334D"/>
          <w:kern w:val="36"/>
          <w:szCs w:val="18"/>
          <w:lang w:val="en" w:eastAsia="nl-NL"/>
        </w:rPr>
        <w:t>Waste: boost recycling, cut landfilling and curb food waste, say MEPs</w:t>
      </w:r>
      <w:r>
        <w:rPr>
          <w:rFonts w:eastAsia="Times New Roman" w:cs="Arial"/>
          <w:b/>
          <w:bCs/>
          <w:color w:val="13334D"/>
          <w:kern w:val="36"/>
          <w:szCs w:val="18"/>
          <w:lang w:val="en" w:eastAsia="nl-NL"/>
        </w:rPr>
        <w:br/>
      </w:r>
      <w:r w:rsidRPr="00A61C32">
        <w:rPr>
          <w:rFonts w:eastAsia="Times New Roman" w:cs="Arial"/>
          <w:color w:val="195B92"/>
          <w:szCs w:val="18"/>
          <w:lang w:val="en" w:eastAsia="nl-NL"/>
        </w:rPr>
        <w:t>ENVI Press release - Environment − 24-01-2017 - 18:08</w:t>
      </w:r>
    </w:p>
    <w:p w:rsidRPr="00A61C32" w:rsidR="00A61C32" w:rsidP="00A61C32" w:rsidRDefault="00A61C32">
      <w:pPr>
        <w:shd w:val="clear" w:color="auto" w:fill="FFFFFF"/>
        <w:spacing w:beforeAutospacing="1" w:afterAutospacing="1"/>
        <w:rPr>
          <w:rFonts w:eastAsia="Times New Roman" w:cs="Arial"/>
          <w:color w:val="363636"/>
          <w:szCs w:val="18"/>
          <w:lang w:val="en" w:eastAsia="nl-NL"/>
        </w:rPr>
      </w:pPr>
      <w:r w:rsidRPr="00A61C32">
        <w:rPr>
          <w:rFonts w:eastAsia="Times New Roman" w:cs="Arial"/>
          <w:b/>
          <w:bCs/>
          <w:color w:val="363636"/>
          <w:szCs w:val="18"/>
          <w:bdr w:val="none" w:color="auto" w:sz="0" w:space="0" w:frame="1"/>
          <w:lang w:val="en" w:eastAsia="nl-NL"/>
        </w:rPr>
        <w:t xml:space="preserve">The share of waste to be recycled should be raised to 70% by 2030, from 44% today, while landfilling, which has a big environmental impact, should be limited to 5%, said Environment Committee MEPs on Tuesday, as they amended the draft EU “waste package” legislation. They also advocate a 50% reduction in food waste by 2030. </w:t>
      </w:r>
    </w:p>
    <w:p w:rsidRPr="00A61C32" w:rsidR="00A61C32" w:rsidP="00A61C32" w:rsidRDefault="00A61C32">
      <w:pPr>
        <w:shd w:val="clear" w:color="auto" w:fill="FFFFFF"/>
        <w:spacing w:before="100" w:beforeAutospacing="1" w:after="100" w:afterAutospacing="1"/>
        <w:rPr>
          <w:rFonts w:eastAsia="Times New Roman" w:cs="Arial"/>
          <w:color w:val="363636"/>
          <w:szCs w:val="18"/>
          <w:lang w:val="en" w:eastAsia="nl-NL"/>
        </w:rPr>
      </w:pPr>
      <w:r w:rsidRPr="00A61C32">
        <w:rPr>
          <w:rFonts w:eastAsia="Times New Roman" w:cs="Arial"/>
          <w:color w:val="363636"/>
          <w:szCs w:val="18"/>
          <w:lang w:val="en" w:eastAsia="nl-NL"/>
        </w:rPr>
        <w:t>Statistics from 2014 suggest that 44% of all municipal waste in the EU is recycled or composted. This compares to just 31% in 2004, and by 2020 EU member states should be recycling or composting over 50% of waste.</w:t>
      </w:r>
    </w:p>
    <w:p w:rsidRPr="00A61C32" w:rsidR="00A61C32" w:rsidP="00A61C32" w:rsidRDefault="00A61C32">
      <w:pPr>
        <w:shd w:val="clear" w:color="auto" w:fill="FFFFFF"/>
        <w:spacing w:before="100" w:beforeAutospacing="1" w:after="100" w:afterAutospacing="1"/>
        <w:rPr>
          <w:rFonts w:eastAsia="Times New Roman" w:cs="Arial"/>
          <w:color w:val="363636"/>
          <w:szCs w:val="18"/>
          <w:lang w:val="en" w:eastAsia="nl-NL"/>
        </w:rPr>
      </w:pPr>
      <w:r w:rsidRPr="00A61C32">
        <w:rPr>
          <w:rFonts w:eastAsia="Times New Roman" w:cs="Arial"/>
          <w:color w:val="363636"/>
          <w:szCs w:val="18"/>
          <w:lang w:val="en" w:eastAsia="nl-NL"/>
        </w:rPr>
        <w:t>“The ENVI committee has showed that it believes in the transition towards a circular economy. We decided to restore the ambitious recycling and landfill targets in line with what the Commission had originally proposed in 2014 said lead MEP Simona Bonafè (S&amp;D, IT).</w:t>
      </w:r>
    </w:p>
    <w:p w:rsidRPr="00A61C32" w:rsidR="00A61C32" w:rsidP="00A61C32" w:rsidRDefault="00A61C32">
      <w:pPr>
        <w:shd w:val="clear" w:color="auto" w:fill="FFFFFF"/>
        <w:spacing w:before="100" w:beforeAutospacing="1" w:after="100" w:afterAutospacing="1"/>
        <w:rPr>
          <w:rFonts w:eastAsia="Times New Roman" w:cs="Arial"/>
          <w:color w:val="363636"/>
          <w:szCs w:val="18"/>
          <w:lang w:val="en" w:eastAsia="nl-NL"/>
        </w:rPr>
      </w:pPr>
      <w:r w:rsidRPr="00A61C32">
        <w:rPr>
          <w:rFonts w:eastAsia="Times New Roman" w:cs="Arial"/>
          <w:color w:val="363636"/>
          <w:szCs w:val="18"/>
          <w:lang w:val="en" w:eastAsia="nl-NL"/>
        </w:rPr>
        <w:t>“There will no longer be the possibility for Member States with the lowest recycling rates to have a ‘blanket’ derogation. They will be able to request a derogation, but it will be subject to specific conditions” she added.</w:t>
      </w:r>
    </w:p>
    <w:p w:rsidRPr="00A61C32" w:rsidR="00A61C32" w:rsidP="00A61C32" w:rsidRDefault="00A61C32">
      <w:pPr>
        <w:shd w:val="clear" w:color="auto" w:fill="FFFFFF"/>
        <w:spacing w:beforeAutospacing="1" w:afterAutospacing="1"/>
        <w:rPr>
          <w:rFonts w:eastAsia="Times New Roman" w:cs="Arial"/>
          <w:color w:val="363636"/>
          <w:szCs w:val="18"/>
          <w:lang w:val="en" w:eastAsia="nl-NL"/>
        </w:rPr>
      </w:pPr>
      <w:r w:rsidRPr="00A61C32">
        <w:rPr>
          <w:rFonts w:eastAsia="Times New Roman" w:cs="Arial"/>
          <w:b/>
          <w:bCs/>
          <w:color w:val="363636"/>
          <w:szCs w:val="18"/>
          <w:bdr w:val="none" w:color="auto" w:sz="0" w:space="0" w:frame="1"/>
          <w:lang w:val="en" w:eastAsia="nl-NL"/>
        </w:rPr>
        <w:t>Waste and packaging waste</w:t>
      </w:r>
      <w:r>
        <w:rPr>
          <w:rFonts w:eastAsia="Times New Roman" w:cs="Arial"/>
          <w:color w:val="363636"/>
          <w:szCs w:val="18"/>
          <w:lang w:val="en" w:eastAsia="nl-NL"/>
        </w:rPr>
        <w:br/>
      </w:r>
      <w:r w:rsidRPr="00A61C32">
        <w:rPr>
          <w:rFonts w:eastAsia="Times New Roman" w:cs="Arial"/>
          <w:color w:val="363636"/>
          <w:szCs w:val="18"/>
          <w:lang w:val="en" w:eastAsia="nl-NL"/>
        </w:rPr>
        <w:t>By 2030, at least 70% by weight of so-called municipal waste (from households and businesses) should be recycled or prepared for re-use, (i.e. checked, cleaned or repaired), say MEPs. The European Commission proposed 65%.</w:t>
      </w:r>
      <w:r>
        <w:rPr>
          <w:rFonts w:eastAsia="Times New Roman" w:cs="Arial"/>
          <w:color w:val="363636"/>
          <w:szCs w:val="18"/>
          <w:lang w:val="en" w:eastAsia="nl-NL"/>
        </w:rPr>
        <w:br/>
      </w:r>
      <w:r w:rsidRPr="00A61C32">
        <w:rPr>
          <w:rFonts w:eastAsia="Times New Roman" w:cs="Arial"/>
          <w:color w:val="363636"/>
          <w:szCs w:val="18"/>
          <w:lang w:val="en" w:eastAsia="nl-NL"/>
        </w:rPr>
        <w:t>For packaging materials, such as paper and cardboard, plastics, glass, metal and wood, MEPs propose an 80% target for 2030, with interim 2025 targets for each material.</w:t>
      </w:r>
    </w:p>
    <w:p w:rsidRPr="00A61C32" w:rsidR="00A61C32" w:rsidP="00A61C32" w:rsidRDefault="00A61C32">
      <w:pPr>
        <w:shd w:val="clear" w:color="auto" w:fill="FFFFFF"/>
        <w:spacing w:beforeAutospacing="1" w:afterAutospacing="1"/>
        <w:rPr>
          <w:rFonts w:eastAsia="Times New Roman" w:cs="Arial"/>
          <w:b/>
          <w:bCs/>
          <w:color w:val="363636"/>
          <w:szCs w:val="18"/>
          <w:bdr w:val="none" w:color="auto" w:sz="0" w:space="0" w:frame="1"/>
          <w:lang w:val="en" w:eastAsia="nl-NL"/>
        </w:rPr>
      </w:pPr>
      <w:r w:rsidRPr="00A61C32">
        <w:rPr>
          <w:rFonts w:eastAsia="Times New Roman" w:cs="Arial"/>
          <w:b/>
          <w:bCs/>
          <w:color w:val="363636"/>
          <w:szCs w:val="18"/>
          <w:bdr w:val="none" w:color="auto" w:sz="0" w:space="0" w:frame="1"/>
          <w:lang w:val="en" w:eastAsia="nl-NL"/>
        </w:rPr>
        <w:t>Landfilling</w:t>
      </w:r>
      <w:r>
        <w:rPr>
          <w:rFonts w:eastAsia="Times New Roman" w:cs="Arial"/>
          <w:b/>
          <w:bCs/>
          <w:color w:val="363636"/>
          <w:szCs w:val="18"/>
          <w:bdr w:val="none" w:color="auto" w:sz="0" w:space="0" w:frame="1"/>
          <w:lang w:val="en" w:eastAsia="nl-NL"/>
        </w:rPr>
        <w:br/>
      </w:r>
      <w:r w:rsidRPr="00A61C32">
        <w:rPr>
          <w:rFonts w:eastAsia="Times New Roman" w:cs="Arial"/>
          <w:color w:val="363636"/>
          <w:szCs w:val="18"/>
          <w:lang w:val="en" w:eastAsia="nl-NL"/>
        </w:rPr>
        <w:t>The draft law limits the share of municipal waste to be landfilled to 10% by 2030. MEPs propose tightening this to 5%, albeit with a possible five-year extension, under certain conditions, for member states which landfilled more than 65% of their municipal waste in 2013. EU countries such as Cyprus, Croatia, Greece, Latvia, Malta and Romania still landfill more than three quarters of their municipal waste.</w:t>
      </w:r>
    </w:p>
    <w:p w:rsidR="00A61C32" w:rsidP="00A61C32" w:rsidRDefault="00A61C32">
      <w:pPr>
        <w:shd w:val="clear" w:color="auto" w:fill="FFFFFF"/>
        <w:spacing w:beforeAutospacing="1" w:afterAutospacing="1"/>
        <w:rPr>
          <w:rFonts w:eastAsia="Times New Roman" w:cs="Arial"/>
          <w:color w:val="363636"/>
          <w:szCs w:val="18"/>
          <w:lang w:val="en" w:eastAsia="nl-NL"/>
        </w:rPr>
      </w:pPr>
      <w:r w:rsidRPr="00A61C32">
        <w:rPr>
          <w:rFonts w:eastAsia="Times New Roman" w:cs="Arial"/>
          <w:b/>
          <w:bCs/>
          <w:color w:val="363636"/>
          <w:szCs w:val="18"/>
          <w:bdr w:val="none" w:color="auto" w:sz="0" w:space="0" w:frame="1"/>
          <w:lang w:val="en" w:eastAsia="nl-NL"/>
        </w:rPr>
        <w:t>Food waste</w:t>
      </w:r>
      <w:r>
        <w:rPr>
          <w:rFonts w:eastAsia="Times New Roman" w:cs="Arial"/>
          <w:b/>
          <w:bCs/>
          <w:color w:val="363636"/>
          <w:szCs w:val="18"/>
          <w:bdr w:val="none" w:color="auto" w:sz="0" w:space="0" w:frame="1"/>
          <w:lang w:val="en" w:eastAsia="nl-NL"/>
        </w:rPr>
        <w:t xml:space="preserve"> </w:t>
      </w:r>
      <w:r>
        <w:rPr>
          <w:rFonts w:eastAsia="Times New Roman" w:cs="Arial"/>
          <w:b/>
          <w:bCs/>
          <w:color w:val="363636"/>
          <w:szCs w:val="18"/>
          <w:bdr w:val="none" w:color="auto" w:sz="0" w:space="0" w:frame="1"/>
          <w:lang w:val="en" w:eastAsia="nl-NL"/>
        </w:rPr>
        <w:br/>
      </w:r>
      <w:r w:rsidRPr="00A61C32">
        <w:rPr>
          <w:rFonts w:eastAsia="Times New Roman" w:cs="Arial"/>
          <w:color w:val="363636"/>
          <w:szCs w:val="18"/>
          <w:lang w:val="en" w:eastAsia="nl-NL"/>
        </w:rPr>
        <w:t>Food waste in the EU is estimated at some 89 million t</w:t>
      </w:r>
      <w:r>
        <w:rPr>
          <w:rFonts w:eastAsia="Times New Roman" w:cs="Arial"/>
          <w:color w:val="363636"/>
          <w:szCs w:val="18"/>
          <w:lang w:val="en" w:eastAsia="nl-NL"/>
        </w:rPr>
        <w:t xml:space="preserve">onnes, or 180 kg per capita per </w:t>
      </w:r>
      <w:r w:rsidRPr="00A61C32">
        <w:rPr>
          <w:rFonts w:eastAsia="Times New Roman" w:cs="Arial"/>
          <w:color w:val="363636"/>
          <w:szCs w:val="18"/>
          <w:lang w:val="en" w:eastAsia="nl-NL"/>
        </w:rPr>
        <w:t>year. MEPs advocate an EU food waste reduction t</w:t>
      </w:r>
      <w:r>
        <w:rPr>
          <w:rFonts w:eastAsia="Times New Roman" w:cs="Arial"/>
          <w:color w:val="363636"/>
          <w:szCs w:val="18"/>
          <w:lang w:val="en" w:eastAsia="nl-NL"/>
        </w:rPr>
        <w:t xml:space="preserve">arget of 30% by 2025 and 50% by  </w:t>
      </w:r>
      <w:r w:rsidRPr="00A61C32">
        <w:rPr>
          <w:rFonts w:eastAsia="Times New Roman" w:cs="Arial"/>
          <w:color w:val="363636"/>
          <w:szCs w:val="18"/>
          <w:lang w:val="en" w:eastAsia="nl-NL"/>
        </w:rPr>
        <w:t>2030, compared to 2014. They also propose a s</w:t>
      </w:r>
      <w:r>
        <w:rPr>
          <w:rFonts w:eastAsia="Times New Roman" w:cs="Arial"/>
          <w:color w:val="363636"/>
          <w:szCs w:val="18"/>
          <w:lang w:val="en" w:eastAsia="nl-NL"/>
        </w:rPr>
        <w:t xml:space="preserve">imilar target for marine litter </w:t>
      </w:r>
    </w:p>
    <w:p w:rsidR="00A61C32" w:rsidP="00A61C32" w:rsidRDefault="00A61C32">
      <w:pPr>
        <w:shd w:val="clear" w:color="auto" w:fill="FFFFFF"/>
        <w:spacing w:beforeAutospacing="1" w:afterAutospacing="1"/>
        <w:rPr>
          <w:rFonts w:eastAsia="Times New Roman" w:cs="Arial"/>
          <w:color w:val="363636"/>
          <w:szCs w:val="18"/>
          <w:lang w:val="en" w:eastAsia="nl-NL"/>
        </w:rPr>
      </w:pPr>
      <w:r w:rsidRPr="00A61C32">
        <w:rPr>
          <w:rFonts w:eastAsia="Times New Roman" w:cs="Arial"/>
          <w:b/>
          <w:bCs/>
          <w:color w:val="363636"/>
          <w:szCs w:val="18"/>
          <w:bdr w:val="none" w:color="auto" w:sz="0" w:space="0" w:frame="1"/>
          <w:lang w:val="en" w:eastAsia="nl-NL"/>
        </w:rPr>
        <w:lastRenderedPageBreak/>
        <w:t>Next steps</w:t>
      </w:r>
      <w:r>
        <w:rPr>
          <w:rFonts w:eastAsia="Times New Roman" w:cs="Arial"/>
          <w:b/>
          <w:bCs/>
          <w:color w:val="363636"/>
          <w:szCs w:val="18"/>
          <w:bdr w:val="none" w:color="auto" w:sz="0" w:space="0" w:frame="1"/>
          <w:lang w:val="en" w:eastAsia="nl-NL"/>
        </w:rPr>
        <w:t xml:space="preserve"> </w:t>
      </w:r>
      <w:r w:rsidRPr="00A61C32">
        <w:rPr>
          <w:rFonts w:eastAsia="Times New Roman" w:cs="Arial"/>
          <w:color w:val="363636"/>
          <w:szCs w:val="18"/>
          <w:lang w:val="en" w:eastAsia="nl-NL"/>
        </w:rPr>
        <w:t>The four proposals in the package will be put to a vote by the full House at the 13-16 March plenary session in Strasbourg.</w:t>
      </w:r>
      <w:r>
        <w:rPr>
          <w:rFonts w:eastAsia="Times New Roman" w:cs="Arial"/>
          <w:color w:val="363636"/>
          <w:szCs w:val="18"/>
          <w:lang w:val="en" w:eastAsia="nl-NL"/>
        </w:rPr>
        <w:t xml:space="preserve"> </w:t>
      </w:r>
    </w:p>
    <w:p w:rsidRPr="00A61C32" w:rsidR="00A61C32" w:rsidP="00A61C32" w:rsidRDefault="00A61C32">
      <w:pPr>
        <w:shd w:val="clear" w:color="auto" w:fill="FFFFFF"/>
        <w:spacing w:beforeAutospacing="1" w:afterAutospacing="1"/>
        <w:rPr>
          <w:rFonts w:eastAsia="Times New Roman" w:cs="Arial"/>
          <w:color w:val="363636"/>
          <w:szCs w:val="18"/>
          <w:lang w:val="en" w:eastAsia="nl-NL"/>
        </w:rPr>
      </w:pPr>
      <w:r w:rsidRPr="00A61C32">
        <w:rPr>
          <w:rFonts w:eastAsia="Times New Roman" w:cs="Arial"/>
          <w:i/>
          <w:iCs/>
          <w:color w:val="363636"/>
          <w:szCs w:val="18"/>
          <w:bdr w:val="none" w:color="auto" w:sz="0" w:space="0" w:frame="1"/>
          <w:lang w:val="en" w:eastAsia="nl-NL"/>
        </w:rPr>
        <w:t>Note to editors</w:t>
      </w:r>
      <w:r>
        <w:rPr>
          <w:rFonts w:eastAsia="Times New Roman" w:cs="Arial"/>
          <w:color w:val="363636"/>
          <w:szCs w:val="18"/>
          <w:lang w:val="en" w:eastAsia="nl-NL"/>
        </w:rPr>
        <w:br/>
      </w:r>
      <w:r w:rsidRPr="00A61C32">
        <w:rPr>
          <w:rFonts w:eastAsia="Times New Roman" w:cs="Arial"/>
          <w:i/>
          <w:iCs/>
          <w:color w:val="363636"/>
          <w:szCs w:val="18"/>
          <w:bdr w:val="none" w:color="auto" w:sz="0" w:space="0" w:frame="1"/>
          <w:lang w:val="en" w:eastAsia="nl-NL"/>
        </w:rPr>
        <w:t>In 2014, Austria, Belgium, Denmark, Germany, the Netherlands and Sweden sent virtually no municipal waste to landfill, whereas Cyprus, Croatia, Greece, Latvia and Malta still landfill more than three quarters of their municipal waste.</w:t>
      </w:r>
    </w:p>
    <w:p w:rsidRPr="00A61C32" w:rsidR="00A61C32" w:rsidP="00A61C32" w:rsidRDefault="00A61C32">
      <w:pPr>
        <w:shd w:val="clear" w:color="auto" w:fill="FFFFFF"/>
        <w:spacing w:beforeAutospacing="1" w:afterAutospacing="1"/>
        <w:rPr>
          <w:rFonts w:eastAsia="Times New Roman" w:cs="Arial"/>
          <w:color w:val="363636"/>
          <w:szCs w:val="18"/>
          <w:lang w:val="en" w:eastAsia="nl-NL"/>
        </w:rPr>
      </w:pPr>
      <w:r w:rsidRPr="00A61C32">
        <w:rPr>
          <w:rFonts w:eastAsia="Times New Roman" w:cs="Arial"/>
          <w:i/>
          <w:iCs/>
          <w:color w:val="363636"/>
          <w:szCs w:val="18"/>
          <w:bdr w:val="none" w:color="auto" w:sz="0" w:space="0" w:frame="1"/>
          <w:lang w:val="en" w:eastAsia="nl-NL"/>
        </w:rPr>
        <w:t>Although waste management in the EU has improved considerably in recent decades, almost a third of municipal waste is still landfilled and less than half is recycled or composted, with wide variations between member states.</w:t>
      </w:r>
    </w:p>
    <w:p w:rsidRPr="00A61C32" w:rsidR="00A61C32" w:rsidP="00A61C32" w:rsidRDefault="00A61C32">
      <w:pPr>
        <w:shd w:val="clear" w:color="auto" w:fill="FFFFFF"/>
        <w:spacing w:beforeAutospacing="1" w:afterAutospacing="1"/>
        <w:rPr>
          <w:rFonts w:eastAsia="Times New Roman" w:cs="Arial"/>
          <w:color w:val="363636"/>
          <w:szCs w:val="18"/>
          <w:lang w:val="en" w:eastAsia="nl-NL"/>
        </w:rPr>
      </w:pPr>
      <w:r w:rsidRPr="00A61C32">
        <w:rPr>
          <w:rFonts w:eastAsia="Times New Roman" w:cs="Arial"/>
          <w:i/>
          <w:iCs/>
          <w:color w:val="363636"/>
          <w:szCs w:val="18"/>
          <w:bdr w:val="none" w:color="auto" w:sz="0" w:space="0" w:frame="1"/>
          <w:lang w:val="en" w:eastAsia="nl-NL"/>
        </w:rPr>
        <w:t>Improving waste management could deliver benefits for the environment, climate, human health and the economy. As part of a shift in EU policy towards a circular economy, the European Commission made four legislative proposals introducing new waste-management targets regarding reuse, recycling and landfilling.</w:t>
      </w:r>
    </w:p>
    <w:p w:rsidRPr="00A61C32" w:rsidR="00A61C32" w:rsidP="00A61C32" w:rsidRDefault="00A61C32">
      <w:pPr>
        <w:shd w:val="clear" w:color="auto" w:fill="FFFFFF"/>
        <w:spacing w:beforeAutospacing="1" w:afterAutospacing="1"/>
        <w:rPr>
          <w:rFonts w:eastAsia="Times New Roman" w:cs="Arial"/>
          <w:color w:val="363636"/>
          <w:szCs w:val="18"/>
          <w:lang w:val="en" w:eastAsia="nl-NL"/>
        </w:rPr>
      </w:pPr>
      <w:r w:rsidRPr="00A61C32">
        <w:rPr>
          <w:rFonts w:eastAsia="Times New Roman" w:cs="Arial"/>
          <w:i/>
          <w:iCs/>
          <w:color w:val="363636"/>
          <w:szCs w:val="18"/>
          <w:bdr w:val="none" w:color="auto" w:sz="0" w:space="0" w:frame="1"/>
          <w:lang w:val="en" w:eastAsia="nl-NL"/>
        </w:rPr>
        <w:t>The proposals also strengthen EU provisions on waste prevention and extended producer responsibility, and streamline definitions, reporting obligations and calculation methods for targets</w:t>
      </w:r>
      <w:r w:rsidRPr="00A61C32">
        <w:rPr>
          <w:rFonts w:eastAsia="Times New Roman" w:cs="Arial"/>
          <w:color w:val="363636"/>
          <w:szCs w:val="18"/>
          <w:lang w:val="en" w:eastAsia="nl-NL"/>
        </w:rPr>
        <w:t>.</w:t>
      </w:r>
    </w:p>
    <w:p w:rsidR="00A61C32" w:rsidP="00531240" w:rsidRDefault="00A61C32">
      <w:pPr>
        <w:spacing w:line="276" w:lineRule="auto"/>
      </w:pPr>
    </w:p>
    <w:sectPr w:rsidR="00A61C32" w:rsidSect="005E6185">
      <w:footerReference w:type="default" r:id="rId25"/>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605" w:rsidRDefault="00786605">
      <w:r>
        <w:separator/>
      </w:r>
    </w:p>
  </w:endnote>
  <w:endnote w:type="continuationSeparator" w:id="0">
    <w:p w:rsidR="00786605" w:rsidRDefault="0078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663596"/>
      <w:docPartObj>
        <w:docPartGallery w:val="Page Numbers (Bottom of Page)"/>
        <w:docPartUnique/>
      </w:docPartObj>
    </w:sdtPr>
    <w:sdtEndPr/>
    <w:sdtContent>
      <w:p w:rsidR="009D1E98" w:rsidRDefault="009D1E98">
        <w:pPr>
          <w:pStyle w:val="Voettekst"/>
          <w:jc w:val="right"/>
        </w:pPr>
        <w:r>
          <w:fldChar w:fldCharType="begin"/>
        </w:r>
        <w:r>
          <w:instrText>PAGE   \* MERGEFORMAT</w:instrText>
        </w:r>
        <w:r>
          <w:fldChar w:fldCharType="separate"/>
        </w:r>
        <w:r w:rsidR="00940ABD">
          <w:rPr>
            <w:noProof/>
          </w:rPr>
          <w:t>1</w:t>
        </w:r>
        <w:r>
          <w:fldChar w:fldCharType="end"/>
        </w:r>
      </w:p>
    </w:sdtContent>
  </w:sdt>
  <w:p w:rsidR="009D1E98" w:rsidRDefault="009D1E9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605" w:rsidRDefault="00786605">
      <w:r>
        <w:separator/>
      </w:r>
    </w:p>
  </w:footnote>
  <w:footnote w:type="continuationSeparator" w:id="0">
    <w:p w:rsidR="00786605" w:rsidRDefault="00786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67A4B"/>
    <w:multiLevelType w:val="hybridMultilevel"/>
    <w:tmpl w:val="BDEC9C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EDB7CD9"/>
    <w:multiLevelType w:val="hybridMultilevel"/>
    <w:tmpl w:val="CBF8851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12C72F3"/>
    <w:multiLevelType w:val="hybridMultilevel"/>
    <w:tmpl w:val="2AD8F94E"/>
    <w:lvl w:ilvl="0" w:tplc="4C9C8658">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16E670B"/>
    <w:multiLevelType w:val="hybridMultilevel"/>
    <w:tmpl w:val="1C52DA30"/>
    <w:lvl w:ilvl="0" w:tplc="7180B6E0">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636425F"/>
    <w:multiLevelType w:val="hybridMultilevel"/>
    <w:tmpl w:val="140EB48A"/>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B201BFA"/>
    <w:multiLevelType w:val="hybridMultilevel"/>
    <w:tmpl w:val="F86CD388"/>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C4475BC"/>
    <w:multiLevelType w:val="hybridMultilevel"/>
    <w:tmpl w:val="C1B834E8"/>
    <w:lvl w:ilvl="0" w:tplc="42680A06">
      <w:numFmt w:val="bullet"/>
      <w:lvlText w:val="-"/>
      <w:lvlJc w:val="left"/>
      <w:pPr>
        <w:ind w:left="1080" w:hanging="360"/>
      </w:pPr>
      <w:rPr>
        <w:rFonts w:ascii="Verdana" w:eastAsia="Calibri"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6C281BEB"/>
    <w:multiLevelType w:val="hybridMultilevel"/>
    <w:tmpl w:val="944E208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4"/>
  </w:num>
  <w:num w:numId="6">
    <w:abstractNumId w:val="1"/>
  </w:num>
  <w:num w:numId="7">
    <w:abstractNumId w:val="5"/>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E3"/>
    <w:rsid w:val="0000060B"/>
    <w:rsid w:val="000037F6"/>
    <w:rsid w:val="000042A9"/>
    <w:rsid w:val="00013B5B"/>
    <w:rsid w:val="0001771A"/>
    <w:rsid w:val="00030DD8"/>
    <w:rsid w:val="000333B6"/>
    <w:rsid w:val="00046C5A"/>
    <w:rsid w:val="0005329E"/>
    <w:rsid w:val="00055BD7"/>
    <w:rsid w:val="00056F46"/>
    <w:rsid w:val="00062D04"/>
    <w:rsid w:val="000673C4"/>
    <w:rsid w:val="0007047C"/>
    <w:rsid w:val="00076860"/>
    <w:rsid w:val="00080391"/>
    <w:rsid w:val="0008427E"/>
    <w:rsid w:val="0008563E"/>
    <w:rsid w:val="0009523B"/>
    <w:rsid w:val="00096783"/>
    <w:rsid w:val="000A0A50"/>
    <w:rsid w:val="000A47FE"/>
    <w:rsid w:val="000A65F3"/>
    <w:rsid w:val="000A7AC2"/>
    <w:rsid w:val="000B20CC"/>
    <w:rsid w:val="000B4D77"/>
    <w:rsid w:val="000B5055"/>
    <w:rsid w:val="000B7564"/>
    <w:rsid w:val="000C1988"/>
    <w:rsid w:val="000C21E0"/>
    <w:rsid w:val="000C37F6"/>
    <w:rsid w:val="000C3D68"/>
    <w:rsid w:val="000C408D"/>
    <w:rsid w:val="000D42DD"/>
    <w:rsid w:val="000D4384"/>
    <w:rsid w:val="000E1F9A"/>
    <w:rsid w:val="000E29D1"/>
    <w:rsid w:val="000E5D5B"/>
    <w:rsid w:val="000E69FD"/>
    <w:rsid w:val="000F55BC"/>
    <w:rsid w:val="000F5B73"/>
    <w:rsid w:val="00102386"/>
    <w:rsid w:val="001065C6"/>
    <w:rsid w:val="001122EB"/>
    <w:rsid w:val="00114601"/>
    <w:rsid w:val="00116712"/>
    <w:rsid w:val="00124035"/>
    <w:rsid w:val="001251D1"/>
    <w:rsid w:val="0013545A"/>
    <w:rsid w:val="00136E56"/>
    <w:rsid w:val="00161D7E"/>
    <w:rsid w:val="001625A5"/>
    <w:rsid w:val="00167247"/>
    <w:rsid w:val="00193095"/>
    <w:rsid w:val="00195FAA"/>
    <w:rsid w:val="001964E6"/>
    <w:rsid w:val="001A3EA5"/>
    <w:rsid w:val="001A4DA4"/>
    <w:rsid w:val="001B235B"/>
    <w:rsid w:val="001B3011"/>
    <w:rsid w:val="001B4BF0"/>
    <w:rsid w:val="001C0344"/>
    <w:rsid w:val="001C6BDD"/>
    <w:rsid w:val="001E7814"/>
    <w:rsid w:val="001F7EFE"/>
    <w:rsid w:val="002022C6"/>
    <w:rsid w:val="00202CF0"/>
    <w:rsid w:val="00211007"/>
    <w:rsid w:val="00211AAB"/>
    <w:rsid w:val="00212B1F"/>
    <w:rsid w:val="00227D3D"/>
    <w:rsid w:val="002302DB"/>
    <w:rsid w:val="00234FA8"/>
    <w:rsid w:val="002461EC"/>
    <w:rsid w:val="00267A44"/>
    <w:rsid w:val="002713E9"/>
    <w:rsid w:val="00282160"/>
    <w:rsid w:val="00287894"/>
    <w:rsid w:val="002952D5"/>
    <w:rsid w:val="002A1A9B"/>
    <w:rsid w:val="002A73D6"/>
    <w:rsid w:val="002B0E24"/>
    <w:rsid w:val="002B13E7"/>
    <w:rsid w:val="002C2833"/>
    <w:rsid w:val="002C5808"/>
    <w:rsid w:val="002C5B31"/>
    <w:rsid w:val="002D262A"/>
    <w:rsid w:val="002D59A6"/>
    <w:rsid w:val="002E6E1D"/>
    <w:rsid w:val="002F109B"/>
    <w:rsid w:val="002F2DCC"/>
    <w:rsid w:val="002F56E1"/>
    <w:rsid w:val="0030057C"/>
    <w:rsid w:val="00310FF6"/>
    <w:rsid w:val="00337413"/>
    <w:rsid w:val="00343774"/>
    <w:rsid w:val="00351400"/>
    <w:rsid w:val="00365C45"/>
    <w:rsid w:val="00370E62"/>
    <w:rsid w:val="00375CD9"/>
    <w:rsid w:val="0037794D"/>
    <w:rsid w:val="00382E6E"/>
    <w:rsid w:val="00392744"/>
    <w:rsid w:val="003A15D6"/>
    <w:rsid w:val="003B2E62"/>
    <w:rsid w:val="003B5083"/>
    <w:rsid w:val="003B748D"/>
    <w:rsid w:val="003B7A8C"/>
    <w:rsid w:val="003C00EA"/>
    <w:rsid w:val="003C1623"/>
    <w:rsid w:val="003C2074"/>
    <w:rsid w:val="003C5658"/>
    <w:rsid w:val="003C5EB6"/>
    <w:rsid w:val="003C7249"/>
    <w:rsid w:val="003D4A4F"/>
    <w:rsid w:val="003D6078"/>
    <w:rsid w:val="003E5D2D"/>
    <w:rsid w:val="003F0B09"/>
    <w:rsid w:val="003F5B25"/>
    <w:rsid w:val="00401AAB"/>
    <w:rsid w:val="004029CF"/>
    <w:rsid w:val="0040571F"/>
    <w:rsid w:val="00405FDF"/>
    <w:rsid w:val="00406BC3"/>
    <w:rsid w:val="00407A3F"/>
    <w:rsid w:val="00410618"/>
    <w:rsid w:val="00410747"/>
    <w:rsid w:val="00416EE8"/>
    <w:rsid w:val="00417205"/>
    <w:rsid w:val="00417213"/>
    <w:rsid w:val="0043382C"/>
    <w:rsid w:val="004351FC"/>
    <w:rsid w:val="00437084"/>
    <w:rsid w:val="00447B84"/>
    <w:rsid w:val="004521E2"/>
    <w:rsid w:val="00463D76"/>
    <w:rsid w:val="00464621"/>
    <w:rsid w:val="0046796A"/>
    <w:rsid w:val="00467A3A"/>
    <w:rsid w:val="004707BC"/>
    <w:rsid w:val="0047187D"/>
    <w:rsid w:val="004774D6"/>
    <w:rsid w:val="00477F6E"/>
    <w:rsid w:val="00495EA6"/>
    <w:rsid w:val="004B0E0F"/>
    <w:rsid w:val="004B133B"/>
    <w:rsid w:val="004B3403"/>
    <w:rsid w:val="004B5532"/>
    <w:rsid w:val="004C064E"/>
    <w:rsid w:val="004C07FF"/>
    <w:rsid w:val="004C5911"/>
    <w:rsid w:val="004D0135"/>
    <w:rsid w:val="004D0826"/>
    <w:rsid w:val="004D3FCE"/>
    <w:rsid w:val="004D4DF2"/>
    <w:rsid w:val="004F0E15"/>
    <w:rsid w:val="004F2110"/>
    <w:rsid w:val="004F273C"/>
    <w:rsid w:val="004F29C7"/>
    <w:rsid w:val="004F4981"/>
    <w:rsid w:val="0051448E"/>
    <w:rsid w:val="00520B04"/>
    <w:rsid w:val="00521EB0"/>
    <w:rsid w:val="005228E3"/>
    <w:rsid w:val="0052620B"/>
    <w:rsid w:val="0052636F"/>
    <w:rsid w:val="00526826"/>
    <w:rsid w:val="00531240"/>
    <w:rsid w:val="005315D3"/>
    <w:rsid w:val="0053268F"/>
    <w:rsid w:val="00541585"/>
    <w:rsid w:val="00545F4F"/>
    <w:rsid w:val="005477A3"/>
    <w:rsid w:val="00556890"/>
    <w:rsid w:val="00561505"/>
    <w:rsid w:val="0056247D"/>
    <w:rsid w:val="00572F2A"/>
    <w:rsid w:val="005765C6"/>
    <w:rsid w:val="0058376E"/>
    <w:rsid w:val="00583BE7"/>
    <w:rsid w:val="00586EA6"/>
    <w:rsid w:val="005876D8"/>
    <w:rsid w:val="00587995"/>
    <w:rsid w:val="00593E45"/>
    <w:rsid w:val="005A10A8"/>
    <w:rsid w:val="005A36C0"/>
    <w:rsid w:val="005B794F"/>
    <w:rsid w:val="005C2D12"/>
    <w:rsid w:val="005D0259"/>
    <w:rsid w:val="005D4A92"/>
    <w:rsid w:val="005E09C1"/>
    <w:rsid w:val="005E6185"/>
    <w:rsid w:val="005E7FED"/>
    <w:rsid w:val="005F21AA"/>
    <w:rsid w:val="005F3623"/>
    <w:rsid w:val="005F3E53"/>
    <w:rsid w:val="00600BE9"/>
    <w:rsid w:val="00602186"/>
    <w:rsid w:val="00614C50"/>
    <w:rsid w:val="00621FDC"/>
    <w:rsid w:val="00622EED"/>
    <w:rsid w:val="00625B63"/>
    <w:rsid w:val="00625E31"/>
    <w:rsid w:val="0062691D"/>
    <w:rsid w:val="00645A9B"/>
    <w:rsid w:val="00652697"/>
    <w:rsid w:val="006535B5"/>
    <w:rsid w:val="00660B14"/>
    <w:rsid w:val="006614C3"/>
    <w:rsid w:val="00662333"/>
    <w:rsid w:val="00662704"/>
    <w:rsid w:val="00665AE4"/>
    <w:rsid w:val="006726AB"/>
    <w:rsid w:val="006804F8"/>
    <w:rsid w:val="0069672B"/>
    <w:rsid w:val="00697FA1"/>
    <w:rsid w:val="006A40CD"/>
    <w:rsid w:val="006C2533"/>
    <w:rsid w:val="006D24B2"/>
    <w:rsid w:val="006D27F8"/>
    <w:rsid w:val="006D3F4C"/>
    <w:rsid w:val="006D5210"/>
    <w:rsid w:val="006E0399"/>
    <w:rsid w:val="006E0748"/>
    <w:rsid w:val="006E3289"/>
    <w:rsid w:val="006E60F5"/>
    <w:rsid w:val="006F1494"/>
    <w:rsid w:val="006F714F"/>
    <w:rsid w:val="00705C4C"/>
    <w:rsid w:val="00705C94"/>
    <w:rsid w:val="00707837"/>
    <w:rsid w:val="00722A14"/>
    <w:rsid w:val="0072421C"/>
    <w:rsid w:val="0073353C"/>
    <w:rsid w:val="00733745"/>
    <w:rsid w:val="007358A0"/>
    <w:rsid w:val="00735C9B"/>
    <w:rsid w:val="00762960"/>
    <w:rsid w:val="00781386"/>
    <w:rsid w:val="00786605"/>
    <w:rsid w:val="0078688E"/>
    <w:rsid w:val="007A4D57"/>
    <w:rsid w:val="007B1176"/>
    <w:rsid w:val="007B444E"/>
    <w:rsid w:val="007C09B1"/>
    <w:rsid w:val="007C36C3"/>
    <w:rsid w:val="007C5432"/>
    <w:rsid w:val="007C6DF0"/>
    <w:rsid w:val="007D4DBC"/>
    <w:rsid w:val="007D6A0D"/>
    <w:rsid w:val="007E099A"/>
    <w:rsid w:val="007E1C65"/>
    <w:rsid w:val="007E4D26"/>
    <w:rsid w:val="007E78D6"/>
    <w:rsid w:val="007F2398"/>
    <w:rsid w:val="007F5644"/>
    <w:rsid w:val="00810C00"/>
    <w:rsid w:val="008118FF"/>
    <w:rsid w:val="008149D0"/>
    <w:rsid w:val="00814C59"/>
    <w:rsid w:val="0081728D"/>
    <w:rsid w:val="00820D83"/>
    <w:rsid w:val="00823788"/>
    <w:rsid w:val="008429A4"/>
    <w:rsid w:val="008440B5"/>
    <w:rsid w:val="00844436"/>
    <w:rsid w:val="0084519F"/>
    <w:rsid w:val="00850790"/>
    <w:rsid w:val="00850E59"/>
    <w:rsid w:val="0085204C"/>
    <w:rsid w:val="00856A3B"/>
    <w:rsid w:val="00856E39"/>
    <w:rsid w:val="00861152"/>
    <w:rsid w:val="00862E04"/>
    <w:rsid w:val="0087700E"/>
    <w:rsid w:val="00877602"/>
    <w:rsid w:val="008823AF"/>
    <w:rsid w:val="0088375D"/>
    <w:rsid w:val="00884EF0"/>
    <w:rsid w:val="008851AF"/>
    <w:rsid w:val="00886ABD"/>
    <w:rsid w:val="00887C6D"/>
    <w:rsid w:val="00897017"/>
    <w:rsid w:val="00897A67"/>
    <w:rsid w:val="008A36C2"/>
    <w:rsid w:val="008A4B93"/>
    <w:rsid w:val="008B09B8"/>
    <w:rsid w:val="008B2733"/>
    <w:rsid w:val="008B39A9"/>
    <w:rsid w:val="008B492B"/>
    <w:rsid w:val="008C04CA"/>
    <w:rsid w:val="008D1514"/>
    <w:rsid w:val="008D4564"/>
    <w:rsid w:val="008E089E"/>
    <w:rsid w:val="008E2689"/>
    <w:rsid w:val="008E36C1"/>
    <w:rsid w:val="008F409B"/>
    <w:rsid w:val="008F459C"/>
    <w:rsid w:val="00900507"/>
    <w:rsid w:val="00901D3E"/>
    <w:rsid w:val="00902826"/>
    <w:rsid w:val="00902AD1"/>
    <w:rsid w:val="00902FAD"/>
    <w:rsid w:val="00910956"/>
    <w:rsid w:val="009114A2"/>
    <w:rsid w:val="00913DD9"/>
    <w:rsid w:val="00917DC3"/>
    <w:rsid w:val="00923D4A"/>
    <w:rsid w:val="00924B82"/>
    <w:rsid w:val="00926B87"/>
    <w:rsid w:val="00930926"/>
    <w:rsid w:val="00936267"/>
    <w:rsid w:val="0094042F"/>
    <w:rsid w:val="00940ABD"/>
    <w:rsid w:val="00945B4F"/>
    <w:rsid w:val="00946010"/>
    <w:rsid w:val="00950E90"/>
    <w:rsid w:val="009560F7"/>
    <w:rsid w:val="00956717"/>
    <w:rsid w:val="00956971"/>
    <w:rsid w:val="00960B63"/>
    <w:rsid w:val="00965F78"/>
    <w:rsid w:val="00966C2F"/>
    <w:rsid w:val="009713AF"/>
    <w:rsid w:val="00976ADE"/>
    <w:rsid w:val="0098039C"/>
    <w:rsid w:val="0098181A"/>
    <w:rsid w:val="009836C1"/>
    <w:rsid w:val="00984563"/>
    <w:rsid w:val="00993A68"/>
    <w:rsid w:val="00993B6A"/>
    <w:rsid w:val="00995C56"/>
    <w:rsid w:val="009966A7"/>
    <w:rsid w:val="00996D71"/>
    <w:rsid w:val="009A3995"/>
    <w:rsid w:val="009B051B"/>
    <w:rsid w:val="009B59DC"/>
    <w:rsid w:val="009C5737"/>
    <w:rsid w:val="009D1E98"/>
    <w:rsid w:val="009D330A"/>
    <w:rsid w:val="009D6D34"/>
    <w:rsid w:val="009D6D58"/>
    <w:rsid w:val="009F3F8E"/>
    <w:rsid w:val="009F484A"/>
    <w:rsid w:val="009F56C1"/>
    <w:rsid w:val="009F7DB1"/>
    <w:rsid w:val="00A02FE8"/>
    <w:rsid w:val="00A05D30"/>
    <w:rsid w:val="00A10AA0"/>
    <w:rsid w:val="00A1685B"/>
    <w:rsid w:val="00A16862"/>
    <w:rsid w:val="00A17876"/>
    <w:rsid w:val="00A2032F"/>
    <w:rsid w:val="00A2492D"/>
    <w:rsid w:val="00A3350F"/>
    <w:rsid w:val="00A3732B"/>
    <w:rsid w:val="00A43260"/>
    <w:rsid w:val="00A43DAE"/>
    <w:rsid w:val="00A44566"/>
    <w:rsid w:val="00A54429"/>
    <w:rsid w:val="00A57E3B"/>
    <w:rsid w:val="00A61C32"/>
    <w:rsid w:val="00A674AB"/>
    <w:rsid w:val="00A80245"/>
    <w:rsid w:val="00A828E3"/>
    <w:rsid w:val="00A835FD"/>
    <w:rsid w:val="00A91522"/>
    <w:rsid w:val="00A96F44"/>
    <w:rsid w:val="00A977C9"/>
    <w:rsid w:val="00A97CEC"/>
    <w:rsid w:val="00AA0F58"/>
    <w:rsid w:val="00AA17A2"/>
    <w:rsid w:val="00AB1510"/>
    <w:rsid w:val="00AB37AA"/>
    <w:rsid w:val="00AC2103"/>
    <w:rsid w:val="00AC26AB"/>
    <w:rsid w:val="00AC4404"/>
    <w:rsid w:val="00AC49AB"/>
    <w:rsid w:val="00AC6574"/>
    <w:rsid w:val="00AD07D3"/>
    <w:rsid w:val="00AD4DA9"/>
    <w:rsid w:val="00AD5DA6"/>
    <w:rsid w:val="00AD6C16"/>
    <w:rsid w:val="00AE237B"/>
    <w:rsid w:val="00AE5CE5"/>
    <w:rsid w:val="00B01C55"/>
    <w:rsid w:val="00B05614"/>
    <w:rsid w:val="00B13310"/>
    <w:rsid w:val="00B137D2"/>
    <w:rsid w:val="00B247B3"/>
    <w:rsid w:val="00B27247"/>
    <w:rsid w:val="00B35387"/>
    <w:rsid w:val="00B451FA"/>
    <w:rsid w:val="00B51F66"/>
    <w:rsid w:val="00B5348A"/>
    <w:rsid w:val="00B565E1"/>
    <w:rsid w:val="00B61106"/>
    <w:rsid w:val="00B74A2E"/>
    <w:rsid w:val="00B7551B"/>
    <w:rsid w:val="00B759BB"/>
    <w:rsid w:val="00B75F73"/>
    <w:rsid w:val="00B84F77"/>
    <w:rsid w:val="00B907B0"/>
    <w:rsid w:val="00B93B50"/>
    <w:rsid w:val="00B95F7A"/>
    <w:rsid w:val="00BA689F"/>
    <w:rsid w:val="00BC0613"/>
    <w:rsid w:val="00BC4737"/>
    <w:rsid w:val="00BD401C"/>
    <w:rsid w:val="00BF05F5"/>
    <w:rsid w:val="00BF44DC"/>
    <w:rsid w:val="00C01F01"/>
    <w:rsid w:val="00C11045"/>
    <w:rsid w:val="00C17B1A"/>
    <w:rsid w:val="00C25145"/>
    <w:rsid w:val="00C27DF8"/>
    <w:rsid w:val="00C3572A"/>
    <w:rsid w:val="00C417E4"/>
    <w:rsid w:val="00C43630"/>
    <w:rsid w:val="00C53F12"/>
    <w:rsid w:val="00C56B13"/>
    <w:rsid w:val="00C8161E"/>
    <w:rsid w:val="00C97A62"/>
    <w:rsid w:val="00CA199E"/>
    <w:rsid w:val="00CA43B3"/>
    <w:rsid w:val="00CA58AC"/>
    <w:rsid w:val="00CC1C71"/>
    <w:rsid w:val="00CC2A6C"/>
    <w:rsid w:val="00CC394E"/>
    <w:rsid w:val="00CC4240"/>
    <w:rsid w:val="00CD59B3"/>
    <w:rsid w:val="00CE4224"/>
    <w:rsid w:val="00CE5DA0"/>
    <w:rsid w:val="00CF652D"/>
    <w:rsid w:val="00CF7605"/>
    <w:rsid w:val="00D051FB"/>
    <w:rsid w:val="00D06228"/>
    <w:rsid w:val="00D06D00"/>
    <w:rsid w:val="00D12DD2"/>
    <w:rsid w:val="00D14481"/>
    <w:rsid w:val="00D219FF"/>
    <w:rsid w:val="00D23293"/>
    <w:rsid w:val="00D266E4"/>
    <w:rsid w:val="00D272D3"/>
    <w:rsid w:val="00D356C0"/>
    <w:rsid w:val="00D37D31"/>
    <w:rsid w:val="00D46BB2"/>
    <w:rsid w:val="00D50A19"/>
    <w:rsid w:val="00D56528"/>
    <w:rsid w:val="00D6068C"/>
    <w:rsid w:val="00D633DD"/>
    <w:rsid w:val="00D6599C"/>
    <w:rsid w:val="00D65F40"/>
    <w:rsid w:val="00D77F3C"/>
    <w:rsid w:val="00D84FF8"/>
    <w:rsid w:val="00D90508"/>
    <w:rsid w:val="00D90DB8"/>
    <w:rsid w:val="00D94D9C"/>
    <w:rsid w:val="00DA48E1"/>
    <w:rsid w:val="00DB5BA4"/>
    <w:rsid w:val="00DB6B36"/>
    <w:rsid w:val="00DC0A50"/>
    <w:rsid w:val="00DC0E2A"/>
    <w:rsid w:val="00DC6765"/>
    <w:rsid w:val="00DD7F99"/>
    <w:rsid w:val="00DE0EA0"/>
    <w:rsid w:val="00DF12FB"/>
    <w:rsid w:val="00DF4A2D"/>
    <w:rsid w:val="00E034E7"/>
    <w:rsid w:val="00E0752F"/>
    <w:rsid w:val="00E225F0"/>
    <w:rsid w:val="00E41D9C"/>
    <w:rsid w:val="00E52434"/>
    <w:rsid w:val="00E66769"/>
    <w:rsid w:val="00E70143"/>
    <w:rsid w:val="00E71FE8"/>
    <w:rsid w:val="00E7292F"/>
    <w:rsid w:val="00E86EF5"/>
    <w:rsid w:val="00E92EE8"/>
    <w:rsid w:val="00E94037"/>
    <w:rsid w:val="00E945B5"/>
    <w:rsid w:val="00E95610"/>
    <w:rsid w:val="00E95F6A"/>
    <w:rsid w:val="00EA4CD6"/>
    <w:rsid w:val="00EA5DD7"/>
    <w:rsid w:val="00EB1552"/>
    <w:rsid w:val="00EB429D"/>
    <w:rsid w:val="00EC08CC"/>
    <w:rsid w:val="00ED338C"/>
    <w:rsid w:val="00ED7433"/>
    <w:rsid w:val="00EE2776"/>
    <w:rsid w:val="00EE60D9"/>
    <w:rsid w:val="00EE6CA7"/>
    <w:rsid w:val="00EF2254"/>
    <w:rsid w:val="00EF5C70"/>
    <w:rsid w:val="00EF7199"/>
    <w:rsid w:val="00F05834"/>
    <w:rsid w:val="00F05DD0"/>
    <w:rsid w:val="00F14205"/>
    <w:rsid w:val="00F14D19"/>
    <w:rsid w:val="00F24822"/>
    <w:rsid w:val="00F24A9B"/>
    <w:rsid w:val="00F31A89"/>
    <w:rsid w:val="00F33086"/>
    <w:rsid w:val="00F3420D"/>
    <w:rsid w:val="00F3735C"/>
    <w:rsid w:val="00F4005F"/>
    <w:rsid w:val="00F436E9"/>
    <w:rsid w:val="00F4385F"/>
    <w:rsid w:val="00F44880"/>
    <w:rsid w:val="00F44F16"/>
    <w:rsid w:val="00F549A1"/>
    <w:rsid w:val="00F57C36"/>
    <w:rsid w:val="00F6056C"/>
    <w:rsid w:val="00F61E5B"/>
    <w:rsid w:val="00F64E12"/>
    <w:rsid w:val="00F67861"/>
    <w:rsid w:val="00F7533D"/>
    <w:rsid w:val="00F7666B"/>
    <w:rsid w:val="00F84E14"/>
    <w:rsid w:val="00F84E24"/>
    <w:rsid w:val="00F84F9D"/>
    <w:rsid w:val="00F96FC6"/>
    <w:rsid w:val="00F9703B"/>
    <w:rsid w:val="00FA078F"/>
    <w:rsid w:val="00FA3C89"/>
    <w:rsid w:val="00FC1389"/>
    <w:rsid w:val="00FC546D"/>
    <w:rsid w:val="00FD7CD0"/>
    <w:rsid w:val="00FE306B"/>
    <w:rsid w:val="00FE4AB7"/>
    <w:rsid w:val="00FE5014"/>
    <w:rsid w:val="00FE69D9"/>
    <w:rsid w:val="00FE736D"/>
    <w:rsid w:val="00FF2CAE"/>
    <w:rsid w:val="00FF2D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Lijstalinea">
    <w:name w:val="List Paragraph"/>
    <w:basedOn w:val="Standaard"/>
    <w:uiPriority w:val="34"/>
    <w:qFormat/>
    <w:rsid w:val="00E95F6A"/>
    <w:pPr>
      <w:ind w:left="720"/>
      <w:contextualSpacing/>
    </w:p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rsid w:val="00902826"/>
    <w:rPr>
      <w:vertAlign w:val="superscript"/>
    </w:rPr>
  </w:style>
  <w:style w:type="character" w:styleId="Hyperlink">
    <w:name w:val="Hyperlink"/>
    <w:basedOn w:val="Standaardalinea-lettertype"/>
    <w:rsid w:val="00437084"/>
    <w:rPr>
      <w:color w:val="0000FF"/>
      <w:u w:val="single"/>
    </w:rPr>
  </w:style>
  <w:style w:type="paragraph" w:styleId="Voetnoottekst">
    <w:name w:val="footnote text"/>
    <w:basedOn w:val="Standaard"/>
    <w:link w:val="VoetnoottekstChar"/>
    <w:uiPriority w:val="99"/>
    <w:semiHidden/>
    <w:unhideWhenUsed/>
    <w:rsid w:val="009D1E98"/>
    <w:rPr>
      <w:sz w:val="20"/>
      <w:szCs w:val="20"/>
    </w:rPr>
  </w:style>
  <w:style w:type="character" w:customStyle="1" w:styleId="VoetnoottekstChar">
    <w:name w:val="Voetnoottekst Char"/>
    <w:basedOn w:val="Standaardalinea-lettertype"/>
    <w:link w:val="Voetnoottekst"/>
    <w:uiPriority w:val="99"/>
    <w:semiHidden/>
    <w:rsid w:val="009D1E98"/>
    <w:rPr>
      <w:rFonts w:ascii="Verdana" w:hAnsi="Verdana"/>
      <w:lang w:eastAsia="en-US"/>
    </w:rPr>
  </w:style>
  <w:style w:type="character" w:styleId="Zwaar">
    <w:name w:val="Strong"/>
    <w:basedOn w:val="Standaardalinea-lettertype"/>
    <w:uiPriority w:val="22"/>
    <w:qFormat/>
    <w:locked/>
    <w:rsid w:val="00202CF0"/>
    <w:rPr>
      <w:b/>
      <w:bCs/>
    </w:rPr>
  </w:style>
  <w:style w:type="character" w:styleId="Verwijzingopmerking">
    <w:name w:val="annotation reference"/>
    <w:basedOn w:val="Standaardalinea-lettertype"/>
    <w:uiPriority w:val="99"/>
    <w:semiHidden/>
    <w:unhideWhenUsed/>
    <w:rsid w:val="00A02FE8"/>
    <w:rPr>
      <w:sz w:val="16"/>
      <w:szCs w:val="16"/>
    </w:rPr>
  </w:style>
  <w:style w:type="paragraph" w:styleId="Tekstopmerking">
    <w:name w:val="annotation text"/>
    <w:basedOn w:val="Standaard"/>
    <w:link w:val="TekstopmerkingChar"/>
    <w:uiPriority w:val="99"/>
    <w:semiHidden/>
    <w:unhideWhenUsed/>
    <w:rsid w:val="00A02FE8"/>
    <w:rPr>
      <w:sz w:val="20"/>
      <w:szCs w:val="20"/>
    </w:rPr>
  </w:style>
  <w:style w:type="character" w:customStyle="1" w:styleId="TekstopmerkingChar">
    <w:name w:val="Tekst opmerking Char"/>
    <w:basedOn w:val="Standaardalinea-lettertype"/>
    <w:link w:val="Tekstopmerking"/>
    <w:uiPriority w:val="99"/>
    <w:semiHidden/>
    <w:rsid w:val="00A02FE8"/>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A02FE8"/>
    <w:rPr>
      <w:b/>
      <w:bCs/>
    </w:rPr>
  </w:style>
  <w:style w:type="character" w:customStyle="1" w:styleId="OnderwerpvanopmerkingChar">
    <w:name w:val="Onderwerp van opmerking Char"/>
    <w:basedOn w:val="TekstopmerkingChar"/>
    <w:link w:val="Onderwerpvanopmerking"/>
    <w:uiPriority w:val="99"/>
    <w:semiHidden/>
    <w:rsid w:val="00A02FE8"/>
    <w:rPr>
      <w:rFonts w:ascii="Verdana" w:hAnsi="Verdana"/>
      <w:b/>
      <w:bCs/>
      <w:lang w:eastAsia="en-US"/>
    </w:rPr>
  </w:style>
  <w:style w:type="character" w:styleId="GevolgdeHyperlink">
    <w:name w:val="FollowedHyperlink"/>
    <w:basedOn w:val="Standaardalinea-lettertype"/>
    <w:uiPriority w:val="99"/>
    <w:semiHidden/>
    <w:unhideWhenUsed/>
    <w:rsid w:val="004C59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Lijstalinea">
    <w:name w:val="List Paragraph"/>
    <w:basedOn w:val="Standaard"/>
    <w:uiPriority w:val="34"/>
    <w:qFormat/>
    <w:rsid w:val="00E95F6A"/>
    <w:pPr>
      <w:ind w:left="720"/>
      <w:contextualSpacing/>
    </w:p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rsid w:val="00902826"/>
    <w:rPr>
      <w:vertAlign w:val="superscript"/>
    </w:rPr>
  </w:style>
  <w:style w:type="character" w:styleId="Hyperlink">
    <w:name w:val="Hyperlink"/>
    <w:basedOn w:val="Standaardalinea-lettertype"/>
    <w:rsid w:val="00437084"/>
    <w:rPr>
      <w:color w:val="0000FF"/>
      <w:u w:val="single"/>
    </w:rPr>
  </w:style>
  <w:style w:type="paragraph" w:styleId="Voetnoottekst">
    <w:name w:val="footnote text"/>
    <w:basedOn w:val="Standaard"/>
    <w:link w:val="VoetnoottekstChar"/>
    <w:uiPriority w:val="99"/>
    <w:semiHidden/>
    <w:unhideWhenUsed/>
    <w:rsid w:val="009D1E98"/>
    <w:rPr>
      <w:sz w:val="20"/>
      <w:szCs w:val="20"/>
    </w:rPr>
  </w:style>
  <w:style w:type="character" w:customStyle="1" w:styleId="VoetnoottekstChar">
    <w:name w:val="Voetnoottekst Char"/>
    <w:basedOn w:val="Standaardalinea-lettertype"/>
    <w:link w:val="Voetnoottekst"/>
    <w:uiPriority w:val="99"/>
    <w:semiHidden/>
    <w:rsid w:val="009D1E98"/>
    <w:rPr>
      <w:rFonts w:ascii="Verdana" w:hAnsi="Verdana"/>
      <w:lang w:eastAsia="en-US"/>
    </w:rPr>
  </w:style>
  <w:style w:type="character" w:styleId="Zwaar">
    <w:name w:val="Strong"/>
    <w:basedOn w:val="Standaardalinea-lettertype"/>
    <w:uiPriority w:val="22"/>
    <w:qFormat/>
    <w:locked/>
    <w:rsid w:val="00202CF0"/>
    <w:rPr>
      <w:b/>
      <w:bCs/>
    </w:rPr>
  </w:style>
  <w:style w:type="character" w:styleId="Verwijzingopmerking">
    <w:name w:val="annotation reference"/>
    <w:basedOn w:val="Standaardalinea-lettertype"/>
    <w:uiPriority w:val="99"/>
    <w:semiHidden/>
    <w:unhideWhenUsed/>
    <w:rsid w:val="00A02FE8"/>
    <w:rPr>
      <w:sz w:val="16"/>
      <w:szCs w:val="16"/>
    </w:rPr>
  </w:style>
  <w:style w:type="paragraph" w:styleId="Tekstopmerking">
    <w:name w:val="annotation text"/>
    <w:basedOn w:val="Standaard"/>
    <w:link w:val="TekstopmerkingChar"/>
    <w:uiPriority w:val="99"/>
    <w:semiHidden/>
    <w:unhideWhenUsed/>
    <w:rsid w:val="00A02FE8"/>
    <w:rPr>
      <w:sz w:val="20"/>
      <w:szCs w:val="20"/>
    </w:rPr>
  </w:style>
  <w:style w:type="character" w:customStyle="1" w:styleId="TekstopmerkingChar">
    <w:name w:val="Tekst opmerking Char"/>
    <w:basedOn w:val="Standaardalinea-lettertype"/>
    <w:link w:val="Tekstopmerking"/>
    <w:uiPriority w:val="99"/>
    <w:semiHidden/>
    <w:rsid w:val="00A02FE8"/>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A02FE8"/>
    <w:rPr>
      <w:b/>
      <w:bCs/>
    </w:rPr>
  </w:style>
  <w:style w:type="character" w:customStyle="1" w:styleId="OnderwerpvanopmerkingChar">
    <w:name w:val="Onderwerp van opmerking Char"/>
    <w:basedOn w:val="TekstopmerkingChar"/>
    <w:link w:val="Onderwerpvanopmerking"/>
    <w:uiPriority w:val="99"/>
    <w:semiHidden/>
    <w:rsid w:val="00A02FE8"/>
    <w:rPr>
      <w:rFonts w:ascii="Verdana" w:hAnsi="Verdana"/>
      <w:b/>
      <w:bCs/>
      <w:lang w:eastAsia="en-US"/>
    </w:rPr>
  </w:style>
  <w:style w:type="character" w:styleId="GevolgdeHyperlink">
    <w:name w:val="FollowedHyperlink"/>
    <w:basedOn w:val="Standaardalinea-lettertype"/>
    <w:uiPriority w:val="99"/>
    <w:semiHidden/>
    <w:unhideWhenUsed/>
    <w:rsid w:val="004C59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858722">
      <w:bodyDiv w:val="1"/>
      <w:marLeft w:val="0"/>
      <w:marRight w:val="0"/>
      <w:marTop w:val="0"/>
      <w:marBottom w:val="0"/>
      <w:divBdr>
        <w:top w:val="none" w:sz="0" w:space="0" w:color="auto"/>
        <w:left w:val="none" w:sz="0" w:space="0" w:color="auto"/>
        <w:bottom w:val="none" w:sz="0" w:space="0" w:color="auto"/>
        <w:right w:val="none" w:sz="0" w:space="0" w:color="auto"/>
      </w:divBdr>
      <w:divsChild>
        <w:div w:id="1660309000">
          <w:marLeft w:val="0"/>
          <w:marRight w:val="0"/>
          <w:marTop w:val="0"/>
          <w:marBottom w:val="0"/>
          <w:divBdr>
            <w:top w:val="none" w:sz="0" w:space="0" w:color="auto"/>
            <w:left w:val="none" w:sz="0" w:space="0" w:color="auto"/>
            <w:bottom w:val="none" w:sz="0" w:space="0" w:color="auto"/>
            <w:right w:val="none" w:sz="0" w:space="0" w:color="auto"/>
          </w:divBdr>
          <w:divsChild>
            <w:div w:id="101803438">
              <w:marLeft w:val="0"/>
              <w:marRight w:val="0"/>
              <w:marTop w:val="0"/>
              <w:marBottom w:val="0"/>
              <w:divBdr>
                <w:top w:val="none" w:sz="0" w:space="0" w:color="auto"/>
                <w:left w:val="none" w:sz="0" w:space="0" w:color="auto"/>
                <w:bottom w:val="none" w:sz="0" w:space="0" w:color="auto"/>
                <w:right w:val="none" w:sz="0" w:space="0" w:color="auto"/>
              </w:divBdr>
              <w:divsChild>
                <w:div w:id="587732109">
                  <w:marLeft w:val="0"/>
                  <w:marRight w:val="0"/>
                  <w:marTop w:val="0"/>
                  <w:marBottom w:val="0"/>
                  <w:divBdr>
                    <w:top w:val="none" w:sz="0" w:space="0" w:color="auto"/>
                    <w:left w:val="single" w:sz="6" w:space="0" w:color="FFFFFF"/>
                    <w:bottom w:val="none" w:sz="0" w:space="0" w:color="auto"/>
                    <w:right w:val="single" w:sz="6" w:space="0" w:color="FFFFFF"/>
                  </w:divBdr>
                  <w:divsChild>
                    <w:div w:id="330833743">
                      <w:marLeft w:val="0"/>
                      <w:marRight w:val="0"/>
                      <w:marTop w:val="0"/>
                      <w:marBottom w:val="0"/>
                      <w:divBdr>
                        <w:top w:val="none" w:sz="0" w:space="0" w:color="auto"/>
                        <w:left w:val="single" w:sz="6" w:space="0" w:color="DCE1E4"/>
                        <w:bottom w:val="none" w:sz="0" w:space="0" w:color="auto"/>
                        <w:right w:val="single" w:sz="6" w:space="0" w:color="DCE1E4"/>
                      </w:divBdr>
                      <w:divsChild>
                        <w:div w:id="172305788">
                          <w:marLeft w:val="0"/>
                          <w:marRight w:val="0"/>
                          <w:marTop w:val="0"/>
                          <w:marBottom w:val="0"/>
                          <w:divBdr>
                            <w:top w:val="none" w:sz="0" w:space="0" w:color="auto"/>
                            <w:left w:val="none" w:sz="0" w:space="0" w:color="auto"/>
                            <w:bottom w:val="none" w:sz="0" w:space="0" w:color="auto"/>
                            <w:right w:val="none" w:sz="0" w:space="0" w:color="auto"/>
                          </w:divBdr>
                          <w:divsChild>
                            <w:div w:id="1068654579">
                              <w:marLeft w:val="0"/>
                              <w:marRight w:val="0"/>
                              <w:marTop w:val="0"/>
                              <w:marBottom w:val="0"/>
                              <w:divBdr>
                                <w:top w:val="none" w:sz="0" w:space="0" w:color="auto"/>
                                <w:left w:val="none" w:sz="0" w:space="0" w:color="auto"/>
                                <w:bottom w:val="none" w:sz="0" w:space="0" w:color="auto"/>
                                <w:right w:val="none" w:sz="0" w:space="0" w:color="auto"/>
                              </w:divBdr>
                              <w:divsChild>
                                <w:div w:id="1173454267">
                                  <w:marLeft w:val="0"/>
                                  <w:marRight w:val="0"/>
                                  <w:marTop w:val="0"/>
                                  <w:marBottom w:val="0"/>
                                  <w:divBdr>
                                    <w:top w:val="none" w:sz="0" w:space="0" w:color="auto"/>
                                    <w:left w:val="none" w:sz="0" w:space="0" w:color="auto"/>
                                    <w:bottom w:val="none" w:sz="0" w:space="0" w:color="auto"/>
                                    <w:right w:val="none" w:sz="0" w:space="0" w:color="auto"/>
                                  </w:divBdr>
                                  <w:divsChild>
                                    <w:div w:id="46033512">
                                      <w:marLeft w:val="0"/>
                                      <w:marRight w:val="0"/>
                                      <w:marTop w:val="0"/>
                                      <w:marBottom w:val="0"/>
                                      <w:divBdr>
                                        <w:top w:val="none" w:sz="0" w:space="0" w:color="auto"/>
                                        <w:left w:val="none" w:sz="0" w:space="0" w:color="auto"/>
                                        <w:bottom w:val="none" w:sz="0" w:space="0" w:color="auto"/>
                                        <w:right w:val="none" w:sz="0" w:space="0" w:color="auto"/>
                                      </w:divBdr>
                                    </w:div>
                                  </w:divsChild>
                                </w:div>
                                <w:div w:id="1226381806">
                                  <w:marLeft w:val="0"/>
                                  <w:marRight w:val="0"/>
                                  <w:marTop w:val="0"/>
                                  <w:marBottom w:val="0"/>
                                  <w:divBdr>
                                    <w:top w:val="none" w:sz="0" w:space="0" w:color="auto"/>
                                    <w:left w:val="none" w:sz="0" w:space="0" w:color="auto"/>
                                    <w:bottom w:val="none" w:sz="0" w:space="0" w:color="auto"/>
                                    <w:right w:val="none" w:sz="0" w:space="0" w:color="auto"/>
                                  </w:divBdr>
                                  <w:divsChild>
                                    <w:div w:id="1741635507">
                                      <w:marLeft w:val="0"/>
                                      <w:marRight w:val="0"/>
                                      <w:marTop w:val="0"/>
                                      <w:marBottom w:val="0"/>
                                      <w:divBdr>
                                        <w:top w:val="none" w:sz="0" w:space="0" w:color="auto"/>
                                        <w:left w:val="none" w:sz="0" w:space="0" w:color="auto"/>
                                        <w:bottom w:val="none" w:sz="0" w:space="0" w:color="auto"/>
                                        <w:right w:val="none" w:sz="0" w:space="0" w:color="auto"/>
                                      </w:divBdr>
                                      <w:divsChild>
                                        <w:div w:id="318925851">
                                          <w:marLeft w:val="0"/>
                                          <w:marRight w:val="0"/>
                                          <w:marTop w:val="0"/>
                                          <w:marBottom w:val="0"/>
                                          <w:divBdr>
                                            <w:top w:val="none" w:sz="0" w:space="0" w:color="auto"/>
                                            <w:left w:val="none" w:sz="0" w:space="0" w:color="auto"/>
                                            <w:bottom w:val="none" w:sz="0" w:space="0" w:color="auto"/>
                                            <w:right w:val="none" w:sz="0" w:space="0" w:color="auto"/>
                                          </w:divBdr>
                                          <w:divsChild>
                                            <w:div w:id="594362868">
                                              <w:marLeft w:val="0"/>
                                              <w:marRight w:val="0"/>
                                              <w:marTop w:val="0"/>
                                              <w:marBottom w:val="0"/>
                                              <w:divBdr>
                                                <w:top w:val="none" w:sz="0" w:space="0" w:color="auto"/>
                                                <w:left w:val="none" w:sz="0" w:space="0" w:color="auto"/>
                                                <w:bottom w:val="none" w:sz="0" w:space="0" w:color="auto"/>
                                                <w:right w:val="none" w:sz="0" w:space="0" w:color="auto"/>
                                              </w:divBdr>
                                            </w:div>
                                            <w:div w:id="10728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yperlink" Target="http://eur-lex.europa.eu/legal-content/NL/TXT/?uri=celex:31998L0083" TargetMode="External" Id="rId13" /><Relationship Type="http://schemas.openxmlformats.org/officeDocument/2006/relationships/hyperlink" Target="https://www.eumonitor.nl/9353000/1/j9vvik7m1c3gyxp/vkb9f6b77yz4" TargetMode="External" Id="rId18" /><Relationship Type="http://schemas.openxmlformats.org/officeDocument/2006/relationships/fontTable" Target="fontTable.xml" Id="rId26" /><Relationship Type="http://schemas.openxmlformats.org/officeDocument/2006/relationships/hyperlink" Target="http://ec.europa.eu/energy/en/news/commission-proposes-new-rules-consumer-centred-clean-energy-transition" TargetMode="External" Id="rId21"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yperlink" Target="http://ec.europa.eu/environment/circular-economy/index_en.htm" TargetMode="External" Id="rId17" /><Relationship Type="http://schemas.openxmlformats.org/officeDocument/2006/relationships/footer" Target="footer1.xml" Id="rId25" /><Relationship Type="http://schemas.openxmlformats.org/officeDocument/2006/relationships/hyperlink" Target="http://eur-lex.europa.eu/legal-content/NL/TXT/?uri=uriserv:l28002b" TargetMode="External" Id="rId16" /><Relationship Type="http://schemas.openxmlformats.org/officeDocument/2006/relationships/hyperlink" Target="http://www.un.org/sustainabledevelopment/sustainable-development-goals/" TargetMode="External" Id="rId20"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hyperlink" Target="http://eur-lex.europa.eu/legal-content/NL/ALL/?uri=CELEX:52017PC0038" TargetMode="External" Id="rId24" /><Relationship Type="http://schemas.openxmlformats.org/officeDocument/2006/relationships/hyperlink" Target="http://eur-lex.europa.eu/legal-content/NL/TXT/?uri=URISERV%3Aev0027" TargetMode="External" Id="rId15" /><Relationship Type="http://schemas.openxmlformats.org/officeDocument/2006/relationships/hyperlink" Target="http://www.europarl.europa.eu/news/en/news-room/20170123IPR59605/waste-boost-recycling-cut-landfilling-and-curb-food-waste-say-meps" TargetMode="External" Id="rId23" /><Relationship Type="http://schemas.openxmlformats.org/officeDocument/2006/relationships/webSettings" Target="webSettings.xml" Id="rId10" /><Relationship Type="http://schemas.openxmlformats.org/officeDocument/2006/relationships/hyperlink" Target="http://eur-lex.europa.eu/legal-content/EN/TXT/?uri=JOIN:2016:49:FIN" TargetMode="External" Id="rId19" /><Relationship Type="http://schemas.openxmlformats.org/officeDocument/2006/relationships/settings" Target="settings.xml" Id="rId9" /><Relationship Type="http://schemas.openxmlformats.org/officeDocument/2006/relationships/hyperlink" Target="http://eur-lex.europa.eu/legal-content/NL/TXT/?uri=uriserv:ai0044" TargetMode="External" Id="rId14" /><Relationship Type="http://schemas.openxmlformats.org/officeDocument/2006/relationships/hyperlink" Target="https://www.coolproducts.eu/eu-product-policy" TargetMode="External"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3104</ap:Words>
  <ap:Characters>18808</ap:Characters>
  <ap:DocSecurity>4</ap:DocSecurity>
  <ap:Lines>156</ap:Lines>
  <ap:Paragraphs>43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21869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2011-08-31T13:07:00.0000000Z</lastPrinted>
  <dcterms:created xsi:type="dcterms:W3CDTF">2017-02-15T16:04:00.0000000Z</dcterms:created>
  <dcterms:modified xsi:type="dcterms:W3CDTF">2017-02-15T16:04:00.0000000Z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0x010100FB4F5846334F4D42AFEB1815788D8BEE</vt:lpwstr>
  </property>
</Properties>
</file>