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08" w:type="dxa"/>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4"/>
        <w:gridCol w:w="458"/>
        <w:gridCol w:w="7209"/>
        <w:gridCol w:w="3668"/>
        <w:gridCol w:w="289"/>
      </w:tblGrid>
      <w:tr w:rsidR="005E57AC" w:rsidTr="00B65137">
        <w:trPr>
          <w:trHeight w:val="1827"/>
        </w:trPr>
        <w:tc>
          <w:tcPr>
            <w:tcW w:w="284" w:type="dxa"/>
            <w:tcBorders>
              <w:top w:val="nil"/>
              <w:left w:val="nil"/>
              <w:bottom w:val="nil"/>
              <w:right w:val="nil"/>
            </w:tcBorders>
            <w:shd w:val="clear" w:color="auto" w:fill="auto"/>
            <w:tcMar>
              <w:top w:w="0" w:type="dxa"/>
              <w:left w:w="0" w:type="dxa"/>
              <w:bottom w:w="0" w:type="dxa"/>
              <w:right w:w="0" w:type="dxa"/>
            </w:tcMar>
            <w:vAlign w:val="center"/>
          </w:tcPr>
          <w:p w:rsidRPr="00FD13FF" w:rsidR="005E57AC" w:rsidP="009113F8" w:rsidRDefault="00054E99">
            <w:r>
              <w:rPr>
                <w:noProof/>
              </w:rPr>
              <w:drawing>
                <wp:anchor distT="0" distB="0" distL="114300" distR="114300" simplePos="0" relativeHeight="251655680" behindDoc="0" locked="1" layoutInCell="1" allowOverlap="0">
                  <wp:simplePos x="0" y="0"/>
                  <wp:positionH relativeFrom="page">
                    <wp:posOffset>0</wp:posOffset>
                  </wp:positionH>
                  <wp:positionV relativeFrom="page">
                    <wp:posOffset>-2029460</wp:posOffset>
                  </wp:positionV>
                  <wp:extent cx="7560310" cy="1577340"/>
                  <wp:effectExtent l="0" t="0" r="0" b="0"/>
                  <wp:wrapNone/>
                  <wp:docPr id="35" name="Afbeelding 3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1577340"/>
                          </a:xfrm>
                          <a:prstGeom prst="rect">
                            <a:avLst/>
                          </a:prstGeom>
                          <a:noFill/>
                        </pic:spPr>
                      </pic:pic>
                    </a:graphicData>
                  </a:graphic>
                  <wp14:sizeRelH relativeFrom="page">
                    <wp14:pctWidth>0</wp14:pctWidth>
                  </wp14:sizeRelH>
                  <wp14:sizeRelV relativeFrom="page">
                    <wp14:pctHeight>0</wp14:pctHeight>
                  </wp14:sizeRelV>
                </wp:anchor>
              </w:drawing>
            </w:r>
          </w:p>
        </w:tc>
        <w:tc>
          <w:tcPr>
            <w:tcW w:w="458" w:type="dxa"/>
            <w:tcBorders>
              <w:top w:val="nil"/>
              <w:left w:val="nil"/>
              <w:bottom w:val="nil"/>
              <w:right w:val="nil"/>
            </w:tcBorders>
            <w:shd w:val="clear" w:color="auto" w:fill="auto"/>
            <w:tcMar>
              <w:bottom w:w="0" w:type="dxa"/>
            </w:tcMar>
            <w:vAlign w:val="center"/>
          </w:tcPr>
          <w:p w:rsidR="005E57AC" w:rsidP="009113F8" w:rsidRDefault="005E57AC"/>
        </w:tc>
        <w:tc>
          <w:tcPr>
            <w:tcW w:w="7209" w:type="dxa"/>
            <w:tcBorders>
              <w:top w:val="nil"/>
              <w:left w:val="nil"/>
              <w:bottom w:val="nil"/>
              <w:right w:val="nil"/>
            </w:tcBorders>
            <w:shd w:val="clear" w:color="auto" w:fill="auto"/>
            <w:noWrap/>
            <w:tcMar>
              <w:top w:w="0" w:type="dxa"/>
              <w:left w:w="0" w:type="dxa"/>
              <w:bottom w:w="0" w:type="dxa"/>
              <w:right w:w="496" w:type="dxa"/>
            </w:tcMar>
            <w:vAlign w:val="center"/>
          </w:tcPr>
          <w:p w:rsidR="00B53DAF" w:rsidP="00B53DAF" w:rsidRDefault="00B53DAF">
            <w:pPr>
              <w:shd w:val="clear" w:color="auto" w:fill="FFFFFF"/>
              <w:jc w:val="center"/>
              <w:rPr>
                <w:rFonts w:cs="Arial"/>
                <w:b/>
                <w:caps/>
                <w:color w:val="2F5496" w:themeColor="accent5" w:themeShade="BF"/>
                <w:spacing w:val="-7"/>
                <w:sz w:val="16"/>
                <w:szCs w:val="16"/>
              </w:rPr>
            </w:pPr>
            <w:r w:rsidRPr="00B53DAF">
              <w:rPr>
                <w:rFonts w:cs="Arial"/>
                <w:b/>
                <w:caps/>
                <w:color w:val="2F5496" w:themeColor="accent5" w:themeShade="BF"/>
                <w:spacing w:val="-7"/>
                <w:sz w:val="24"/>
              </w:rPr>
              <w:t>notitie Ronde tafel gesprek</w:t>
            </w:r>
          </w:p>
          <w:p w:rsidRPr="00B53DAF" w:rsidR="00B53DAF" w:rsidP="009E171E" w:rsidRDefault="00B53DAF">
            <w:pPr>
              <w:shd w:val="clear" w:color="auto" w:fill="FFFFFF"/>
              <w:spacing w:line="120" w:lineRule="auto"/>
              <w:jc w:val="center"/>
              <w:rPr>
                <w:rFonts w:cs="Arial"/>
                <w:b/>
                <w:caps/>
                <w:color w:val="2F5496" w:themeColor="accent5" w:themeShade="BF"/>
                <w:spacing w:val="-7"/>
                <w:sz w:val="16"/>
                <w:szCs w:val="16"/>
              </w:rPr>
            </w:pPr>
          </w:p>
          <w:p w:rsidRPr="009E171E" w:rsidR="00B53DAF" w:rsidP="00330D7B" w:rsidRDefault="00B53DAF">
            <w:pPr>
              <w:shd w:val="clear" w:color="auto" w:fill="FFFFFF"/>
              <w:jc w:val="center"/>
              <w:rPr>
                <w:rFonts w:cs="Arial"/>
                <w:b/>
                <w:i/>
                <w:color w:val="AEAAAA" w:themeColor="background2" w:themeShade="BF"/>
                <w:spacing w:val="-7"/>
                <w:szCs w:val="18"/>
              </w:rPr>
            </w:pPr>
            <w:r w:rsidRPr="009E171E">
              <w:rPr>
                <w:rFonts w:cs="Arial"/>
                <w:b/>
                <w:i/>
                <w:color w:val="AEAAAA" w:themeColor="background2" w:themeShade="BF"/>
                <w:spacing w:val="-7"/>
                <w:szCs w:val="18"/>
              </w:rPr>
              <w:t>met vaste Kamercommi</w:t>
            </w:r>
            <w:r w:rsidR="009E171E">
              <w:rPr>
                <w:rFonts w:cs="Arial"/>
                <w:b/>
                <w:i/>
                <w:color w:val="AEAAAA" w:themeColor="background2" w:themeShade="BF"/>
                <w:spacing w:val="-7"/>
                <w:szCs w:val="18"/>
              </w:rPr>
              <w:t>s</w:t>
            </w:r>
            <w:r w:rsidRPr="009E171E">
              <w:rPr>
                <w:rFonts w:cs="Arial"/>
                <w:b/>
                <w:i/>
                <w:color w:val="AEAAAA" w:themeColor="background2" w:themeShade="BF"/>
                <w:spacing w:val="-7"/>
                <w:szCs w:val="18"/>
              </w:rPr>
              <w:t xml:space="preserve">sie </w:t>
            </w:r>
            <w:r w:rsidR="009E171E">
              <w:rPr>
                <w:rFonts w:cs="Arial"/>
                <w:b/>
                <w:i/>
                <w:color w:val="AEAAAA" w:themeColor="background2" w:themeShade="BF"/>
                <w:spacing w:val="-7"/>
                <w:szCs w:val="18"/>
              </w:rPr>
              <w:t xml:space="preserve">Veiligheid en </w:t>
            </w:r>
            <w:r w:rsidR="008C1A0B">
              <w:rPr>
                <w:rFonts w:cs="Arial"/>
                <w:b/>
                <w:i/>
                <w:color w:val="AEAAAA" w:themeColor="background2" w:themeShade="BF"/>
                <w:spacing w:val="-7"/>
                <w:szCs w:val="18"/>
              </w:rPr>
              <w:t xml:space="preserve">Justitie </w:t>
            </w:r>
            <w:r w:rsidRPr="009E171E">
              <w:rPr>
                <w:rFonts w:cs="Arial"/>
                <w:b/>
                <w:i/>
                <w:color w:val="AEAAAA" w:themeColor="background2" w:themeShade="BF"/>
                <w:spacing w:val="-7"/>
                <w:szCs w:val="18"/>
              </w:rPr>
              <w:t>over</w:t>
            </w:r>
          </w:p>
          <w:p w:rsidRPr="00B53DAF" w:rsidR="00B53DAF" w:rsidP="009E171E" w:rsidRDefault="00B53DAF">
            <w:pPr>
              <w:shd w:val="clear" w:color="auto" w:fill="FFFFFF"/>
              <w:spacing w:line="120" w:lineRule="auto"/>
              <w:jc w:val="center"/>
              <w:rPr>
                <w:rFonts w:cs="Arial"/>
                <w:b/>
                <w:i/>
                <w:color w:val="2F5496" w:themeColor="accent5" w:themeShade="BF"/>
                <w:spacing w:val="-7"/>
                <w:szCs w:val="18"/>
              </w:rPr>
            </w:pPr>
          </w:p>
          <w:p w:rsidRPr="00B53DAF" w:rsidR="00B53DAF" w:rsidP="00330D7B" w:rsidRDefault="00B53DAF">
            <w:pPr>
              <w:shd w:val="clear" w:color="auto" w:fill="FFFFFF"/>
              <w:jc w:val="center"/>
              <w:rPr>
                <w:rFonts w:cs="Arial"/>
                <w:b/>
                <w:caps/>
                <w:color w:val="2F5496" w:themeColor="accent5" w:themeShade="BF"/>
                <w:spacing w:val="-7"/>
                <w:sz w:val="24"/>
              </w:rPr>
            </w:pPr>
            <w:r w:rsidRPr="00B53DAF">
              <w:rPr>
                <w:rFonts w:cs="Arial"/>
                <w:b/>
                <w:caps/>
                <w:color w:val="2F5496" w:themeColor="accent5" w:themeShade="BF"/>
                <w:spacing w:val="-7"/>
                <w:sz w:val="24"/>
              </w:rPr>
              <w:t>Geweld tegen hulpverleners</w:t>
            </w:r>
          </w:p>
          <w:p w:rsidRPr="006D20BA" w:rsidR="00073B6E" w:rsidP="006D20BA" w:rsidRDefault="00073B6E">
            <w:pPr>
              <w:shd w:val="clear" w:color="auto" w:fill="FFFFFF"/>
              <w:rPr>
                <w:rFonts w:cs="Arial"/>
                <w:b/>
                <w:caps/>
                <w:color w:val="2F5496" w:themeColor="accent5" w:themeShade="BF"/>
                <w:spacing w:val="-7"/>
                <w:sz w:val="32"/>
                <w:szCs w:val="32"/>
              </w:rPr>
            </w:pPr>
          </w:p>
        </w:tc>
        <w:tc>
          <w:tcPr>
            <w:tcW w:w="3957" w:type="dxa"/>
            <w:gridSpan w:val="2"/>
            <w:tcBorders>
              <w:top w:val="nil"/>
              <w:left w:val="nil"/>
              <w:bottom w:val="nil"/>
              <w:right w:val="nil"/>
            </w:tcBorders>
            <w:shd w:val="clear" w:color="auto" w:fill="auto"/>
            <w:noWrap/>
            <w:tcMar>
              <w:top w:w="0" w:type="dxa"/>
              <w:left w:w="0" w:type="dxa"/>
              <w:bottom w:w="0" w:type="dxa"/>
              <w:right w:w="0" w:type="dxa"/>
            </w:tcMar>
            <w:vAlign w:val="center"/>
          </w:tcPr>
          <w:p w:rsidR="005E57AC" w:rsidP="009113F8" w:rsidRDefault="00054E99">
            <w:r>
              <w:rPr>
                <w:noProof/>
              </w:rPr>
              <w:drawing>
                <wp:anchor distT="0" distB="0" distL="114300" distR="114300" simplePos="0" relativeHeight="251654656" behindDoc="1" locked="0" layoutInCell="1" allowOverlap="0">
                  <wp:simplePos x="0" y="0"/>
                  <wp:positionH relativeFrom="column">
                    <wp:align>left</wp:align>
                  </wp:positionH>
                  <wp:positionV relativeFrom="margin">
                    <wp:align>top</wp:align>
                  </wp:positionV>
                  <wp:extent cx="1682115" cy="1892935"/>
                  <wp:effectExtent l="0" t="0" r="0" b="0"/>
                  <wp:wrapNone/>
                  <wp:docPr id="34" name="Afbeelding 34" descr="r2-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2-r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115" cy="1892935"/>
                          </a:xfrm>
                          <a:prstGeom prst="rect">
                            <a:avLst/>
                          </a:prstGeom>
                          <a:noFill/>
                        </pic:spPr>
                      </pic:pic>
                    </a:graphicData>
                  </a:graphic>
                  <wp14:sizeRelH relativeFrom="page">
                    <wp14:pctWidth>0</wp14:pctWidth>
                  </wp14:sizeRelH>
                  <wp14:sizeRelV relativeFrom="page">
                    <wp14:pctHeight>0</wp14:pctHeight>
                  </wp14:sizeRelV>
                </wp:anchor>
              </w:drawing>
            </w:r>
          </w:p>
          <w:p w:rsidRPr="001D2F45" w:rsidR="005E57AC" w:rsidP="009113F8" w:rsidRDefault="005E57AC"/>
        </w:tc>
      </w:tr>
      <w:tr w:rsidR="005E57AC" w:rsidTr="00B65137">
        <w:trPr>
          <w:trHeight w:val="1335"/>
        </w:trPr>
        <w:tc>
          <w:tcPr>
            <w:tcW w:w="7951" w:type="dxa"/>
            <w:gridSpan w:val="3"/>
            <w:tcBorders>
              <w:top w:val="nil"/>
              <w:left w:val="nil"/>
              <w:bottom w:val="nil"/>
              <w:right w:val="nil"/>
            </w:tcBorders>
            <w:shd w:val="clear" w:color="auto" w:fill="auto"/>
            <w:tcMar>
              <w:left w:w="0" w:type="dxa"/>
              <w:right w:w="0" w:type="dxa"/>
            </w:tcMar>
            <w:vAlign w:val="center"/>
          </w:tcPr>
          <w:p w:rsidR="005E57AC" w:rsidP="00EB17F8" w:rsidRDefault="00054E99">
            <w:r>
              <w:rPr>
                <w:noProof/>
              </w:rPr>
              <w:drawing>
                <wp:anchor distT="0" distB="0" distL="114300" distR="114300" simplePos="0" relativeHeight="251656704" behindDoc="0" locked="1" layoutInCell="1" allowOverlap="1">
                  <wp:simplePos x="0" y="0"/>
                  <wp:positionH relativeFrom="column">
                    <wp:align>left</wp:align>
                  </wp:positionH>
                  <wp:positionV relativeFrom="margin">
                    <wp:align>top</wp:align>
                  </wp:positionV>
                  <wp:extent cx="5039995" cy="791210"/>
                  <wp:effectExtent l="0" t="0" r="0" b="0"/>
                  <wp:wrapNone/>
                  <wp:docPr id="38" name="Afbeelding 38" descr="r3-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3-lef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791210"/>
                          </a:xfrm>
                          <a:prstGeom prst="rect">
                            <a:avLst/>
                          </a:prstGeom>
                          <a:noFill/>
                        </pic:spPr>
                      </pic:pic>
                    </a:graphicData>
                  </a:graphic>
                  <wp14:sizeRelH relativeFrom="page">
                    <wp14:pctWidth>0</wp14:pctWidth>
                  </wp14:sizeRelH>
                  <wp14:sizeRelV relativeFrom="page">
                    <wp14:pctHeight>0</wp14:pctHeight>
                  </wp14:sizeRelV>
                </wp:anchor>
              </w:drawing>
            </w:r>
          </w:p>
        </w:tc>
        <w:tc>
          <w:tcPr>
            <w:tcW w:w="3668" w:type="dxa"/>
            <w:tcBorders>
              <w:top w:val="nil"/>
              <w:left w:val="nil"/>
              <w:bottom w:val="nil"/>
              <w:right w:val="nil"/>
            </w:tcBorders>
            <w:shd w:val="clear" w:color="auto" w:fill="004682"/>
            <w:tcMar>
              <w:left w:w="0" w:type="dxa"/>
              <w:right w:w="0" w:type="dxa"/>
            </w:tcMar>
            <w:vAlign w:val="center"/>
          </w:tcPr>
          <w:p w:rsidR="005E57AC" w:rsidP="00B65137" w:rsidRDefault="00B53DAF">
            <w:pPr>
              <w:spacing w:before="9" w:after="9"/>
              <w:ind w:left="493" w:right="493"/>
              <w:rPr>
                <w:b/>
                <w:color w:val="FFFFFF"/>
                <w:sz w:val="24"/>
              </w:rPr>
            </w:pPr>
            <w:r w:rsidRPr="00B53DAF">
              <w:rPr>
                <w:b/>
                <w:color w:val="FFFFFF"/>
                <w:sz w:val="24"/>
              </w:rPr>
              <w:t>Directeur Operatien</w:t>
            </w:r>
          </w:p>
          <w:p w:rsidRPr="00B53DAF" w:rsidR="00B53DAF" w:rsidP="00B65137" w:rsidRDefault="00B53DAF">
            <w:pPr>
              <w:spacing w:before="9" w:after="9"/>
              <w:ind w:left="493" w:right="493"/>
              <w:rPr>
                <w:b/>
                <w:color w:val="FFFFFF"/>
                <w:sz w:val="24"/>
              </w:rPr>
            </w:pPr>
            <w:r>
              <w:rPr>
                <w:b/>
                <w:color w:val="FFFFFF"/>
                <w:sz w:val="24"/>
              </w:rPr>
              <w:t>Staf Korpsleiding</w:t>
            </w:r>
          </w:p>
          <w:p w:rsidRPr="00B65137" w:rsidR="00B53DAF" w:rsidP="00B65137" w:rsidRDefault="00B53DAF">
            <w:pPr>
              <w:spacing w:before="9" w:after="9"/>
              <w:ind w:left="493" w:right="493"/>
              <w:rPr>
                <w:b/>
                <w:color w:val="FFFFFF"/>
                <w:sz w:val="32"/>
                <w:szCs w:val="32"/>
              </w:rPr>
            </w:pPr>
            <w:r w:rsidRPr="00B53DAF">
              <w:rPr>
                <w:b/>
                <w:color w:val="FFFFFF"/>
                <w:sz w:val="24"/>
              </w:rPr>
              <w:t>Drs P. de Meij MBA</w:t>
            </w:r>
          </w:p>
        </w:tc>
        <w:tc>
          <w:tcPr>
            <w:tcW w:w="289" w:type="dxa"/>
            <w:tcBorders>
              <w:top w:val="nil"/>
              <w:left w:val="nil"/>
              <w:bottom w:val="nil"/>
              <w:right w:val="nil"/>
            </w:tcBorders>
            <w:shd w:val="clear" w:color="auto" w:fill="auto"/>
          </w:tcPr>
          <w:p w:rsidRPr="00B65137" w:rsidR="005E57AC" w:rsidP="00B65137" w:rsidRDefault="005E57AC">
            <w:pPr>
              <w:jc w:val="center"/>
              <w:rPr>
                <w:b/>
                <w:color w:val="FFFFFF"/>
              </w:rPr>
            </w:pPr>
          </w:p>
        </w:tc>
      </w:tr>
    </w:tbl>
    <w:p w:rsidR="00031F0F" w:rsidP="00892D1F" w:rsidRDefault="00031F0F"/>
    <w:p w:rsidR="00631966" w:rsidP="00892D1F" w:rsidRDefault="00631966"/>
    <w:p w:rsidRPr="0014066A" w:rsidR="002401ED" w:rsidP="002401ED" w:rsidRDefault="002401ED">
      <w:pPr>
        <w:sectPr w:rsidRPr="0014066A" w:rsidR="002401ED" w:rsidSect="009113F8">
          <w:headerReference w:type="default" r:id="rId10"/>
          <w:footerReference w:type="first" r:id="rId11"/>
          <w:pgSz w:w="11906" w:h="16838" w:code="9"/>
          <w:pgMar w:top="2410" w:right="1418" w:bottom="1486" w:left="1418" w:header="709" w:footer="1321" w:gutter="0"/>
          <w:cols w:space="708"/>
          <w:titlePg/>
          <w:docGrid w:linePitch="360"/>
        </w:sectPr>
      </w:pPr>
    </w:p>
    <w:p w:rsidR="00330D7B" w:rsidP="00330D7B" w:rsidRDefault="00330D7B">
      <w:pPr>
        <w:shd w:val="clear" w:color="auto" w:fill="FFFFFF"/>
        <w:rPr>
          <w:rFonts w:cs="Arial" w:asciiTheme="minorHAnsi" w:hAnsiTheme="minorHAnsi"/>
          <w:b/>
          <w:color w:val="2F5496" w:themeColor="accent5" w:themeShade="BF"/>
          <w:spacing w:val="-7"/>
          <w:sz w:val="22"/>
          <w:szCs w:val="22"/>
        </w:rPr>
      </w:pPr>
      <w:r w:rsidRPr="00B16640">
        <w:rPr>
          <w:rFonts w:cs="Arial" w:asciiTheme="minorHAnsi" w:hAnsiTheme="minorHAnsi"/>
          <w:b/>
          <w:color w:val="2F5496" w:themeColor="accent5" w:themeShade="BF"/>
          <w:spacing w:val="-7"/>
          <w:sz w:val="22"/>
          <w:szCs w:val="22"/>
        </w:rPr>
        <w:lastRenderedPageBreak/>
        <w:t>Inleiding</w:t>
      </w:r>
    </w:p>
    <w:p w:rsidRPr="00F84D8E" w:rsidR="00B6514E" w:rsidP="00F84D8E" w:rsidRDefault="00B6514E">
      <w:r w:rsidRPr="00F84D8E">
        <w:t xml:space="preserve">Commissaris van politie Peije de Meij is directeur Operatien bij de staf korpsleiding en landelijk portefeuillehouder </w:t>
      </w:r>
      <w:r w:rsidRPr="00F84D8E" w:rsidR="00E0242D">
        <w:t>Geweld.</w:t>
      </w:r>
      <w:r w:rsidRPr="00F84D8E">
        <w:t xml:space="preserve"> Laatst genoemde portefeuille omvat de Veilige Publieke taak </w:t>
      </w:r>
      <w:r w:rsidRPr="00F84D8E" w:rsidR="00E0242D">
        <w:t xml:space="preserve">(VPT) </w:t>
      </w:r>
      <w:r w:rsidRPr="00F84D8E">
        <w:t xml:space="preserve">en geweld tegen politieambtenaren (GTPA). </w:t>
      </w:r>
      <w:r w:rsidRPr="00F84D8E" w:rsidR="00E0242D">
        <w:t xml:space="preserve">Als </w:t>
      </w:r>
      <w:r w:rsidRPr="00F84D8E">
        <w:t xml:space="preserve">portefeuillehouder Geweld heeft hij in 2014 in opdracht van korpschef Bouman het actieplan GTPA laten uitvoeren. Dit actieplan heeft onder meer geleid tot een verscherpte richtlijn </w:t>
      </w:r>
      <w:r w:rsidRPr="00F84D8E" w:rsidR="00E0242D">
        <w:t>voor</w:t>
      </w:r>
      <w:r w:rsidRPr="00F84D8E">
        <w:t xml:space="preserve"> GTPA, een protocol </w:t>
      </w:r>
      <w:r w:rsidRPr="00F84D8E" w:rsidR="00E0242D">
        <w:t xml:space="preserve">voor de </w:t>
      </w:r>
      <w:r w:rsidRPr="00F84D8E">
        <w:t xml:space="preserve">aanpak </w:t>
      </w:r>
      <w:r w:rsidRPr="00F84D8E" w:rsidR="00E0242D">
        <w:t xml:space="preserve">van </w:t>
      </w:r>
      <w:r w:rsidRPr="00F84D8E">
        <w:t xml:space="preserve">dreiging in de </w:t>
      </w:r>
      <w:r w:rsidRPr="00F84D8E" w:rsidR="00E0242D">
        <w:t xml:space="preserve">privésfeer en een landelijk registratiesysteem </w:t>
      </w:r>
      <w:r w:rsidRPr="00F84D8E" w:rsidR="00F84D8E">
        <w:t xml:space="preserve">GTPA. </w:t>
      </w:r>
      <w:r w:rsidRPr="00F84D8E" w:rsidR="00E0242D">
        <w:t xml:space="preserve">Naar aanleiding van de recente jaarwisseling </w:t>
      </w:r>
      <w:r w:rsidRPr="00F84D8E" w:rsidR="008C1A0B">
        <w:t xml:space="preserve">heeft </w:t>
      </w:r>
      <w:r w:rsidRPr="00F84D8E" w:rsidR="00F84D8E">
        <w:t xml:space="preserve">korpschef </w:t>
      </w:r>
      <w:r w:rsidRPr="00F84D8E" w:rsidR="00E0242D">
        <w:t xml:space="preserve">Akerboom hem de opdracht gegeven om maatregelen voor te bereiden om agressie en geweld tegen politiemensen tijdens de jaarwisseling te voorkomen. </w:t>
      </w:r>
    </w:p>
    <w:p w:rsidRPr="00F84D8E" w:rsidR="00B6514E" w:rsidP="00F84D8E" w:rsidRDefault="00B6514E"/>
    <w:p w:rsidRPr="00B16640" w:rsidR="00E0242D" w:rsidP="00330D7B" w:rsidRDefault="00930F6A">
      <w:pPr>
        <w:shd w:val="clear" w:color="auto" w:fill="FFFFFF"/>
        <w:rPr>
          <w:rFonts w:cs="Arial" w:asciiTheme="minorHAnsi" w:hAnsiTheme="minorHAnsi"/>
          <w:b/>
          <w:color w:val="2F5496" w:themeColor="accent5" w:themeShade="BF"/>
          <w:spacing w:val="-7"/>
          <w:sz w:val="22"/>
          <w:szCs w:val="22"/>
        </w:rPr>
      </w:pPr>
      <w:r>
        <w:rPr>
          <w:rFonts w:cs="Arial" w:asciiTheme="minorHAnsi" w:hAnsiTheme="minorHAnsi"/>
          <w:b/>
          <w:color w:val="2F5496" w:themeColor="accent5" w:themeShade="BF"/>
          <w:spacing w:val="-7"/>
          <w:sz w:val="22"/>
          <w:szCs w:val="22"/>
        </w:rPr>
        <w:t>Vraag</w:t>
      </w:r>
      <w:r w:rsidR="00E0242D">
        <w:rPr>
          <w:rFonts w:cs="Arial" w:asciiTheme="minorHAnsi" w:hAnsiTheme="minorHAnsi"/>
          <w:b/>
          <w:color w:val="2F5496" w:themeColor="accent5" w:themeShade="BF"/>
          <w:spacing w:val="-7"/>
          <w:sz w:val="22"/>
          <w:szCs w:val="22"/>
        </w:rPr>
        <w:t xml:space="preserve"> commissie</w:t>
      </w:r>
    </w:p>
    <w:p w:rsidRPr="003E556C" w:rsidR="008D65C4" w:rsidP="008D65C4" w:rsidRDefault="008D65C4">
      <w:pPr>
        <w:pStyle w:val="Huisstijl-Ondertekeningvervolg"/>
        <w:numPr>
          <w:ilvl w:val="0"/>
          <w:numId w:val="22"/>
        </w:numPr>
        <w:rPr>
          <w:szCs w:val="18"/>
        </w:rPr>
      </w:pPr>
      <w:r w:rsidRPr="003E556C">
        <w:rPr>
          <w:szCs w:val="18"/>
        </w:rPr>
        <w:t xml:space="preserve">Welke van de reeds bestaande maatregelen om geweld tegen hulpverleners aan te pakken functioneren naar mening van het veld wel en welke niet en waarom? </w:t>
      </w:r>
    </w:p>
    <w:p w:rsidR="003E556C" w:rsidP="00E0242D" w:rsidRDefault="003E556C">
      <w:pPr>
        <w:pStyle w:val="Huisstijl-Ondertekeningvervolg"/>
        <w:rPr>
          <w:i w:val="0"/>
          <w:color w:val="FF0000"/>
          <w:szCs w:val="18"/>
        </w:rPr>
      </w:pPr>
    </w:p>
    <w:p w:rsidRPr="00930F6A" w:rsidR="003E556C" w:rsidP="00E0242D" w:rsidRDefault="003E556C">
      <w:pPr>
        <w:pStyle w:val="Huisstijl-Ondertekeningvervolg"/>
        <w:rPr>
          <w:rFonts w:asciiTheme="minorHAnsi" w:hAnsiTheme="minorHAnsi"/>
          <w:i w:val="0"/>
          <w:color w:val="2F5496" w:themeColor="accent5" w:themeShade="BF"/>
          <w:sz w:val="22"/>
          <w:szCs w:val="22"/>
        </w:rPr>
      </w:pPr>
      <w:r w:rsidRPr="00930F6A">
        <w:rPr>
          <w:rFonts w:asciiTheme="minorHAnsi" w:hAnsiTheme="minorHAnsi"/>
          <w:i w:val="0"/>
          <w:color w:val="2F5496" w:themeColor="accent5" w:themeShade="BF"/>
          <w:sz w:val="22"/>
          <w:szCs w:val="22"/>
        </w:rPr>
        <w:t>ELA</w:t>
      </w:r>
    </w:p>
    <w:p w:rsidRPr="00F84D8E" w:rsidR="00313C25" w:rsidP="00F84D8E" w:rsidRDefault="003E556C">
      <w:r w:rsidRPr="00F84D8E">
        <w:t>De eenduidige landelijke afspraken (ELA)</w:t>
      </w:r>
      <w:r w:rsidR="00BF2130">
        <w:t xml:space="preserve"> </w:t>
      </w:r>
      <w:r w:rsidRPr="00F84D8E">
        <w:t>voldoen in de praktijk. Sne</w:t>
      </w:r>
      <w:r w:rsidRPr="00F84D8E" w:rsidR="00313C25">
        <w:t>lle opvolging bij</w:t>
      </w:r>
      <w:r w:rsidRPr="00F84D8E">
        <w:t xml:space="preserve"> VPT meldingen, het opnemen van de aangifte en informeren over het verloop van de zaak zijn de afspraken waar de politie zich in dit kader aan heeft gecommitteerd. </w:t>
      </w:r>
    </w:p>
    <w:p w:rsidR="00F84D8E" w:rsidP="00F84D8E" w:rsidRDefault="003E556C">
      <w:r w:rsidRPr="00F84D8E">
        <w:t xml:space="preserve">De </w:t>
      </w:r>
      <w:r w:rsidR="00F84D8E">
        <w:t>ELA</w:t>
      </w:r>
      <w:r w:rsidRPr="00F84D8E" w:rsidR="00F84D8E">
        <w:t xml:space="preserve"> </w:t>
      </w:r>
      <w:r w:rsidRPr="00F84D8E">
        <w:t xml:space="preserve">strafeis van </w:t>
      </w:r>
      <w:r w:rsidRPr="00F84D8E" w:rsidR="00F84D8E">
        <w:t xml:space="preserve">+200% </w:t>
      </w:r>
      <w:r w:rsidRPr="00F84D8E" w:rsidR="00313C25">
        <w:t>blijft</w:t>
      </w:r>
      <w:r w:rsidRPr="00F84D8E">
        <w:t xml:space="preserve"> een belangrijke vorm van </w:t>
      </w:r>
      <w:r w:rsidRPr="00F84D8E" w:rsidR="00E0242D">
        <w:t>genoegdoening</w:t>
      </w:r>
      <w:r w:rsidRPr="00F84D8E">
        <w:t xml:space="preserve"> en een st</w:t>
      </w:r>
      <w:r w:rsidRPr="00F84D8E" w:rsidR="00313C25">
        <w:t>eun in de rug voor politiemensen en hulpverleners. In 2013 liet minister Opstelten de naleving van de +200% strafeis en de afdoening onderzoeken. Daaruit bleek dat de hoogte van de opgelegde straf gemiddeld ruim 90% van de eis</w:t>
      </w:r>
      <w:r w:rsidR="00F84D8E">
        <w:t xml:space="preserve"> </w:t>
      </w:r>
      <w:r w:rsidRPr="00F84D8E" w:rsidR="00F84D8E">
        <w:t>bedraagt</w:t>
      </w:r>
      <w:r w:rsidRPr="00F84D8E" w:rsidR="00313C25">
        <w:t>. Er zat weinig licht tussen wat officieren van justitie eisen en wat rechters opleggen. In 57% van de gevallen bleek de hoogte van het vonnis gelijk aan de hoogte van de eis. In 8 % van de gevallen viel het vonnis zelfs zwaarder uit dan de eis. Het onderzoek liet zien dat de rechter de officier niet alleen volgt in de hoogte van zijn eis, maar ook in de gekozen modaliteit. In zaken van gelijke zwaarte werd in VPT-zaken een zwaardere strafmodaliteit opgelegd. Dit betekent dat in zaken met politiemedewerkers en andere werknemers met een publieke taak beduidend minder vaak geldboetes voorkwamen en juist beduidend vaker vrijheidsstraffen voorkwamen dan bij niet-kwalificerende slachtoffers.</w:t>
      </w:r>
      <w:r w:rsidR="00F84D8E">
        <w:t xml:space="preserve"> Desondanks klink</w:t>
      </w:r>
      <w:r w:rsidR="003B7D46">
        <w:t>t</w:t>
      </w:r>
      <w:r w:rsidR="00BF2130">
        <w:t xml:space="preserve"> ook</w:t>
      </w:r>
      <w:r w:rsidR="003B7D46">
        <w:t xml:space="preserve"> naar aanleiding van de jaarwisseling de oproep onder politiemensen door</w:t>
      </w:r>
      <w:r w:rsidR="00BF2130">
        <w:t xml:space="preserve"> om</w:t>
      </w:r>
      <w:r w:rsidR="00F84D8E">
        <w:t xml:space="preserve"> min</w:t>
      </w:r>
      <w:r w:rsidR="003B7D46">
        <w:t xml:space="preserve">imum straffen en </w:t>
      </w:r>
      <w:r w:rsidR="00BF2130">
        <w:t xml:space="preserve">hoge vaste </w:t>
      </w:r>
      <w:r w:rsidR="00841535">
        <w:t>geldboetes</w:t>
      </w:r>
      <w:r w:rsidR="00BF2130">
        <w:t xml:space="preserve"> in te voeren</w:t>
      </w:r>
      <w:r w:rsidR="00841535">
        <w:t>.</w:t>
      </w:r>
      <w:r w:rsidR="00F84D8E">
        <w:t xml:space="preserve"> </w:t>
      </w:r>
    </w:p>
    <w:p w:rsidR="00F84D8E" w:rsidP="00F84D8E" w:rsidRDefault="00F84D8E"/>
    <w:p w:rsidRPr="00930F6A" w:rsidR="00F84D8E" w:rsidP="00F84D8E" w:rsidRDefault="00F84D8E">
      <w:pPr>
        <w:rPr>
          <w:color w:val="2F5496" w:themeColor="accent5" w:themeShade="BF"/>
        </w:rPr>
      </w:pPr>
      <w:r w:rsidRPr="00930F6A">
        <w:rPr>
          <w:color w:val="2F5496" w:themeColor="accent5" w:themeShade="BF"/>
        </w:rPr>
        <w:t>Bestuurlijke maatregelen</w:t>
      </w:r>
    </w:p>
    <w:p w:rsidR="00841535" w:rsidP="00F84D8E" w:rsidRDefault="003B7D46">
      <w:r>
        <w:t>Een effectief VPT instrument vormen de bestuurlijke maatregelen die gemeenten kunnen nemen. De toepassing van het gebiedsverbod, de meldplicht en preventieve boetes</w:t>
      </w:r>
      <w:r w:rsidR="00841535">
        <w:t xml:space="preserve"> voorkomen dat VPT plegers recidiveren. Een dergelijke maatregel wordt door de directe toepasbaarheid in hun woonomgeving vaak ´zwaarder´ ervaren door VPT plegers dan strafrechtelijke maatregelen.</w:t>
      </w:r>
      <w:r w:rsidR="00BF2130">
        <w:t xml:space="preserve"> Bovendien zien politiemensen en hulpverleners het opleggen van dergelijke maatregelen als een belangrijke steun in de rug op lokaal niveau.</w:t>
      </w:r>
    </w:p>
    <w:p w:rsidR="00841535" w:rsidP="00F84D8E" w:rsidRDefault="00841535"/>
    <w:p w:rsidRPr="00930F6A" w:rsidR="00841535" w:rsidP="00F84D8E" w:rsidRDefault="00841535">
      <w:pPr>
        <w:rPr>
          <w:color w:val="2F5496" w:themeColor="accent5" w:themeShade="BF"/>
        </w:rPr>
      </w:pPr>
      <w:r w:rsidRPr="00930F6A">
        <w:rPr>
          <w:color w:val="2F5496" w:themeColor="accent5" w:themeShade="BF"/>
        </w:rPr>
        <w:t>Houding burgers</w:t>
      </w:r>
    </w:p>
    <w:p w:rsidR="00841535" w:rsidP="00F84D8E" w:rsidRDefault="00841535">
      <w:r>
        <w:t>Een breed gesignaleerd probleem is de houding van</w:t>
      </w:r>
      <w:r w:rsidR="001A6321">
        <w:t xml:space="preserve"> burgers tegenover gezagsdragers</w:t>
      </w:r>
      <w:r>
        <w:t xml:space="preserve"> en hulpverleners. Dit vraagt om een maatschappelijk debat dat plaats zou moeten vinden aan de keukentafel en op scholen. In het </w:t>
      </w:r>
      <w:r>
        <w:lastRenderedPageBreak/>
        <w:t xml:space="preserve">verleden werd dat debat aangejaagd vanuit het programma VPT onder </w:t>
      </w:r>
      <w:r w:rsidR="001A6321">
        <w:t xml:space="preserve">het </w:t>
      </w:r>
      <w:r w:rsidR="0035026F">
        <w:t>ministerie</w:t>
      </w:r>
      <w:r w:rsidR="001A6321">
        <w:t xml:space="preserve"> van </w:t>
      </w:r>
      <w:r w:rsidR="0035026F">
        <w:t>Binnenlandse</w:t>
      </w:r>
      <w:r w:rsidR="001A6321">
        <w:t xml:space="preserve"> </w:t>
      </w:r>
      <w:r w:rsidR="0035026F">
        <w:t>Zak</w:t>
      </w:r>
      <w:r w:rsidR="001A6321">
        <w:t xml:space="preserve">en en </w:t>
      </w:r>
      <w:r w:rsidR="0035026F">
        <w:t>K</w:t>
      </w:r>
      <w:r w:rsidR="001A6321">
        <w:t>oninkrijksrelaties</w:t>
      </w:r>
      <w:r>
        <w:t>. Nu dit programma vrijwel is afgebouwd rest de vraag wie nu de handschoen nu oppakt.</w:t>
      </w:r>
    </w:p>
    <w:p w:rsidR="0035026F" w:rsidP="00F84D8E" w:rsidRDefault="0035026F"/>
    <w:p w:rsidRPr="00930F6A" w:rsidR="001A6321" w:rsidP="001A6321" w:rsidRDefault="001A6321">
      <w:pPr>
        <w:rPr>
          <w:color w:val="2F5496" w:themeColor="accent5" w:themeShade="BF"/>
        </w:rPr>
      </w:pPr>
      <w:r w:rsidRPr="00930F6A">
        <w:rPr>
          <w:color w:val="2F5496" w:themeColor="accent5" w:themeShade="BF"/>
        </w:rPr>
        <w:t>Agressie en geweld als onderdeel bedrijfsvoering</w:t>
      </w:r>
    </w:p>
    <w:p w:rsidR="001A6321" w:rsidP="001A6321" w:rsidRDefault="001A6321">
      <w:r>
        <w:t xml:space="preserve">Steeds meer publieke werkgevers agenderen agressie en geweld nadrukkelijk en maken de aanpak integraal onderdeel van hun bedrijfsvoering. Goede voorbeelden hiervan zijn de openbaar vervoerders en de voedsel en </w:t>
      </w:r>
      <w:r w:rsidR="00F12ECC">
        <w:t xml:space="preserve">warenautoriteit. </w:t>
      </w:r>
      <w:r w:rsidR="00A70362">
        <w:t xml:space="preserve">Maar er is nog </w:t>
      </w:r>
      <w:r w:rsidR="00045CE0">
        <w:t>veel betekenisvol werk mogelijk zoals het stimuleren dat de werkgever aangifte doet van agressie en geweld namens zijn werknemer.</w:t>
      </w:r>
    </w:p>
    <w:p w:rsidR="001A6321" w:rsidP="00F84D8E" w:rsidRDefault="001A6321"/>
    <w:p w:rsidRPr="00930F6A" w:rsidR="00841535" w:rsidP="00F84D8E" w:rsidRDefault="00841535">
      <w:pPr>
        <w:rPr>
          <w:color w:val="2F5496" w:themeColor="accent5" w:themeShade="BF"/>
        </w:rPr>
      </w:pPr>
      <w:r w:rsidRPr="00930F6A">
        <w:rPr>
          <w:color w:val="2F5496" w:themeColor="accent5" w:themeShade="BF"/>
        </w:rPr>
        <w:t>Expertisecentrum VPT</w:t>
      </w:r>
    </w:p>
    <w:p w:rsidRPr="00F84D8E" w:rsidR="003E556C" w:rsidP="00F84D8E" w:rsidRDefault="00841535">
      <w:r>
        <w:t xml:space="preserve">Dit centrum dat werkgevers in de publieke sector moest adviseren over maatregelen </w:t>
      </w:r>
      <w:r w:rsidR="001A6321">
        <w:t xml:space="preserve">tegen agressie en geweld bleek op basis van een vrijwillige werkgeversbijdrage niet levensvatbaar. Te vaak wordt er nu richting politie gekeken om invulling aan die oneigenlijke rol te geven. Wat </w:t>
      </w:r>
      <w:r w:rsidR="00E311B6">
        <w:t>resteert,</w:t>
      </w:r>
      <w:r w:rsidR="001A6321">
        <w:t xml:space="preserve"> is onduidelijkheid onder publieke werkgevers waar zij nu terecht kunnen voor advisering</w:t>
      </w:r>
      <w:r w:rsidR="00F12ECC">
        <w:t>.</w:t>
      </w:r>
    </w:p>
    <w:p w:rsidR="00930F6A" w:rsidP="00930F6A" w:rsidRDefault="00930F6A">
      <w:pPr>
        <w:shd w:val="clear" w:color="auto" w:fill="FFFFFF"/>
        <w:rPr>
          <w:rFonts w:cs="Arial" w:asciiTheme="minorHAnsi" w:hAnsiTheme="minorHAnsi"/>
          <w:b/>
          <w:color w:val="2F5496" w:themeColor="accent5" w:themeShade="BF"/>
          <w:spacing w:val="-7"/>
          <w:sz w:val="22"/>
          <w:szCs w:val="22"/>
        </w:rPr>
      </w:pPr>
    </w:p>
    <w:p w:rsidRPr="00B16640" w:rsidR="00930F6A" w:rsidP="00930F6A" w:rsidRDefault="00930F6A">
      <w:pPr>
        <w:shd w:val="clear" w:color="auto" w:fill="FFFFFF"/>
        <w:rPr>
          <w:rFonts w:cs="Arial" w:asciiTheme="minorHAnsi" w:hAnsiTheme="minorHAnsi"/>
          <w:b/>
          <w:color w:val="2F5496" w:themeColor="accent5" w:themeShade="BF"/>
          <w:spacing w:val="-7"/>
          <w:sz w:val="22"/>
          <w:szCs w:val="22"/>
        </w:rPr>
      </w:pPr>
      <w:r>
        <w:rPr>
          <w:rFonts w:cs="Arial" w:asciiTheme="minorHAnsi" w:hAnsiTheme="minorHAnsi"/>
          <w:b/>
          <w:color w:val="2F5496" w:themeColor="accent5" w:themeShade="BF"/>
          <w:spacing w:val="-7"/>
          <w:sz w:val="22"/>
          <w:szCs w:val="22"/>
        </w:rPr>
        <w:t>Vraag commissie</w:t>
      </w:r>
    </w:p>
    <w:p w:rsidRPr="00930F6A" w:rsidR="008D65C4" w:rsidP="00930F6A" w:rsidRDefault="008D65C4">
      <w:pPr>
        <w:pStyle w:val="Lijstalinea"/>
        <w:numPr>
          <w:ilvl w:val="0"/>
          <w:numId w:val="22"/>
        </w:numPr>
        <w:rPr>
          <w:i/>
        </w:rPr>
      </w:pPr>
      <w:r w:rsidRPr="00930F6A">
        <w:rPr>
          <w:i/>
        </w:rPr>
        <w:t>Zijn er verbeteringen mogelijk ten aanzien van de maatregelen die op dit moment niet goed of deels niets goed functioneren en zijn er maatregelen die afgeschaft kunnen worden?</w:t>
      </w:r>
    </w:p>
    <w:p w:rsidR="00F12ECC" w:rsidP="00F84D8E" w:rsidRDefault="00F12ECC"/>
    <w:p w:rsidRPr="00930F6A" w:rsidR="00F12ECC" w:rsidP="00F84D8E" w:rsidRDefault="00923001">
      <w:pPr>
        <w:rPr>
          <w:color w:val="2F5496" w:themeColor="accent5" w:themeShade="BF"/>
        </w:rPr>
      </w:pPr>
      <w:r w:rsidRPr="00930F6A">
        <w:rPr>
          <w:color w:val="2F5496" w:themeColor="accent5" w:themeShade="BF"/>
        </w:rPr>
        <w:t xml:space="preserve">Expertisecentrum </w:t>
      </w:r>
    </w:p>
    <w:p w:rsidR="00923001" w:rsidP="00F84D8E" w:rsidRDefault="00923001">
      <w:r>
        <w:t xml:space="preserve">Met het wegvallen van het expertisecentrum VPT is een belangrijke kennisbron voor de aanpak van agressie en geweld tegen ambtenaren met een publieke taak verloren gegaan. </w:t>
      </w:r>
      <w:r w:rsidR="00A70362">
        <w:t xml:space="preserve">Dit </w:t>
      </w:r>
      <w:r>
        <w:t>bevorder</w:t>
      </w:r>
      <w:r w:rsidR="00E311B6">
        <w:t>t</w:t>
      </w:r>
      <w:r>
        <w:t xml:space="preserve"> de effectiviteit van de maatregelen tegen agressie en geweld die publie</w:t>
      </w:r>
      <w:r w:rsidR="00A70362">
        <w:t>ke werkgevers nemen niet</w:t>
      </w:r>
      <w:r>
        <w:t xml:space="preserve">. </w:t>
      </w:r>
    </w:p>
    <w:p w:rsidR="00923001" w:rsidP="00F84D8E" w:rsidRDefault="00923001">
      <w:r>
        <w:t xml:space="preserve">Overweeg een </w:t>
      </w:r>
      <w:r w:rsidR="00A70362">
        <w:t xml:space="preserve">toekomstbestendig </w:t>
      </w:r>
      <w:r>
        <w:t xml:space="preserve">expertisecentrum VPT op basis van een in </w:t>
      </w:r>
      <w:r w:rsidR="00A70362">
        <w:t xml:space="preserve">de </w:t>
      </w:r>
      <w:r>
        <w:t xml:space="preserve">Rijksbegroting geregelde </w:t>
      </w:r>
      <w:r w:rsidR="00B544BA">
        <w:t>financiële</w:t>
      </w:r>
      <w:r>
        <w:t xml:space="preserve"> </w:t>
      </w:r>
      <w:r w:rsidR="00930F6A">
        <w:t xml:space="preserve">borging. </w:t>
      </w:r>
    </w:p>
    <w:p w:rsidR="00923001" w:rsidP="00F84D8E" w:rsidRDefault="00923001"/>
    <w:p w:rsidRPr="00930F6A" w:rsidR="00923001" w:rsidP="00F84D8E" w:rsidRDefault="00923001">
      <w:pPr>
        <w:rPr>
          <w:color w:val="2F5496" w:themeColor="accent5" w:themeShade="BF"/>
        </w:rPr>
      </w:pPr>
      <w:r w:rsidRPr="00930F6A">
        <w:rPr>
          <w:color w:val="2F5496" w:themeColor="accent5" w:themeShade="BF"/>
        </w:rPr>
        <w:t>Programma VPT</w:t>
      </w:r>
    </w:p>
    <w:p w:rsidR="00923001" w:rsidP="00F84D8E" w:rsidRDefault="00923001">
      <w:r>
        <w:t xml:space="preserve">De aanjaagrol vanuit het programma VPT wordt node gemist. </w:t>
      </w:r>
      <w:r w:rsidR="00B544BA">
        <w:t xml:space="preserve">In het publieke debat en op het gebied van strategische advisering. </w:t>
      </w:r>
      <w:r>
        <w:t xml:space="preserve">De VPT regio ´s waarin bestuurders het voortouw namen hebben een belangrijke bijdrage geleverd aan de VPT aanpak. </w:t>
      </w:r>
      <w:r w:rsidR="00B544BA">
        <w:t>Deze regio´s</w:t>
      </w:r>
      <w:r>
        <w:t xml:space="preserve"> worden nu afgebouwd en daarmee gaat veel momentum verloren.</w:t>
      </w:r>
    </w:p>
    <w:p w:rsidR="00923001" w:rsidP="00F84D8E" w:rsidRDefault="00923001">
      <w:r>
        <w:t xml:space="preserve">Overweeg een structurele voorziening vanuit een </w:t>
      </w:r>
      <w:r w:rsidR="00B544BA">
        <w:t>ministerie</w:t>
      </w:r>
      <w:r>
        <w:t xml:space="preserve"> </w:t>
      </w:r>
      <w:r w:rsidR="00B544BA">
        <w:t>van waaruit die belangrijke aanjaagrol kan worden vervuld eventueel gecombineerd met het expertisecentrum.</w:t>
      </w:r>
    </w:p>
    <w:p w:rsidR="00E0242D" w:rsidP="00F84D8E" w:rsidRDefault="00923001">
      <w:r>
        <w:t xml:space="preserve">   </w:t>
      </w:r>
    </w:p>
    <w:p w:rsidRPr="00930F6A" w:rsidR="00930F6A" w:rsidP="00930F6A" w:rsidRDefault="00930F6A">
      <w:pPr>
        <w:shd w:val="clear" w:color="auto" w:fill="FFFFFF"/>
        <w:rPr>
          <w:rFonts w:cs="Arial" w:asciiTheme="minorHAnsi" w:hAnsiTheme="minorHAnsi"/>
          <w:b/>
          <w:color w:val="2F5496" w:themeColor="accent5" w:themeShade="BF"/>
          <w:spacing w:val="-7"/>
          <w:sz w:val="22"/>
          <w:szCs w:val="22"/>
        </w:rPr>
      </w:pPr>
      <w:r>
        <w:rPr>
          <w:rFonts w:cs="Arial" w:asciiTheme="minorHAnsi" w:hAnsiTheme="minorHAnsi"/>
          <w:b/>
          <w:color w:val="2F5496" w:themeColor="accent5" w:themeShade="BF"/>
          <w:spacing w:val="-7"/>
          <w:sz w:val="22"/>
          <w:szCs w:val="22"/>
        </w:rPr>
        <w:t>Vraag commissie</w:t>
      </w:r>
    </w:p>
    <w:p w:rsidRPr="00B544BA" w:rsidR="008D65C4" w:rsidP="00B544BA" w:rsidRDefault="008D65C4">
      <w:pPr>
        <w:pStyle w:val="Lijstalinea"/>
        <w:numPr>
          <w:ilvl w:val="0"/>
          <w:numId w:val="22"/>
        </w:numPr>
        <w:rPr>
          <w:i/>
        </w:rPr>
      </w:pPr>
      <w:r w:rsidRPr="00B544BA">
        <w:rPr>
          <w:i/>
        </w:rPr>
        <w:t>Welke nieuwe maatregelen moeten naar de mening van het veld genomen worden om geweld tegen hulpverleners verder terug te dringen?</w:t>
      </w:r>
    </w:p>
    <w:p w:rsidRPr="00F84D8E" w:rsidR="00B544BA" w:rsidP="00F84D8E" w:rsidRDefault="00B544BA"/>
    <w:p w:rsidRPr="00930F6A" w:rsidR="00B544BA" w:rsidP="00F84D8E" w:rsidRDefault="003E556C">
      <w:pPr>
        <w:rPr>
          <w:color w:val="2F5496" w:themeColor="accent5" w:themeShade="BF"/>
        </w:rPr>
      </w:pPr>
      <w:r w:rsidRPr="00930F6A">
        <w:rPr>
          <w:color w:val="2F5496" w:themeColor="accent5" w:themeShade="BF"/>
        </w:rPr>
        <w:t xml:space="preserve">Verbod </w:t>
      </w:r>
      <w:r w:rsidRPr="00930F6A" w:rsidR="00B544BA">
        <w:rPr>
          <w:color w:val="2F5496" w:themeColor="accent5" w:themeShade="BF"/>
        </w:rPr>
        <w:t>op knalvuurwerk en vuurpijlen</w:t>
      </w:r>
    </w:p>
    <w:p w:rsidRPr="00F84D8E" w:rsidR="00B544BA" w:rsidP="00B544BA" w:rsidRDefault="00B544BA">
      <w:r>
        <w:t>Naar politie</w:t>
      </w:r>
      <w:r w:rsidRPr="00F84D8E">
        <w:t xml:space="preserve">mensen en hulpverleners </w:t>
      </w:r>
      <w:r>
        <w:t>wordt steeds meer</w:t>
      </w:r>
      <w:r w:rsidRPr="00F84D8E">
        <w:t xml:space="preserve"> zwaar vuurwerk gegooid dat te omsc</w:t>
      </w:r>
      <w:r w:rsidR="00C84F5C">
        <w:t xml:space="preserve">hrijven is als een explosief </w:t>
      </w:r>
      <w:r w:rsidRPr="00C84F5C" w:rsidR="00C84F5C">
        <w:t xml:space="preserve">en </w:t>
      </w:r>
      <w:r w:rsidRPr="00C84F5C">
        <w:rPr>
          <w:u w:val="single"/>
        </w:rPr>
        <w:t>waar wij onze mensen niet tegen kunnen beschermen</w:t>
      </w:r>
      <w:r>
        <w:t xml:space="preserve">. Het gooien van zwaar knalvuurwerk heeft </w:t>
      </w:r>
      <w:r w:rsidRPr="00F84D8E">
        <w:t>daarom het ka</w:t>
      </w:r>
      <w:r w:rsidR="00A70362">
        <w:t xml:space="preserve">rakter heeft van een aanslag. Ter illustratie, </w:t>
      </w:r>
      <w:r w:rsidR="00930F6A">
        <w:t xml:space="preserve">plaats een illegale </w:t>
      </w:r>
      <w:r w:rsidRPr="00F84D8E">
        <w:t xml:space="preserve">Cobra </w:t>
      </w:r>
      <w:r w:rsidR="00930F6A">
        <w:t xml:space="preserve">knaller </w:t>
      </w:r>
      <w:r w:rsidRPr="00F84D8E">
        <w:t>op het voorwiel van een auto en na de explosie ligt het spatbord meer dan 100 mete</w:t>
      </w:r>
      <w:r w:rsidR="00A70362">
        <w:t>r verderop.</w:t>
      </w:r>
    </w:p>
    <w:p w:rsidRPr="00F84D8E" w:rsidR="00B544BA" w:rsidP="00B544BA" w:rsidRDefault="00B544BA">
      <w:r w:rsidRPr="00F84D8E">
        <w:t>Politiemensen waar zwaar vuurwerk naar werd gegooid verloren tijdelijk hun gehoor en in een aantal gevallen ook tijdelijk het zicht.</w:t>
      </w:r>
      <w:r>
        <w:t xml:space="preserve"> Die desoriëntatie beperkte</w:t>
      </w:r>
      <w:r w:rsidRPr="00F84D8E">
        <w:t xml:space="preserve"> de mogelijkheid om de gooiers van het ´explosief´ te achterhalen en aan te houden. </w:t>
      </w:r>
    </w:p>
    <w:p w:rsidRPr="00F84D8E" w:rsidR="00B544BA" w:rsidP="00B544BA" w:rsidRDefault="00B544BA">
      <w:r w:rsidRPr="00F84D8E">
        <w:t xml:space="preserve">Bij de inzet van de brandweer werd in veel plaatsen gezamenlijk in colonne met politie, brandweer en gemeentewerken aangereden gezien de dreigende sfeer. Brandweer en gemeente </w:t>
      </w:r>
      <w:r w:rsidR="00930F6A">
        <w:t xml:space="preserve">kunnen dan alleen onder politiebescherming </w:t>
      </w:r>
      <w:r w:rsidRPr="00F84D8E">
        <w:t>hun werk</w:t>
      </w:r>
      <w:r w:rsidR="00930F6A">
        <w:t xml:space="preserve"> doen</w:t>
      </w:r>
      <w:r w:rsidRPr="00F84D8E">
        <w:t>. De te</w:t>
      </w:r>
      <w:bookmarkStart w:name="_GoBack" w:id="0"/>
      <w:bookmarkEnd w:id="0"/>
      <w:r w:rsidRPr="00F84D8E">
        <w:t>rm ´oorlogs</w:t>
      </w:r>
      <w:r w:rsidR="00930F6A">
        <w:t>gebied´ werd in die context regelmatig</w:t>
      </w:r>
      <w:r w:rsidRPr="00F84D8E">
        <w:t xml:space="preserve"> gehoord.</w:t>
      </w:r>
    </w:p>
    <w:p w:rsidRPr="00F84D8E" w:rsidR="00B544BA" w:rsidP="00B544BA" w:rsidRDefault="00930F6A">
      <w:r>
        <w:t>De h</w:t>
      </w:r>
      <w:r w:rsidRPr="00F84D8E" w:rsidR="00B544BA">
        <w:t xml:space="preserve">andhaving </w:t>
      </w:r>
      <w:r>
        <w:t xml:space="preserve">van </w:t>
      </w:r>
      <w:r w:rsidRPr="00F84D8E" w:rsidR="00B544BA">
        <w:t xml:space="preserve">illegaal vuurwerk is bijzonder lastig en vraagt </w:t>
      </w:r>
      <w:r>
        <w:t xml:space="preserve">bovendien een </w:t>
      </w:r>
      <w:r w:rsidRPr="00F84D8E" w:rsidR="00B544BA">
        <w:t>eenduidig beleid binnen de EU. Middels pakketpost kun je vanuit het buitenland illegaal vuurwerk (explosieven) laten bezorgen, met alle risico´s voor bezorgdiensten van dien.</w:t>
      </w:r>
    </w:p>
    <w:p w:rsidRPr="00F84D8E" w:rsidR="00B544BA" w:rsidP="00B544BA" w:rsidRDefault="00B544BA">
      <w:r w:rsidRPr="00F84D8E">
        <w:t xml:space="preserve">De afgelopen jaarwisseling berichtte het Nederlands genootschap van oogartsen als volgt: 176 mensen met oogletsel, 63 blijvend oogletsel, 19 aan een oog blind, 5 ogen geheel verwijderd, </w:t>
      </w:r>
    </w:p>
    <w:p w:rsidRPr="00F84D8E" w:rsidR="00B544BA" w:rsidP="00B544BA" w:rsidRDefault="00B544BA">
      <w:r w:rsidRPr="00F84D8E">
        <w:t>in 46% betrof het vuurwerk door een ander afgestoken.</w:t>
      </w:r>
    </w:p>
    <w:p w:rsidR="00B544BA" w:rsidP="00B544BA" w:rsidRDefault="00B544BA">
      <w:r w:rsidRPr="00F84D8E">
        <w:t xml:space="preserve">Verkopers van commercieel vuurwerk lijken niet afwijzend te staan tegenover een dergelijk verbod. De verkoop van siervuurwerk schijnt commercieel interessanter te zijn dan die van knalvuurwerk. </w:t>
      </w:r>
    </w:p>
    <w:p w:rsidRPr="00F84D8E" w:rsidR="006459E3" w:rsidP="00F84D8E" w:rsidRDefault="00930F6A">
      <w:r>
        <w:t xml:space="preserve">Tenslotte vereenvoudigt </w:t>
      </w:r>
      <w:r w:rsidR="00B544BA">
        <w:t>een verbod op knalvuurwerk d</w:t>
      </w:r>
      <w:r w:rsidRPr="00F84D8E" w:rsidR="00B544BA">
        <w:t xml:space="preserve">e handhaving van </w:t>
      </w:r>
      <w:r w:rsidR="00B544BA">
        <w:t>het verbod op illegaal vuurwerk:</w:t>
      </w:r>
      <w:r w:rsidRPr="00F84D8E" w:rsidR="00B544BA">
        <w:t xml:space="preserve"> ¨elke knal is er één te veel¨.</w:t>
      </w:r>
    </w:p>
    <w:sectPr w:rsidRPr="00F84D8E" w:rsidR="006459E3" w:rsidSect="00330D7B">
      <w:headerReference w:type="even" r:id="rId12"/>
      <w:headerReference w:type="default" r:id="rId13"/>
      <w:footerReference w:type="default" r:id="rId14"/>
      <w:headerReference w:type="first" r:id="rId15"/>
      <w:footerReference w:type="first" r:id="rId16"/>
      <w:type w:val="continuous"/>
      <w:pgSz w:w="11906" w:h="16838" w:code="9"/>
      <w:pgMar w:top="1417" w:right="1417" w:bottom="1417" w:left="1417" w:header="709" w:footer="5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D7B" w:rsidRDefault="00330D7B">
      <w:r>
        <w:separator/>
      </w:r>
    </w:p>
  </w:endnote>
  <w:endnote w:type="continuationSeparator" w:id="0">
    <w:p w:rsidR="00330D7B" w:rsidRDefault="0033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6DF" w:rsidRDefault="00054E99">
    <w:pPr>
      <w:pStyle w:val="Voettekst"/>
    </w:pPr>
    <w:r>
      <w:rPr>
        <w:noProof/>
      </w:rPr>
      <w:drawing>
        <wp:anchor distT="0" distB="0" distL="114300" distR="114300" simplePos="0" relativeHeight="251657728" behindDoc="0" locked="1" layoutInCell="1" allowOverlap="1">
          <wp:simplePos x="0" y="0"/>
          <wp:positionH relativeFrom="column">
            <wp:align>center</wp:align>
          </wp:positionH>
          <wp:positionV relativeFrom="page">
            <wp:align>bottom</wp:align>
          </wp:positionV>
          <wp:extent cx="7560310" cy="927735"/>
          <wp:effectExtent l="0" t="0" r="0" b="0"/>
          <wp:wrapNone/>
          <wp:docPr id="2" name="Afbeelding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277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757300"/>
      <w:docPartObj>
        <w:docPartGallery w:val="Page Numbers (Bottom of Page)"/>
        <w:docPartUnique/>
      </w:docPartObj>
    </w:sdtPr>
    <w:sdtEndPr>
      <w:rPr>
        <w:color w:val="2F5496" w:themeColor="accent5" w:themeShade="BF"/>
      </w:rPr>
    </w:sdtEndPr>
    <w:sdtContent>
      <w:p w:rsidR="00B82668" w:rsidRPr="00330D7B" w:rsidRDefault="00680390">
        <w:pPr>
          <w:pStyle w:val="Voettekst"/>
          <w:jc w:val="center"/>
          <w:rPr>
            <w:color w:val="2F5496" w:themeColor="accent5" w:themeShade="BF"/>
          </w:rPr>
        </w:pPr>
        <w:r w:rsidRPr="00330D7B">
          <w:rPr>
            <w:color w:val="2F5496" w:themeColor="accent5" w:themeShade="BF"/>
          </w:rPr>
          <w:fldChar w:fldCharType="begin"/>
        </w:r>
        <w:r w:rsidRPr="00330D7B">
          <w:rPr>
            <w:color w:val="2F5496" w:themeColor="accent5" w:themeShade="BF"/>
          </w:rPr>
          <w:instrText>PAGE   \* MERGEFORMAT</w:instrText>
        </w:r>
        <w:r w:rsidRPr="00330D7B">
          <w:rPr>
            <w:color w:val="2F5496" w:themeColor="accent5" w:themeShade="BF"/>
          </w:rPr>
          <w:fldChar w:fldCharType="separate"/>
        </w:r>
        <w:r w:rsidR="00C84F5C">
          <w:rPr>
            <w:noProof/>
            <w:color w:val="2F5496" w:themeColor="accent5" w:themeShade="BF"/>
          </w:rPr>
          <w:t>2</w:t>
        </w:r>
        <w:r w:rsidRPr="00330D7B">
          <w:rPr>
            <w:color w:val="2F5496" w:themeColor="accent5" w:themeShade="BF"/>
          </w:rPr>
          <w:fldChar w:fldCharType="end"/>
        </w:r>
      </w:p>
    </w:sdtContent>
  </w:sdt>
  <w:p w:rsidR="00B82668" w:rsidRDefault="00C84F5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28013"/>
      <w:docPartObj>
        <w:docPartGallery w:val="Page Numbers (Bottom of Page)"/>
        <w:docPartUnique/>
      </w:docPartObj>
    </w:sdtPr>
    <w:sdtEndPr/>
    <w:sdtContent>
      <w:p w:rsidR="00330D7B" w:rsidRDefault="00330D7B">
        <w:pPr>
          <w:pStyle w:val="Voettekst"/>
          <w:jc w:val="center"/>
        </w:pPr>
        <w:r>
          <w:fldChar w:fldCharType="begin"/>
        </w:r>
        <w:r>
          <w:instrText>PAGE   \* MERGEFORMAT</w:instrText>
        </w:r>
        <w:r>
          <w:fldChar w:fldCharType="separate"/>
        </w:r>
        <w:r>
          <w:rPr>
            <w:noProof/>
          </w:rPr>
          <w:t>1</w:t>
        </w:r>
        <w:r>
          <w:fldChar w:fldCharType="end"/>
        </w:r>
      </w:p>
    </w:sdtContent>
  </w:sdt>
  <w:p w:rsidR="00B82668" w:rsidRDefault="00C84F5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D7B" w:rsidRDefault="00330D7B">
      <w:r>
        <w:separator/>
      </w:r>
    </w:p>
  </w:footnote>
  <w:footnote w:type="continuationSeparator" w:id="0">
    <w:p w:rsidR="00330D7B" w:rsidRDefault="00330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39" w:rsidRPr="004D7E39" w:rsidRDefault="004D7E39" w:rsidP="004D7E39">
    <w:pPr>
      <w:pStyle w:val="Koptekst"/>
      <w:jc w:val="right"/>
      <w:rPr>
        <w:b/>
        <w:color w:val="00468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82" w:rsidRDefault="00B82E8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82" w:rsidRDefault="00B82E82">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82" w:rsidRDefault="00B82E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1E59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02D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A06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D85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707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74B4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26B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6EE7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74E8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EA7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41EBB"/>
    <w:multiLevelType w:val="hybridMultilevel"/>
    <w:tmpl w:val="30AED8E2"/>
    <w:lvl w:ilvl="0" w:tplc="F81C1494">
      <w:start w:val="1"/>
      <w:numFmt w:val="bullet"/>
      <w:pStyle w:val="Tekstopmerking"/>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62C69"/>
    <w:multiLevelType w:val="hybridMultilevel"/>
    <w:tmpl w:val="028643C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2" w15:restartNumberingAfterBreak="0">
    <w:nsid w:val="1E2E6FE0"/>
    <w:multiLevelType w:val="hybridMultilevel"/>
    <w:tmpl w:val="84CE7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3A363E0"/>
    <w:multiLevelType w:val="hybridMultilevel"/>
    <w:tmpl w:val="87C04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6E7BCD"/>
    <w:multiLevelType w:val="hybridMultilevel"/>
    <w:tmpl w:val="D43E07F8"/>
    <w:lvl w:ilvl="0" w:tplc="F278A6DC">
      <w:start w:val="1"/>
      <w:numFmt w:val="bullet"/>
      <w:pStyle w:val="Opsomming"/>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12F0C"/>
    <w:multiLevelType w:val="hybridMultilevel"/>
    <w:tmpl w:val="0986A6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8275E9"/>
    <w:multiLevelType w:val="hybridMultilevel"/>
    <w:tmpl w:val="0D944EE6"/>
    <w:lvl w:ilvl="0" w:tplc="0413000F">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19A4244"/>
    <w:multiLevelType w:val="hybridMultilevel"/>
    <w:tmpl w:val="48960D88"/>
    <w:lvl w:ilvl="0" w:tplc="1A2C749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8BC647A"/>
    <w:multiLevelType w:val="multilevel"/>
    <w:tmpl w:val="72384C2E"/>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0B7B99"/>
    <w:multiLevelType w:val="hybridMultilevel"/>
    <w:tmpl w:val="411AD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20468C"/>
    <w:multiLevelType w:val="hybridMultilevel"/>
    <w:tmpl w:val="E7C02D7E"/>
    <w:lvl w:ilvl="0" w:tplc="8CD8E63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720B23"/>
    <w:multiLevelType w:val="hybridMultilevel"/>
    <w:tmpl w:val="0986A6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1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5"/>
  </w:num>
  <w:num w:numId="16">
    <w:abstractNumId w:val="21"/>
  </w:num>
  <w:num w:numId="17">
    <w:abstractNumId w:val="12"/>
  </w:num>
  <w:num w:numId="18">
    <w:abstractNumId w:val="20"/>
  </w:num>
  <w:num w:numId="19">
    <w:abstractNumId w:val="17"/>
  </w:num>
  <w:num w:numId="20">
    <w:abstractNumId w:val="19"/>
  </w:num>
  <w:num w:numId="21">
    <w:abstractNumId w:val="13"/>
  </w:num>
  <w:num w:numId="22">
    <w:abstractNumId w:val="1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18"/>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7B"/>
    <w:rsid w:val="00031F0F"/>
    <w:rsid w:val="00045CE0"/>
    <w:rsid w:val="00054E99"/>
    <w:rsid w:val="00073B6E"/>
    <w:rsid w:val="000D255A"/>
    <w:rsid w:val="001108EE"/>
    <w:rsid w:val="00111F8A"/>
    <w:rsid w:val="001220C2"/>
    <w:rsid w:val="0014066A"/>
    <w:rsid w:val="00155124"/>
    <w:rsid w:val="001931EB"/>
    <w:rsid w:val="00195CB4"/>
    <w:rsid w:val="001A6321"/>
    <w:rsid w:val="001D2F45"/>
    <w:rsid w:val="002176E9"/>
    <w:rsid w:val="00236BE9"/>
    <w:rsid w:val="002401ED"/>
    <w:rsid w:val="00240EEF"/>
    <w:rsid w:val="003054AB"/>
    <w:rsid w:val="00313C25"/>
    <w:rsid w:val="00330D7B"/>
    <w:rsid w:val="00342EE9"/>
    <w:rsid w:val="0034731D"/>
    <w:rsid w:val="0035026F"/>
    <w:rsid w:val="00354F2B"/>
    <w:rsid w:val="00367F2F"/>
    <w:rsid w:val="00371778"/>
    <w:rsid w:val="003947E4"/>
    <w:rsid w:val="003B7D46"/>
    <w:rsid w:val="003C3BF8"/>
    <w:rsid w:val="003E556C"/>
    <w:rsid w:val="00436C7D"/>
    <w:rsid w:val="004D7E39"/>
    <w:rsid w:val="004F250E"/>
    <w:rsid w:val="005308BD"/>
    <w:rsid w:val="0053447F"/>
    <w:rsid w:val="00545A72"/>
    <w:rsid w:val="00556905"/>
    <w:rsid w:val="005E57AC"/>
    <w:rsid w:val="006166E5"/>
    <w:rsid w:val="00631966"/>
    <w:rsid w:val="006459E3"/>
    <w:rsid w:val="006757E2"/>
    <w:rsid w:val="00680390"/>
    <w:rsid w:val="006921C3"/>
    <w:rsid w:val="006C29C2"/>
    <w:rsid w:val="006D20BA"/>
    <w:rsid w:val="006D67FA"/>
    <w:rsid w:val="00743884"/>
    <w:rsid w:val="007656E1"/>
    <w:rsid w:val="00766387"/>
    <w:rsid w:val="00786266"/>
    <w:rsid w:val="00797013"/>
    <w:rsid w:val="007B0E38"/>
    <w:rsid w:val="007C266A"/>
    <w:rsid w:val="00834029"/>
    <w:rsid w:val="00834853"/>
    <w:rsid w:val="008411A4"/>
    <w:rsid w:val="00841535"/>
    <w:rsid w:val="00863FBC"/>
    <w:rsid w:val="0087463A"/>
    <w:rsid w:val="00892D1F"/>
    <w:rsid w:val="008A1DDD"/>
    <w:rsid w:val="008C1A0B"/>
    <w:rsid w:val="008C3DF8"/>
    <w:rsid w:val="008D65C4"/>
    <w:rsid w:val="009113F8"/>
    <w:rsid w:val="00917FB1"/>
    <w:rsid w:val="00923001"/>
    <w:rsid w:val="00930F6A"/>
    <w:rsid w:val="00947A15"/>
    <w:rsid w:val="00954E8A"/>
    <w:rsid w:val="00960A2A"/>
    <w:rsid w:val="009A69EB"/>
    <w:rsid w:val="009C28B1"/>
    <w:rsid w:val="009E171E"/>
    <w:rsid w:val="009E1B46"/>
    <w:rsid w:val="009E25F2"/>
    <w:rsid w:val="009F5034"/>
    <w:rsid w:val="00A54C38"/>
    <w:rsid w:val="00A70362"/>
    <w:rsid w:val="00AA5334"/>
    <w:rsid w:val="00AC425B"/>
    <w:rsid w:val="00AD6CCC"/>
    <w:rsid w:val="00B05A00"/>
    <w:rsid w:val="00B16640"/>
    <w:rsid w:val="00B53DAF"/>
    <w:rsid w:val="00B544BA"/>
    <w:rsid w:val="00B65137"/>
    <w:rsid w:val="00B6514E"/>
    <w:rsid w:val="00B65A4E"/>
    <w:rsid w:val="00B82E82"/>
    <w:rsid w:val="00BB1E14"/>
    <w:rsid w:val="00BC6E71"/>
    <w:rsid w:val="00BE0AE6"/>
    <w:rsid w:val="00BF2130"/>
    <w:rsid w:val="00BF5B96"/>
    <w:rsid w:val="00C22D4E"/>
    <w:rsid w:val="00C304CC"/>
    <w:rsid w:val="00C316DF"/>
    <w:rsid w:val="00C84F5C"/>
    <w:rsid w:val="00CB4009"/>
    <w:rsid w:val="00D215AF"/>
    <w:rsid w:val="00D454B9"/>
    <w:rsid w:val="00D90A59"/>
    <w:rsid w:val="00DF28E7"/>
    <w:rsid w:val="00E0242D"/>
    <w:rsid w:val="00E311B6"/>
    <w:rsid w:val="00E714A3"/>
    <w:rsid w:val="00EB17F8"/>
    <w:rsid w:val="00ED162F"/>
    <w:rsid w:val="00ED6CD9"/>
    <w:rsid w:val="00F12ECC"/>
    <w:rsid w:val="00F46CA4"/>
    <w:rsid w:val="00F84D8E"/>
    <w:rsid w:val="00FA1B2F"/>
    <w:rsid w:val="00FA7754"/>
    <w:rsid w:val="00FB46F2"/>
    <w:rsid w:val="00FC1A6D"/>
    <w:rsid w:val="00FC27E1"/>
    <w:rsid w:val="00FD13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59E3"/>
    <w:pPr>
      <w:widowControl w:val="0"/>
      <w:spacing w:line="264" w:lineRule="auto"/>
    </w:pPr>
    <w:rPr>
      <w:rFonts w:ascii="Arial" w:hAnsi="Arial"/>
      <w:sz w:val="18"/>
      <w:szCs w:val="24"/>
    </w:rPr>
  </w:style>
  <w:style w:type="paragraph" w:styleId="Kop1">
    <w:name w:val="heading 1"/>
    <w:basedOn w:val="Standaard"/>
    <w:qFormat/>
    <w:rsid w:val="00073B6E"/>
    <w:pPr>
      <w:spacing w:before="120" w:after="120" w:line="240" w:lineRule="auto"/>
      <w:outlineLvl w:val="0"/>
    </w:pPr>
    <w:rPr>
      <w:rFonts w:cs="Arial"/>
      <w:b/>
      <w:bCs/>
      <w:color w:val="004682"/>
      <w:kern w:val="32"/>
      <w:sz w:val="72"/>
      <w:szCs w:val="32"/>
    </w:rPr>
  </w:style>
  <w:style w:type="paragraph" w:styleId="Kop2">
    <w:name w:val="heading 2"/>
    <w:basedOn w:val="Standaard"/>
    <w:link w:val="Kop2Char"/>
    <w:qFormat/>
    <w:rsid w:val="0014066A"/>
    <w:pPr>
      <w:keepNext/>
      <w:spacing w:after="240" w:line="360" w:lineRule="auto"/>
      <w:outlineLvl w:val="1"/>
    </w:pPr>
    <w:rPr>
      <w:rFonts w:cs="Arial"/>
      <w:bCs/>
      <w:iCs/>
      <w:color w:val="004682"/>
      <w:sz w:val="32"/>
      <w:szCs w:val="28"/>
    </w:rPr>
  </w:style>
  <w:style w:type="paragraph" w:styleId="Kop3">
    <w:name w:val="heading 3"/>
    <w:basedOn w:val="Standaard"/>
    <w:link w:val="Kop3Char"/>
    <w:qFormat/>
    <w:rsid w:val="00631966"/>
    <w:pPr>
      <w:spacing w:line="360" w:lineRule="exact"/>
      <w:outlineLvl w:val="2"/>
    </w:pPr>
    <w:rPr>
      <w:rFonts w:cs="Arial"/>
      <w:b/>
      <w:bCs/>
      <w:color w:val="004682"/>
      <w:sz w:val="24"/>
      <w:szCs w:val="26"/>
    </w:rPr>
  </w:style>
  <w:style w:type="paragraph" w:styleId="Kop4">
    <w:name w:val="heading 4"/>
    <w:basedOn w:val="Standaard"/>
    <w:next w:val="Standaard"/>
    <w:qFormat/>
    <w:rsid w:val="00AD6CCC"/>
    <w:pPr>
      <w:outlineLvl w:val="3"/>
    </w:pPr>
    <w:rPr>
      <w:b/>
      <w:bCs/>
      <w:color w:val="BE965A"/>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E1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4066A"/>
    <w:pPr>
      <w:tabs>
        <w:tab w:val="center" w:pos="4536"/>
        <w:tab w:val="right" w:pos="9072"/>
      </w:tabs>
    </w:pPr>
  </w:style>
  <w:style w:type="paragraph" w:styleId="Voettekst">
    <w:name w:val="footer"/>
    <w:basedOn w:val="Standaard"/>
    <w:link w:val="VoettekstChar"/>
    <w:uiPriority w:val="99"/>
    <w:rsid w:val="0034731D"/>
    <w:pPr>
      <w:tabs>
        <w:tab w:val="center" w:pos="4536"/>
        <w:tab w:val="right" w:pos="9072"/>
      </w:tabs>
    </w:pPr>
  </w:style>
  <w:style w:type="paragraph" w:customStyle="1" w:styleId="Hyperlinks">
    <w:name w:val="Hyperlinks"/>
    <w:basedOn w:val="Standaard"/>
    <w:rsid w:val="00556905"/>
    <w:rPr>
      <w:b/>
      <w:i/>
      <w:color w:val="004682"/>
    </w:rPr>
  </w:style>
  <w:style w:type="paragraph" w:customStyle="1" w:styleId="LIJNscheiding">
    <w:name w:val="LIJN scheiding"/>
    <w:basedOn w:val="Standaard"/>
    <w:rsid w:val="00342EE9"/>
    <w:pPr>
      <w:pBdr>
        <w:bottom w:val="single" w:sz="4" w:space="1" w:color="004682"/>
      </w:pBdr>
      <w:spacing w:after="80"/>
    </w:pPr>
    <w:rPr>
      <w:szCs w:val="20"/>
    </w:rPr>
  </w:style>
  <w:style w:type="paragraph" w:customStyle="1" w:styleId="Kop3Goud">
    <w:name w:val="Kop 3 Goud"/>
    <w:basedOn w:val="Kop3"/>
    <w:rsid w:val="00236BE9"/>
    <w:rPr>
      <w:color w:val="BE965A"/>
    </w:rPr>
  </w:style>
  <w:style w:type="paragraph" w:styleId="Tekstopmerking">
    <w:name w:val="annotation text"/>
    <w:basedOn w:val="Standaard"/>
    <w:semiHidden/>
    <w:rsid w:val="00236BE9"/>
    <w:pPr>
      <w:numPr>
        <w:numId w:val="1"/>
      </w:numPr>
    </w:pPr>
    <w:rPr>
      <w:sz w:val="20"/>
      <w:szCs w:val="20"/>
    </w:rPr>
  </w:style>
  <w:style w:type="paragraph" w:customStyle="1" w:styleId="Opsomming">
    <w:name w:val="Opsomming"/>
    <w:basedOn w:val="Standaard"/>
    <w:rsid w:val="00FA7754"/>
    <w:pPr>
      <w:numPr>
        <w:numId w:val="2"/>
      </w:numPr>
    </w:pPr>
  </w:style>
  <w:style w:type="paragraph" w:customStyle="1" w:styleId="Chapeau">
    <w:name w:val="Chapeau"/>
    <w:basedOn w:val="Kop3"/>
    <w:rsid w:val="001931EB"/>
    <w:rPr>
      <w:i/>
      <w:sz w:val="18"/>
      <w:szCs w:val="18"/>
    </w:rPr>
  </w:style>
  <w:style w:type="character" w:styleId="Hyperlink">
    <w:name w:val="Hyperlink"/>
    <w:rsid w:val="007B0E38"/>
    <w:rPr>
      <w:rFonts w:ascii="Arial" w:hAnsi="Arial"/>
      <w:b/>
      <w:i/>
      <w:color w:val="004682"/>
      <w:u w:val="none"/>
    </w:rPr>
  </w:style>
  <w:style w:type="character" w:styleId="GevolgdeHyperlink">
    <w:name w:val="FollowedHyperlink"/>
    <w:rsid w:val="007B0E38"/>
    <w:rPr>
      <w:rFonts w:ascii="Arial" w:hAnsi="Arial"/>
      <w:b/>
      <w:i/>
      <w:color w:val="004682"/>
      <w:u w:val="none"/>
    </w:rPr>
  </w:style>
  <w:style w:type="character" w:customStyle="1" w:styleId="Kop2Char">
    <w:name w:val="Kop 2 Char"/>
    <w:link w:val="Kop2"/>
    <w:rsid w:val="00ED6CD9"/>
    <w:rPr>
      <w:rFonts w:ascii="Arial" w:hAnsi="Arial" w:cs="Arial"/>
      <w:bCs/>
      <w:iCs/>
      <w:color w:val="004682"/>
      <w:sz w:val="32"/>
      <w:szCs w:val="28"/>
      <w:lang w:val="nl-NL" w:eastAsia="nl-NL" w:bidi="ar-SA"/>
    </w:rPr>
  </w:style>
  <w:style w:type="paragraph" w:customStyle="1" w:styleId="Blauwevlak-Subtitel">
    <w:name w:val="Blauwevlak - Subtitel"/>
    <w:basedOn w:val="Standaard"/>
    <w:rsid w:val="00AD6CCC"/>
    <w:pPr>
      <w:spacing w:before="9" w:after="9"/>
      <w:ind w:left="493" w:right="493"/>
    </w:pPr>
    <w:rPr>
      <w:b/>
      <w:color w:val="FFFFFF"/>
      <w:sz w:val="32"/>
      <w:szCs w:val="32"/>
    </w:rPr>
  </w:style>
  <w:style w:type="character" w:customStyle="1" w:styleId="Kop3Char">
    <w:name w:val="Kop 3 Char"/>
    <w:link w:val="Kop3"/>
    <w:rsid w:val="00ED6CD9"/>
    <w:rPr>
      <w:rFonts w:ascii="Arial" w:hAnsi="Arial" w:cs="Arial"/>
      <w:b/>
      <w:bCs/>
      <w:color w:val="004682"/>
      <w:sz w:val="24"/>
      <w:szCs w:val="26"/>
      <w:lang w:val="nl-NL" w:eastAsia="nl-NL" w:bidi="ar-SA"/>
    </w:rPr>
  </w:style>
  <w:style w:type="character" w:styleId="Paginanummer">
    <w:name w:val="page number"/>
    <w:basedOn w:val="Standaardalinea-lettertype"/>
    <w:rsid w:val="004D7E39"/>
  </w:style>
  <w:style w:type="character" w:customStyle="1" w:styleId="VoettekstChar">
    <w:name w:val="Voettekst Char"/>
    <w:basedOn w:val="Standaardalinea-lettertype"/>
    <w:link w:val="Voettekst"/>
    <w:uiPriority w:val="99"/>
    <w:rsid w:val="00330D7B"/>
    <w:rPr>
      <w:rFonts w:ascii="Arial" w:hAnsi="Arial"/>
      <w:sz w:val="18"/>
      <w:szCs w:val="24"/>
    </w:rPr>
  </w:style>
  <w:style w:type="paragraph" w:styleId="Lijstalinea">
    <w:name w:val="List Paragraph"/>
    <w:basedOn w:val="Standaard"/>
    <w:uiPriority w:val="34"/>
    <w:qFormat/>
    <w:rsid w:val="00330D7B"/>
    <w:pPr>
      <w:widowControl/>
      <w:spacing w:line="240" w:lineRule="auto"/>
      <w:ind w:left="720"/>
      <w:contextualSpacing/>
    </w:pPr>
    <w:rPr>
      <w:rFonts w:ascii="Calibri" w:eastAsiaTheme="minorHAnsi" w:hAnsi="Calibri"/>
      <w:sz w:val="22"/>
      <w:szCs w:val="22"/>
    </w:rPr>
  </w:style>
  <w:style w:type="paragraph" w:customStyle="1" w:styleId="Huisstijl-Ondertekeningvervolg">
    <w:name w:val="Huisstijl - Ondertekening vervolg"/>
    <w:basedOn w:val="Standaard"/>
    <w:uiPriority w:val="99"/>
    <w:rsid w:val="008D65C4"/>
    <w:pPr>
      <w:suppressAutoHyphens/>
      <w:autoSpaceDN w:val="0"/>
      <w:spacing w:line="240" w:lineRule="exact"/>
    </w:pPr>
    <w:rPr>
      <w:rFonts w:ascii="Verdana" w:hAnsi="Verdana" w:cs="Lohit Hindi"/>
      <w:i/>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501">
      <w:bodyDiv w:val="1"/>
      <w:marLeft w:val="0"/>
      <w:marRight w:val="0"/>
      <w:marTop w:val="0"/>
      <w:marBottom w:val="0"/>
      <w:divBdr>
        <w:top w:val="none" w:sz="0" w:space="0" w:color="auto"/>
        <w:left w:val="none" w:sz="0" w:space="0" w:color="auto"/>
        <w:bottom w:val="none" w:sz="0" w:space="0" w:color="auto"/>
        <w:right w:val="none" w:sz="0" w:space="0" w:color="auto"/>
      </w:divBdr>
      <w:divsChild>
        <w:div w:id="53741638">
          <w:marLeft w:val="0"/>
          <w:marRight w:val="0"/>
          <w:marTop w:val="0"/>
          <w:marBottom w:val="0"/>
          <w:divBdr>
            <w:top w:val="none" w:sz="0" w:space="0" w:color="auto"/>
            <w:left w:val="none" w:sz="0" w:space="0" w:color="auto"/>
            <w:bottom w:val="none" w:sz="0" w:space="0" w:color="auto"/>
            <w:right w:val="none" w:sz="0" w:space="0" w:color="auto"/>
          </w:divBdr>
          <w:divsChild>
            <w:div w:id="919756256">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111478599">
      <w:bodyDiv w:val="1"/>
      <w:marLeft w:val="0"/>
      <w:marRight w:val="0"/>
      <w:marTop w:val="0"/>
      <w:marBottom w:val="0"/>
      <w:divBdr>
        <w:top w:val="none" w:sz="0" w:space="0" w:color="auto"/>
        <w:left w:val="none" w:sz="0" w:space="0" w:color="auto"/>
        <w:bottom w:val="none" w:sz="0" w:space="0" w:color="auto"/>
        <w:right w:val="none" w:sz="0" w:space="0" w:color="auto"/>
      </w:divBdr>
      <w:divsChild>
        <w:div w:id="1254975806">
          <w:marLeft w:val="0"/>
          <w:marRight w:val="0"/>
          <w:marTop w:val="0"/>
          <w:marBottom w:val="0"/>
          <w:divBdr>
            <w:top w:val="none" w:sz="0" w:space="0" w:color="auto"/>
            <w:left w:val="none" w:sz="0" w:space="0" w:color="auto"/>
            <w:bottom w:val="none" w:sz="0" w:space="0" w:color="auto"/>
            <w:right w:val="none" w:sz="0" w:space="0" w:color="auto"/>
          </w:divBdr>
          <w:divsChild>
            <w:div w:id="164518109">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159858334">
      <w:bodyDiv w:val="1"/>
      <w:marLeft w:val="0"/>
      <w:marRight w:val="0"/>
      <w:marTop w:val="0"/>
      <w:marBottom w:val="0"/>
      <w:divBdr>
        <w:top w:val="none" w:sz="0" w:space="0" w:color="auto"/>
        <w:left w:val="none" w:sz="0" w:space="0" w:color="auto"/>
        <w:bottom w:val="none" w:sz="0" w:space="0" w:color="auto"/>
        <w:right w:val="none" w:sz="0" w:space="0" w:color="auto"/>
      </w:divBdr>
    </w:div>
    <w:div w:id="336617881">
      <w:bodyDiv w:val="1"/>
      <w:marLeft w:val="0"/>
      <w:marRight w:val="0"/>
      <w:marTop w:val="0"/>
      <w:marBottom w:val="0"/>
      <w:divBdr>
        <w:top w:val="none" w:sz="0" w:space="0" w:color="auto"/>
        <w:left w:val="none" w:sz="0" w:space="0" w:color="auto"/>
        <w:bottom w:val="none" w:sz="0" w:space="0" w:color="auto"/>
        <w:right w:val="none" w:sz="0" w:space="0" w:color="auto"/>
      </w:divBdr>
      <w:divsChild>
        <w:div w:id="66927844">
          <w:marLeft w:val="0"/>
          <w:marRight w:val="0"/>
          <w:marTop w:val="0"/>
          <w:marBottom w:val="0"/>
          <w:divBdr>
            <w:top w:val="none" w:sz="0" w:space="0" w:color="auto"/>
            <w:left w:val="none" w:sz="0" w:space="0" w:color="auto"/>
            <w:bottom w:val="none" w:sz="0" w:space="0" w:color="auto"/>
            <w:right w:val="none" w:sz="0" w:space="0" w:color="auto"/>
          </w:divBdr>
          <w:divsChild>
            <w:div w:id="2081097725">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366684671">
      <w:bodyDiv w:val="1"/>
      <w:marLeft w:val="0"/>
      <w:marRight w:val="0"/>
      <w:marTop w:val="0"/>
      <w:marBottom w:val="0"/>
      <w:divBdr>
        <w:top w:val="none" w:sz="0" w:space="0" w:color="auto"/>
        <w:left w:val="none" w:sz="0" w:space="0" w:color="auto"/>
        <w:bottom w:val="none" w:sz="0" w:space="0" w:color="auto"/>
        <w:right w:val="none" w:sz="0" w:space="0" w:color="auto"/>
      </w:divBdr>
      <w:divsChild>
        <w:div w:id="258605150">
          <w:marLeft w:val="0"/>
          <w:marRight w:val="0"/>
          <w:marTop w:val="0"/>
          <w:marBottom w:val="0"/>
          <w:divBdr>
            <w:top w:val="none" w:sz="0" w:space="0" w:color="auto"/>
            <w:left w:val="none" w:sz="0" w:space="0" w:color="auto"/>
            <w:bottom w:val="none" w:sz="0" w:space="0" w:color="auto"/>
            <w:right w:val="none" w:sz="0" w:space="0" w:color="auto"/>
          </w:divBdr>
          <w:divsChild>
            <w:div w:id="1301157863">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387267214">
      <w:bodyDiv w:val="1"/>
      <w:marLeft w:val="0"/>
      <w:marRight w:val="0"/>
      <w:marTop w:val="0"/>
      <w:marBottom w:val="0"/>
      <w:divBdr>
        <w:top w:val="none" w:sz="0" w:space="0" w:color="auto"/>
        <w:left w:val="none" w:sz="0" w:space="0" w:color="auto"/>
        <w:bottom w:val="none" w:sz="0" w:space="0" w:color="auto"/>
        <w:right w:val="none" w:sz="0" w:space="0" w:color="auto"/>
      </w:divBdr>
    </w:div>
    <w:div w:id="632520547">
      <w:bodyDiv w:val="1"/>
      <w:marLeft w:val="0"/>
      <w:marRight w:val="0"/>
      <w:marTop w:val="0"/>
      <w:marBottom w:val="0"/>
      <w:divBdr>
        <w:top w:val="none" w:sz="0" w:space="0" w:color="auto"/>
        <w:left w:val="none" w:sz="0" w:space="0" w:color="auto"/>
        <w:bottom w:val="none" w:sz="0" w:space="0" w:color="auto"/>
        <w:right w:val="none" w:sz="0" w:space="0" w:color="auto"/>
      </w:divBdr>
      <w:divsChild>
        <w:div w:id="2141224786">
          <w:marLeft w:val="0"/>
          <w:marRight w:val="0"/>
          <w:marTop w:val="0"/>
          <w:marBottom w:val="0"/>
          <w:divBdr>
            <w:top w:val="none" w:sz="0" w:space="0" w:color="auto"/>
            <w:left w:val="none" w:sz="0" w:space="0" w:color="auto"/>
            <w:bottom w:val="none" w:sz="0" w:space="0" w:color="auto"/>
            <w:right w:val="none" w:sz="0" w:space="0" w:color="auto"/>
          </w:divBdr>
          <w:divsChild>
            <w:div w:id="905648957">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775910875">
      <w:bodyDiv w:val="1"/>
      <w:marLeft w:val="0"/>
      <w:marRight w:val="0"/>
      <w:marTop w:val="0"/>
      <w:marBottom w:val="0"/>
      <w:divBdr>
        <w:top w:val="none" w:sz="0" w:space="0" w:color="auto"/>
        <w:left w:val="none" w:sz="0" w:space="0" w:color="auto"/>
        <w:bottom w:val="none" w:sz="0" w:space="0" w:color="auto"/>
        <w:right w:val="none" w:sz="0" w:space="0" w:color="auto"/>
      </w:divBdr>
    </w:div>
    <w:div w:id="967467664">
      <w:bodyDiv w:val="1"/>
      <w:marLeft w:val="0"/>
      <w:marRight w:val="0"/>
      <w:marTop w:val="0"/>
      <w:marBottom w:val="0"/>
      <w:divBdr>
        <w:top w:val="none" w:sz="0" w:space="0" w:color="auto"/>
        <w:left w:val="none" w:sz="0" w:space="0" w:color="auto"/>
        <w:bottom w:val="none" w:sz="0" w:space="0" w:color="auto"/>
        <w:right w:val="none" w:sz="0" w:space="0" w:color="auto"/>
      </w:divBdr>
      <w:divsChild>
        <w:div w:id="1748306466">
          <w:marLeft w:val="0"/>
          <w:marRight w:val="0"/>
          <w:marTop w:val="0"/>
          <w:marBottom w:val="0"/>
          <w:divBdr>
            <w:top w:val="none" w:sz="0" w:space="0" w:color="auto"/>
            <w:left w:val="none" w:sz="0" w:space="0" w:color="auto"/>
            <w:bottom w:val="none" w:sz="0" w:space="0" w:color="auto"/>
            <w:right w:val="none" w:sz="0" w:space="0" w:color="auto"/>
          </w:divBdr>
          <w:divsChild>
            <w:div w:id="1344436051">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1266571929">
      <w:bodyDiv w:val="1"/>
      <w:marLeft w:val="0"/>
      <w:marRight w:val="0"/>
      <w:marTop w:val="0"/>
      <w:marBottom w:val="0"/>
      <w:divBdr>
        <w:top w:val="none" w:sz="0" w:space="0" w:color="auto"/>
        <w:left w:val="none" w:sz="0" w:space="0" w:color="auto"/>
        <w:bottom w:val="none" w:sz="0" w:space="0" w:color="auto"/>
        <w:right w:val="none" w:sz="0" w:space="0" w:color="auto"/>
      </w:divBdr>
    </w:div>
    <w:div w:id="1409502396">
      <w:bodyDiv w:val="1"/>
      <w:marLeft w:val="0"/>
      <w:marRight w:val="0"/>
      <w:marTop w:val="0"/>
      <w:marBottom w:val="0"/>
      <w:divBdr>
        <w:top w:val="none" w:sz="0" w:space="0" w:color="auto"/>
        <w:left w:val="none" w:sz="0" w:space="0" w:color="auto"/>
        <w:bottom w:val="none" w:sz="0" w:space="0" w:color="auto"/>
        <w:right w:val="none" w:sz="0" w:space="0" w:color="auto"/>
      </w:divBdr>
      <w:divsChild>
        <w:div w:id="1391806181">
          <w:marLeft w:val="0"/>
          <w:marRight w:val="0"/>
          <w:marTop w:val="0"/>
          <w:marBottom w:val="0"/>
          <w:divBdr>
            <w:top w:val="none" w:sz="0" w:space="0" w:color="auto"/>
            <w:left w:val="none" w:sz="0" w:space="0" w:color="auto"/>
            <w:bottom w:val="none" w:sz="0" w:space="0" w:color="auto"/>
            <w:right w:val="none" w:sz="0" w:space="0" w:color="auto"/>
          </w:divBdr>
          <w:divsChild>
            <w:div w:id="2081950132">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1925409898">
      <w:bodyDiv w:val="1"/>
      <w:marLeft w:val="0"/>
      <w:marRight w:val="0"/>
      <w:marTop w:val="0"/>
      <w:marBottom w:val="0"/>
      <w:divBdr>
        <w:top w:val="none" w:sz="0" w:space="0" w:color="auto"/>
        <w:left w:val="none" w:sz="0" w:space="0" w:color="auto"/>
        <w:bottom w:val="none" w:sz="0" w:space="0" w:color="auto"/>
        <w:right w:val="none" w:sz="0" w:space="0" w:color="auto"/>
      </w:divBdr>
    </w:div>
    <w:div w:id="20763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4.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entraal\Office\2013\Huisstijl\Politie\Facsheet%20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1086</ap:Words>
  <ap:Characters>6285</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2017-02-01T09:11:00.0000000Z</dcterms:created>
  <dcterms:modified xsi:type="dcterms:W3CDTF">2017-02-01T09:11:00.0000000Z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0x010100B67B5242A9FA9E42BA3A8F0F10DC7AF1</vt:lpwstr>
  </property>
</Properties>
</file>