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A47FF" w:rsidR="00E340EF" w:rsidRDefault="001856D0">
      <w:pPr>
        <w:autoSpaceDE w:val="0"/>
        <w:autoSpaceDN w:val="0"/>
        <w:adjustRightInd w:val="0"/>
        <w:spacing w:before="0" w:after="0"/>
        <w:ind w:left="1416" w:hanging="1371"/>
        <w:rPr>
          <w:b/>
          <w:bCs/>
          <w:sz w:val="23"/>
          <w:szCs w:val="23"/>
        </w:rPr>
      </w:pPr>
      <w:bookmarkStart w:name="_GoBack" w:id="0"/>
      <w:bookmarkEnd w:id="0"/>
      <w:r w:rsidRPr="00BA47FF">
        <w:rPr>
          <w:b/>
          <w:bCs/>
          <w:sz w:val="23"/>
          <w:szCs w:val="23"/>
        </w:rPr>
        <w:t>31</w:t>
      </w:r>
      <w:r w:rsidRPr="00BA47FF" w:rsidR="00BA47FF">
        <w:rPr>
          <w:b/>
          <w:bCs/>
          <w:sz w:val="23"/>
          <w:szCs w:val="23"/>
        </w:rPr>
        <w:t xml:space="preserve"> </w:t>
      </w:r>
      <w:r w:rsidRPr="00BA47FF">
        <w:rPr>
          <w:b/>
          <w:bCs/>
          <w:sz w:val="23"/>
          <w:szCs w:val="23"/>
        </w:rPr>
        <w:t>935</w:t>
      </w:r>
      <w:r w:rsidRPr="00BA47FF">
        <w:rPr>
          <w:b/>
          <w:bCs/>
          <w:sz w:val="23"/>
          <w:szCs w:val="23"/>
        </w:rPr>
        <w:tab/>
        <w:t>Beleidsdoorlichting Financiën</w:t>
      </w:r>
    </w:p>
    <w:p w:rsidRPr="00BA47FF" w:rsidR="00E340EF" w:rsidRDefault="00E340EF">
      <w:pPr>
        <w:autoSpaceDE w:val="0"/>
        <w:autoSpaceDN w:val="0"/>
        <w:adjustRightInd w:val="0"/>
        <w:spacing w:before="0" w:after="0"/>
        <w:ind w:left="1416" w:hanging="1371"/>
        <w:rPr>
          <w:b/>
        </w:rPr>
      </w:pPr>
    </w:p>
    <w:p w:rsidRPr="00BA47FF" w:rsidR="00E340EF" w:rsidRDefault="00BA47FF">
      <w:pPr>
        <w:rPr>
          <w:b/>
        </w:rPr>
      </w:pPr>
      <w:r w:rsidRPr="00BA47FF">
        <w:rPr>
          <w:b/>
        </w:rPr>
        <w:t>N</w:t>
      </w:r>
      <w:r w:rsidRPr="00BA47FF" w:rsidR="001856D0">
        <w:rPr>
          <w:b/>
        </w:rPr>
        <w:t xml:space="preserve">r. </w:t>
      </w:r>
      <w:r w:rsidRPr="00BA47FF" w:rsidR="001856D0">
        <w:rPr>
          <w:b/>
        </w:rPr>
        <w:tab/>
      </w:r>
      <w:r w:rsidRPr="00BA47FF" w:rsidR="001856D0">
        <w:rPr>
          <w:b/>
        </w:rPr>
        <w:tab/>
        <w:t>Lijst van vragen en antwoorden</w:t>
      </w:r>
    </w:p>
    <w:p w:rsidRPr="00BA47FF" w:rsidR="00E340EF" w:rsidP="00BA47FF" w:rsidRDefault="00BA47FF">
      <w:pPr>
        <w:rPr>
          <w:i/>
        </w:rPr>
      </w:pPr>
      <w:r w:rsidRPr="00BA47FF">
        <w:rPr>
          <w:b/>
        </w:rPr>
        <w:tab/>
      </w:r>
      <w:r w:rsidRPr="00BA47FF">
        <w:rPr>
          <w:b/>
        </w:rPr>
        <w:tab/>
      </w:r>
      <w:r w:rsidRPr="00BA47FF" w:rsidR="001856D0">
        <w:t xml:space="preserve">Vastgesteld </w:t>
      </w:r>
      <w:r w:rsidRPr="00BA47FF" w:rsidR="001856D0">
        <w:rPr>
          <w:i/>
        </w:rPr>
        <w:t>(wordt door griffie ingevuld als antwoorden er zijn)</w:t>
      </w:r>
    </w:p>
    <w:p w:rsidRPr="00BA47FF" w:rsidR="00BA47FF" w:rsidRDefault="00BA47FF">
      <w:pPr>
        <w:ind w:left="1410"/>
      </w:pPr>
    </w:p>
    <w:p w:rsidRPr="00BA47FF" w:rsidR="00E340EF" w:rsidRDefault="001856D0">
      <w:pPr>
        <w:ind w:left="1410"/>
      </w:pPr>
      <w:r w:rsidRPr="00BA47FF">
        <w:t xml:space="preserve">De vaste commissie voor </w:t>
      </w:r>
      <w:r w:rsidRPr="00BA47FF" w:rsidR="00BA47FF">
        <w:t xml:space="preserve">Financiën </w:t>
      </w:r>
      <w:r w:rsidRPr="00BA47FF">
        <w:t xml:space="preserve">heeft een aantal vragen voorgelegd aan de </w:t>
      </w:r>
      <w:r w:rsidRPr="00BA47FF" w:rsidR="00BA47FF">
        <w:t xml:space="preserve">staatssecretaris van Financiën </w:t>
      </w:r>
      <w:r w:rsidRPr="00BA47FF">
        <w:t xml:space="preserve">over de </w:t>
      </w:r>
      <w:r w:rsidRPr="00BA47FF" w:rsidR="00BA47FF">
        <w:t>b</w:t>
      </w:r>
      <w:r w:rsidRPr="00BA47FF">
        <w:t xml:space="preserve">eleidsdoorlichting uitvoering toeslagen door </w:t>
      </w:r>
      <w:r w:rsidRPr="00BA47FF" w:rsidR="00BA47FF">
        <w:t xml:space="preserve">de </w:t>
      </w:r>
      <w:r w:rsidRPr="00BA47FF">
        <w:t>Belastingdienst (31935, nr. 36).</w:t>
      </w:r>
    </w:p>
    <w:p w:rsidRPr="00BA47FF" w:rsidR="00E340EF" w:rsidRDefault="001856D0">
      <w:pPr>
        <w:ind w:left="1410"/>
      </w:pPr>
      <w:r w:rsidRPr="00BA47FF">
        <w:t xml:space="preserve">De daarop door de </w:t>
      </w:r>
      <w:r w:rsidRPr="00BA47FF" w:rsidR="00BA47FF">
        <w:t xml:space="preserve">staatssecretaris van Financiën </w:t>
      </w:r>
      <w:r w:rsidRPr="00BA47FF">
        <w:t>gegeven antwoorden zijn hierbij afgedrukt.</w:t>
      </w:r>
    </w:p>
    <w:p w:rsidRPr="00BA47FF" w:rsidR="00E340EF" w:rsidRDefault="00E340EF">
      <w:pPr>
        <w:spacing w:before="0" w:after="0"/>
      </w:pPr>
    </w:p>
    <w:p w:rsidRPr="00BA47FF" w:rsidR="00E340EF" w:rsidRDefault="001856D0">
      <w:pPr>
        <w:spacing w:before="0" w:after="0"/>
        <w:ind w:left="703" w:firstLine="709"/>
      </w:pPr>
      <w:r w:rsidRPr="00BA47FF">
        <w:t xml:space="preserve">Voorzitter van de commissie, </w:t>
      </w:r>
    </w:p>
    <w:p w:rsidRPr="00BA47FF" w:rsidR="00E340EF" w:rsidRDefault="001856D0">
      <w:pPr>
        <w:spacing w:before="0" w:after="0"/>
      </w:pPr>
      <w:r w:rsidRPr="00BA47FF">
        <w:tab/>
      </w:r>
      <w:r w:rsidRPr="00BA47FF">
        <w:tab/>
      </w:r>
      <w:r w:rsidRPr="00BA47FF" w:rsidR="00BA47FF">
        <w:t>Duisenberg</w:t>
      </w:r>
    </w:p>
    <w:p w:rsidRPr="00BA47FF" w:rsidR="00E340EF" w:rsidRDefault="001856D0">
      <w:pPr>
        <w:spacing w:before="0" w:after="0"/>
      </w:pPr>
      <w:r w:rsidRPr="00BA47FF">
        <w:tab/>
      </w:r>
      <w:r w:rsidRPr="00BA47FF">
        <w:tab/>
      </w:r>
    </w:p>
    <w:p w:rsidRPr="00BA47FF" w:rsidR="00E340EF" w:rsidRDefault="001856D0">
      <w:pPr>
        <w:spacing w:before="0" w:after="0"/>
      </w:pPr>
      <w:r w:rsidRPr="00BA47FF">
        <w:tab/>
      </w:r>
      <w:r w:rsidRPr="00BA47FF">
        <w:tab/>
      </w:r>
      <w:r w:rsidRPr="00BA47FF" w:rsidR="00BA47FF">
        <w:t>Adjunct-g</w:t>
      </w:r>
      <w:r w:rsidRPr="00BA47FF">
        <w:t>riffier van de commissie,</w:t>
      </w:r>
    </w:p>
    <w:p w:rsidRPr="00BA47FF" w:rsidR="00E340EF" w:rsidRDefault="001856D0">
      <w:pPr>
        <w:spacing w:before="0" w:after="0"/>
      </w:pPr>
      <w:r w:rsidRPr="00BA47FF">
        <w:tab/>
      </w:r>
      <w:r w:rsidRPr="00BA47FF">
        <w:tab/>
      </w:r>
      <w:r w:rsidRPr="00BA47FF" w:rsidR="00BA47FF">
        <w:t>Bartman</w:t>
      </w:r>
    </w:p>
    <w:p w:rsidRPr="00BA47FF" w:rsidR="00E340EF" w:rsidRDefault="00E340EF"/>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BA47FF" w:rsidR="00E340EF" w:rsidTr="00E7153D">
        <w:trPr>
          <w:cantSplit/>
        </w:trPr>
        <w:tc>
          <w:tcPr>
            <w:tcW w:w="567" w:type="dxa"/>
          </w:tcPr>
          <w:p w:rsidRPr="00BA47FF" w:rsidR="00E340EF" w:rsidP="006964FC" w:rsidRDefault="006964FC">
            <w:bookmarkStart w:name="bmkStartTabel" w:id="1"/>
            <w:bookmarkEnd w:id="1"/>
            <w:r>
              <w:t>Nr.</w:t>
            </w:r>
          </w:p>
        </w:tc>
        <w:tc>
          <w:tcPr>
            <w:tcW w:w="6521" w:type="dxa"/>
          </w:tcPr>
          <w:p w:rsidRPr="00BA47FF" w:rsidR="00E340EF" w:rsidRDefault="001856D0">
            <w:r w:rsidRPr="00BA47FF">
              <w:t>Vraag</w:t>
            </w:r>
          </w:p>
        </w:tc>
        <w:tc>
          <w:tcPr>
            <w:tcW w:w="850" w:type="dxa"/>
          </w:tcPr>
          <w:p w:rsidRPr="00BA47FF" w:rsidR="00E340EF" w:rsidRDefault="001856D0">
            <w:pPr>
              <w:jc w:val="right"/>
            </w:pPr>
            <w:r w:rsidRPr="00BA47FF">
              <w:t>Bijlage</w:t>
            </w:r>
          </w:p>
        </w:tc>
        <w:tc>
          <w:tcPr>
            <w:tcW w:w="992" w:type="dxa"/>
          </w:tcPr>
          <w:p w:rsidRPr="00BA47FF" w:rsidR="00E340EF" w:rsidP="00E7153D" w:rsidRDefault="001856D0">
            <w:pPr>
              <w:jc w:val="right"/>
            </w:pPr>
            <w:r w:rsidRPr="00BA47FF">
              <w:t>Blz. (van)</w:t>
            </w:r>
          </w:p>
        </w:tc>
        <w:tc>
          <w:tcPr>
            <w:tcW w:w="567" w:type="dxa"/>
          </w:tcPr>
          <w:p w:rsidRPr="00BA47FF" w:rsidR="00E340EF" w:rsidP="00E7153D" w:rsidRDefault="001856D0">
            <w:pPr>
              <w:jc w:val="center"/>
            </w:pPr>
            <w:r w:rsidRPr="00BA47FF">
              <w:t>t/m</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is er bij het vaststellen van de doelen van het beleid van de Belastingdienst toeslagen nagedacht over hoe deze doelen gemeten zouden gaan worden?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verhoudt zich de nulmeting uit 2014, waaruit bleek dat er meer indicatoren nodig waren om het beleid te kunnen beoordelen, zich tot het feit dat er nu te weinig indicatoren zijn om het beleid te beoordelen?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Kunt u toelichten of de indicatoren voor een volgende beleidsdoorlichting gewijzigd zullen worden? Waarom wel of niet?</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Kunt u toelichten of er een verdiepend onderzoek komt om het beleid goed te kunnen beoordelen? Waarom wel of niet?</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wordt er bij andere beleidsdoorlichtingen omgegaan met het feit dat er eigenlijk een controlegroep of nulmeting moet worden gedaan om het beleid goed te kunnen beoordelen? Kan de Belastingdienst op de ervaringen van anderen meeliften? Waarom wel of niet?</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BA47FF" w:rsidTr="00C763A0">
        <w:tc>
          <w:tcPr>
            <w:tcW w:w="567" w:type="dxa"/>
          </w:tcPr>
          <w:p w:rsidRPr="00BA47FF" w:rsidR="00BA47FF" w:rsidP="006964FC" w:rsidRDefault="00BA47FF">
            <w:pPr>
              <w:pStyle w:val="Lijstalinea"/>
              <w:numPr>
                <w:ilvl w:val="0"/>
                <w:numId w:val="1"/>
              </w:numPr>
            </w:pPr>
          </w:p>
        </w:tc>
        <w:tc>
          <w:tcPr>
            <w:tcW w:w="6521" w:type="dxa"/>
          </w:tcPr>
          <w:p w:rsidRPr="00BA47FF" w:rsidR="00BA47FF" w:rsidP="00C763A0" w:rsidRDefault="00BA47FF">
            <w:r w:rsidRPr="00BA47FF">
              <w:t>Op welke wijze zal invulling gegeven worden aan de aanbeveling om te werken met een nu</w:t>
            </w:r>
            <w:r>
              <w:t>lmeting of een andere benchmark?</w:t>
            </w:r>
          </w:p>
        </w:tc>
        <w:tc>
          <w:tcPr>
            <w:tcW w:w="850" w:type="dxa"/>
          </w:tcPr>
          <w:p w:rsidRPr="00BA47FF" w:rsidR="00BA47FF" w:rsidP="00C763A0" w:rsidRDefault="00BA47FF">
            <w:pPr>
              <w:jc w:val="right"/>
            </w:pPr>
          </w:p>
        </w:tc>
        <w:tc>
          <w:tcPr>
            <w:tcW w:w="992" w:type="dxa"/>
          </w:tcPr>
          <w:p w:rsidRPr="00BA47FF" w:rsidR="00BA47FF" w:rsidP="00C763A0" w:rsidRDefault="00BA47FF">
            <w:pPr>
              <w:jc w:val="right"/>
            </w:pPr>
          </w:p>
        </w:tc>
        <w:tc>
          <w:tcPr>
            <w:tcW w:w="567" w:type="dxa"/>
            <w:tcBorders>
              <w:left w:val="nil"/>
            </w:tcBorders>
          </w:tcPr>
          <w:p w:rsidRPr="00BA47FF" w:rsidR="00BA47FF" w:rsidP="00C763A0" w:rsidRDefault="00BA47FF">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In de beleidsdoorlichting wordt geschreven dat het aannem</w:t>
            </w:r>
            <w:r w:rsidRPr="00BA47FF" w:rsidR="00BA47FF">
              <w:t>e</w:t>
            </w:r>
            <w:r w:rsidRPr="00BA47FF">
              <w:t>lijk lijkt dat het beleid wat betreft de toekenningszekerheid vruchten afwerpt. Waar wordt dit op gebaseerd, aangezien de meting op basis van indicatoren dit niet voldoende kan aantonen?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Kunt u toelichten hoe in een beleidsdoorlichting de scheiding wordt gemaakt tussen uitvoering en beleid? Bent u van mening dat deze scheiding altijd duidelijk is in deze doorlichting? Waarom wel of niet?</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Waarom is er voor gekozen om neutraal en tevreden over de dienstverlening samen te voegen? Kunt u toelichten of de belanghebbenden tevreden zijn over de dienstverlening of hier geen mening over hebben?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Kunt u verklaren waarom er een licht negatieve trend over de tevredenheid zichtbaar is? Waarom wel of niet?</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Welke indicatoren kunnen ervoor zorgen dat er betere conclusies kunnen worden getrokken over het functioneren van Belastingdienst/Toeslagen?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Welke redenen zijn er om de Belastingdienst business cases op te laten stellen voor het machtigen om wijzigingen door te voeren en het achteraf uitbetalen?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P="00BA47FF" w:rsidRDefault="001856D0">
            <w:r w:rsidRPr="00BA47FF">
              <w:t>K</w:t>
            </w:r>
            <w:r w:rsidR="00BA47FF">
              <w:t xml:space="preserve">unt u </w:t>
            </w:r>
            <w:r w:rsidRPr="00BA47FF">
              <w:t xml:space="preserve">reageren op de conclusie dat dat intermediairs de dienstverlening van de Belastingdienst minder goed zijn gaan waarderen? Wat zijn daarvan de </w:t>
            </w:r>
            <w:r w:rsidRPr="00BA47FF">
              <w:lastRenderedPageBreak/>
              <w:t>oorzaken?</w:t>
            </w:r>
          </w:p>
        </w:tc>
        <w:tc>
          <w:tcPr>
            <w:tcW w:w="850" w:type="dxa"/>
          </w:tcPr>
          <w:p w:rsidRPr="00BA47FF" w:rsidR="00E340EF" w:rsidRDefault="00E340EF">
            <w:pPr>
              <w:jc w:val="right"/>
            </w:pP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gaan de indicatoren voor de doelen toekenningszekerheid en rechtmatigheid aangepast worden?</w:t>
            </w:r>
          </w:p>
        </w:tc>
        <w:tc>
          <w:tcPr>
            <w:tcW w:w="850" w:type="dxa"/>
          </w:tcPr>
          <w:p w:rsidRPr="00BA47FF" w:rsidR="00E340EF" w:rsidRDefault="00E340EF">
            <w:pPr>
              <w:jc w:val="right"/>
            </w:pPr>
          </w:p>
        </w:tc>
        <w:tc>
          <w:tcPr>
            <w:tcW w:w="992" w:type="dxa"/>
          </w:tcPr>
          <w:p w:rsidRPr="00BA47FF" w:rsidR="00E340EF" w:rsidRDefault="001856D0">
            <w:pPr>
              <w:jc w:val="right"/>
            </w:pPr>
            <w:r w:rsidRPr="00BA47FF">
              <w:t>2</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P="00BA47FF" w:rsidRDefault="001856D0">
            <w:r w:rsidRPr="00BA47FF">
              <w:t>Hoe wordt er in de toekomst voor gezorgd dat er wel harde uitspraken kunnen worden gedaan over de effectiviteit van de handhaving?</w:t>
            </w:r>
          </w:p>
        </w:tc>
        <w:tc>
          <w:tcPr>
            <w:tcW w:w="850" w:type="dxa"/>
          </w:tcPr>
          <w:p w:rsidRPr="00BA47FF" w:rsidR="00E340EF" w:rsidRDefault="00E340EF">
            <w:pPr>
              <w:jc w:val="right"/>
            </w:pPr>
          </w:p>
        </w:tc>
        <w:tc>
          <w:tcPr>
            <w:tcW w:w="992" w:type="dxa"/>
          </w:tcPr>
          <w:p w:rsidRPr="00BA47FF" w:rsidR="00E340EF" w:rsidRDefault="001856D0">
            <w:pPr>
              <w:jc w:val="right"/>
            </w:pPr>
            <w:r w:rsidRPr="00BA47FF">
              <w:t>3</w:t>
            </w:r>
          </w:p>
        </w:tc>
        <w:tc>
          <w:tcPr>
            <w:tcW w:w="567" w:type="dxa"/>
            <w:tcBorders>
              <w:left w:val="nil"/>
            </w:tcBorders>
          </w:tcPr>
          <w:p w:rsidRPr="00BA47FF" w:rsidR="00E340EF" w:rsidRDefault="001856D0">
            <w:pPr>
              <w:jc w:val="right"/>
            </w:pPr>
            <w:r w:rsidRPr="00BA47FF">
              <w:t xml:space="preserve"> </w:t>
            </w:r>
          </w:p>
        </w:tc>
      </w:tr>
      <w:tr w:rsidRPr="00BA47FF" w:rsidR="00BA47FF" w:rsidTr="00E7153D">
        <w:tc>
          <w:tcPr>
            <w:tcW w:w="567" w:type="dxa"/>
          </w:tcPr>
          <w:p w:rsidRPr="00BA47FF" w:rsidR="00BA47FF" w:rsidP="006964FC" w:rsidRDefault="00BA47FF">
            <w:pPr>
              <w:pStyle w:val="Lijstalinea"/>
              <w:numPr>
                <w:ilvl w:val="0"/>
                <w:numId w:val="1"/>
              </w:numPr>
            </w:pPr>
          </w:p>
        </w:tc>
        <w:tc>
          <w:tcPr>
            <w:tcW w:w="6521" w:type="dxa"/>
          </w:tcPr>
          <w:p w:rsidRPr="00BA47FF" w:rsidR="00BA47FF" w:rsidRDefault="00BA47FF">
            <w:r w:rsidRPr="00BA47FF">
              <w:t>Hoe wordt er in de toekomst voor gezorgd dat de doeltreffendheid en doelmatigheid wel vastgesteld kunnen worden?</w:t>
            </w:r>
          </w:p>
        </w:tc>
        <w:tc>
          <w:tcPr>
            <w:tcW w:w="850" w:type="dxa"/>
          </w:tcPr>
          <w:p w:rsidRPr="00BA47FF" w:rsidR="00BA47FF" w:rsidRDefault="00BA47FF">
            <w:pPr>
              <w:jc w:val="right"/>
            </w:pPr>
          </w:p>
        </w:tc>
        <w:tc>
          <w:tcPr>
            <w:tcW w:w="992" w:type="dxa"/>
          </w:tcPr>
          <w:p w:rsidRPr="00BA47FF" w:rsidR="00BA47FF" w:rsidRDefault="00BA47FF">
            <w:pPr>
              <w:jc w:val="right"/>
            </w:pPr>
            <w:r>
              <w:t>3</w:t>
            </w:r>
          </w:p>
        </w:tc>
        <w:tc>
          <w:tcPr>
            <w:tcW w:w="567" w:type="dxa"/>
            <w:tcBorders>
              <w:left w:val="nil"/>
            </w:tcBorders>
          </w:tcPr>
          <w:p w:rsidRPr="00BA47FF" w:rsidR="00BA47FF" w:rsidRDefault="00BA47FF">
            <w:pPr>
              <w:jc w:val="right"/>
            </w:pP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P="00BA47FF" w:rsidRDefault="001856D0">
            <w:r w:rsidRPr="00BA47FF">
              <w:t>K</w:t>
            </w:r>
            <w:r w:rsidR="00BA47FF">
              <w:t xml:space="preserve">unt u </w:t>
            </w:r>
            <w:r w:rsidRPr="00BA47FF">
              <w:t xml:space="preserve">per aanbeveling aangeven of en hoe </w:t>
            </w:r>
            <w:r w:rsidR="00BA47FF">
              <w:t>u</w:t>
            </w:r>
            <w:r w:rsidRPr="00BA47FF">
              <w:t xml:space="preserve"> de aanbeveling overneemt?</w:t>
            </w:r>
          </w:p>
        </w:tc>
        <w:tc>
          <w:tcPr>
            <w:tcW w:w="850" w:type="dxa"/>
          </w:tcPr>
          <w:p w:rsidRPr="00BA47FF" w:rsidR="00E340EF" w:rsidRDefault="00E340EF">
            <w:pPr>
              <w:jc w:val="right"/>
            </w:pPr>
          </w:p>
        </w:tc>
        <w:tc>
          <w:tcPr>
            <w:tcW w:w="992" w:type="dxa"/>
          </w:tcPr>
          <w:p w:rsidRPr="00BA47FF" w:rsidR="00E340EF" w:rsidRDefault="001856D0">
            <w:pPr>
              <w:jc w:val="right"/>
            </w:pPr>
            <w:r w:rsidRPr="00BA47FF">
              <w:t>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Welke pilots lopen er momenteel in het kader van 'de natuurlijke dialoog'?</w:t>
            </w:r>
          </w:p>
        </w:tc>
        <w:tc>
          <w:tcPr>
            <w:tcW w:w="850" w:type="dxa"/>
          </w:tcPr>
          <w:p w:rsidRPr="00BA47FF" w:rsidR="00E340EF" w:rsidRDefault="00E340EF">
            <w:pPr>
              <w:jc w:val="right"/>
            </w:pPr>
          </w:p>
        </w:tc>
        <w:tc>
          <w:tcPr>
            <w:tcW w:w="992" w:type="dxa"/>
          </w:tcPr>
          <w:p w:rsidRPr="00BA47FF" w:rsidR="00E340EF" w:rsidRDefault="001856D0">
            <w:pPr>
              <w:jc w:val="right"/>
            </w:pPr>
            <w:r w:rsidRPr="00BA47FF">
              <w:t>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Wat wordt bedoeld met “ik sta dan ook positief tegenover de aanbevelingen? Wat gaat er concreet met de aanbevelingen gedaan worden?</w:t>
            </w:r>
          </w:p>
        </w:tc>
        <w:tc>
          <w:tcPr>
            <w:tcW w:w="850" w:type="dxa"/>
          </w:tcPr>
          <w:p w:rsidRPr="00BA47FF" w:rsidR="00E340EF" w:rsidRDefault="00E340EF">
            <w:pPr>
              <w:jc w:val="right"/>
            </w:pPr>
          </w:p>
        </w:tc>
        <w:tc>
          <w:tcPr>
            <w:tcW w:w="992" w:type="dxa"/>
          </w:tcPr>
          <w:p w:rsidRPr="00BA47FF" w:rsidR="00E340EF" w:rsidRDefault="001856D0">
            <w:pPr>
              <w:jc w:val="right"/>
            </w:pPr>
            <w:r w:rsidRPr="00BA47FF">
              <w:t>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In de beleidsreactie wordt de toezegging gedaan dat bij nieuwe initiatieven waar mogelijk wordt gewerkt met een nulmeting of een controlegroep. Wanneer is er sprake van deze mogelijkheid?</w:t>
            </w:r>
          </w:p>
        </w:tc>
        <w:tc>
          <w:tcPr>
            <w:tcW w:w="850" w:type="dxa"/>
          </w:tcPr>
          <w:p w:rsidRPr="00BA47FF" w:rsidR="00E340EF" w:rsidRDefault="00E340EF">
            <w:pPr>
              <w:jc w:val="right"/>
            </w:pPr>
          </w:p>
        </w:tc>
        <w:tc>
          <w:tcPr>
            <w:tcW w:w="992" w:type="dxa"/>
          </w:tcPr>
          <w:p w:rsidRPr="00BA47FF" w:rsidR="00E340EF" w:rsidRDefault="001856D0">
            <w:pPr>
              <w:jc w:val="right"/>
            </w:pPr>
            <w:r w:rsidRPr="00BA47FF">
              <w:t>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In de beleidsreactie staat dat wat betreft kennis van de belastingplichtige, samenhang tussen hoofddoelstellingen en prestaties en efficiënte inzet van mensen en middelen, nog slagen te maken zijn. Welke slagen gaan er, naast het overnemen van de aanbevelingen, gemaakt worden?</w:t>
            </w:r>
          </w:p>
        </w:tc>
        <w:tc>
          <w:tcPr>
            <w:tcW w:w="850" w:type="dxa"/>
          </w:tcPr>
          <w:p w:rsidRPr="00BA47FF" w:rsidR="00E340EF" w:rsidRDefault="00E340EF">
            <w:pPr>
              <w:jc w:val="right"/>
            </w:pPr>
          </w:p>
        </w:tc>
        <w:tc>
          <w:tcPr>
            <w:tcW w:w="992" w:type="dxa"/>
          </w:tcPr>
          <w:p w:rsidRPr="00BA47FF" w:rsidR="00E340EF" w:rsidRDefault="001856D0">
            <w:pPr>
              <w:jc w:val="right"/>
            </w:pPr>
            <w:r w:rsidRPr="00BA47FF">
              <w:t>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Wat wordt bedoeld met de zin “Waar mogelijk zal bij nieuw initiatieven worden gewerkt met een nulmeting of een controlegroep.”?</w:t>
            </w:r>
          </w:p>
        </w:tc>
        <w:tc>
          <w:tcPr>
            <w:tcW w:w="850" w:type="dxa"/>
          </w:tcPr>
          <w:p w:rsidRPr="00BA47FF" w:rsidR="00E340EF" w:rsidRDefault="00E340EF">
            <w:pPr>
              <w:jc w:val="right"/>
            </w:pPr>
          </w:p>
        </w:tc>
        <w:tc>
          <w:tcPr>
            <w:tcW w:w="992" w:type="dxa"/>
          </w:tcPr>
          <w:p w:rsidRPr="00BA47FF" w:rsidR="00E340EF" w:rsidRDefault="001856D0">
            <w:pPr>
              <w:jc w:val="right"/>
            </w:pPr>
            <w:r w:rsidRPr="00BA47FF">
              <w:t>5</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P="00002214" w:rsidRDefault="001856D0">
            <w:r w:rsidRPr="00BA47FF">
              <w:t xml:space="preserve">Voor de beleidsopties </w:t>
            </w:r>
            <w:r w:rsidRPr="00BA47FF" w:rsidR="00002214">
              <w:t xml:space="preserve">h (belasting machtigen wijzigingen door te laten voeren) en k (betaling toeslag maandelijks achteraf) </w:t>
            </w:r>
            <w:r w:rsidRPr="00BA47FF">
              <w:t>worden business cases gemaakt. Wanneer zijn deze gereed en hoe gaat het traject daarna?</w:t>
            </w:r>
            <w:r w:rsidR="00002214">
              <w:t xml:space="preserve"> </w:t>
            </w:r>
            <w:r w:rsidRPr="00BA47FF" w:rsidR="00002214">
              <w:t>Klopt het dat u hier de Kamer over zal informeren?</w:t>
            </w:r>
          </w:p>
        </w:tc>
        <w:tc>
          <w:tcPr>
            <w:tcW w:w="850" w:type="dxa"/>
          </w:tcPr>
          <w:p w:rsidRPr="00BA47FF" w:rsidR="00E340EF" w:rsidRDefault="00E340EF">
            <w:pPr>
              <w:jc w:val="right"/>
            </w:pPr>
          </w:p>
        </w:tc>
        <w:tc>
          <w:tcPr>
            <w:tcW w:w="992" w:type="dxa"/>
          </w:tcPr>
          <w:p w:rsidRPr="00BA47FF" w:rsidR="00E340EF" w:rsidRDefault="001856D0">
            <w:pPr>
              <w:jc w:val="right"/>
            </w:pPr>
            <w:r w:rsidRPr="00BA47FF">
              <w:t>6</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Waarom zijn alleen deze besparingsvarianten opgenomen? En niet bijvoorbeeld een aantal IT-investeringen om het proces en de uitvoering efficiënter te maken?</w:t>
            </w:r>
          </w:p>
        </w:tc>
        <w:tc>
          <w:tcPr>
            <w:tcW w:w="850" w:type="dxa"/>
          </w:tcPr>
          <w:p w:rsidRPr="00BA47FF" w:rsidR="00E340EF" w:rsidRDefault="00E340EF">
            <w:pPr>
              <w:jc w:val="right"/>
            </w:pPr>
          </w:p>
        </w:tc>
        <w:tc>
          <w:tcPr>
            <w:tcW w:w="992" w:type="dxa"/>
          </w:tcPr>
          <w:p w:rsidRPr="00BA47FF" w:rsidR="00E340EF" w:rsidRDefault="001856D0">
            <w:pPr>
              <w:jc w:val="right"/>
            </w:pPr>
            <w:r w:rsidRPr="00BA47FF">
              <w:t>6</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Wat wordt concreet gedaan met de slotconclusies en aanbevelingen uit de beleidsdoorlichting (graag per punt wat concreet gedaan gaat worden en wanneer dat gereed is)?</w:t>
            </w:r>
          </w:p>
        </w:tc>
        <w:tc>
          <w:tcPr>
            <w:tcW w:w="850" w:type="dxa"/>
          </w:tcPr>
          <w:p w:rsidRPr="00BA47FF" w:rsidR="00E340EF" w:rsidRDefault="00E340EF">
            <w:pPr>
              <w:jc w:val="right"/>
            </w:pPr>
          </w:p>
        </w:tc>
        <w:tc>
          <w:tcPr>
            <w:tcW w:w="992" w:type="dxa"/>
          </w:tcPr>
          <w:p w:rsidRPr="00BA47FF" w:rsidR="00E340EF" w:rsidRDefault="001856D0">
            <w:pPr>
              <w:jc w:val="right"/>
            </w:pPr>
            <w:r w:rsidRPr="00BA47FF">
              <w:t>70</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Waarom zijn beleidskeuzes buiten beschouwing gelaten bij het onderzoek?</w:t>
            </w:r>
          </w:p>
        </w:tc>
        <w:tc>
          <w:tcPr>
            <w:tcW w:w="850" w:type="dxa"/>
          </w:tcPr>
          <w:p w:rsidRPr="00BA47FF" w:rsidR="00E340EF" w:rsidP="00002214" w:rsidRDefault="001856D0">
            <w:pPr>
              <w:jc w:val="right"/>
            </w:pPr>
            <w:r w:rsidRPr="00BA47FF">
              <w:t xml:space="preserve">Bijlage 1 </w:t>
            </w:r>
          </w:p>
        </w:tc>
        <w:tc>
          <w:tcPr>
            <w:tcW w:w="992" w:type="dxa"/>
          </w:tcPr>
          <w:p w:rsidRPr="00BA47FF" w:rsidR="00E340EF" w:rsidRDefault="00E340EF">
            <w:pPr>
              <w:jc w:val="right"/>
            </w:pP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P="00002214" w:rsidRDefault="001856D0">
            <w:r w:rsidRPr="00BA47FF">
              <w:t xml:space="preserve">Kunnen toeslaggerechtigden zonder </w:t>
            </w:r>
            <w:proofErr w:type="spellStart"/>
            <w:r w:rsidRPr="00BA47FF">
              <w:t>DigiD</w:t>
            </w:r>
            <w:proofErr w:type="spellEnd"/>
            <w:r w:rsidRPr="00BA47FF">
              <w:t xml:space="preserve"> digitaal inloggen in het burgerportal van toeslagen? Kunnen maatschappelijke organisaties die toeslaggerechtigden ondersteunen bij de aanvraag, digitaal door middel van machtiging inloggen door bijvoorbeeld </w:t>
            </w:r>
            <w:proofErr w:type="spellStart"/>
            <w:r w:rsidR="00002214">
              <w:t>e</w:t>
            </w:r>
            <w:r w:rsidRPr="00BA47FF">
              <w:t>Herkenning</w:t>
            </w:r>
            <w:proofErr w:type="spellEnd"/>
            <w:r w:rsidRPr="00BA47FF">
              <w:t>?</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13</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Vanaf wanneer wordt de beschikking waarmee de burger geïnformeerd wordt over de wijziging van de hoogte van het voorschot, alleen nog maar digitaal gepubliceerd?</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14</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Wat zijn specifieke risico’s of risicosignalen bij de verschillende toeslagen?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45</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 xml:space="preserve">Kan inzicht worden gegeven in de </w:t>
            </w:r>
            <w:r w:rsidRPr="00BA47FF" w:rsidR="00002214">
              <w:t>werkelijk</w:t>
            </w:r>
            <w:r w:rsidRPr="00BA47FF">
              <w:t xml:space="preserve"> omvang van het probleem van fraude met toeslagen? Hoe kan ervoor gezorgd worden dat de cijfers in de toekomst wel inzicht in de werkelijke omvang het probleem bieden?  En hoe lukt het de Belastingdienst/Toeslagen om de omvang van het probleem in te perken?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45</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kan het verschil in kostprijs per toegekende toeslag worden verklaard? Hoe kan de kostprijs per toegekende toeslag voor de uitschieters “huurtoeslag” en”</w:t>
            </w:r>
            <w:r w:rsidR="00002214">
              <w:t xml:space="preserve"> </w:t>
            </w:r>
            <w:r w:rsidRPr="00BA47FF">
              <w:t>kinderopvangtoeslag” worden verlaagd? Waarom profiteert de huurtoeslag niet van het hoge volume (kosten delen door hoog aantal)? Hoe kan bij complexe regelingen het aantal grondslagen worden verminderd?</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58</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Waarom wordt bij de afweging van de verschillende voorstelen vooral gekeken naar de uitvoeringskosten, en worden niet ook bijvoorbeeld het gemak of lagere administratieve lasten voor de burgers meegenomen?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60</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Wanneer is de verkenning van de interdepartementale werkgroep naar de doorwerking van vermogen in verschillende inkomensafhankelijke regelingen door harmonisatie gereed?</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61</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Had al eerder geconstateerd kunnen worden dat er geen op toeslagen toegespitste indicatoren voor compliance bestaan? Zo ja, waarom is hier geen actie op ondernomen?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67</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hoog is het percentage terug te vorderen bedragen onder €500?</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68</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Hoe komt het dat de foutpercentages van de rechtmatigheidscontroles voor de huurtoeslag in de periode 2012-2014 boven de rapporteringstolerantie zitten?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68</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Is er voor het gedane onderzoek gekeken naar hoe informatief de indicator voor rechtmatigheid is?</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68</w:t>
            </w:r>
          </w:p>
        </w:tc>
        <w:tc>
          <w:tcPr>
            <w:tcW w:w="567" w:type="dxa"/>
            <w:tcBorders>
              <w:left w:val="nil"/>
            </w:tcBorders>
          </w:tcPr>
          <w:p w:rsidRPr="00BA47FF" w:rsidR="00E340EF" w:rsidRDefault="001856D0">
            <w:pPr>
              <w:jc w:val="right"/>
            </w:pPr>
            <w:r w:rsidRPr="00BA47FF">
              <w:t xml:space="preserve"> </w:t>
            </w:r>
          </w:p>
        </w:tc>
      </w:tr>
      <w:tr w:rsidRPr="00BA47FF" w:rsidR="00E340EF" w:rsidTr="00E7153D">
        <w:tc>
          <w:tcPr>
            <w:tcW w:w="567" w:type="dxa"/>
          </w:tcPr>
          <w:p w:rsidRPr="00BA47FF" w:rsidR="00E340EF" w:rsidP="006964FC" w:rsidRDefault="00E340EF">
            <w:pPr>
              <w:pStyle w:val="Lijstalinea"/>
              <w:numPr>
                <w:ilvl w:val="0"/>
                <w:numId w:val="1"/>
              </w:numPr>
            </w:pPr>
          </w:p>
        </w:tc>
        <w:tc>
          <w:tcPr>
            <w:tcW w:w="6521" w:type="dxa"/>
          </w:tcPr>
          <w:p w:rsidRPr="00BA47FF" w:rsidR="00E340EF" w:rsidRDefault="001856D0">
            <w:r w:rsidRPr="00BA47FF">
              <w:t>Worden er maatregelen genomen om de indicatoren voor komende onderzoeken wel de juiste relevante informatie naar boven te laten brengen?</w:t>
            </w:r>
          </w:p>
        </w:tc>
        <w:tc>
          <w:tcPr>
            <w:tcW w:w="850" w:type="dxa"/>
          </w:tcPr>
          <w:p w:rsidRPr="00BA47FF" w:rsidR="00E340EF" w:rsidRDefault="00002214">
            <w:pPr>
              <w:jc w:val="right"/>
            </w:pPr>
            <w:r w:rsidRPr="00BA47FF">
              <w:t>Bijlage 1</w:t>
            </w:r>
          </w:p>
        </w:tc>
        <w:tc>
          <w:tcPr>
            <w:tcW w:w="992" w:type="dxa"/>
          </w:tcPr>
          <w:p w:rsidRPr="00BA47FF" w:rsidR="00E340EF" w:rsidRDefault="001856D0">
            <w:pPr>
              <w:jc w:val="right"/>
            </w:pPr>
            <w:r w:rsidRPr="00BA47FF">
              <w:t>68</w:t>
            </w:r>
          </w:p>
        </w:tc>
        <w:tc>
          <w:tcPr>
            <w:tcW w:w="567" w:type="dxa"/>
            <w:tcBorders>
              <w:left w:val="nil"/>
            </w:tcBorders>
          </w:tcPr>
          <w:p w:rsidRPr="00BA47FF" w:rsidR="00E340EF" w:rsidRDefault="001856D0">
            <w:pPr>
              <w:jc w:val="right"/>
            </w:pPr>
            <w:r w:rsidRPr="00BA47FF">
              <w:t xml:space="preserve"> </w:t>
            </w:r>
          </w:p>
        </w:tc>
      </w:tr>
    </w:tbl>
    <w:p w:rsidRPr="00BA47FF" w:rsidR="00E340EF" w:rsidRDefault="00E340EF"/>
    <w:sectPr w:rsidRPr="00BA47FF" w:rsidR="00E340EF" w:rsidSect="00B915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E340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1856D0">
    <w:pPr>
      <w:pStyle w:val="Voettekst"/>
    </w:pPr>
    <w:r>
      <w:t xml:space="preserve">Totaallijst feitelijke vragen Beleidsdoorlichting uitvoering toeslagen door Belastingdienst (31935-36)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6964FC">
          <w:rPr>
            <w:noProof/>
          </w:rPr>
          <w:t>1</w:t>
        </w:r>
        <w:r>
          <w:fldChar w:fldCharType="end"/>
        </w:r>
      </w:sdtContent>
    </w:sdt>
    <w:r>
      <w:t>/</w:t>
    </w:r>
    <w:r w:rsidR="006964FC">
      <w:fldChar w:fldCharType="begin"/>
    </w:r>
    <w:r w:rsidR="006964FC">
      <w:instrText xml:space="preserve"> NUMPAGES   \* MERGEFORMAT </w:instrText>
    </w:r>
    <w:r w:rsidR="006964FC">
      <w:fldChar w:fldCharType="separate"/>
    </w:r>
    <w:r w:rsidR="006964FC">
      <w:rPr>
        <w:noProof/>
      </w:rPr>
      <w:t>3</w:t>
    </w:r>
    <w:r w:rsidR="006964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E340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E340E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E340E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EF" w:rsidRDefault="00E340E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16B74"/>
    <w:multiLevelType w:val="hybridMultilevel"/>
    <w:tmpl w:val="2616A2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002214"/>
    <w:rsid w:val="001856D0"/>
    <w:rsid w:val="001A47AF"/>
    <w:rsid w:val="001A56AB"/>
    <w:rsid w:val="003D44DD"/>
    <w:rsid w:val="005543A7"/>
    <w:rsid w:val="006964FC"/>
    <w:rsid w:val="00894624"/>
    <w:rsid w:val="00A77C3E"/>
    <w:rsid w:val="00B915EC"/>
    <w:rsid w:val="00BA47FF"/>
    <w:rsid w:val="00E340EF"/>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696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69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1101</ap:Words>
  <ap:Characters>6059</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2017-01-27T13:18:00.0000000Z</dcterms:created>
  <dcterms:modified xsi:type="dcterms:W3CDTF">2017-01-27T13:18:00.0000000Z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ies>
</file>