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C6" w:rsidP="009A0FC6" w:rsidRDefault="009A0FC6">
      <w:pPr>
        <w:rPr>
          <w:rFonts w:asciiTheme="minorHAnsi" w:hAnsiTheme="minorHAnsi"/>
          <w:b/>
          <w:sz w:val="22"/>
          <w:szCs w:val="22"/>
        </w:rPr>
      </w:pPr>
      <w:bookmarkStart w:name="_GoBack" w:id="0"/>
      <w:bookmarkEnd w:id="0"/>
      <w:r w:rsidRPr="00854ED8">
        <w:rPr>
          <w:rFonts w:asciiTheme="minorHAnsi" w:hAnsiTheme="minorHAnsi"/>
          <w:b/>
          <w:sz w:val="22"/>
          <w:szCs w:val="22"/>
        </w:rPr>
        <w:t>Lijst met EU-voorstellen op het terrein van de commissie I&amp;M</w:t>
      </w:r>
    </w:p>
    <w:p w:rsidRPr="00F67F5B" w:rsidR="00A137D8" w:rsidP="00A137D8" w:rsidRDefault="00A137D8">
      <w:pPr>
        <w:rPr>
          <w:rFonts w:asciiTheme="minorHAnsi" w:hAnsiTheme="minorHAnsi"/>
          <w:sz w:val="22"/>
          <w:szCs w:val="22"/>
        </w:rPr>
      </w:pPr>
    </w:p>
    <w:p w:rsidRPr="00BF35EE" w:rsidR="00A137D8" w:rsidP="00A137D8" w:rsidRDefault="00A137D8">
      <w:pPr>
        <w:rPr>
          <w:rFonts w:asciiTheme="minorHAnsi" w:hAnsiTheme="minorHAnsi"/>
          <w:sz w:val="22"/>
          <w:szCs w:val="22"/>
          <w:u w:val="single"/>
        </w:rPr>
      </w:pPr>
      <w:r w:rsidRPr="00BF35EE">
        <w:rPr>
          <w:rFonts w:asciiTheme="minorHAnsi" w:hAnsiTheme="minorHAnsi"/>
          <w:sz w:val="22"/>
          <w:szCs w:val="22"/>
          <w:u w:val="single"/>
        </w:rPr>
        <w:t xml:space="preserve">Integraal overzicht met nieuw gepubliceerde EU-voorstellen </w:t>
      </w:r>
      <w:r>
        <w:rPr>
          <w:rFonts w:asciiTheme="minorHAnsi" w:hAnsiTheme="minorHAnsi"/>
          <w:sz w:val="22"/>
          <w:szCs w:val="22"/>
          <w:u w:val="single"/>
        </w:rPr>
        <w:t xml:space="preserve">weken </w:t>
      </w:r>
      <w:r w:rsidRPr="009A0FC6" w:rsidR="009A0FC6">
        <w:rPr>
          <w:rFonts w:asciiTheme="minorHAnsi" w:hAnsiTheme="minorHAnsi"/>
          <w:sz w:val="22"/>
          <w:szCs w:val="22"/>
          <w:u w:val="single"/>
        </w:rPr>
        <w:t>51-</w:t>
      </w:r>
      <w:r w:rsidR="009A0FC6">
        <w:rPr>
          <w:rFonts w:asciiTheme="minorHAnsi" w:hAnsiTheme="minorHAnsi"/>
          <w:sz w:val="22"/>
          <w:szCs w:val="22"/>
          <w:u w:val="single"/>
        </w:rPr>
        <w:t>2</w:t>
      </w:r>
      <w:r>
        <w:rPr>
          <w:rFonts w:asciiTheme="minorHAnsi" w:hAnsiTheme="minorHAnsi"/>
          <w:sz w:val="22"/>
          <w:szCs w:val="22"/>
          <w:u w:val="single"/>
        </w:rPr>
        <w:t xml:space="preserve"> </w:t>
      </w:r>
      <w:r w:rsidRPr="00BF35EE">
        <w:rPr>
          <w:rFonts w:asciiTheme="minorHAnsi" w:hAnsiTheme="minorHAnsi"/>
          <w:sz w:val="22"/>
          <w:szCs w:val="22"/>
          <w:u w:val="single"/>
        </w:rPr>
        <w:t>(</w:t>
      </w:r>
      <w:r w:rsidR="009A0FC6">
        <w:rPr>
          <w:rFonts w:asciiTheme="minorHAnsi" w:hAnsiTheme="minorHAnsi"/>
          <w:sz w:val="22"/>
          <w:szCs w:val="22"/>
          <w:u w:val="single"/>
        </w:rPr>
        <w:t>14 december 2016</w:t>
      </w:r>
      <w:r w:rsidRPr="003C35BA">
        <w:rPr>
          <w:rFonts w:asciiTheme="minorHAnsi" w:hAnsiTheme="minorHAnsi"/>
          <w:sz w:val="22"/>
          <w:szCs w:val="22"/>
          <w:u w:val="single"/>
        </w:rPr>
        <w:t xml:space="preserve"> -</w:t>
      </w:r>
      <w:r w:rsidR="009A0FC6">
        <w:rPr>
          <w:rFonts w:asciiTheme="minorHAnsi" w:hAnsiTheme="minorHAnsi"/>
          <w:sz w:val="22"/>
          <w:szCs w:val="22"/>
          <w:u w:val="single"/>
        </w:rPr>
        <w:t xml:space="preserve"> 13 januari 2017</w:t>
      </w:r>
      <w:r w:rsidRPr="00BF35EE">
        <w:rPr>
          <w:rFonts w:asciiTheme="minorHAnsi" w:hAnsiTheme="minorHAnsi"/>
          <w:sz w:val="22"/>
          <w:szCs w:val="22"/>
          <w:u w:val="single"/>
        </w:rPr>
        <w:t xml:space="preserve">) d.d. </w:t>
      </w:r>
      <w:r w:rsidR="009A0FC6">
        <w:rPr>
          <w:rFonts w:asciiTheme="minorHAnsi" w:hAnsiTheme="minorHAnsi"/>
          <w:sz w:val="22"/>
          <w:szCs w:val="22"/>
          <w:u w:val="single"/>
        </w:rPr>
        <w:t>19 januari 2017</w:t>
      </w:r>
    </w:p>
    <w:p w:rsidRPr="00F67F5B" w:rsidR="00A137D8" w:rsidP="00A137D8" w:rsidRDefault="00A137D8">
      <w:pPr>
        <w:rPr>
          <w:rFonts w:asciiTheme="minorHAnsi" w:hAnsiTheme="minorHAnsi"/>
          <w:sz w:val="22"/>
          <w:szCs w:val="22"/>
        </w:rPr>
      </w:pPr>
    </w:p>
    <w:p w:rsidRPr="00FD013F" w:rsidR="00A137D8" w:rsidP="00A137D8" w:rsidRDefault="00A137D8">
      <w:pPr>
        <w:rPr>
          <w:rFonts w:asciiTheme="minorHAnsi" w:hAnsiTheme="minorHAnsi"/>
          <w:sz w:val="22"/>
          <w:szCs w:val="22"/>
        </w:rPr>
      </w:pPr>
      <w:r w:rsidRPr="00FD013F">
        <w:rPr>
          <w:rFonts w:asciiTheme="minorHAnsi" w:hAnsiTheme="minorHAnsi"/>
          <w:sz w:val="22"/>
          <w:szCs w:val="22"/>
        </w:rPr>
        <w:t xml:space="preserve">Rood gemarkeerd betekent dat het desbetreffende EU-voorstel behoort tot een door de commissie als prioritair bestempeld dossier. Omdat Groen- en Witboeken en prioritaire voorstellen ook afzonderlijk worden geagendeerd, </w:t>
      </w:r>
      <w:r>
        <w:rPr>
          <w:rFonts w:asciiTheme="minorHAnsi" w:hAnsiTheme="minorHAnsi"/>
          <w:sz w:val="22"/>
          <w:szCs w:val="22"/>
        </w:rPr>
        <w:t>kan</w:t>
      </w:r>
      <w:r w:rsidRPr="00FD013F">
        <w:rPr>
          <w:rFonts w:asciiTheme="minorHAnsi" w:hAnsiTheme="minorHAnsi"/>
          <w:sz w:val="22"/>
          <w:szCs w:val="22"/>
        </w:rPr>
        <w:t xml:space="preserve"> hiervoor</w:t>
      </w:r>
      <w:r>
        <w:rPr>
          <w:rFonts w:asciiTheme="minorHAnsi" w:hAnsiTheme="minorHAnsi"/>
          <w:sz w:val="22"/>
          <w:szCs w:val="22"/>
        </w:rPr>
        <w:t xml:space="preserve"> bij “Opmerking”</w:t>
      </w:r>
      <w:r w:rsidRPr="00FD013F">
        <w:rPr>
          <w:rFonts w:asciiTheme="minorHAnsi" w:hAnsiTheme="minorHAnsi"/>
          <w:sz w:val="22"/>
          <w:szCs w:val="22"/>
        </w:rPr>
        <w:t xml:space="preserve"> </w:t>
      </w:r>
      <w:r>
        <w:rPr>
          <w:rFonts w:asciiTheme="minorHAnsi" w:hAnsiTheme="minorHAnsi"/>
          <w:sz w:val="22"/>
          <w:szCs w:val="22"/>
        </w:rPr>
        <w:t xml:space="preserve">met </w:t>
      </w:r>
      <w:r w:rsidRPr="00FD013F">
        <w:rPr>
          <w:rFonts w:asciiTheme="minorHAnsi" w:hAnsiTheme="minorHAnsi"/>
          <w:sz w:val="22"/>
          <w:szCs w:val="22"/>
        </w:rPr>
        <w:t>een verwijzing naar het aparte agendapunt en de mogelijk hierbij behorende EU-stafnotitie</w:t>
      </w:r>
      <w:r>
        <w:rPr>
          <w:rFonts w:asciiTheme="minorHAnsi" w:hAnsiTheme="minorHAnsi"/>
          <w:sz w:val="22"/>
          <w:szCs w:val="22"/>
        </w:rPr>
        <w:t xml:space="preserve"> worden volstaan</w:t>
      </w:r>
      <w:r w:rsidRPr="00FD013F">
        <w:rPr>
          <w:rFonts w:asciiTheme="minorHAnsi" w:hAnsiTheme="minorHAnsi"/>
          <w:sz w:val="22"/>
          <w:szCs w:val="22"/>
        </w:rPr>
        <w:t>.</w:t>
      </w:r>
    </w:p>
    <w:p w:rsidRPr="00F67F5B" w:rsidR="00A137D8" w:rsidP="00A137D8" w:rsidRDefault="00A137D8">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254"/>
        <w:gridCol w:w="4890"/>
        <w:gridCol w:w="720"/>
        <w:gridCol w:w="1033"/>
        <w:gridCol w:w="4575"/>
      </w:tblGrid>
      <w:tr w:rsidRPr="00F67F5B" w:rsidR="00A137D8" w:rsidTr="0034235C">
        <w:trPr>
          <w:trHeight w:val="1550"/>
        </w:trPr>
        <w:tc>
          <w:tcPr>
            <w:tcW w:w="980" w:type="dxa"/>
            <w:shd w:val="clear" w:color="auto" w:fill="auto"/>
            <w:textDirection w:val="btLr"/>
            <w:vAlign w:val="bottom"/>
            <w:hideMark/>
          </w:tcPr>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120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254"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4890"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720"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33" w:type="dxa"/>
            <w:textDirection w:val="btLr"/>
          </w:tcPr>
          <w:p w:rsidR="00A137D8" w:rsidP="0034235C" w:rsidRDefault="00A137D8">
            <w:pPr>
              <w:jc w:val="center"/>
              <w:rPr>
                <w:rFonts w:asciiTheme="minorHAnsi" w:hAnsiTheme="minorHAnsi"/>
                <w:b/>
                <w:bCs/>
                <w:color w:val="000000"/>
                <w:sz w:val="22"/>
                <w:szCs w:val="22"/>
              </w:rPr>
            </w:pPr>
          </w:p>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Sub.toets</w:t>
            </w:r>
          </w:p>
        </w:tc>
        <w:tc>
          <w:tcPr>
            <w:tcW w:w="4575"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A137D8" w:rsidTr="0034235C">
        <w:trPr>
          <w:trHeight w:val="300"/>
        </w:trPr>
        <w:tc>
          <w:tcPr>
            <w:tcW w:w="980"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4890"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720"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33" w:type="dxa"/>
            <w:tcBorders>
              <w:bottom w:val="single" w:color="auto" w:sz="4" w:space="0"/>
            </w:tcBorders>
            <w:shd w:val="clear" w:color="000000" w:fill="538DD5"/>
          </w:tcPr>
          <w:p w:rsidRPr="00F67F5B" w:rsidR="00A137D8" w:rsidP="0034235C" w:rsidRDefault="00A137D8">
            <w:pPr>
              <w:rPr>
                <w:rFonts w:asciiTheme="minorHAnsi" w:hAnsiTheme="minorHAnsi"/>
                <w:b/>
                <w:bCs/>
                <w:color w:val="000000"/>
                <w:sz w:val="22"/>
                <w:szCs w:val="22"/>
              </w:rPr>
            </w:pPr>
          </w:p>
        </w:tc>
        <w:tc>
          <w:tcPr>
            <w:tcW w:w="4575" w:type="dxa"/>
            <w:tcBorders>
              <w:bottom w:val="single" w:color="auto" w:sz="4" w:space="0"/>
            </w:tcBorders>
            <w:shd w:val="clear" w:color="000000" w:fill="538DD5"/>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D96C24" w:rsidR="00D96C24" w:rsidTr="00D96C24">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auto"/>
            <w:noWrap/>
          </w:tcPr>
          <w:p w:rsidRPr="00D96C24" w:rsidR="00D96C24" w:rsidP="00D96C24" w:rsidRDefault="00D96C24">
            <w:pPr>
              <w:jc w:val="center"/>
              <w:rPr>
                <w:rFonts w:asciiTheme="minorHAnsi" w:hAnsiTheme="minorHAnsi"/>
                <w:color w:val="000000"/>
                <w:sz w:val="22"/>
                <w:szCs w:val="22"/>
              </w:rPr>
            </w:pPr>
            <w:r w:rsidRPr="00D96C24">
              <w:rPr>
                <w:rFonts w:asciiTheme="minorHAnsi" w:hAnsiTheme="minorHAnsi"/>
                <w:color w:val="000000"/>
                <w:sz w:val="22"/>
                <w:szCs w:val="22"/>
              </w:rPr>
              <w:t>14-dec-16</w:t>
            </w:r>
          </w:p>
        </w:tc>
        <w:tc>
          <w:tcPr>
            <w:tcW w:w="1203" w:type="dxa"/>
            <w:tcBorders>
              <w:top w:val="single" w:color="auto" w:sz="4" w:space="0"/>
              <w:left w:val="single" w:color="auto" w:sz="4" w:space="0"/>
              <w:bottom w:val="single" w:color="auto" w:sz="4" w:space="0"/>
              <w:right w:val="single" w:color="auto" w:sz="4" w:space="0"/>
            </w:tcBorders>
            <w:shd w:val="clear" w:color="auto" w:fill="auto"/>
            <w:noWrap/>
          </w:tcPr>
          <w:p w:rsidRPr="00D96C24" w:rsidR="00D96C24" w:rsidP="00D96C24" w:rsidRDefault="00D96C24">
            <w:pPr>
              <w:jc w:val="center"/>
              <w:rPr>
                <w:rFonts w:asciiTheme="minorHAnsi" w:hAnsiTheme="minorHAnsi"/>
                <w:color w:val="000000"/>
                <w:sz w:val="22"/>
                <w:szCs w:val="22"/>
              </w:rPr>
            </w:pPr>
            <w:r w:rsidRPr="00D96C24">
              <w:rPr>
                <w:rFonts w:asciiTheme="minorHAnsi" w:hAnsiTheme="minorHAnsi"/>
                <w:color w:val="000000"/>
                <w:sz w:val="22"/>
                <w:szCs w:val="22"/>
              </w:rPr>
              <w:t>I&amp;M</w:t>
            </w:r>
          </w:p>
        </w:tc>
        <w:tc>
          <w:tcPr>
            <w:tcW w:w="1254" w:type="dxa"/>
            <w:tcBorders>
              <w:top w:val="single" w:color="auto" w:sz="4" w:space="0"/>
              <w:left w:val="single" w:color="auto" w:sz="4" w:space="0"/>
              <w:bottom w:val="single" w:color="auto" w:sz="4" w:space="0"/>
              <w:right w:val="single" w:color="auto" w:sz="4" w:space="0"/>
            </w:tcBorders>
            <w:shd w:val="clear" w:color="auto" w:fill="auto"/>
            <w:noWrap/>
          </w:tcPr>
          <w:p w:rsidRPr="00D96C24" w:rsidR="00D96C24" w:rsidP="00D96C24" w:rsidRDefault="00D96C24">
            <w:pPr>
              <w:rPr>
                <w:rFonts w:asciiTheme="minorHAnsi" w:hAnsiTheme="minorHAnsi"/>
                <w:color w:val="000000"/>
                <w:sz w:val="22"/>
                <w:szCs w:val="22"/>
              </w:rPr>
            </w:pPr>
            <w:r w:rsidRPr="00D96C24">
              <w:rPr>
                <w:rFonts w:asciiTheme="minorHAnsi" w:hAnsiTheme="minorHAnsi"/>
                <w:color w:val="000000"/>
                <w:sz w:val="22"/>
                <w:szCs w:val="22"/>
              </w:rPr>
              <w:t>raadpleging</w:t>
            </w:r>
          </w:p>
        </w:tc>
        <w:tc>
          <w:tcPr>
            <w:tcW w:w="4890" w:type="dxa"/>
            <w:tcBorders>
              <w:top w:val="single" w:color="auto" w:sz="4" w:space="0"/>
              <w:left w:val="single" w:color="auto" w:sz="4" w:space="0"/>
              <w:bottom w:val="single" w:color="auto" w:sz="4" w:space="0"/>
              <w:right w:val="single" w:color="auto" w:sz="4" w:space="0"/>
            </w:tcBorders>
            <w:shd w:val="clear" w:color="auto" w:fill="auto"/>
          </w:tcPr>
          <w:p w:rsidRPr="00D96C24" w:rsidR="00D96C24" w:rsidP="00D96C24" w:rsidRDefault="00D96C24">
            <w:pPr>
              <w:rPr>
                <w:rFonts w:asciiTheme="minorHAnsi" w:hAnsiTheme="minorHAnsi"/>
                <w:color w:val="000000"/>
                <w:sz w:val="22"/>
                <w:szCs w:val="22"/>
              </w:rPr>
            </w:pPr>
            <w:r w:rsidRPr="00D96C24">
              <w:rPr>
                <w:rFonts w:asciiTheme="minorHAnsi" w:hAnsiTheme="minorHAnsi"/>
                <w:color w:val="000000"/>
                <w:sz w:val="22"/>
                <w:szCs w:val="22"/>
              </w:rPr>
              <w:t xml:space="preserve">Herziening van Verordening (EG) nr. 1073/2009 over gemeenschappelijke regels voor toegang tot de internationale markt voor touringcar- en autobusdiensten </w:t>
            </w:r>
          </w:p>
        </w:tc>
        <w:tc>
          <w:tcPr>
            <w:tcW w:w="720" w:type="dxa"/>
            <w:tcBorders>
              <w:top w:val="single" w:color="auto" w:sz="4" w:space="0"/>
              <w:left w:val="single" w:color="auto" w:sz="4" w:space="0"/>
              <w:bottom w:val="single" w:color="auto" w:sz="4" w:space="0"/>
              <w:right w:val="single" w:color="auto" w:sz="4" w:space="0"/>
            </w:tcBorders>
            <w:shd w:val="clear" w:color="auto" w:fill="auto"/>
            <w:noWrap/>
          </w:tcPr>
          <w:p w:rsidRPr="00D96C24" w:rsidR="00D96C24" w:rsidP="00D96C24" w:rsidRDefault="00E80752">
            <w:pPr>
              <w:jc w:val="center"/>
              <w:rPr>
                <w:rFonts w:asciiTheme="minorHAnsi" w:hAnsiTheme="minorHAnsi"/>
                <w:color w:val="0000FF"/>
                <w:sz w:val="22"/>
                <w:szCs w:val="22"/>
                <w:u w:val="single"/>
              </w:rPr>
            </w:pPr>
            <w:hyperlink w:history="1" r:id="rId9">
              <w:r w:rsidRPr="00D96C24" w:rsidR="00D96C24">
                <w:rPr>
                  <w:rStyle w:val="Hyperlink"/>
                  <w:rFonts w:asciiTheme="minorHAnsi" w:hAnsiTheme="minorHAnsi"/>
                  <w:sz w:val="22"/>
                  <w:szCs w:val="22"/>
                </w:rPr>
                <w:t>OR</w:t>
              </w:r>
            </w:hyperlink>
          </w:p>
        </w:tc>
        <w:tc>
          <w:tcPr>
            <w:tcW w:w="1033" w:type="dxa"/>
            <w:tcBorders>
              <w:top w:val="single" w:color="auto" w:sz="4" w:space="0"/>
              <w:left w:val="single" w:color="auto" w:sz="4" w:space="0"/>
              <w:bottom w:val="single" w:color="auto" w:sz="4" w:space="0"/>
              <w:right w:val="single" w:color="auto" w:sz="4" w:space="0"/>
            </w:tcBorders>
            <w:shd w:val="clear" w:color="auto" w:fill="auto"/>
          </w:tcPr>
          <w:p w:rsidRPr="00D96C24" w:rsidR="00D96C24" w:rsidP="00D96C24" w:rsidRDefault="002E6DA8">
            <w:pPr>
              <w:rPr>
                <w:rFonts w:asciiTheme="minorHAnsi" w:hAnsiTheme="minorHAnsi"/>
                <w:color w:val="000000"/>
                <w:sz w:val="22"/>
                <w:szCs w:val="22"/>
              </w:rPr>
            </w:pPr>
            <w:r>
              <w:rPr>
                <w:rFonts w:asciiTheme="minorHAnsi" w:hAnsiTheme="minorHAnsi"/>
                <w:color w:val="000000"/>
                <w:sz w:val="22"/>
                <w:szCs w:val="22"/>
              </w:rPr>
              <w:t>n.v.t.</w:t>
            </w:r>
          </w:p>
        </w:tc>
        <w:tc>
          <w:tcPr>
            <w:tcW w:w="4575" w:type="dxa"/>
            <w:tcBorders>
              <w:top w:val="single" w:color="auto" w:sz="4" w:space="0"/>
              <w:left w:val="single" w:color="auto" w:sz="4" w:space="0"/>
              <w:bottom w:val="single" w:color="auto" w:sz="4" w:space="0"/>
              <w:right w:val="single" w:color="auto" w:sz="4" w:space="0"/>
            </w:tcBorders>
            <w:shd w:val="clear" w:color="auto" w:fill="auto"/>
          </w:tcPr>
          <w:p w:rsidR="00D96C24" w:rsidP="00D96C24" w:rsidRDefault="00B31027">
            <w:pPr>
              <w:rPr>
                <w:rFonts w:asciiTheme="minorHAnsi" w:hAnsiTheme="minorHAnsi"/>
                <w:color w:val="000000"/>
                <w:sz w:val="22"/>
                <w:szCs w:val="22"/>
              </w:rPr>
            </w:pPr>
            <w:r w:rsidRPr="000947B3">
              <w:rPr>
                <w:rFonts w:asciiTheme="minorHAnsi" w:hAnsiTheme="minorHAnsi"/>
                <w:color w:val="000000"/>
                <w:sz w:val="22"/>
                <w:szCs w:val="22"/>
                <w:u w:val="single"/>
              </w:rPr>
              <w:t>Behandelvoorstel</w:t>
            </w:r>
            <w:r>
              <w:rPr>
                <w:rFonts w:asciiTheme="minorHAnsi" w:hAnsiTheme="minorHAnsi"/>
                <w:color w:val="000000"/>
                <w:sz w:val="22"/>
                <w:szCs w:val="22"/>
              </w:rPr>
              <w:t>:</w:t>
            </w:r>
            <w:r w:rsidR="00B464EB">
              <w:rPr>
                <w:rFonts w:asciiTheme="minorHAnsi" w:hAnsiTheme="minorHAnsi"/>
                <w:color w:val="000000"/>
                <w:sz w:val="22"/>
                <w:szCs w:val="22"/>
              </w:rPr>
              <w:t xml:space="preserve"> Ter informatie.</w:t>
            </w:r>
          </w:p>
          <w:p w:rsidR="00B464EB" w:rsidP="00D96C24" w:rsidRDefault="00B464EB">
            <w:pPr>
              <w:rPr>
                <w:rFonts w:asciiTheme="minorHAnsi" w:hAnsiTheme="minorHAnsi"/>
                <w:color w:val="000000"/>
                <w:sz w:val="22"/>
                <w:szCs w:val="22"/>
              </w:rPr>
            </w:pPr>
          </w:p>
          <w:p w:rsidRPr="00D96C24" w:rsidR="00916D21" w:rsidP="00C70943" w:rsidRDefault="00C70943">
            <w:pPr>
              <w:rPr>
                <w:rFonts w:asciiTheme="minorHAnsi" w:hAnsiTheme="minorHAnsi"/>
                <w:color w:val="000000"/>
                <w:sz w:val="22"/>
                <w:szCs w:val="22"/>
              </w:rPr>
            </w:pPr>
            <w:r>
              <w:rPr>
                <w:rFonts w:asciiTheme="minorHAnsi" w:hAnsiTheme="minorHAnsi"/>
                <w:color w:val="000000"/>
                <w:sz w:val="22"/>
                <w:szCs w:val="22"/>
              </w:rPr>
              <w:t xml:space="preserve">Noot: de deadline voor deze consultatie is 22 </w:t>
            </w:r>
            <w:r w:rsidRPr="00D96C24" w:rsidR="002E6DA8">
              <w:rPr>
                <w:rFonts w:asciiTheme="minorHAnsi" w:hAnsiTheme="minorHAnsi"/>
                <w:color w:val="000000"/>
                <w:sz w:val="22"/>
                <w:szCs w:val="22"/>
              </w:rPr>
              <w:t>m</w:t>
            </w:r>
            <w:r>
              <w:rPr>
                <w:rFonts w:asciiTheme="minorHAnsi" w:hAnsiTheme="minorHAnsi"/>
                <w:color w:val="000000"/>
                <w:sz w:val="22"/>
                <w:szCs w:val="22"/>
              </w:rPr>
              <w:t>aa</w:t>
            </w:r>
            <w:r w:rsidRPr="00D96C24" w:rsidR="002E6DA8">
              <w:rPr>
                <w:rFonts w:asciiTheme="minorHAnsi" w:hAnsiTheme="minorHAnsi"/>
                <w:color w:val="000000"/>
                <w:sz w:val="22"/>
                <w:szCs w:val="22"/>
              </w:rPr>
              <w:t>rt</w:t>
            </w:r>
            <w:r>
              <w:rPr>
                <w:rFonts w:asciiTheme="minorHAnsi" w:hAnsiTheme="minorHAnsi"/>
                <w:color w:val="000000"/>
                <w:sz w:val="22"/>
                <w:szCs w:val="22"/>
              </w:rPr>
              <w:t xml:space="preserve"> 20</w:t>
            </w:r>
            <w:r w:rsidRPr="00D96C24" w:rsidR="002E6DA8">
              <w:rPr>
                <w:rFonts w:asciiTheme="minorHAnsi" w:hAnsiTheme="minorHAnsi"/>
                <w:color w:val="000000"/>
                <w:sz w:val="22"/>
                <w:szCs w:val="22"/>
              </w:rPr>
              <w:t>17</w:t>
            </w:r>
            <w:r>
              <w:rPr>
                <w:rFonts w:asciiTheme="minorHAnsi" w:hAnsiTheme="minorHAnsi"/>
                <w:color w:val="000000"/>
                <w:sz w:val="22"/>
                <w:szCs w:val="22"/>
              </w:rPr>
              <w:t>.</w:t>
            </w:r>
          </w:p>
        </w:tc>
      </w:tr>
      <w:tr w:rsidRPr="00D96C24" w:rsidR="00D96C24" w:rsidTr="00D96C24">
        <w:trPr>
          <w:trHeight w:val="884"/>
        </w:trPr>
        <w:tc>
          <w:tcPr>
            <w:tcW w:w="980" w:type="dxa"/>
            <w:tcBorders>
              <w:top w:val="single" w:color="auto" w:sz="4" w:space="0"/>
              <w:left w:val="single" w:color="auto" w:sz="4" w:space="0"/>
              <w:bottom w:val="single" w:color="auto" w:sz="4" w:space="0"/>
              <w:right w:val="single" w:color="auto" w:sz="4" w:space="0"/>
            </w:tcBorders>
            <w:shd w:val="clear" w:color="auto" w:fill="auto"/>
            <w:noWrap/>
          </w:tcPr>
          <w:p w:rsidRPr="00D96C24" w:rsidR="00D96C24" w:rsidP="00D96C24" w:rsidRDefault="00D96C24">
            <w:pPr>
              <w:jc w:val="center"/>
              <w:rPr>
                <w:rFonts w:ascii="Calibri" w:hAnsi="Calibri"/>
                <w:color w:val="000000"/>
                <w:sz w:val="22"/>
                <w:szCs w:val="22"/>
              </w:rPr>
            </w:pPr>
            <w:r w:rsidRPr="00D96C24">
              <w:rPr>
                <w:rFonts w:ascii="Calibri" w:hAnsi="Calibri"/>
                <w:color w:val="000000"/>
                <w:sz w:val="22"/>
                <w:szCs w:val="22"/>
              </w:rPr>
              <w:t>15-dec-16</w:t>
            </w:r>
          </w:p>
        </w:tc>
        <w:tc>
          <w:tcPr>
            <w:tcW w:w="1203" w:type="dxa"/>
            <w:tcBorders>
              <w:top w:val="single" w:color="auto" w:sz="4" w:space="0"/>
              <w:left w:val="single" w:color="auto" w:sz="4" w:space="0"/>
              <w:bottom w:val="single" w:color="auto" w:sz="4" w:space="0"/>
              <w:right w:val="single" w:color="auto" w:sz="4" w:space="0"/>
            </w:tcBorders>
            <w:shd w:val="clear" w:color="auto" w:fill="auto"/>
            <w:noWrap/>
          </w:tcPr>
          <w:p w:rsidRPr="00D96C24" w:rsidR="00D96C24" w:rsidP="00D96C24" w:rsidRDefault="00D96C24">
            <w:pPr>
              <w:jc w:val="center"/>
              <w:rPr>
                <w:rFonts w:asciiTheme="minorHAnsi" w:hAnsiTheme="minorHAnsi"/>
                <w:color w:val="000000"/>
                <w:sz w:val="22"/>
                <w:szCs w:val="22"/>
              </w:rPr>
            </w:pPr>
            <w:r w:rsidRPr="00D96C24">
              <w:rPr>
                <w:rFonts w:asciiTheme="minorHAnsi" w:hAnsiTheme="minorHAnsi"/>
                <w:color w:val="000000"/>
                <w:sz w:val="22"/>
                <w:szCs w:val="22"/>
              </w:rPr>
              <w:t>I&amp;M</w:t>
            </w:r>
          </w:p>
        </w:tc>
        <w:tc>
          <w:tcPr>
            <w:tcW w:w="1254" w:type="dxa"/>
            <w:tcBorders>
              <w:top w:val="single" w:color="auto" w:sz="4" w:space="0"/>
              <w:left w:val="single" w:color="auto" w:sz="4" w:space="0"/>
              <w:bottom w:val="single" w:color="auto" w:sz="4" w:space="0"/>
              <w:right w:val="single" w:color="auto" w:sz="4" w:space="0"/>
            </w:tcBorders>
            <w:shd w:val="clear" w:color="auto" w:fill="auto"/>
            <w:noWrap/>
          </w:tcPr>
          <w:p w:rsidRPr="00D96C24" w:rsidR="00D96C24" w:rsidP="00D96C24" w:rsidRDefault="00D96C24">
            <w:pPr>
              <w:rPr>
                <w:rFonts w:asciiTheme="minorHAnsi" w:hAnsiTheme="minorHAnsi"/>
                <w:color w:val="000000"/>
                <w:sz w:val="22"/>
                <w:szCs w:val="22"/>
              </w:rPr>
            </w:pPr>
            <w:r w:rsidRPr="00D96C24">
              <w:rPr>
                <w:rFonts w:asciiTheme="minorHAnsi" w:hAnsiTheme="minorHAnsi"/>
                <w:color w:val="000000"/>
                <w:sz w:val="22"/>
                <w:szCs w:val="22"/>
              </w:rPr>
              <w:t>mededeling</w:t>
            </w:r>
          </w:p>
        </w:tc>
        <w:tc>
          <w:tcPr>
            <w:tcW w:w="4890" w:type="dxa"/>
            <w:tcBorders>
              <w:top w:val="single" w:color="auto" w:sz="4" w:space="0"/>
              <w:left w:val="single" w:color="auto" w:sz="4" w:space="0"/>
              <w:bottom w:val="single" w:color="auto" w:sz="4" w:space="0"/>
              <w:right w:val="single" w:color="auto" w:sz="4" w:space="0"/>
            </w:tcBorders>
            <w:shd w:val="clear" w:color="auto" w:fill="auto"/>
          </w:tcPr>
          <w:p w:rsidRPr="00D96C24" w:rsidR="00D96C24" w:rsidP="00C70943" w:rsidRDefault="00D96C24">
            <w:pPr>
              <w:rPr>
                <w:rFonts w:ascii="Calibri" w:hAnsi="Calibri"/>
                <w:color w:val="000000"/>
                <w:sz w:val="22"/>
                <w:szCs w:val="22"/>
              </w:rPr>
            </w:pPr>
            <w:r w:rsidRPr="00D96C24">
              <w:rPr>
                <w:rFonts w:ascii="Calibri" w:hAnsi="Calibri"/>
                <w:color w:val="000000"/>
                <w:sz w:val="22"/>
                <w:szCs w:val="22"/>
              </w:rPr>
              <w:t xml:space="preserve">MEDEDELING waarbij formeel wordt erkend dat een aantal krachtens Richtlijn 91/692/EEG van de Raad vastgestelde wetshandelingen van de Unie op het gebied van milieu achterhaald is </w:t>
            </w:r>
          </w:p>
        </w:tc>
        <w:tc>
          <w:tcPr>
            <w:tcW w:w="720" w:type="dxa"/>
            <w:tcBorders>
              <w:top w:val="single" w:color="auto" w:sz="4" w:space="0"/>
              <w:left w:val="single" w:color="auto" w:sz="4" w:space="0"/>
              <w:bottom w:val="single" w:color="auto" w:sz="4" w:space="0"/>
              <w:right w:val="single" w:color="auto" w:sz="4" w:space="0"/>
            </w:tcBorders>
            <w:shd w:val="clear" w:color="auto" w:fill="auto"/>
            <w:noWrap/>
          </w:tcPr>
          <w:p w:rsidRPr="00D96C24" w:rsidR="00D96C24" w:rsidP="00D96C24" w:rsidRDefault="00E80752">
            <w:pPr>
              <w:jc w:val="center"/>
              <w:rPr>
                <w:rFonts w:ascii="Calibri" w:hAnsi="Calibri"/>
                <w:color w:val="0000FF"/>
                <w:sz w:val="22"/>
                <w:szCs w:val="22"/>
                <w:u w:val="single"/>
              </w:rPr>
            </w:pPr>
            <w:hyperlink w:history="1" r:id="rId10">
              <w:r w:rsidRPr="00D96C24" w:rsidR="00D96C24">
                <w:rPr>
                  <w:rStyle w:val="Hyperlink"/>
                  <w:rFonts w:ascii="Calibri" w:hAnsi="Calibri"/>
                  <w:sz w:val="22"/>
                  <w:szCs w:val="22"/>
                </w:rPr>
                <w:t>793</w:t>
              </w:r>
            </w:hyperlink>
          </w:p>
        </w:tc>
        <w:tc>
          <w:tcPr>
            <w:tcW w:w="1033" w:type="dxa"/>
            <w:tcBorders>
              <w:top w:val="single" w:color="auto" w:sz="4" w:space="0"/>
              <w:left w:val="single" w:color="auto" w:sz="4" w:space="0"/>
              <w:bottom w:val="single" w:color="auto" w:sz="4" w:space="0"/>
              <w:right w:val="single" w:color="auto" w:sz="4" w:space="0"/>
            </w:tcBorders>
            <w:shd w:val="clear" w:color="auto" w:fill="auto"/>
          </w:tcPr>
          <w:p w:rsidRPr="00D96C24" w:rsidR="00D96C24" w:rsidP="00D96C24" w:rsidRDefault="00D96C24">
            <w:pPr>
              <w:rPr>
                <w:rFonts w:ascii="Calibri" w:hAnsi="Calibri"/>
                <w:color w:val="000000"/>
                <w:sz w:val="22"/>
                <w:szCs w:val="22"/>
              </w:rPr>
            </w:pPr>
            <w:r w:rsidRPr="00D96C24">
              <w:rPr>
                <w:rFonts w:ascii="Calibri" w:hAnsi="Calibri"/>
                <w:color w:val="000000"/>
                <w:sz w:val="22"/>
                <w:szCs w:val="22"/>
              </w:rPr>
              <w:t> </w:t>
            </w:r>
            <w:r w:rsidR="002E6DA8">
              <w:rPr>
                <w:rFonts w:ascii="Calibri" w:hAnsi="Calibri"/>
                <w:color w:val="000000"/>
                <w:sz w:val="22"/>
                <w:szCs w:val="22"/>
              </w:rPr>
              <w:t>n.v.t.</w:t>
            </w:r>
          </w:p>
        </w:tc>
        <w:tc>
          <w:tcPr>
            <w:tcW w:w="4575" w:type="dxa"/>
            <w:tcBorders>
              <w:top w:val="single" w:color="auto" w:sz="4" w:space="0"/>
              <w:left w:val="single" w:color="auto" w:sz="4" w:space="0"/>
              <w:bottom w:val="single" w:color="auto" w:sz="4" w:space="0"/>
              <w:right w:val="single" w:color="auto" w:sz="4" w:space="0"/>
            </w:tcBorders>
            <w:shd w:val="clear" w:color="auto" w:fill="auto"/>
          </w:tcPr>
          <w:p w:rsidR="00D96C24" w:rsidP="00D96C24" w:rsidRDefault="00B31027">
            <w:pPr>
              <w:rPr>
                <w:rFonts w:asciiTheme="minorHAnsi" w:hAnsiTheme="minorHAnsi"/>
                <w:color w:val="000000"/>
                <w:sz w:val="22"/>
                <w:szCs w:val="22"/>
              </w:rPr>
            </w:pPr>
            <w:r w:rsidRPr="000947B3">
              <w:rPr>
                <w:rFonts w:asciiTheme="minorHAnsi" w:hAnsiTheme="minorHAnsi"/>
                <w:color w:val="000000"/>
                <w:sz w:val="22"/>
                <w:szCs w:val="22"/>
                <w:u w:val="single"/>
              </w:rPr>
              <w:t>Behandelvoorstel</w:t>
            </w:r>
            <w:r>
              <w:rPr>
                <w:rFonts w:asciiTheme="minorHAnsi" w:hAnsiTheme="minorHAnsi"/>
                <w:color w:val="000000"/>
                <w:sz w:val="22"/>
                <w:szCs w:val="22"/>
              </w:rPr>
              <w:t>:</w:t>
            </w:r>
            <w:r w:rsidR="00C70943">
              <w:rPr>
                <w:rFonts w:asciiTheme="minorHAnsi" w:hAnsiTheme="minorHAnsi"/>
                <w:color w:val="000000"/>
                <w:sz w:val="22"/>
                <w:szCs w:val="22"/>
              </w:rPr>
              <w:t xml:space="preserve"> Ter informatie.</w:t>
            </w:r>
          </w:p>
          <w:p w:rsidR="00C70943" w:rsidP="00D96C24" w:rsidRDefault="00C70943">
            <w:pPr>
              <w:rPr>
                <w:rFonts w:asciiTheme="minorHAnsi" w:hAnsiTheme="minorHAnsi"/>
                <w:color w:val="000000"/>
                <w:sz w:val="22"/>
                <w:szCs w:val="22"/>
              </w:rPr>
            </w:pPr>
          </w:p>
          <w:p w:rsidR="00811362" w:rsidP="00811362" w:rsidRDefault="00C70943">
            <w:pPr>
              <w:rPr>
                <w:rFonts w:asciiTheme="minorHAnsi" w:hAnsiTheme="minorHAnsi"/>
                <w:color w:val="000000"/>
                <w:sz w:val="22"/>
                <w:szCs w:val="22"/>
              </w:rPr>
            </w:pPr>
            <w:r>
              <w:rPr>
                <w:rFonts w:asciiTheme="minorHAnsi" w:hAnsiTheme="minorHAnsi"/>
                <w:color w:val="000000"/>
                <w:sz w:val="22"/>
                <w:szCs w:val="22"/>
              </w:rPr>
              <w:t xml:space="preserve">Noot: deze mededeling </w:t>
            </w:r>
            <w:r w:rsidR="00507AC9">
              <w:rPr>
                <w:rFonts w:asciiTheme="minorHAnsi" w:hAnsiTheme="minorHAnsi"/>
                <w:color w:val="000000"/>
                <w:sz w:val="22"/>
                <w:szCs w:val="22"/>
              </w:rPr>
              <w:t>komt voort uit de exercitie om milieurapportage- en monitoringverplichtingen te stroomlijnen.</w:t>
            </w:r>
          </w:p>
          <w:p w:rsidRPr="00D96C24" w:rsidR="00C70943" w:rsidP="00811362" w:rsidRDefault="00811362">
            <w:pPr>
              <w:rPr>
                <w:rFonts w:asciiTheme="minorHAnsi" w:hAnsiTheme="minorHAnsi"/>
                <w:color w:val="000000"/>
                <w:sz w:val="22"/>
                <w:szCs w:val="22"/>
              </w:rPr>
            </w:pPr>
            <w:r>
              <w:rPr>
                <w:rFonts w:asciiTheme="minorHAnsi" w:hAnsiTheme="minorHAnsi"/>
                <w:color w:val="000000"/>
                <w:sz w:val="22"/>
                <w:szCs w:val="22"/>
              </w:rPr>
              <w:t>In d</w:t>
            </w:r>
            <w:r w:rsidR="00507AC9">
              <w:rPr>
                <w:rFonts w:asciiTheme="minorHAnsi" w:hAnsiTheme="minorHAnsi"/>
                <w:color w:val="000000"/>
                <w:sz w:val="22"/>
                <w:szCs w:val="22"/>
              </w:rPr>
              <w:t xml:space="preserve">e mededeling </w:t>
            </w:r>
            <w:r>
              <w:rPr>
                <w:rFonts w:asciiTheme="minorHAnsi" w:hAnsiTheme="minorHAnsi"/>
                <w:color w:val="000000"/>
                <w:sz w:val="22"/>
                <w:szCs w:val="22"/>
              </w:rPr>
              <w:t>wordt</w:t>
            </w:r>
            <w:r w:rsidR="00507AC9">
              <w:rPr>
                <w:rFonts w:asciiTheme="minorHAnsi" w:hAnsiTheme="minorHAnsi"/>
                <w:color w:val="000000"/>
                <w:sz w:val="22"/>
                <w:szCs w:val="22"/>
              </w:rPr>
              <w:t xml:space="preserve"> aan</w:t>
            </w:r>
            <w:r>
              <w:rPr>
                <w:rFonts w:asciiTheme="minorHAnsi" w:hAnsiTheme="minorHAnsi"/>
                <w:color w:val="000000"/>
                <w:sz w:val="22"/>
                <w:szCs w:val="22"/>
              </w:rPr>
              <w:t>gegeven</w:t>
            </w:r>
            <w:r w:rsidR="00507AC9">
              <w:rPr>
                <w:rFonts w:asciiTheme="minorHAnsi" w:hAnsiTheme="minorHAnsi"/>
                <w:color w:val="000000"/>
                <w:sz w:val="22"/>
                <w:szCs w:val="22"/>
              </w:rPr>
              <w:t xml:space="preserve"> dat met de i</w:t>
            </w:r>
            <w:r>
              <w:rPr>
                <w:rFonts w:asciiTheme="minorHAnsi" w:hAnsiTheme="minorHAnsi"/>
                <w:color w:val="000000"/>
                <w:sz w:val="22"/>
                <w:szCs w:val="22"/>
              </w:rPr>
              <w:t>ntrekking van de oude rapportage</w:t>
            </w:r>
            <w:r w:rsidR="00507AC9">
              <w:rPr>
                <w:rFonts w:asciiTheme="minorHAnsi" w:hAnsiTheme="minorHAnsi"/>
                <w:color w:val="000000"/>
                <w:sz w:val="22"/>
                <w:szCs w:val="22"/>
              </w:rPr>
              <w:t>richtlijn (</w:t>
            </w:r>
            <w:r w:rsidRPr="00D96C24" w:rsidR="00C70943">
              <w:rPr>
                <w:rFonts w:ascii="Calibri" w:hAnsi="Calibri"/>
                <w:color w:val="000000"/>
                <w:sz w:val="22"/>
                <w:szCs w:val="22"/>
              </w:rPr>
              <w:t>91/692/EEG</w:t>
            </w:r>
            <w:r w:rsidR="00507AC9">
              <w:rPr>
                <w:rFonts w:ascii="Calibri" w:hAnsi="Calibri"/>
                <w:color w:val="000000"/>
                <w:sz w:val="22"/>
                <w:szCs w:val="22"/>
              </w:rPr>
              <w:t>)</w:t>
            </w:r>
            <w:r w:rsidR="00042518">
              <w:rPr>
                <w:rFonts w:ascii="Calibri" w:hAnsi="Calibri"/>
                <w:color w:val="000000"/>
                <w:sz w:val="22"/>
                <w:szCs w:val="22"/>
              </w:rPr>
              <w:t xml:space="preserve"> </w:t>
            </w:r>
            <w:r w:rsidR="00507AC9">
              <w:rPr>
                <w:rFonts w:ascii="Calibri" w:hAnsi="Calibri"/>
                <w:color w:val="000000"/>
                <w:sz w:val="22"/>
                <w:szCs w:val="22"/>
              </w:rPr>
              <w:t xml:space="preserve">een aantal achterhaalde </w:t>
            </w:r>
            <w:r w:rsidR="00507AC9">
              <w:rPr>
                <w:rFonts w:asciiTheme="minorHAnsi" w:hAnsiTheme="minorHAnsi"/>
                <w:color w:val="000000"/>
                <w:sz w:val="22"/>
                <w:szCs w:val="22"/>
              </w:rPr>
              <w:t>monitoring</w:t>
            </w:r>
            <w:r>
              <w:rPr>
                <w:rFonts w:asciiTheme="minorHAnsi" w:hAnsiTheme="minorHAnsi"/>
                <w:color w:val="000000"/>
                <w:sz w:val="22"/>
                <w:szCs w:val="22"/>
              </w:rPr>
              <w:t>-</w:t>
            </w:r>
            <w:r w:rsidR="00507AC9">
              <w:rPr>
                <w:rFonts w:asciiTheme="minorHAnsi" w:hAnsiTheme="minorHAnsi"/>
                <w:color w:val="000000"/>
                <w:sz w:val="22"/>
                <w:szCs w:val="22"/>
              </w:rPr>
              <w:t xml:space="preserve"> en rapportageverplichtingen worden ingetrokken (terwijl sommige relevante zullen blijven bestaan).  </w:t>
            </w:r>
          </w:p>
        </w:tc>
      </w:tr>
      <w:tr w:rsidRPr="00D96C24" w:rsidR="00D96C24" w:rsidTr="00B464EB">
        <w:trPr>
          <w:trHeight w:val="884"/>
        </w:trPr>
        <w:tc>
          <w:tcPr>
            <w:tcW w:w="980" w:type="dxa"/>
            <w:tcBorders>
              <w:top w:val="single" w:color="auto" w:sz="4" w:space="0"/>
              <w:left w:val="single" w:color="auto" w:sz="4" w:space="0"/>
              <w:bottom w:val="single" w:color="auto" w:sz="4" w:space="0"/>
              <w:right w:val="single" w:color="auto" w:sz="4" w:space="0"/>
            </w:tcBorders>
            <w:shd w:val="clear" w:color="auto" w:fill="D99594" w:themeFill="accent2" w:themeFillTint="99"/>
            <w:noWrap/>
          </w:tcPr>
          <w:p w:rsidRPr="00D96C24" w:rsidR="00D96C24" w:rsidP="00077A4A" w:rsidRDefault="00D96C24">
            <w:pPr>
              <w:jc w:val="center"/>
              <w:rPr>
                <w:rFonts w:asciiTheme="minorHAnsi" w:hAnsiTheme="minorHAnsi"/>
                <w:color w:val="000000"/>
                <w:sz w:val="22"/>
                <w:szCs w:val="22"/>
              </w:rPr>
            </w:pPr>
            <w:r w:rsidRPr="00D96C24">
              <w:rPr>
                <w:rFonts w:asciiTheme="minorHAnsi" w:hAnsiTheme="minorHAnsi"/>
                <w:color w:val="000000"/>
                <w:sz w:val="22"/>
                <w:szCs w:val="22"/>
              </w:rPr>
              <w:lastRenderedPageBreak/>
              <w:t>19-dec-16</w:t>
            </w:r>
          </w:p>
        </w:tc>
        <w:tc>
          <w:tcPr>
            <w:tcW w:w="1203" w:type="dxa"/>
            <w:tcBorders>
              <w:top w:val="single" w:color="auto" w:sz="4" w:space="0"/>
              <w:left w:val="single" w:color="auto" w:sz="4" w:space="0"/>
              <w:bottom w:val="single" w:color="auto" w:sz="4" w:space="0"/>
              <w:right w:val="single" w:color="auto" w:sz="4" w:space="0"/>
            </w:tcBorders>
            <w:shd w:val="clear" w:color="auto" w:fill="D99594" w:themeFill="accent2" w:themeFillTint="99"/>
            <w:noWrap/>
          </w:tcPr>
          <w:p w:rsidRPr="00D96C24" w:rsidR="00D96C24" w:rsidP="00077A4A" w:rsidRDefault="00D96C24">
            <w:pPr>
              <w:jc w:val="center"/>
              <w:rPr>
                <w:rFonts w:asciiTheme="minorHAnsi" w:hAnsiTheme="minorHAnsi"/>
                <w:color w:val="000000"/>
                <w:sz w:val="22"/>
                <w:szCs w:val="22"/>
              </w:rPr>
            </w:pPr>
            <w:r w:rsidRPr="00D96C24">
              <w:rPr>
                <w:rFonts w:asciiTheme="minorHAnsi" w:hAnsiTheme="minorHAnsi"/>
                <w:color w:val="000000"/>
                <w:sz w:val="22"/>
                <w:szCs w:val="22"/>
              </w:rPr>
              <w:t>I&amp;M</w:t>
            </w:r>
          </w:p>
        </w:tc>
        <w:tc>
          <w:tcPr>
            <w:tcW w:w="1254" w:type="dxa"/>
            <w:tcBorders>
              <w:top w:val="single" w:color="auto" w:sz="4" w:space="0"/>
              <w:left w:val="single" w:color="auto" w:sz="4" w:space="0"/>
              <w:bottom w:val="single" w:color="auto" w:sz="4" w:space="0"/>
              <w:right w:val="single" w:color="auto" w:sz="4" w:space="0"/>
            </w:tcBorders>
            <w:shd w:val="clear" w:color="auto" w:fill="D99594" w:themeFill="accent2" w:themeFillTint="99"/>
            <w:noWrap/>
          </w:tcPr>
          <w:p w:rsidRPr="00D96C24" w:rsidR="00D96C24" w:rsidP="00077A4A" w:rsidRDefault="00D96C24">
            <w:pPr>
              <w:rPr>
                <w:rFonts w:asciiTheme="minorHAnsi" w:hAnsiTheme="minorHAnsi"/>
                <w:color w:val="000000"/>
                <w:sz w:val="22"/>
                <w:szCs w:val="22"/>
              </w:rPr>
            </w:pPr>
            <w:r w:rsidRPr="00D96C24">
              <w:rPr>
                <w:rFonts w:asciiTheme="minorHAnsi" w:hAnsiTheme="minorHAnsi"/>
                <w:color w:val="000000"/>
                <w:sz w:val="22"/>
                <w:szCs w:val="22"/>
              </w:rPr>
              <w:t>raadpleging</w:t>
            </w:r>
          </w:p>
        </w:tc>
        <w:tc>
          <w:tcPr>
            <w:tcW w:w="4890" w:type="dxa"/>
            <w:tcBorders>
              <w:top w:val="single" w:color="auto" w:sz="4" w:space="0"/>
              <w:left w:val="single" w:color="auto" w:sz="4" w:space="0"/>
              <w:bottom w:val="single" w:color="auto" w:sz="4" w:space="0"/>
              <w:right w:val="single" w:color="auto" w:sz="4" w:space="0"/>
            </w:tcBorders>
            <w:shd w:val="clear" w:color="auto" w:fill="D99594" w:themeFill="accent2" w:themeFillTint="99"/>
          </w:tcPr>
          <w:p w:rsidRPr="00D96C24" w:rsidR="00D96C24" w:rsidP="00077A4A" w:rsidRDefault="00D96C24">
            <w:pPr>
              <w:rPr>
                <w:rFonts w:asciiTheme="minorHAnsi" w:hAnsiTheme="minorHAnsi"/>
                <w:color w:val="000000"/>
                <w:sz w:val="22"/>
                <w:szCs w:val="22"/>
              </w:rPr>
            </w:pPr>
            <w:r w:rsidRPr="00D96C24">
              <w:rPr>
                <w:rFonts w:asciiTheme="minorHAnsi" w:hAnsiTheme="minorHAnsi"/>
                <w:color w:val="000000"/>
                <w:sz w:val="22"/>
                <w:szCs w:val="22"/>
              </w:rPr>
              <w:t xml:space="preserve">Herziening van de richtlijn schone voertuigen </w:t>
            </w:r>
          </w:p>
        </w:tc>
        <w:tc>
          <w:tcPr>
            <w:tcW w:w="720" w:type="dxa"/>
            <w:tcBorders>
              <w:top w:val="single" w:color="auto" w:sz="4" w:space="0"/>
              <w:left w:val="single" w:color="auto" w:sz="4" w:space="0"/>
              <w:bottom w:val="single" w:color="auto" w:sz="4" w:space="0"/>
              <w:right w:val="single" w:color="auto" w:sz="4" w:space="0"/>
            </w:tcBorders>
            <w:shd w:val="clear" w:color="auto" w:fill="D99594" w:themeFill="accent2" w:themeFillTint="99"/>
            <w:noWrap/>
          </w:tcPr>
          <w:p w:rsidRPr="00D96C24" w:rsidR="00D96C24" w:rsidP="00077A4A" w:rsidRDefault="00E80752">
            <w:pPr>
              <w:jc w:val="center"/>
              <w:rPr>
                <w:rFonts w:asciiTheme="minorHAnsi" w:hAnsiTheme="minorHAnsi"/>
                <w:color w:val="0000FF"/>
                <w:sz w:val="22"/>
                <w:szCs w:val="22"/>
                <w:u w:val="single"/>
              </w:rPr>
            </w:pPr>
            <w:hyperlink w:history="1" r:id="rId11">
              <w:r w:rsidRPr="00D96C24" w:rsidR="00D96C24">
                <w:rPr>
                  <w:rStyle w:val="Hyperlink"/>
                  <w:rFonts w:asciiTheme="minorHAnsi" w:hAnsiTheme="minorHAnsi"/>
                  <w:sz w:val="22"/>
                  <w:szCs w:val="22"/>
                </w:rPr>
                <w:t>OR</w:t>
              </w:r>
            </w:hyperlink>
          </w:p>
        </w:tc>
        <w:tc>
          <w:tcPr>
            <w:tcW w:w="1033" w:type="dxa"/>
            <w:tcBorders>
              <w:top w:val="single" w:color="auto" w:sz="4" w:space="0"/>
              <w:left w:val="single" w:color="auto" w:sz="4" w:space="0"/>
              <w:bottom w:val="single" w:color="auto" w:sz="4" w:space="0"/>
              <w:right w:val="single" w:color="auto" w:sz="4" w:space="0"/>
            </w:tcBorders>
            <w:shd w:val="clear" w:color="auto" w:fill="D99594" w:themeFill="accent2" w:themeFillTint="99"/>
          </w:tcPr>
          <w:p w:rsidRPr="00D96C24" w:rsidR="00D96C24" w:rsidP="00077A4A" w:rsidRDefault="00042518">
            <w:pPr>
              <w:rPr>
                <w:rFonts w:asciiTheme="minorHAnsi" w:hAnsiTheme="minorHAnsi"/>
                <w:color w:val="000000"/>
                <w:sz w:val="22"/>
                <w:szCs w:val="22"/>
              </w:rPr>
            </w:pPr>
            <w:r>
              <w:rPr>
                <w:rFonts w:asciiTheme="minorHAnsi" w:hAnsiTheme="minorHAnsi"/>
                <w:color w:val="000000"/>
                <w:sz w:val="22"/>
                <w:szCs w:val="22"/>
              </w:rPr>
              <w:t>n.v.t.</w:t>
            </w:r>
          </w:p>
        </w:tc>
        <w:tc>
          <w:tcPr>
            <w:tcW w:w="4575" w:type="dxa"/>
            <w:tcBorders>
              <w:top w:val="single" w:color="auto" w:sz="4" w:space="0"/>
              <w:left w:val="single" w:color="auto" w:sz="4" w:space="0"/>
              <w:bottom w:val="single" w:color="auto" w:sz="4" w:space="0"/>
              <w:right w:val="single" w:color="auto" w:sz="4" w:space="0"/>
            </w:tcBorders>
            <w:shd w:val="clear" w:color="auto" w:fill="D99594" w:themeFill="accent2" w:themeFillTint="99"/>
          </w:tcPr>
          <w:p w:rsidR="00D96C24" w:rsidP="00077A4A" w:rsidRDefault="00916D21">
            <w:pPr>
              <w:rPr>
                <w:rFonts w:asciiTheme="minorHAnsi" w:hAnsiTheme="minorHAnsi"/>
                <w:color w:val="000000"/>
                <w:sz w:val="22"/>
                <w:szCs w:val="22"/>
              </w:rPr>
            </w:pPr>
            <w:r w:rsidRPr="000947B3">
              <w:rPr>
                <w:rFonts w:asciiTheme="minorHAnsi" w:hAnsiTheme="minorHAnsi"/>
                <w:color w:val="000000"/>
                <w:sz w:val="22"/>
                <w:szCs w:val="22"/>
                <w:u w:val="single"/>
              </w:rPr>
              <w:t>Behandelvoorstel</w:t>
            </w:r>
            <w:r>
              <w:rPr>
                <w:rFonts w:asciiTheme="minorHAnsi" w:hAnsiTheme="minorHAnsi"/>
                <w:color w:val="000000"/>
                <w:sz w:val="22"/>
                <w:szCs w:val="22"/>
              </w:rPr>
              <w:t>:</w:t>
            </w:r>
            <w:r w:rsidR="00042518">
              <w:rPr>
                <w:rFonts w:asciiTheme="minorHAnsi" w:hAnsiTheme="minorHAnsi"/>
                <w:color w:val="000000"/>
                <w:sz w:val="22"/>
                <w:szCs w:val="22"/>
              </w:rPr>
              <w:t xml:space="preserve"> Ter informatie.</w:t>
            </w:r>
          </w:p>
          <w:p w:rsidR="00916D21" w:rsidP="00077A4A" w:rsidRDefault="00916D21">
            <w:pPr>
              <w:rPr>
                <w:rFonts w:asciiTheme="minorHAnsi" w:hAnsiTheme="minorHAnsi"/>
                <w:color w:val="000000"/>
                <w:sz w:val="22"/>
                <w:szCs w:val="22"/>
              </w:rPr>
            </w:pPr>
          </w:p>
          <w:p w:rsidRPr="00D96C24" w:rsidR="00916D21" w:rsidP="00D52CF9" w:rsidRDefault="00042518">
            <w:pPr>
              <w:rPr>
                <w:rFonts w:asciiTheme="minorHAnsi" w:hAnsiTheme="minorHAnsi"/>
                <w:color w:val="000000"/>
                <w:sz w:val="22"/>
                <w:szCs w:val="22"/>
              </w:rPr>
            </w:pPr>
            <w:r>
              <w:rPr>
                <w:rFonts w:asciiTheme="minorHAnsi" w:hAnsiTheme="minorHAnsi"/>
                <w:color w:val="000000"/>
                <w:sz w:val="22"/>
                <w:szCs w:val="22"/>
              </w:rPr>
              <w:t xml:space="preserve">Noot: de deadline voor deze consultatie is 24 </w:t>
            </w:r>
            <w:r w:rsidRPr="00D96C24">
              <w:rPr>
                <w:rFonts w:asciiTheme="minorHAnsi" w:hAnsiTheme="minorHAnsi"/>
                <w:color w:val="000000"/>
                <w:sz w:val="22"/>
                <w:szCs w:val="22"/>
              </w:rPr>
              <w:t>m</w:t>
            </w:r>
            <w:r>
              <w:rPr>
                <w:rFonts w:asciiTheme="minorHAnsi" w:hAnsiTheme="minorHAnsi"/>
                <w:color w:val="000000"/>
                <w:sz w:val="22"/>
                <w:szCs w:val="22"/>
              </w:rPr>
              <w:t>aa</w:t>
            </w:r>
            <w:r w:rsidRPr="00D96C24">
              <w:rPr>
                <w:rFonts w:asciiTheme="minorHAnsi" w:hAnsiTheme="minorHAnsi"/>
                <w:color w:val="000000"/>
                <w:sz w:val="22"/>
                <w:szCs w:val="22"/>
              </w:rPr>
              <w:t>rt</w:t>
            </w:r>
            <w:r>
              <w:rPr>
                <w:rFonts w:asciiTheme="minorHAnsi" w:hAnsiTheme="minorHAnsi"/>
                <w:color w:val="000000"/>
                <w:sz w:val="22"/>
                <w:szCs w:val="22"/>
              </w:rPr>
              <w:t xml:space="preserve"> 20</w:t>
            </w:r>
            <w:r w:rsidRPr="00D96C24">
              <w:rPr>
                <w:rFonts w:asciiTheme="minorHAnsi" w:hAnsiTheme="minorHAnsi"/>
                <w:color w:val="000000"/>
                <w:sz w:val="22"/>
                <w:szCs w:val="22"/>
              </w:rPr>
              <w:t>17</w:t>
            </w:r>
            <w:r>
              <w:rPr>
                <w:rFonts w:asciiTheme="minorHAnsi" w:hAnsiTheme="minorHAnsi"/>
                <w:color w:val="000000"/>
                <w:sz w:val="22"/>
                <w:szCs w:val="22"/>
              </w:rPr>
              <w:t>.</w:t>
            </w:r>
            <w:r w:rsidR="00D52CF9">
              <w:rPr>
                <w:rFonts w:asciiTheme="minorHAnsi" w:hAnsiTheme="minorHAnsi"/>
                <w:color w:val="000000"/>
                <w:sz w:val="22"/>
                <w:szCs w:val="22"/>
              </w:rPr>
              <w:t xml:space="preserve"> Tijdens de procedurevergadering van 7 december 2016 heeft de commissie I&amp;M het dossier </w:t>
            </w:r>
            <w:r w:rsidRPr="00D52CF9" w:rsidR="00D52CF9">
              <w:rPr>
                <w:rFonts w:asciiTheme="minorHAnsi" w:hAnsiTheme="minorHAnsi"/>
                <w:color w:val="000000"/>
                <w:sz w:val="22"/>
                <w:szCs w:val="22"/>
              </w:rPr>
              <w:t>Richtlijn schone wegvoertuigen</w:t>
            </w:r>
            <w:r w:rsidR="00D52CF9">
              <w:rPr>
                <w:rFonts w:asciiTheme="minorHAnsi" w:hAnsiTheme="minorHAnsi"/>
                <w:color w:val="000000"/>
                <w:sz w:val="22"/>
                <w:szCs w:val="22"/>
              </w:rPr>
              <w:t xml:space="preserve"> </w:t>
            </w:r>
            <w:r w:rsidRPr="00D52CF9" w:rsidR="00D52CF9">
              <w:rPr>
                <w:rFonts w:asciiTheme="minorHAnsi" w:hAnsiTheme="minorHAnsi"/>
                <w:color w:val="000000"/>
                <w:sz w:val="22"/>
                <w:szCs w:val="22"/>
              </w:rPr>
              <w:t xml:space="preserve">(uit: Uitvoering van de Strategie voor de Energie-unie: emissieluw reizen en mobiliteit) </w:t>
            </w:r>
            <w:r w:rsidR="00D52CF9">
              <w:rPr>
                <w:rFonts w:asciiTheme="minorHAnsi" w:hAnsiTheme="minorHAnsi"/>
                <w:color w:val="000000"/>
                <w:sz w:val="22"/>
                <w:szCs w:val="22"/>
              </w:rPr>
              <w:t>als prioritair aangewezen.</w:t>
            </w:r>
          </w:p>
        </w:tc>
      </w:tr>
      <w:tr w:rsidRPr="00D96C24" w:rsidR="00D96C24" w:rsidTr="00D96C24">
        <w:trPr>
          <w:trHeight w:val="884"/>
        </w:trPr>
        <w:tc>
          <w:tcPr>
            <w:tcW w:w="980" w:type="dxa"/>
            <w:tcBorders>
              <w:top w:val="single" w:color="auto" w:sz="4" w:space="0"/>
              <w:left w:val="single" w:color="auto" w:sz="4" w:space="0"/>
              <w:bottom w:val="single" w:color="auto" w:sz="4" w:space="0"/>
              <w:right w:val="single" w:color="auto" w:sz="4" w:space="0"/>
            </w:tcBorders>
            <w:shd w:val="clear" w:color="auto" w:fill="auto"/>
            <w:noWrap/>
          </w:tcPr>
          <w:p w:rsidRPr="00D96C24" w:rsidR="00D96C24" w:rsidP="00D96C24" w:rsidRDefault="00D96C24">
            <w:pPr>
              <w:jc w:val="center"/>
              <w:rPr>
                <w:rFonts w:asciiTheme="minorHAnsi" w:hAnsiTheme="minorHAnsi"/>
                <w:color w:val="000000"/>
                <w:sz w:val="22"/>
                <w:szCs w:val="22"/>
              </w:rPr>
            </w:pPr>
            <w:r w:rsidRPr="00D96C24">
              <w:rPr>
                <w:rFonts w:asciiTheme="minorHAnsi" w:hAnsiTheme="minorHAnsi"/>
                <w:color w:val="000000"/>
                <w:sz w:val="22"/>
                <w:szCs w:val="22"/>
              </w:rPr>
              <w:t>21-dec-16</w:t>
            </w:r>
          </w:p>
        </w:tc>
        <w:tc>
          <w:tcPr>
            <w:tcW w:w="1203" w:type="dxa"/>
            <w:tcBorders>
              <w:top w:val="single" w:color="auto" w:sz="4" w:space="0"/>
              <w:left w:val="single" w:color="auto" w:sz="4" w:space="0"/>
              <w:bottom w:val="single" w:color="auto" w:sz="4" w:space="0"/>
              <w:right w:val="single" w:color="auto" w:sz="4" w:space="0"/>
            </w:tcBorders>
            <w:shd w:val="clear" w:color="auto" w:fill="auto"/>
            <w:noWrap/>
          </w:tcPr>
          <w:p w:rsidRPr="00D96C24" w:rsidR="00D96C24" w:rsidP="00D96C24" w:rsidRDefault="00D96C24">
            <w:pPr>
              <w:jc w:val="center"/>
              <w:rPr>
                <w:rFonts w:asciiTheme="minorHAnsi" w:hAnsiTheme="minorHAnsi"/>
                <w:color w:val="000000"/>
                <w:sz w:val="22"/>
                <w:szCs w:val="22"/>
              </w:rPr>
            </w:pPr>
            <w:r w:rsidRPr="00D96C24">
              <w:rPr>
                <w:rFonts w:asciiTheme="minorHAnsi" w:hAnsiTheme="minorHAnsi"/>
                <w:color w:val="000000"/>
                <w:sz w:val="22"/>
                <w:szCs w:val="22"/>
              </w:rPr>
              <w:t>I&amp;M</w:t>
            </w:r>
          </w:p>
        </w:tc>
        <w:tc>
          <w:tcPr>
            <w:tcW w:w="1254" w:type="dxa"/>
            <w:tcBorders>
              <w:top w:val="single" w:color="auto" w:sz="4" w:space="0"/>
              <w:left w:val="single" w:color="auto" w:sz="4" w:space="0"/>
              <w:bottom w:val="single" w:color="auto" w:sz="4" w:space="0"/>
              <w:right w:val="single" w:color="auto" w:sz="4" w:space="0"/>
            </w:tcBorders>
            <w:shd w:val="clear" w:color="auto" w:fill="auto"/>
            <w:noWrap/>
          </w:tcPr>
          <w:p w:rsidRPr="00D96C24" w:rsidR="00D96C24" w:rsidP="00D96C24" w:rsidRDefault="00D96C24">
            <w:pPr>
              <w:rPr>
                <w:rFonts w:asciiTheme="minorHAnsi" w:hAnsiTheme="minorHAnsi"/>
                <w:color w:val="000000"/>
                <w:sz w:val="22"/>
                <w:szCs w:val="22"/>
              </w:rPr>
            </w:pPr>
            <w:r w:rsidRPr="00D96C24">
              <w:rPr>
                <w:rFonts w:asciiTheme="minorHAnsi" w:hAnsiTheme="minorHAnsi"/>
                <w:color w:val="000000"/>
                <w:sz w:val="22"/>
                <w:szCs w:val="22"/>
              </w:rPr>
              <w:t>verordening</w:t>
            </w:r>
          </w:p>
        </w:tc>
        <w:tc>
          <w:tcPr>
            <w:tcW w:w="4890" w:type="dxa"/>
            <w:tcBorders>
              <w:top w:val="single" w:color="auto" w:sz="4" w:space="0"/>
              <w:left w:val="single" w:color="auto" w:sz="4" w:space="0"/>
              <w:bottom w:val="single" w:color="auto" w:sz="4" w:space="0"/>
              <w:right w:val="single" w:color="auto" w:sz="4" w:space="0"/>
            </w:tcBorders>
            <w:shd w:val="clear" w:color="auto" w:fill="auto"/>
          </w:tcPr>
          <w:p w:rsidRPr="00D96C24" w:rsidR="00D96C24" w:rsidP="001717B9" w:rsidRDefault="001717B9">
            <w:pPr>
              <w:rPr>
                <w:rFonts w:asciiTheme="minorHAnsi" w:hAnsiTheme="minorHAnsi"/>
                <w:color w:val="000000"/>
                <w:sz w:val="22"/>
                <w:szCs w:val="22"/>
              </w:rPr>
            </w:pPr>
            <w:r>
              <w:rPr>
                <w:rFonts w:asciiTheme="minorHAnsi" w:hAnsiTheme="minorHAnsi"/>
                <w:color w:val="000000"/>
                <w:sz w:val="22"/>
                <w:szCs w:val="22"/>
              </w:rPr>
              <w:t>VERORDENING</w:t>
            </w:r>
            <w:r w:rsidRPr="00D96C24" w:rsidR="00D96C24">
              <w:rPr>
                <w:rFonts w:asciiTheme="minorHAnsi" w:hAnsiTheme="minorHAnsi"/>
                <w:color w:val="000000"/>
                <w:sz w:val="22"/>
                <w:szCs w:val="22"/>
              </w:rPr>
              <w:t xml:space="preserve"> tot wijziging van Verordening (EG) nr. 1008/2008 inzake gemeenschappelijke regels voor de exploitatie van luchtdiensten in de Gemeenschap </w:t>
            </w:r>
          </w:p>
        </w:tc>
        <w:tc>
          <w:tcPr>
            <w:tcW w:w="720" w:type="dxa"/>
            <w:tcBorders>
              <w:top w:val="single" w:color="auto" w:sz="4" w:space="0"/>
              <w:left w:val="single" w:color="auto" w:sz="4" w:space="0"/>
              <w:bottom w:val="single" w:color="auto" w:sz="4" w:space="0"/>
              <w:right w:val="single" w:color="auto" w:sz="4" w:space="0"/>
            </w:tcBorders>
            <w:shd w:val="clear" w:color="auto" w:fill="auto"/>
            <w:noWrap/>
          </w:tcPr>
          <w:p w:rsidRPr="00D96C24" w:rsidR="00D96C24" w:rsidP="00D96C24" w:rsidRDefault="00E80752">
            <w:pPr>
              <w:jc w:val="center"/>
              <w:rPr>
                <w:rFonts w:asciiTheme="minorHAnsi" w:hAnsiTheme="minorHAnsi"/>
                <w:color w:val="0000FF"/>
                <w:sz w:val="22"/>
                <w:szCs w:val="22"/>
                <w:u w:val="single"/>
              </w:rPr>
            </w:pPr>
            <w:hyperlink w:history="1" r:id="rId12">
              <w:r w:rsidRPr="00D96C24" w:rsidR="00D96C24">
                <w:rPr>
                  <w:rStyle w:val="Hyperlink"/>
                  <w:rFonts w:asciiTheme="minorHAnsi" w:hAnsiTheme="minorHAnsi"/>
                  <w:sz w:val="22"/>
                  <w:szCs w:val="22"/>
                </w:rPr>
                <w:t>818</w:t>
              </w:r>
            </w:hyperlink>
          </w:p>
        </w:tc>
        <w:tc>
          <w:tcPr>
            <w:tcW w:w="1033" w:type="dxa"/>
            <w:tcBorders>
              <w:top w:val="single" w:color="auto" w:sz="4" w:space="0"/>
              <w:left w:val="single" w:color="auto" w:sz="4" w:space="0"/>
              <w:bottom w:val="single" w:color="auto" w:sz="4" w:space="0"/>
              <w:right w:val="single" w:color="auto" w:sz="4" w:space="0"/>
            </w:tcBorders>
            <w:shd w:val="clear" w:color="auto" w:fill="auto"/>
          </w:tcPr>
          <w:p w:rsidRPr="00D96C24" w:rsidR="00D96C24" w:rsidP="002E6DA8" w:rsidRDefault="002E6DA8">
            <w:pPr>
              <w:rPr>
                <w:rFonts w:asciiTheme="minorHAnsi" w:hAnsiTheme="minorHAnsi"/>
                <w:color w:val="000000"/>
                <w:sz w:val="22"/>
                <w:szCs w:val="22"/>
              </w:rPr>
            </w:pPr>
            <w:r>
              <w:rPr>
                <w:rFonts w:asciiTheme="minorHAnsi" w:hAnsiTheme="minorHAnsi"/>
                <w:color w:val="000000"/>
                <w:sz w:val="22"/>
                <w:szCs w:val="22"/>
              </w:rPr>
              <w:t>2-mrt-</w:t>
            </w:r>
            <w:r w:rsidRPr="002E6DA8">
              <w:rPr>
                <w:rFonts w:asciiTheme="minorHAnsi" w:hAnsiTheme="minorHAnsi"/>
                <w:color w:val="000000"/>
                <w:sz w:val="22"/>
                <w:szCs w:val="22"/>
              </w:rPr>
              <w:t>17</w:t>
            </w:r>
          </w:p>
        </w:tc>
        <w:tc>
          <w:tcPr>
            <w:tcW w:w="4575" w:type="dxa"/>
            <w:tcBorders>
              <w:top w:val="single" w:color="auto" w:sz="4" w:space="0"/>
              <w:left w:val="single" w:color="auto" w:sz="4" w:space="0"/>
              <w:bottom w:val="single" w:color="auto" w:sz="4" w:space="0"/>
              <w:right w:val="single" w:color="auto" w:sz="4" w:space="0"/>
            </w:tcBorders>
            <w:shd w:val="clear" w:color="auto" w:fill="auto"/>
          </w:tcPr>
          <w:p w:rsidR="00B31027" w:rsidP="00B31027" w:rsidRDefault="00B31027">
            <w:pPr>
              <w:rPr>
                <w:rFonts w:asciiTheme="minorHAnsi" w:hAnsiTheme="minorHAnsi"/>
                <w:color w:val="000000"/>
                <w:sz w:val="22"/>
                <w:szCs w:val="22"/>
              </w:rPr>
            </w:pPr>
            <w:r w:rsidRPr="000947B3">
              <w:rPr>
                <w:rFonts w:asciiTheme="minorHAnsi" w:hAnsiTheme="minorHAnsi"/>
                <w:color w:val="000000"/>
                <w:sz w:val="22"/>
                <w:szCs w:val="22"/>
                <w:u w:val="single"/>
              </w:rPr>
              <w:t>Behandelvoorstel</w:t>
            </w:r>
            <w:r>
              <w:rPr>
                <w:rFonts w:asciiTheme="minorHAnsi" w:hAnsiTheme="minorHAnsi"/>
                <w:color w:val="000000"/>
                <w:sz w:val="22"/>
                <w:szCs w:val="22"/>
              </w:rPr>
              <w:t>: BNC-fiche afwachten.</w:t>
            </w:r>
          </w:p>
          <w:p w:rsidR="000A2B12" w:rsidP="00B31027" w:rsidRDefault="000A2B12">
            <w:pPr>
              <w:rPr>
                <w:rFonts w:asciiTheme="minorHAnsi" w:hAnsiTheme="minorHAnsi"/>
                <w:color w:val="000000"/>
                <w:sz w:val="22"/>
                <w:szCs w:val="22"/>
              </w:rPr>
            </w:pPr>
          </w:p>
          <w:p w:rsidRPr="00D96C24" w:rsidR="00D96C24" w:rsidP="00811362" w:rsidRDefault="000A2B12">
            <w:pPr>
              <w:rPr>
                <w:rFonts w:asciiTheme="minorHAnsi" w:hAnsiTheme="minorHAnsi"/>
                <w:color w:val="000000"/>
                <w:sz w:val="22"/>
                <w:szCs w:val="22"/>
              </w:rPr>
            </w:pPr>
            <w:r>
              <w:rPr>
                <w:rFonts w:asciiTheme="minorHAnsi" w:hAnsiTheme="minorHAnsi"/>
                <w:color w:val="000000"/>
                <w:sz w:val="22"/>
                <w:szCs w:val="22"/>
              </w:rPr>
              <w:t xml:space="preserve">Noot: </w:t>
            </w:r>
            <w:r w:rsidR="00D729AB">
              <w:rPr>
                <w:rFonts w:asciiTheme="minorHAnsi" w:hAnsiTheme="minorHAnsi"/>
                <w:color w:val="000000"/>
                <w:sz w:val="22"/>
                <w:szCs w:val="22"/>
              </w:rPr>
              <w:t>Met deze verordening wordt de Europese Commissie gemachtigd om met de VS te onderhandelen over</w:t>
            </w:r>
            <w:r w:rsidRPr="00D729AB" w:rsidR="00D729AB">
              <w:rPr>
                <w:rFonts w:asciiTheme="minorHAnsi" w:hAnsiTheme="minorHAnsi"/>
                <w:color w:val="000000"/>
                <w:sz w:val="22"/>
                <w:szCs w:val="22"/>
              </w:rPr>
              <w:t xml:space="preserve"> leaseovereenkomsten van in </w:t>
            </w:r>
            <w:r w:rsidR="00D729AB">
              <w:rPr>
                <w:rFonts w:asciiTheme="minorHAnsi" w:hAnsiTheme="minorHAnsi"/>
                <w:color w:val="000000"/>
                <w:sz w:val="22"/>
                <w:szCs w:val="22"/>
              </w:rPr>
              <w:t xml:space="preserve">de VS </w:t>
            </w:r>
            <w:r w:rsidRPr="00D729AB" w:rsidR="00D729AB">
              <w:rPr>
                <w:rFonts w:asciiTheme="minorHAnsi" w:hAnsiTheme="minorHAnsi"/>
                <w:color w:val="000000"/>
                <w:sz w:val="22"/>
                <w:szCs w:val="22"/>
              </w:rPr>
              <w:t>geregistreerde luchtvaartuigen</w:t>
            </w:r>
            <w:r w:rsidR="00D729AB">
              <w:rPr>
                <w:rFonts w:asciiTheme="minorHAnsi" w:hAnsiTheme="minorHAnsi"/>
                <w:color w:val="000000"/>
                <w:sz w:val="22"/>
                <w:szCs w:val="22"/>
              </w:rPr>
              <w:t>.</w:t>
            </w:r>
          </w:p>
        </w:tc>
      </w:tr>
    </w:tbl>
    <w:p w:rsidR="00A137D8" w:rsidP="00A137D8" w:rsidRDefault="00A137D8">
      <w:pPr>
        <w:rPr>
          <w:rFonts w:asciiTheme="minorHAnsi" w:hAnsiTheme="minorHAnsi"/>
          <w:sz w:val="22"/>
          <w:szCs w:val="22"/>
        </w:rPr>
      </w:pPr>
    </w:p>
    <w:p w:rsidR="00B35E56" w:rsidRDefault="00B35E56">
      <w:pPr>
        <w:rPr>
          <w:rFonts w:asciiTheme="minorHAnsi" w:hAnsiTheme="minorHAnsi"/>
          <w:sz w:val="22"/>
          <w:szCs w:val="22"/>
        </w:rPr>
      </w:pPr>
      <w:r>
        <w:rPr>
          <w:rFonts w:asciiTheme="minorHAnsi" w:hAnsiTheme="minorHAnsi"/>
          <w:sz w:val="22"/>
          <w:szCs w:val="22"/>
        </w:rPr>
        <w:br w:type="page"/>
      </w:r>
    </w:p>
    <w:p w:rsidRPr="00A32873" w:rsidR="00E34A2D" w:rsidP="00E34A2D" w:rsidRDefault="00E34A2D">
      <w:pPr>
        <w:pStyle w:val="Voetnoottekst"/>
        <w:rPr>
          <w:rFonts w:ascii="Verdana" w:hAnsi="Verdana"/>
          <w:b/>
        </w:rPr>
      </w:pPr>
      <w:r>
        <w:rPr>
          <w:rFonts w:ascii="Verdana" w:hAnsi="Verdana"/>
          <w:b/>
        </w:rPr>
        <w:lastRenderedPageBreak/>
        <w:t>Bijlage: b</w:t>
      </w:r>
      <w:r w:rsidRPr="00A32873">
        <w:rPr>
          <w:rFonts w:ascii="Verdana" w:hAnsi="Verdana"/>
          <w:b/>
        </w:rPr>
        <w:t>ehandelmogelijkheden EU-voorstellen</w:t>
      </w:r>
    </w:p>
    <w:p w:rsidRPr="00A32873" w:rsidR="00E34A2D" w:rsidP="00E34A2D" w:rsidRDefault="00E34A2D">
      <w:pPr>
        <w:pStyle w:val="Voetnoottekst"/>
        <w:rPr>
          <w:rFonts w:ascii="Verdana" w:hAnsi="Verdana"/>
          <w:sz w:val="18"/>
          <w:szCs w:val="18"/>
        </w:rPr>
      </w:pPr>
    </w:p>
    <w:p w:rsidRPr="00A32873" w:rsidR="00E34A2D" w:rsidP="00E34A2D" w:rsidRDefault="00E34A2D">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E34A2D" w:rsidP="00E34A2D" w:rsidRDefault="00E34A2D">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E34A2D" w:rsidP="00E34A2D" w:rsidRDefault="00E34A2D">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E34A2D" w:rsidTr="0034235C">
        <w:tc>
          <w:tcPr>
            <w:tcW w:w="209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E34A2D" w:rsidTr="0034235C">
        <w:tc>
          <w:tcPr>
            <w:tcW w:w="14142" w:type="dxa"/>
            <w:gridSpan w:val="3"/>
          </w:tcPr>
          <w:p w:rsidR="00E34A2D" w:rsidP="0034235C" w:rsidRDefault="00E34A2D">
            <w:pPr>
              <w:pStyle w:val="Voetnoottekst"/>
              <w:rPr>
                <w:rFonts w:ascii="Verdana" w:hAnsi="Verdana"/>
                <w:i/>
                <w:sz w:val="18"/>
                <w:szCs w:val="18"/>
              </w:rPr>
            </w:pPr>
          </w:p>
          <w:p w:rsidRPr="002F662A" w:rsidR="00E34A2D" w:rsidP="0034235C" w:rsidRDefault="00E34A2D">
            <w:pPr>
              <w:pStyle w:val="Voetnoottekst"/>
              <w:rPr>
                <w:rFonts w:ascii="Verdana" w:hAnsi="Verdana"/>
                <w:i/>
                <w:sz w:val="18"/>
                <w:szCs w:val="18"/>
              </w:rPr>
            </w:pPr>
            <w:r w:rsidRPr="002F662A">
              <w:rPr>
                <w:rFonts w:ascii="Verdana" w:hAnsi="Verdana"/>
                <w:i/>
                <w:sz w:val="18"/>
                <w:szCs w:val="18"/>
              </w:rPr>
              <w:t>Wetgevende, bindende rechtshandelingen</w:t>
            </w:r>
            <w:r>
              <w:rPr>
                <w:rStyle w:val="Voetnootmarkering"/>
                <w:rFonts w:ascii="Verdana" w:hAnsi="Verdana"/>
                <w:i/>
                <w:sz w:val="18"/>
                <w:szCs w:val="18"/>
              </w:rPr>
              <w:footnoteReference w:id="1"/>
            </w:r>
            <w:r>
              <w:rPr>
                <w:rFonts w:ascii="Verdana" w:hAnsi="Verdana"/>
                <w:i/>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aanvullende wetgeving nodig om de verordening volledig te operationaliseren</w:t>
            </w:r>
            <w:r>
              <w:rPr>
                <w:rFonts w:ascii="Verdana" w:hAnsi="Verdana"/>
                <w:sz w:val="18"/>
                <w:szCs w:val="18"/>
              </w:rPr>
              <w:t xml:space="preserve"> (bijvoorbeeld bij het aanwijzen van een nationale toezichthouder)</w:t>
            </w:r>
            <w:r w:rsidRPr="00A32873">
              <w:rPr>
                <w:rFonts w:ascii="Verdana" w:hAnsi="Verdana"/>
                <w:sz w:val="18"/>
                <w:szCs w:val="18"/>
              </w:rPr>
              <w:t xml:space="preserve">. Een door de EU wetgever (Raad en/of Europees Parlement) aangenomen verordening komt niet terug in de Kamer voor behandeling. </w:t>
            </w:r>
          </w:p>
        </w:tc>
        <w:tc>
          <w:tcPr>
            <w:tcW w:w="5103" w:type="dxa"/>
            <w:vMerge w:val="restart"/>
          </w:tcPr>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2"/>
            </w:r>
            <w:r w:rsidRPr="00A32873">
              <w:rPr>
                <w:rFonts w:ascii="Verdana" w:hAnsi="Verdana"/>
                <w:sz w:val="18"/>
                <w:szCs w:val="18"/>
              </w:rPr>
              <w:t xml:space="preserve"> </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besluit is verbindend in al </w:t>
            </w:r>
            <w:r>
              <w:rPr>
                <w:rFonts w:ascii="Verdana" w:hAnsi="Verdana"/>
                <w:sz w:val="18"/>
                <w:szCs w:val="18"/>
              </w:rPr>
              <w:t>zijn</w:t>
            </w:r>
            <w:r w:rsidRPr="00A32873">
              <w:rPr>
                <w:rFonts w:ascii="Verdana" w:hAnsi="Verdana"/>
                <w:sz w:val="18"/>
                <w:szCs w:val="18"/>
              </w:rPr>
              <w:t xml:space="preserve"> onderdelen. Indien de adressanten worden vermeld, is zij alleen voor hen verbindend. Met besluiten kunnen algemeen verbindende voorschriften worden toegepast op een concreet </w:t>
            </w:r>
            <w:r w:rsidRPr="00A32873">
              <w:rPr>
                <w:rFonts w:ascii="Verdana" w:hAnsi="Verdana"/>
                <w:sz w:val="18"/>
                <w:szCs w:val="18"/>
              </w:rPr>
              <w:lastRenderedPageBreak/>
              <w:t>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 xml:space="preserve">er nog een aantal bijzondere besluiten, zoals direct op de Verdragen gebaseerde uitvoeringsbepalingen; besluiten van de Europese Raad (bv het meerjarenplan op JBZ-gebied); en besluiten op het terrein van het Gemeenschappelijk Buitenlands- en Veiligheidsbeleid </w:t>
            </w:r>
            <w:r>
              <w:rPr>
                <w:rFonts w:ascii="Verdana" w:hAnsi="Verdana"/>
                <w:sz w:val="18"/>
                <w:szCs w:val="18"/>
              </w:rPr>
              <w:t xml:space="preserve"> en</w:t>
            </w:r>
            <w:r w:rsidRPr="00A32873">
              <w:rPr>
                <w:rFonts w:ascii="Verdana" w:hAnsi="Verdana"/>
                <w:sz w:val="18"/>
                <w:szCs w:val="18"/>
              </w:rPr>
              <w:t xml:space="preserve">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w:t>
            </w:r>
            <w:r>
              <w:rPr>
                <w:rFonts w:ascii="Verdana" w:hAnsi="Verdana"/>
                <w:sz w:val="18"/>
                <w:szCs w:val="18"/>
              </w:rPr>
              <w:t xml:space="preserve">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 inclusief het voornemen van NL of andere lidstaten om binnen de Raad een bezwaarprocedure te initiëren of een procedure tot intrekking van de delegatie.</w:t>
            </w:r>
          </w:p>
          <w:p w:rsidRPr="00A32873" w:rsidR="00E34A2D" w:rsidP="0034235C" w:rsidRDefault="00E34A2D">
            <w:pPr>
              <w:pStyle w:val="Voetnoottekst"/>
              <w:ind w:left="360"/>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w:t>
            </w:r>
            <w:r>
              <w:rPr>
                <w:rFonts w:ascii="Verdana" w:hAnsi="Verdana"/>
                <w:sz w:val="18"/>
                <w:szCs w:val="18"/>
              </w:rPr>
              <w:t>, voorgezeten door</w:t>
            </w:r>
            <w:r w:rsidRPr="00A32873">
              <w:rPr>
                <w:rFonts w:ascii="Verdana" w:hAnsi="Verdana"/>
                <w:sz w:val="18"/>
                <w:szCs w:val="18"/>
              </w:rPr>
              <w:t xml:space="preserve"> de Europese Commissie.</w:t>
            </w:r>
            <w:r>
              <w:rPr>
                <w:rFonts w:ascii="Verdana" w:hAnsi="Verdana"/>
                <w:sz w:val="18"/>
                <w:szCs w:val="18"/>
              </w:rPr>
              <w:t xml:space="preserve"> De Commissie stelt de uitvoeringshandeling vast.</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E34A2D" w:rsidP="0034235C" w:rsidRDefault="00E34A2D">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3">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w:t>
            </w:r>
            <w:r>
              <w:rPr>
                <w:rFonts w:ascii="Verdana" w:hAnsi="Verdana"/>
                <w:color w:val="000000"/>
                <w:sz w:val="18"/>
                <w:szCs w:val="18"/>
              </w:rPr>
              <w:t>zijn</w:t>
            </w:r>
            <w:r w:rsidRPr="00A32873">
              <w:rPr>
                <w:rFonts w:ascii="Verdana" w:hAnsi="Verdana"/>
                <w:color w:val="000000"/>
                <w:sz w:val="18"/>
                <w:szCs w:val="18"/>
              </w:rPr>
              <w:t xml:space="preserve"> correspondentie met de Europese Commissie over de uitvoering van Europese regelgeving</w:t>
            </w:r>
            <w:r>
              <w:rPr>
                <w:rFonts w:ascii="Verdana" w:hAnsi="Verdana"/>
                <w:color w:val="000000"/>
                <w:sz w:val="18"/>
                <w:szCs w:val="18"/>
              </w:rPr>
              <w:t>.</w:t>
            </w:r>
          </w:p>
        </w:tc>
      </w:tr>
      <w:tr w:rsidRPr="00A32873" w:rsidR="00E34A2D" w:rsidTr="0034235C">
        <w:tc>
          <w:tcPr>
            <w:tcW w:w="2093" w:type="dxa"/>
          </w:tcPr>
          <w:p w:rsidRPr="00EF0FC5" w:rsidR="00E34A2D" w:rsidP="0034235C" w:rsidRDefault="00E34A2D">
            <w:pPr>
              <w:pStyle w:val="Voetnoottekst"/>
              <w:rPr>
                <w:rFonts w:ascii="Verdana" w:hAnsi="Verdana"/>
                <w:sz w:val="18"/>
                <w:szCs w:val="18"/>
              </w:rPr>
            </w:pPr>
            <w:r w:rsidRPr="00EF0FC5">
              <w:rPr>
                <w:rFonts w:ascii="Verdana" w:hAnsi="Verdana"/>
                <w:sz w:val="18"/>
                <w:szCs w:val="18"/>
              </w:rPr>
              <w:t>Handelingen vastgesteld volgens de regelgevingsprocedu</w:t>
            </w:r>
            <w:r w:rsidRPr="00EF0FC5">
              <w:rPr>
                <w:rFonts w:ascii="Verdana" w:hAnsi="Verdana"/>
                <w:sz w:val="18"/>
                <w:szCs w:val="18"/>
              </w:rPr>
              <w:lastRenderedPageBreak/>
              <w:t>re met toetsing</w:t>
            </w:r>
          </w:p>
        </w:tc>
        <w:tc>
          <w:tcPr>
            <w:tcW w:w="6946" w:type="dxa"/>
          </w:tcPr>
          <w:p w:rsidRPr="00EF0FC5" w:rsidR="00E34A2D" w:rsidP="0034235C" w:rsidRDefault="00E34A2D">
            <w:pPr>
              <w:rPr>
                <w:rFonts w:ascii="Verdana" w:hAnsi="Verdana"/>
                <w:sz w:val="18"/>
                <w:szCs w:val="18"/>
              </w:rPr>
            </w:pPr>
            <w:r w:rsidRPr="0015137B">
              <w:rPr>
                <w:rFonts w:ascii="Verdana" w:hAnsi="Verdana"/>
                <w:sz w:val="18"/>
                <w:szCs w:val="18"/>
              </w:rPr>
              <w:lastRenderedPageBreak/>
              <w:t xml:space="preserve">Deze procedure komt nog voor in Europese wetgeving van voor 2009. Bij deze procedure wordt de Europese Commissie geadviseerd  door een zogeheten regelgevend comité met toetsing met  vertegenwoordigers van lidstaten. Dit comité spreekt zich met gekwalificeerde meerderheid van </w:t>
            </w:r>
            <w:r w:rsidRPr="0015137B">
              <w:rPr>
                <w:rFonts w:ascii="Verdana" w:hAnsi="Verdana"/>
                <w:sz w:val="18"/>
                <w:szCs w:val="18"/>
              </w:rPr>
              <w:lastRenderedPageBreak/>
              <w:t>stemmen uit over het voorstel. EP en Raad kunnen bezwaar maken.</w:t>
            </w:r>
          </w:p>
        </w:tc>
        <w:tc>
          <w:tcPr>
            <w:tcW w:w="5103" w:type="dxa"/>
          </w:tcPr>
          <w:p w:rsidRPr="00EF0FC5" w:rsidR="00E34A2D" w:rsidP="0034235C" w:rsidRDefault="00E34A2D">
            <w:pPr>
              <w:pStyle w:val="Voetnoottekst"/>
              <w:numPr>
                <w:ilvl w:val="0"/>
                <w:numId w:val="1"/>
              </w:numPr>
              <w:rPr>
                <w:rFonts w:ascii="Verdana" w:hAnsi="Verdana"/>
                <w:sz w:val="18"/>
                <w:szCs w:val="18"/>
              </w:rPr>
            </w:pPr>
            <w:r w:rsidRPr="00EF0FC5">
              <w:rPr>
                <w:rFonts w:ascii="Verdana" w:hAnsi="Verdana"/>
                <w:sz w:val="18"/>
                <w:szCs w:val="18"/>
              </w:rPr>
              <w:lastRenderedPageBreak/>
              <w:t xml:space="preserve">kabinet per brief of tijdens overleg bevragen over stand van zaken en appreciatie EU onderhandelingen en NL inzet, inclusief het voornemen van NL of andere lidstaten om binnen </w:t>
            </w:r>
            <w:r w:rsidRPr="00EF0FC5">
              <w:rPr>
                <w:rFonts w:ascii="Verdana" w:hAnsi="Verdana"/>
                <w:sz w:val="18"/>
                <w:szCs w:val="18"/>
              </w:rPr>
              <w:lastRenderedPageBreak/>
              <w:t>de Raad een bezwaarprocedure te initiëren.</w:t>
            </w:r>
          </w:p>
          <w:p w:rsidRPr="00EF0FC5" w:rsidR="00E34A2D" w:rsidP="0034235C" w:rsidRDefault="00E34A2D">
            <w:pPr>
              <w:pStyle w:val="Voetnoottekst"/>
              <w:numPr>
                <w:ilvl w:val="0"/>
                <w:numId w:val="1"/>
              </w:numPr>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Bijzondere rechtshandelingen</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E34A2D" w:rsidP="0034235C" w:rsidRDefault="00E34A2D">
            <w:pPr>
              <w:pStyle w:val="Voetnoottekst"/>
              <w:rPr>
                <w:rFonts w:ascii="Verdana" w:hAnsi="Verdana"/>
                <w:sz w:val="18"/>
                <w:szCs w:val="18"/>
              </w:rPr>
            </w:pP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E34A2D" w:rsidP="0034235C" w:rsidRDefault="00E34A2D">
            <w:pPr>
              <w:pStyle w:val="Voetnoottekst"/>
              <w:ind w:left="360"/>
              <w:rPr>
                <w:rFonts w:ascii="Verdana" w:hAnsi="Verdana"/>
                <w:sz w:val="18"/>
                <w:szCs w:val="18"/>
              </w:rPr>
            </w:pPr>
            <w:r>
              <w:rPr>
                <w:rFonts w:ascii="Verdana" w:hAnsi="Verdana"/>
                <w:sz w:val="18"/>
                <w:szCs w:val="18"/>
              </w:rPr>
              <w:t>n</w:t>
            </w:r>
            <w:r w:rsidRPr="00A32873">
              <w:rPr>
                <w:rFonts w:ascii="Verdana" w:hAnsi="Verdana"/>
                <w:sz w:val="18"/>
                <w:szCs w:val="18"/>
              </w:rPr>
              <w:t>ationale wetgevingstraject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Niet-bindende handelingen (soft-law)</w:t>
            </w:r>
          </w:p>
        </w:tc>
      </w:tr>
      <w:tr w:rsidRPr="00A32873" w:rsidR="00E34A2D" w:rsidTr="0034235C">
        <w:tc>
          <w:tcPr>
            <w:tcW w:w="2093" w:type="dxa"/>
          </w:tcPr>
          <w:p w:rsidR="00E34A2D" w:rsidP="0034235C" w:rsidRDefault="00E34A2D">
            <w:pPr>
              <w:pStyle w:val="Voetnoottekst"/>
              <w:rPr>
                <w:rFonts w:ascii="Verdana" w:hAnsi="Verdana"/>
                <w:sz w:val="18"/>
                <w:szCs w:val="18"/>
              </w:rPr>
            </w:pPr>
            <w:r w:rsidRPr="00A32873">
              <w:rPr>
                <w:rFonts w:ascii="Verdana" w:hAnsi="Verdana"/>
                <w:sz w:val="18"/>
                <w:szCs w:val="18"/>
              </w:rPr>
              <w:t>Advies, aanbeveling, mededeling</w:t>
            </w:r>
          </w:p>
          <w:p w:rsidR="00E34A2D" w:rsidP="0034235C" w:rsidRDefault="00E34A2D">
            <w:pPr>
              <w:jc w:val="right"/>
            </w:pPr>
          </w:p>
          <w:p w:rsidR="00E34A2D" w:rsidP="0034235C" w:rsidRDefault="00E34A2D">
            <w:pPr>
              <w:jc w:val="right"/>
            </w:pPr>
          </w:p>
          <w:p w:rsidR="00E34A2D" w:rsidP="0034235C" w:rsidRDefault="00E34A2D">
            <w:pPr>
              <w:jc w:val="right"/>
            </w:pPr>
          </w:p>
          <w:p w:rsidR="00E34A2D" w:rsidP="0034235C" w:rsidRDefault="00E34A2D">
            <w:pPr>
              <w:jc w:val="right"/>
            </w:pPr>
          </w:p>
          <w:p w:rsidRPr="00B45904" w:rsidR="00E34A2D" w:rsidP="0034235C" w:rsidRDefault="00E34A2D">
            <w:pPr>
              <w:jc w:val="right"/>
            </w:pP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w:t>
            </w:r>
            <w:r>
              <w:rPr>
                <w:rFonts w:ascii="Verdana" w:hAnsi="Verdana"/>
                <w:sz w:val="18"/>
                <w:szCs w:val="18"/>
              </w:rPr>
              <w:t xml:space="preserve"> </w:t>
            </w:r>
          </w:p>
        </w:tc>
        <w:tc>
          <w:tcPr>
            <w:tcW w:w="5103" w:type="dxa"/>
          </w:tcPr>
          <w:p w:rsidRPr="002E058C"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b w:val="0"/>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w:t>
            </w:r>
            <w:r w:rsidRPr="00A32873">
              <w:rPr>
                <w:rStyle w:val="Zwaar"/>
                <w:rFonts w:ascii="Verdana" w:hAnsi="Verdana" w:cs="Arial"/>
                <w:b w:val="0"/>
                <w:sz w:val="18"/>
                <w:szCs w:val="18"/>
              </w:rPr>
              <w:t>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 xml:space="preserve">De Europese Commissie nodigt overheden, nationale parlementen en andere organisaties uit om binnen een bepaalde termijn op een Groen- of Witboek te reageren. </w:t>
            </w:r>
          </w:p>
        </w:tc>
        <w:tc>
          <w:tcPr>
            <w:tcW w:w="5103" w:type="dxa"/>
          </w:tcPr>
          <w:p w:rsidR="00E34A2D" w:rsidP="0034235C" w:rsidRDefault="00E34A2D">
            <w:pPr>
              <w:pStyle w:val="Voetnoottekst"/>
              <w:numPr>
                <w:ilvl w:val="0"/>
                <w:numId w:val="1"/>
              </w:numPr>
              <w:rPr>
                <w:rFonts w:ascii="Verdana" w:hAnsi="Verdana"/>
                <w:sz w:val="18"/>
                <w:szCs w:val="18"/>
              </w:rPr>
            </w:pPr>
            <w:r w:rsidRPr="002E058C">
              <w:rPr>
                <w:rFonts w:ascii="Verdana" w:hAnsi="Verdana"/>
                <w:sz w:val="18"/>
                <w:szCs w:val="18"/>
              </w:rPr>
              <w:lastRenderedPageBreak/>
              <w:t>desgewenst ambtenaren EC of Europees Commissaris uitnodigen voor een toelichting.</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kabinet stuurt de Kamer het concept van haar </w:t>
            </w:r>
            <w:r w:rsidRPr="00A32873">
              <w:rPr>
                <w:rFonts w:ascii="Verdana" w:hAnsi="Verdana"/>
                <w:sz w:val="18"/>
                <w:szCs w:val="18"/>
              </w:rPr>
              <w:lastRenderedPageBreak/>
              <w:t>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Openbare raadpleging (consultatie)</w:t>
            </w: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4">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32873" w:rsidR="00E34A2D" w:rsidP="0034235C" w:rsidRDefault="00E34A2D">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e Kamer ontvangt krachtens de standaard-informatieafspraken de definitieve kabinetsreactie op alle consultaties van de Europese Commissie waarop het kabinet reageert.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Subsidiariteitstoets </w:t>
            </w:r>
          </w:p>
          <w:p w:rsidRPr="00A32873" w:rsidR="00E34A2D" w:rsidP="0034235C" w:rsidRDefault="00E34A2D">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E34A2D" w:rsidP="0034235C" w:rsidRDefault="00E34A2D">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een 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E34A2D" w:rsidP="0034235C" w:rsidRDefault="00E34A2D">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E34A2D" w:rsidP="0034235C" w:rsidRDefault="00E34A2D">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 xml:space="preserve">besluiten dat zij het voorstel van dusdanig politiek belang acht, dat de Kamer door de regering op bijzondere wijze geïnformeerd wil blijven worden over de EU </w:t>
            </w:r>
            <w:r w:rsidRPr="00A32873">
              <w:rPr>
                <w:rFonts w:ascii="Verdana" w:hAnsi="Verdana"/>
                <w:sz w:val="18"/>
                <w:szCs w:val="18"/>
              </w:rPr>
              <w:lastRenderedPageBreak/>
              <w:t>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de behandelvoorbehouden binnen drie</w:t>
            </w:r>
            <w:r w:rsidRPr="00782306">
              <w:rPr>
                <w:rFonts w:ascii="Verdana" w:hAnsi="Verdana"/>
                <w:sz w:val="18"/>
                <w:szCs w:val="18"/>
              </w:rPr>
              <w:t xml:space="preserve"> weken t.b.v. een snelle behandeling.</w:t>
            </w:r>
          </w:p>
          <w:p w:rsidRPr="00A32873" w:rsidR="00E34A2D" w:rsidP="0034235C" w:rsidRDefault="00E34A2D">
            <w:pPr>
              <w:pStyle w:val="Voetnoottekst"/>
              <w:rPr>
                <w:rFonts w:ascii="Verdana" w:hAnsi="Verdana"/>
                <w:sz w:val="18"/>
                <w:szCs w:val="18"/>
              </w:rPr>
            </w:pPr>
          </w:p>
        </w:tc>
      </w:tr>
    </w:tbl>
    <w:p w:rsidRPr="00A32873" w:rsidR="00E34A2D" w:rsidP="00E34A2D" w:rsidRDefault="00E34A2D">
      <w:pPr>
        <w:rPr>
          <w:rFonts w:ascii="Verdana" w:hAnsi="Verdana"/>
          <w:sz w:val="18"/>
          <w:szCs w:val="18"/>
        </w:rPr>
      </w:pPr>
    </w:p>
    <w:p w:rsidR="00E34A2D" w:rsidP="00E34A2D" w:rsidRDefault="00E34A2D"/>
    <w:p w:rsidR="00E34A2D" w:rsidP="00E34A2D" w:rsidRDefault="00E34A2D"/>
    <w:p w:rsidR="00E34A2D" w:rsidP="00A137D8" w:rsidRDefault="00E34A2D">
      <w:pPr>
        <w:rPr>
          <w:rFonts w:asciiTheme="minorHAnsi" w:hAnsiTheme="minorHAnsi"/>
          <w:sz w:val="22"/>
          <w:szCs w:val="22"/>
        </w:rPr>
      </w:pPr>
    </w:p>
    <w:p w:rsidR="004C7A6A" w:rsidRDefault="004C7A6A"/>
    <w:sectPr w:rsidR="004C7A6A" w:rsidSect="00A137D8">
      <w:pgSz w:w="16838" w:h="11906" w:orient="landscape"/>
      <w:pgMar w:top="1418"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D15" w:rsidRDefault="00466D15" w:rsidP="00E34A2D">
      <w:r>
        <w:separator/>
      </w:r>
    </w:p>
  </w:endnote>
  <w:endnote w:type="continuationSeparator" w:id="0">
    <w:p w:rsidR="00466D15" w:rsidRDefault="00466D15" w:rsidP="00E3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D15" w:rsidRDefault="00466D15" w:rsidP="00E34A2D">
      <w:r>
        <w:separator/>
      </w:r>
    </w:p>
  </w:footnote>
  <w:footnote w:type="continuationSeparator" w:id="0">
    <w:p w:rsidR="00466D15" w:rsidRDefault="00466D15" w:rsidP="00E34A2D">
      <w:r>
        <w:continuationSeparator/>
      </w:r>
    </w:p>
  </w:footnote>
  <w:footnote w:id="1">
    <w:p w:rsidR="00E34A2D" w:rsidRDefault="00E34A2D" w:rsidP="00E34A2D">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E34A2D" w:rsidRPr="00B45904" w:rsidRDefault="00E34A2D" w:rsidP="00E34A2D">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D8"/>
    <w:rsid w:val="00042518"/>
    <w:rsid w:val="00066693"/>
    <w:rsid w:val="000842C8"/>
    <w:rsid w:val="000A2B12"/>
    <w:rsid w:val="001717B9"/>
    <w:rsid w:val="00200C1D"/>
    <w:rsid w:val="002E6DA8"/>
    <w:rsid w:val="00466D15"/>
    <w:rsid w:val="004A2150"/>
    <w:rsid w:val="004C7A6A"/>
    <w:rsid w:val="00507AC9"/>
    <w:rsid w:val="00666395"/>
    <w:rsid w:val="00694BCA"/>
    <w:rsid w:val="00736970"/>
    <w:rsid w:val="007529D4"/>
    <w:rsid w:val="00811362"/>
    <w:rsid w:val="00916D21"/>
    <w:rsid w:val="009419E4"/>
    <w:rsid w:val="00964C2E"/>
    <w:rsid w:val="009A0FC6"/>
    <w:rsid w:val="00A137D8"/>
    <w:rsid w:val="00B31027"/>
    <w:rsid w:val="00B35E56"/>
    <w:rsid w:val="00B464EB"/>
    <w:rsid w:val="00C70943"/>
    <w:rsid w:val="00D52CF9"/>
    <w:rsid w:val="00D729AB"/>
    <w:rsid w:val="00D96C24"/>
    <w:rsid w:val="00E34A2D"/>
    <w:rsid w:val="00E60E54"/>
    <w:rsid w:val="00E80752"/>
    <w:rsid w:val="00EA22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823">
      <w:bodyDiv w:val="1"/>
      <w:marLeft w:val="0"/>
      <w:marRight w:val="0"/>
      <w:marTop w:val="0"/>
      <w:marBottom w:val="0"/>
      <w:divBdr>
        <w:top w:val="none" w:sz="0" w:space="0" w:color="auto"/>
        <w:left w:val="none" w:sz="0" w:space="0" w:color="auto"/>
        <w:bottom w:val="none" w:sz="0" w:space="0" w:color="auto"/>
        <w:right w:val="none" w:sz="0" w:space="0" w:color="auto"/>
      </w:divBdr>
    </w:div>
    <w:div w:id="103043704">
      <w:bodyDiv w:val="1"/>
      <w:marLeft w:val="0"/>
      <w:marRight w:val="0"/>
      <w:marTop w:val="0"/>
      <w:marBottom w:val="0"/>
      <w:divBdr>
        <w:top w:val="none" w:sz="0" w:space="0" w:color="auto"/>
        <w:left w:val="none" w:sz="0" w:space="0" w:color="auto"/>
        <w:bottom w:val="none" w:sz="0" w:space="0" w:color="auto"/>
        <w:right w:val="none" w:sz="0" w:space="0" w:color="auto"/>
      </w:divBdr>
    </w:div>
    <w:div w:id="141822692">
      <w:bodyDiv w:val="1"/>
      <w:marLeft w:val="0"/>
      <w:marRight w:val="0"/>
      <w:marTop w:val="0"/>
      <w:marBottom w:val="0"/>
      <w:divBdr>
        <w:top w:val="none" w:sz="0" w:space="0" w:color="auto"/>
        <w:left w:val="none" w:sz="0" w:space="0" w:color="auto"/>
        <w:bottom w:val="none" w:sz="0" w:space="0" w:color="auto"/>
        <w:right w:val="none" w:sz="0" w:space="0" w:color="auto"/>
      </w:divBdr>
    </w:div>
    <w:div w:id="324553566">
      <w:bodyDiv w:val="1"/>
      <w:marLeft w:val="0"/>
      <w:marRight w:val="0"/>
      <w:marTop w:val="0"/>
      <w:marBottom w:val="0"/>
      <w:divBdr>
        <w:top w:val="none" w:sz="0" w:space="0" w:color="auto"/>
        <w:left w:val="none" w:sz="0" w:space="0" w:color="auto"/>
        <w:bottom w:val="none" w:sz="0" w:space="0" w:color="auto"/>
        <w:right w:val="none" w:sz="0" w:space="0" w:color="auto"/>
      </w:divBdr>
    </w:div>
    <w:div w:id="352994674">
      <w:bodyDiv w:val="1"/>
      <w:marLeft w:val="0"/>
      <w:marRight w:val="0"/>
      <w:marTop w:val="0"/>
      <w:marBottom w:val="0"/>
      <w:divBdr>
        <w:top w:val="none" w:sz="0" w:space="0" w:color="auto"/>
        <w:left w:val="none" w:sz="0" w:space="0" w:color="auto"/>
        <w:bottom w:val="none" w:sz="0" w:space="0" w:color="auto"/>
        <w:right w:val="none" w:sz="0" w:space="0" w:color="auto"/>
      </w:divBdr>
    </w:div>
    <w:div w:id="685669778">
      <w:bodyDiv w:val="1"/>
      <w:marLeft w:val="0"/>
      <w:marRight w:val="0"/>
      <w:marTop w:val="0"/>
      <w:marBottom w:val="0"/>
      <w:divBdr>
        <w:top w:val="none" w:sz="0" w:space="0" w:color="auto"/>
        <w:left w:val="none" w:sz="0" w:space="0" w:color="auto"/>
        <w:bottom w:val="none" w:sz="0" w:space="0" w:color="auto"/>
        <w:right w:val="none" w:sz="0" w:space="0" w:color="auto"/>
      </w:divBdr>
    </w:div>
    <w:div w:id="1161043507">
      <w:bodyDiv w:val="1"/>
      <w:marLeft w:val="0"/>
      <w:marRight w:val="0"/>
      <w:marTop w:val="0"/>
      <w:marBottom w:val="0"/>
      <w:divBdr>
        <w:top w:val="none" w:sz="0" w:space="0" w:color="auto"/>
        <w:left w:val="none" w:sz="0" w:space="0" w:color="auto"/>
        <w:bottom w:val="none" w:sz="0" w:space="0" w:color="auto"/>
        <w:right w:val="none" w:sz="0" w:space="0" w:color="auto"/>
      </w:divBdr>
    </w:div>
    <w:div w:id="1301497839">
      <w:bodyDiv w:val="1"/>
      <w:marLeft w:val="0"/>
      <w:marRight w:val="0"/>
      <w:marTop w:val="0"/>
      <w:marBottom w:val="0"/>
      <w:divBdr>
        <w:top w:val="none" w:sz="0" w:space="0" w:color="auto"/>
        <w:left w:val="none" w:sz="0" w:space="0" w:color="auto"/>
        <w:bottom w:val="none" w:sz="0" w:space="0" w:color="auto"/>
        <w:right w:val="none" w:sz="0" w:space="0" w:color="auto"/>
      </w:divBdr>
    </w:div>
    <w:div w:id="1350061391">
      <w:bodyDiv w:val="1"/>
      <w:marLeft w:val="0"/>
      <w:marRight w:val="0"/>
      <w:marTop w:val="0"/>
      <w:marBottom w:val="0"/>
      <w:divBdr>
        <w:top w:val="none" w:sz="0" w:space="0" w:color="auto"/>
        <w:left w:val="none" w:sz="0" w:space="0" w:color="auto"/>
        <w:bottom w:val="none" w:sz="0" w:space="0" w:color="auto"/>
        <w:right w:val="none" w:sz="0" w:space="0" w:color="auto"/>
      </w:divBdr>
    </w:div>
    <w:div w:id="1354454684">
      <w:bodyDiv w:val="1"/>
      <w:marLeft w:val="0"/>
      <w:marRight w:val="0"/>
      <w:marTop w:val="0"/>
      <w:marBottom w:val="0"/>
      <w:divBdr>
        <w:top w:val="none" w:sz="0" w:space="0" w:color="auto"/>
        <w:left w:val="none" w:sz="0" w:space="0" w:color="auto"/>
        <w:bottom w:val="none" w:sz="0" w:space="0" w:color="auto"/>
        <w:right w:val="none" w:sz="0" w:space="0" w:color="auto"/>
      </w:divBdr>
    </w:div>
    <w:div w:id="1394157312">
      <w:bodyDiv w:val="1"/>
      <w:marLeft w:val="0"/>
      <w:marRight w:val="0"/>
      <w:marTop w:val="0"/>
      <w:marBottom w:val="0"/>
      <w:divBdr>
        <w:top w:val="none" w:sz="0" w:space="0" w:color="auto"/>
        <w:left w:val="none" w:sz="0" w:space="0" w:color="auto"/>
        <w:bottom w:val="none" w:sz="0" w:space="0" w:color="auto"/>
        <w:right w:val="none" w:sz="0" w:space="0" w:color="auto"/>
      </w:divBdr>
    </w:div>
    <w:div w:id="1506019599">
      <w:bodyDiv w:val="1"/>
      <w:marLeft w:val="0"/>
      <w:marRight w:val="0"/>
      <w:marTop w:val="0"/>
      <w:marBottom w:val="0"/>
      <w:divBdr>
        <w:top w:val="none" w:sz="0" w:space="0" w:color="auto"/>
        <w:left w:val="none" w:sz="0" w:space="0" w:color="auto"/>
        <w:bottom w:val="none" w:sz="0" w:space="0" w:color="auto"/>
        <w:right w:val="none" w:sz="0" w:space="0" w:color="auto"/>
      </w:divBdr>
    </w:div>
    <w:div w:id="1581326034">
      <w:bodyDiv w:val="1"/>
      <w:marLeft w:val="0"/>
      <w:marRight w:val="0"/>
      <w:marTop w:val="0"/>
      <w:marBottom w:val="0"/>
      <w:divBdr>
        <w:top w:val="none" w:sz="0" w:space="0" w:color="auto"/>
        <w:left w:val="none" w:sz="0" w:space="0" w:color="auto"/>
        <w:bottom w:val="none" w:sz="0" w:space="0" w:color="auto"/>
        <w:right w:val="none" w:sz="0" w:space="0" w:color="auto"/>
      </w:divBdr>
    </w:div>
    <w:div w:id="1760757072">
      <w:bodyDiv w:val="1"/>
      <w:marLeft w:val="0"/>
      <w:marRight w:val="0"/>
      <w:marTop w:val="0"/>
      <w:marBottom w:val="0"/>
      <w:divBdr>
        <w:top w:val="none" w:sz="0" w:space="0" w:color="auto"/>
        <w:left w:val="none" w:sz="0" w:space="0" w:color="auto"/>
        <w:bottom w:val="none" w:sz="0" w:space="0" w:color="auto"/>
        <w:right w:val="none" w:sz="0" w:space="0" w:color="auto"/>
      </w:divBdr>
    </w:div>
    <w:div w:id="1776747747">
      <w:bodyDiv w:val="1"/>
      <w:marLeft w:val="0"/>
      <w:marRight w:val="0"/>
      <w:marTop w:val="0"/>
      <w:marBottom w:val="0"/>
      <w:divBdr>
        <w:top w:val="none" w:sz="0" w:space="0" w:color="auto"/>
        <w:left w:val="none" w:sz="0" w:space="0" w:color="auto"/>
        <w:bottom w:val="none" w:sz="0" w:space="0" w:color="auto"/>
        <w:right w:val="none" w:sz="0" w:space="0" w:color="auto"/>
      </w:divBdr>
    </w:div>
    <w:div w:id="1795634400">
      <w:bodyDiv w:val="1"/>
      <w:marLeft w:val="0"/>
      <w:marRight w:val="0"/>
      <w:marTop w:val="0"/>
      <w:marBottom w:val="0"/>
      <w:divBdr>
        <w:top w:val="none" w:sz="0" w:space="0" w:color="auto"/>
        <w:left w:val="none" w:sz="0" w:space="0" w:color="auto"/>
        <w:bottom w:val="none" w:sz="0" w:space="0" w:color="auto"/>
        <w:right w:val="none" w:sz="0" w:space="0" w:color="auto"/>
      </w:divBdr>
    </w:div>
    <w:div w:id="191384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www.ipex.eu/IPEXL-WEB/dossier/document/COM20160818.do"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yperlink" Target="https://ec.europa.eu/transport/themes/sustainable/consultations/2016-clean-vehicles"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www.ipex.eu/IPEXL-WEB/dossier/document/COM20160793.do" TargetMode="External" Id="rId10" /><Relationship Type="http://schemas.microsoft.com/office/2007/relationships/stylesWithEffects" Target="stylesWithEffects.xml" Id="rId4" /><Relationship Type="http://schemas.openxmlformats.org/officeDocument/2006/relationships/hyperlink" Target="https://ec.europa.eu/transport/node/4841" TargetMode="Externa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2242</ap:Words>
  <ap:Characters>15102</ap:Characters>
  <ap:DocSecurity>4</ap:DocSecurity>
  <ap:Lines>125</ap:Lines>
  <ap:Paragraphs>34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17310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2017-01-19T12:05:00.0000000Z</lastPrinted>
  <dcterms:created xsi:type="dcterms:W3CDTF">2017-01-19T13:25:00.0000000Z</dcterms:created>
  <dcterms:modified xsi:type="dcterms:W3CDTF">2017-01-19T13:25:00.0000000Z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0x010100353D91076577B3499A8D2C6DFCA76A3B</vt:lpwstr>
  </property>
</Properties>
</file>