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93F39" w:rsidR="005E65C2" w:rsidP="00576674" w:rsidRDefault="001A2ABC">
      <w:pPr>
        <w:rPr>
          <w:rFonts w:asciiTheme="minorHAnsi" w:hAnsiTheme="minorHAnsi"/>
          <w:b/>
          <w:sz w:val="20"/>
          <w:szCs w:val="20"/>
        </w:rPr>
      </w:pPr>
      <w:r w:rsidRPr="00793F39">
        <w:rPr>
          <w:rFonts w:asciiTheme="minorHAnsi" w:hAnsiTheme="minorHAnsi"/>
          <w:b/>
          <w:sz w:val="20"/>
          <w:szCs w:val="20"/>
        </w:rPr>
        <w:t xml:space="preserve">Vaste commissie voor </w:t>
      </w:r>
      <w:r w:rsidRPr="00793F39" w:rsidR="007960E0">
        <w:rPr>
          <w:rFonts w:asciiTheme="minorHAnsi" w:hAnsiTheme="minorHAnsi"/>
          <w:b/>
          <w:sz w:val="20"/>
          <w:szCs w:val="20"/>
        </w:rPr>
        <w:t>Europese Zaken</w:t>
      </w:r>
    </w:p>
    <w:p w:rsidRPr="00793F39" w:rsidR="00576674" w:rsidP="00576674" w:rsidRDefault="00F50A0B">
      <w:pPr>
        <w:rPr>
          <w:rFonts w:asciiTheme="minorHAnsi" w:hAnsiTheme="minorHAnsi"/>
          <w:b/>
          <w:sz w:val="20"/>
          <w:szCs w:val="20"/>
        </w:rPr>
      </w:pPr>
      <w:r w:rsidRPr="00793F39">
        <w:rPr>
          <w:rFonts w:asciiTheme="minorHAnsi" w:hAnsiTheme="minorHAnsi"/>
          <w:b/>
          <w:sz w:val="20"/>
          <w:szCs w:val="20"/>
        </w:rPr>
        <w:t>Overzicht nieuw gepubliceerde EU-voorstellen</w:t>
      </w:r>
      <w:r w:rsidRPr="00793F39" w:rsidR="00576674">
        <w:rPr>
          <w:rFonts w:asciiTheme="minorHAnsi" w:hAnsiTheme="minorHAnsi"/>
          <w:b/>
          <w:sz w:val="20"/>
          <w:szCs w:val="20"/>
        </w:rPr>
        <w:t xml:space="preserve"> </w:t>
      </w:r>
      <w:r w:rsidRPr="00793F39" w:rsidR="00F153A4">
        <w:rPr>
          <w:rFonts w:asciiTheme="minorHAnsi" w:hAnsiTheme="minorHAnsi"/>
          <w:b/>
          <w:sz w:val="20"/>
          <w:szCs w:val="20"/>
        </w:rPr>
        <w:t xml:space="preserve"> op het terrein van</w:t>
      </w:r>
      <w:r w:rsidRPr="00793F39" w:rsidR="007960E0">
        <w:rPr>
          <w:rFonts w:asciiTheme="minorHAnsi" w:hAnsiTheme="minorHAnsi"/>
          <w:b/>
          <w:sz w:val="20"/>
          <w:szCs w:val="20"/>
        </w:rPr>
        <w:t xml:space="preserve"> EUZA</w:t>
      </w:r>
    </w:p>
    <w:p w:rsidRPr="00793F39" w:rsidR="00F50A0B" w:rsidP="00576674" w:rsidRDefault="00BD6B9A">
      <w:pPr>
        <w:rPr>
          <w:rFonts w:asciiTheme="minorHAnsi" w:hAnsiTheme="minorHAnsi"/>
          <w:sz w:val="20"/>
          <w:szCs w:val="20"/>
        </w:rPr>
      </w:pPr>
      <w:r w:rsidRPr="00793F39">
        <w:rPr>
          <w:rFonts w:asciiTheme="minorHAnsi" w:hAnsiTheme="minorHAnsi"/>
          <w:sz w:val="20"/>
          <w:szCs w:val="20"/>
        </w:rPr>
        <w:t xml:space="preserve">Datum: </w:t>
      </w:r>
      <w:r w:rsidRPr="00793F39" w:rsidR="007960E0">
        <w:rPr>
          <w:rFonts w:asciiTheme="minorHAnsi" w:hAnsiTheme="minorHAnsi"/>
          <w:sz w:val="20"/>
          <w:szCs w:val="20"/>
        </w:rPr>
        <w:t>12</w:t>
      </w:r>
      <w:r w:rsidRPr="00793F39" w:rsidR="00316089">
        <w:rPr>
          <w:rFonts w:asciiTheme="minorHAnsi" w:hAnsiTheme="minorHAnsi"/>
          <w:sz w:val="20"/>
          <w:szCs w:val="20"/>
        </w:rPr>
        <w:t>-</w:t>
      </w:r>
      <w:r w:rsidRPr="00793F39" w:rsidR="007960E0">
        <w:rPr>
          <w:rFonts w:asciiTheme="minorHAnsi" w:hAnsiTheme="minorHAnsi"/>
          <w:sz w:val="20"/>
          <w:szCs w:val="20"/>
        </w:rPr>
        <w:t>01</w:t>
      </w:r>
      <w:r w:rsidRPr="00793F39" w:rsidR="00316089">
        <w:rPr>
          <w:rFonts w:asciiTheme="minorHAnsi" w:hAnsiTheme="minorHAnsi"/>
          <w:sz w:val="20"/>
          <w:szCs w:val="20"/>
        </w:rPr>
        <w:t>-</w:t>
      </w:r>
      <w:r w:rsidRPr="00793F39" w:rsidR="007960E0">
        <w:rPr>
          <w:rFonts w:asciiTheme="minorHAnsi" w:hAnsiTheme="minorHAnsi"/>
          <w:sz w:val="20"/>
          <w:szCs w:val="20"/>
        </w:rPr>
        <w:t>2017</w:t>
      </w:r>
    </w:p>
    <w:p w:rsidRPr="00793F39" w:rsidR="00BD6B9A" w:rsidP="00576674" w:rsidRDefault="00BD6B9A">
      <w:pPr>
        <w:rPr>
          <w:rFonts w:asciiTheme="minorHAnsi" w:hAnsiTheme="minorHAnsi"/>
          <w:sz w:val="20"/>
          <w:szCs w:val="20"/>
        </w:rPr>
      </w:pPr>
    </w:p>
    <w:p w:rsidRPr="00793F39" w:rsidR="00F16A5B" w:rsidP="00B866B6" w:rsidRDefault="00B866B6">
      <w:pPr>
        <w:rPr>
          <w:rFonts w:asciiTheme="minorHAnsi" w:hAnsiTheme="minorHAnsi"/>
          <w:sz w:val="20"/>
          <w:szCs w:val="20"/>
        </w:rPr>
      </w:pPr>
      <w:r w:rsidRPr="00793F39">
        <w:rPr>
          <w:rFonts w:asciiTheme="minorHAnsi" w:hAnsiTheme="minorHAnsi"/>
          <w:sz w:val="20"/>
          <w:szCs w:val="20"/>
        </w:rPr>
        <w:t xml:space="preserve">Naar aanleiding van het vastgestelde rapport ‘Voorop in Europa’ (Kamerstuk 33936, nr. 2) wordt standaard </w:t>
      </w:r>
      <w:r w:rsidRPr="00793F39" w:rsidR="00845D7F">
        <w:rPr>
          <w:rFonts w:asciiTheme="minorHAnsi" w:hAnsiTheme="minorHAnsi"/>
          <w:sz w:val="20"/>
          <w:szCs w:val="20"/>
        </w:rPr>
        <w:t xml:space="preserve">op de procedurevergadering </w:t>
      </w:r>
      <w:r w:rsidRPr="00793F39">
        <w:rPr>
          <w:rFonts w:asciiTheme="minorHAnsi" w:hAnsiTheme="minorHAnsi"/>
          <w:sz w:val="20"/>
          <w:szCs w:val="20"/>
        </w:rPr>
        <w:t xml:space="preserve">een overzicht </w:t>
      </w:r>
      <w:r w:rsidRPr="00793F39" w:rsidR="00CA2A4A">
        <w:rPr>
          <w:rFonts w:asciiTheme="minorHAnsi" w:hAnsiTheme="minorHAnsi"/>
          <w:sz w:val="20"/>
          <w:szCs w:val="20"/>
        </w:rPr>
        <w:t xml:space="preserve">geagendeerd </w:t>
      </w:r>
      <w:r w:rsidRPr="00793F39">
        <w:rPr>
          <w:rFonts w:asciiTheme="minorHAnsi" w:hAnsiTheme="minorHAnsi"/>
          <w:sz w:val="20"/>
          <w:szCs w:val="20"/>
        </w:rPr>
        <w:t xml:space="preserve">van nieuwe </w:t>
      </w:r>
      <w:r w:rsidRPr="00793F39" w:rsidR="00845D7F">
        <w:rPr>
          <w:rFonts w:asciiTheme="minorHAnsi" w:hAnsiTheme="minorHAnsi"/>
          <w:sz w:val="20"/>
          <w:szCs w:val="20"/>
        </w:rPr>
        <w:t>ontwerp-</w:t>
      </w:r>
      <w:r w:rsidRPr="00793F39">
        <w:rPr>
          <w:rFonts w:asciiTheme="minorHAnsi" w:hAnsiTheme="minorHAnsi"/>
          <w:sz w:val="20"/>
          <w:szCs w:val="20"/>
        </w:rPr>
        <w:t>EU-</w:t>
      </w:r>
      <w:r w:rsidRPr="00793F39" w:rsidR="00CA2A4A">
        <w:rPr>
          <w:rFonts w:asciiTheme="minorHAnsi" w:hAnsiTheme="minorHAnsi"/>
          <w:sz w:val="20"/>
          <w:szCs w:val="20"/>
        </w:rPr>
        <w:t>verordeningen en richtlijnen</w:t>
      </w:r>
      <w:r w:rsidRPr="00793F39">
        <w:rPr>
          <w:rFonts w:asciiTheme="minorHAnsi" w:hAnsiTheme="minorHAnsi"/>
          <w:sz w:val="20"/>
          <w:szCs w:val="20"/>
        </w:rPr>
        <w:t>, Groen- en Witboeken, mededelingen</w:t>
      </w:r>
      <w:r w:rsidRPr="00793F39" w:rsidR="00CA2A4A">
        <w:rPr>
          <w:rFonts w:asciiTheme="minorHAnsi" w:hAnsiTheme="minorHAnsi"/>
          <w:sz w:val="20"/>
          <w:szCs w:val="20"/>
        </w:rPr>
        <w:t xml:space="preserve"> en</w:t>
      </w:r>
      <w:r w:rsidRPr="00793F39">
        <w:rPr>
          <w:rFonts w:asciiTheme="minorHAnsi" w:hAnsiTheme="minorHAnsi"/>
          <w:sz w:val="20"/>
          <w:szCs w:val="20"/>
        </w:rPr>
        <w:t xml:space="preserve"> openbare raadplegingen op </w:t>
      </w:r>
      <w:r w:rsidRPr="00793F39" w:rsidR="007960E0">
        <w:rPr>
          <w:rFonts w:asciiTheme="minorHAnsi" w:hAnsiTheme="minorHAnsi"/>
          <w:sz w:val="20"/>
          <w:szCs w:val="20"/>
        </w:rPr>
        <w:t>het</w:t>
      </w:r>
      <w:r w:rsidRPr="00793F39">
        <w:rPr>
          <w:rFonts w:asciiTheme="minorHAnsi" w:hAnsiTheme="minorHAnsi"/>
          <w:sz w:val="20"/>
          <w:szCs w:val="20"/>
        </w:rPr>
        <w:t xml:space="preserve"> terrein van </w:t>
      </w:r>
      <w:r w:rsidRPr="00793F39" w:rsidR="007960E0">
        <w:rPr>
          <w:rFonts w:asciiTheme="minorHAnsi" w:hAnsiTheme="minorHAnsi"/>
          <w:sz w:val="20"/>
          <w:szCs w:val="20"/>
        </w:rPr>
        <w:t>uw commissie</w:t>
      </w:r>
      <w:r w:rsidRPr="00793F39">
        <w:rPr>
          <w:rFonts w:asciiTheme="minorHAnsi" w:hAnsiTheme="minorHAnsi"/>
          <w:sz w:val="20"/>
          <w:szCs w:val="20"/>
        </w:rPr>
        <w:t xml:space="preserve"> die sinds de vorige procedurevergadering zijn verschenen. </w:t>
      </w:r>
      <w:r w:rsidRPr="00793F39" w:rsidR="00CA2A4A">
        <w:rPr>
          <w:rFonts w:asciiTheme="minorHAnsi" w:hAnsiTheme="minorHAnsi"/>
          <w:sz w:val="20"/>
          <w:szCs w:val="20"/>
        </w:rPr>
        <w:t xml:space="preserve">Dit geldt ook voor voorstellen voor (Raads)besluiten en verslagen die niet uitsluitend technisch van aard zijn. </w:t>
      </w:r>
      <w:r w:rsidRPr="00793F39">
        <w:rPr>
          <w:rFonts w:asciiTheme="minorHAnsi" w:hAnsiTheme="minorHAnsi"/>
          <w:sz w:val="20"/>
          <w:szCs w:val="20"/>
        </w:rPr>
        <w:t>Naar aanleiding van dit overzicht kan de commissie besluiten een of meer vermelde EU-voorstellen die van belang worden geacht in behandeling te nemen. Daartoe worden in de kolom ‘Opmerking’ behandelvoorstellen gedaan.</w:t>
      </w:r>
      <w:r w:rsidRPr="00793F39" w:rsidR="00F609C5">
        <w:rPr>
          <w:rFonts w:asciiTheme="minorHAnsi" w:hAnsiTheme="minorHAnsi"/>
          <w:sz w:val="20"/>
          <w:szCs w:val="20"/>
        </w:rPr>
        <w:t xml:space="preserve"> </w:t>
      </w:r>
      <w:r w:rsidRPr="00793F39" w:rsidR="00960E22">
        <w:rPr>
          <w:rFonts w:asciiTheme="minorHAnsi" w:hAnsiTheme="minorHAnsi"/>
          <w:sz w:val="20"/>
          <w:szCs w:val="20"/>
        </w:rPr>
        <w:t xml:space="preserve">Los hiervan </w:t>
      </w:r>
      <w:r w:rsidRPr="00793F39" w:rsidR="00845D7F">
        <w:rPr>
          <w:rFonts w:asciiTheme="minorHAnsi" w:hAnsiTheme="minorHAnsi"/>
          <w:sz w:val="20"/>
          <w:szCs w:val="20"/>
        </w:rPr>
        <w:t xml:space="preserve">wordt u door </w:t>
      </w:r>
      <w:r w:rsidRPr="00793F39" w:rsidR="00960E22">
        <w:rPr>
          <w:rFonts w:asciiTheme="minorHAnsi" w:hAnsiTheme="minorHAnsi"/>
          <w:sz w:val="20"/>
          <w:szCs w:val="20"/>
        </w:rPr>
        <w:t xml:space="preserve">de regering </w:t>
      </w:r>
      <w:r w:rsidRPr="00793F39" w:rsidR="00845D7F">
        <w:rPr>
          <w:rFonts w:asciiTheme="minorHAnsi" w:hAnsiTheme="minorHAnsi"/>
          <w:sz w:val="20"/>
          <w:szCs w:val="20"/>
        </w:rPr>
        <w:t>geïnformeerd via BNC-fiches</w:t>
      </w:r>
      <w:r w:rsidRPr="00793F39" w:rsidR="00BB69C8">
        <w:rPr>
          <w:rFonts w:asciiTheme="minorHAnsi" w:hAnsiTheme="minorHAnsi"/>
          <w:sz w:val="20"/>
          <w:szCs w:val="20"/>
        </w:rPr>
        <w:t>,</w:t>
      </w:r>
      <w:r w:rsidRPr="00793F39" w:rsidR="00845D7F">
        <w:rPr>
          <w:rFonts w:asciiTheme="minorHAnsi" w:hAnsiTheme="minorHAnsi"/>
          <w:sz w:val="20"/>
          <w:szCs w:val="20"/>
        </w:rPr>
        <w:t xml:space="preserve"> geannoteerde agenda</w:t>
      </w:r>
      <w:r w:rsidRPr="00793F39" w:rsidR="00BB69C8">
        <w:rPr>
          <w:rFonts w:asciiTheme="minorHAnsi" w:hAnsiTheme="minorHAnsi"/>
          <w:sz w:val="20"/>
          <w:szCs w:val="20"/>
        </w:rPr>
        <w:t>’</w:t>
      </w:r>
      <w:r w:rsidRPr="00793F39" w:rsidR="00845D7F">
        <w:rPr>
          <w:rFonts w:asciiTheme="minorHAnsi" w:hAnsiTheme="minorHAnsi"/>
          <w:sz w:val="20"/>
          <w:szCs w:val="20"/>
        </w:rPr>
        <w:t>s</w:t>
      </w:r>
      <w:r w:rsidRPr="00793F39" w:rsidR="00BB69C8">
        <w:rPr>
          <w:rFonts w:asciiTheme="minorHAnsi" w:hAnsiTheme="minorHAnsi"/>
          <w:sz w:val="20"/>
          <w:szCs w:val="20"/>
        </w:rPr>
        <w:t xml:space="preserve"> en </w:t>
      </w:r>
      <w:r w:rsidRPr="00793F39" w:rsidR="00845D7F">
        <w:rPr>
          <w:rFonts w:asciiTheme="minorHAnsi" w:hAnsiTheme="minorHAnsi"/>
          <w:sz w:val="20"/>
          <w:szCs w:val="20"/>
        </w:rPr>
        <w:t xml:space="preserve">de voortgang in </w:t>
      </w:r>
      <w:r w:rsidRPr="00793F39" w:rsidR="00CE0561">
        <w:rPr>
          <w:rFonts w:asciiTheme="minorHAnsi" w:hAnsiTheme="minorHAnsi"/>
          <w:sz w:val="20"/>
          <w:szCs w:val="20"/>
        </w:rPr>
        <w:t>EU-dossiers</w:t>
      </w:r>
      <w:r w:rsidRPr="00793F39" w:rsidR="00845D7F">
        <w:rPr>
          <w:rFonts w:asciiTheme="minorHAnsi" w:hAnsiTheme="minorHAnsi"/>
          <w:sz w:val="20"/>
          <w:szCs w:val="20"/>
        </w:rPr>
        <w:t xml:space="preserve"> zoals vastgelegd in informatieafspraken met de Kamer</w:t>
      </w:r>
      <w:r w:rsidRPr="00793F39" w:rsidR="00CE0561">
        <w:rPr>
          <w:rFonts w:asciiTheme="minorHAnsi" w:hAnsiTheme="minorHAnsi"/>
          <w:sz w:val="20"/>
          <w:szCs w:val="20"/>
        </w:rPr>
        <w:t xml:space="preserve"> </w:t>
      </w:r>
      <w:r w:rsidRPr="00793F39" w:rsidR="00960E22">
        <w:rPr>
          <w:rFonts w:asciiTheme="minorHAnsi" w:hAnsiTheme="minorHAnsi"/>
          <w:sz w:val="20"/>
          <w:szCs w:val="20"/>
        </w:rPr>
        <w:t>(Kamerstuk 22112, nr. 1985).</w:t>
      </w:r>
    </w:p>
    <w:p w:rsidRPr="00793F39" w:rsidR="008A08DC" w:rsidP="00B866B6" w:rsidRDefault="008A08DC">
      <w:pPr>
        <w:rPr>
          <w:rFonts w:asciiTheme="minorHAnsi" w:hAnsiTheme="minorHAnsi"/>
          <w:sz w:val="20"/>
          <w:szCs w:val="20"/>
        </w:rPr>
      </w:pPr>
    </w:p>
    <w:p w:rsidRPr="00793F39" w:rsidR="008A08DC" w:rsidP="00B866B6" w:rsidRDefault="00000A9E">
      <w:pPr>
        <w:rPr>
          <w:rFonts w:asciiTheme="minorHAnsi" w:hAnsiTheme="minorHAnsi"/>
          <w:sz w:val="20"/>
          <w:szCs w:val="20"/>
        </w:rPr>
      </w:pPr>
      <w:r w:rsidRPr="00793F39">
        <w:rPr>
          <w:rFonts w:asciiTheme="minorHAnsi" w:hAnsiTheme="minorHAnsi"/>
          <w:sz w:val="20"/>
          <w:szCs w:val="20"/>
        </w:rPr>
        <w:t>Onderaan deze lijst treft u een overzicht aan van vaak voorkomende EU-instrumenten en een (niet uitputtend) overzicht van momenten waarop u als commissie of als fractie invloed kunt uitoefenen op de vorming van EU beleid: hetzij via het kabinet; hetzij zelf in Brussel.</w:t>
      </w:r>
    </w:p>
    <w:p w:rsidRPr="00793F39" w:rsidR="00905E58" w:rsidP="00B866B6" w:rsidRDefault="00905E58">
      <w:pPr>
        <w:rPr>
          <w:rFonts w:asciiTheme="minorHAnsi" w:hAnsiTheme="minorHAnsi"/>
          <w:sz w:val="20"/>
          <w:szCs w:val="20"/>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38"/>
        <w:gridCol w:w="1134"/>
        <w:gridCol w:w="780"/>
        <w:gridCol w:w="1764"/>
        <w:gridCol w:w="4143"/>
        <w:gridCol w:w="687"/>
        <w:gridCol w:w="1194"/>
        <w:gridCol w:w="4515"/>
      </w:tblGrid>
      <w:tr w:rsidRPr="00793F39" w:rsidR="006247A5" w:rsidTr="007960E0">
        <w:trPr>
          <w:trHeight w:val="1550"/>
        </w:trPr>
        <w:tc>
          <w:tcPr>
            <w:tcW w:w="438" w:type="dxa"/>
            <w:textDirection w:val="btLr"/>
          </w:tcPr>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Nummer</w:t>
            </w:r>
          </w:p>
        </w:tc>
        <w:tc>
          <w:tcPr>
            <w:tcW w:w="1134" w:type="dxa"/>
            <w:shd w:val="clear" w:color="auto" w:fill="auto"/>
            <w:textDirection w:val="btLr"/>
            <w:vAlign w:val="bottom"/>
            <w:hideMark/>
          </w:tcPr>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Publicatie-</w:t>
            </w:r>
          </w:p>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datum</w:t>
            </w:r>
          </w:p>
        </w:tc>
        <w:tc>
          <w:tcPr>
            <w:tcW w:w="780" w:type="dxa"/>
            <w:shd w:val="clear" w:color="auto" w:fill="auto"/>
            <w:textDirection w:val="btLr"/>
            <w:vAlign w:val="bottom"/>
            <w:hideMark/>
          </w:tcPr>
          <w:p w:rsidRPr="00793F39" w:rsidR="006247A5" w:rsidP="00E512BF"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Voortouw</w:t>
            </w:r>
          </w:p>
        </w:tc>
        <w:tc>
          <w:tcPr>
            <w:tcW w:w="1764" w:type="dxa"/>
            <w:shd w:val="clear" w:color="auto" w:fill="auto"/>
            <w:textDirection w:val="btLr"/>
            <w:vAlign w:val="bottom"/>
            <w:hideMark/>
          </w:tcPr>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Soort</w:t>
            </w:r>
          </w:p>
        </w:tc>
        <w:tc>
          <w:tcPr>
            <w:tcW w:w="4143" w:type="dxa"/>
            <w:shd w:val="clear" w:color="auto" w:fill="auto"/>
            <w:textDirection w:val="btLr"/>
            <w:vAlign w:val="bottom"/>
            <w:hideMark/>
          </w:tcPr>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Titel</w:t>
            </w:r>
          </w:p>
        </w:tc>
        <w:tc>
          <w:tcPr>
            <w:tcW w:w="687" w:type="dxa"/>
            <w:shd w:val="clear" w:color="auto" w:fill="auto"/>
            <w:textDirection w:val="btLr"/>
            <w:vAlign w:val="bottom"/>
            <w:hideMark/>
          </w:tcPr>
          <w:p w:rsidRPr="00793F39" w:rsidR="006247A5" w:rsidP="00827F2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COM-nummer</w:t>
            </w:r>
          </w:p>
        </w:tc>
        <w:tc>
          <w:tcPr>
            <w:tcW w:w="1194" w:type="dxa"/>
            <w:textDirection w:val="btLr"/>
          </w:tcPr>
          <w:p w:rsidRPr="00793F39" w:rsidR="006247A5" w:rsidP="00651515" w:rsidRDefault="006247A5">
            <w:pPr>
              <w:jc w:val="center"/>
              <w:rPr>
                <w:rFonts w:asciiTheme="minorHAnsi" w:hAnsiTheme="minorHAnsi"/>
                <w:b/>
                <w:bCs/>
                <w:color w:val="000000"/>
                <w:sz w:val="20"/>
                <w:szCs w:val="20"/>
              </w:rPr>
            </w:pPr>
          </w:p>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Deadline</w:t>
            </w:r>
          </w:p>
          <w:p w:rsidRPr="00793F39" w:rsidR="006247A5" w:rsidP="00454C0B"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Sub.toets</w:t>
            </w:r>
          </w:p>
        </w:tc>
        <w:tc>
          <w:tcPr>
            <w:tcW w:w="4515" w:type="dxa"/>
            <w:shd w:val="clear" w:color="auto" w:fill="auto"/>
            <w:textDirection w:val="btLr"/>
            <w:vAlign w:val="bottom"/>
            <w:hideMark/>
          </w:tcPr>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Opmerking</w:t>
            </w:r>
          </w:p>
        </w:tc>
      </w:tr>
      <w:tr w:rsidRPr="00793F39" w:rsidR="006247A5" w:rsidTr="007960E0">
        <w:trPr>
          <w:trHeight w:val="300"/>
        </w:trPr>
        <w:tc>
          <w:tcPr>
            <w:tcW w:w="438" w:type="dxa"/>
            <w:tcBorders>
              <w:bottom w:val="single" w:color="auto" w:sz="4" w:space="0"/>
            </w:tcBorders>
            <w:shd w:val="clear" w:color="000000" w:fill="538DD5"/>
          </w:tcPr>
          <w:p w:rsidRPr="00793F39" w:rsidR="006247A5" w:rsidP="00651515" w:rsidRDefault="006247A5">
            <w:pPr>
              <w:jc w:val="center"/>
              <w:rPr>
                <w:rFonts w:asciiTheme="minorHAnsi" w:hAnsiTheme="minorHAnsi"/>
                <w:b/>
                <w:bCs/>
                <w:color w:val="000000"/>
                <w:sz w:val="20"/>
                <w:szCs w:val="20"/>
              </w:rPr>
            </w:pPr>
          </w:p>
        </w:tc>
        <w:tc>
          <w:tcPr>
            <w:tcW w:w="1134" w:type="dxa"/>
            <w:tcBorders>
              <w:bottom w:val="single" w:color="auto" w:sz="4" w:space="0"/>
            </w:tcBorders>
            <w:shd w:val="clear" w:color="000000" w:fill="538DD5"/>
            <w:vAlign w:val="bottom"/>
            <w:hideMark/>
          </w:tcPr>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 </w:t>
            </w:r>
          </w:p>
        </w:tc>
        <w:tc>
          <w:tcPr>
            <w:tcW w:w="780" w:type="dxa"/>
            <w:tcBorders>
              <w:bottom w:val="single" w:color="auto" w:sz="4" w:space="0"/>
            </w:tcBorders>
            <w:shd w:val="clear" w:color="000000" w:fill="538DD5"/>
            <w:vAlign w:val="bottom"/>
            <w:hideMark/>
          </w:tcPr>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 </w:t>
            </w:r>
          </w:p>
        </w:tc>
        <w:tc>
          <w:tcPr>
            <w:tcW w:w="1764" w:type="dxa"/>
            <w:tcBorders>
              <w:bottom w:val="single" w:color="auto" w:sz="4" w:space="0"/>
            </w:tcBorders>
            <w:shd w:val="clear" w:color="000000" w:fill="538DD5"/>
            <w:vAlign w:val="bottom"/>
            <w:hideMark/>
          </w:tcPr>
          <w:p w:rsidRPr="00793F39" w:rsidR="006247A5" w:rsidP="00651515" w:rsidRDefault="006247A5">
            <w:pPr>
              <w:rPr>
                <w:rFonts w:asciiTheme="minorHAnsi" w:hAnsiTheme="minorHAnsi"/>
                <w:b/>
                <w:bCs/>
                <w:color w:val="000000"/>
                <w:sz w:val="20"/>
                <w:szCs w:val="20"/>
              </w:rPr>
            </w:pPr>
            <w:r w:rsidRPr="00793F39">
              <w:rPr>
                <w:rFonts w:asciiTheme="minorHAnsi" w:hAnsiTheme="minorHAnsi"/>
                <w:b/>
                <w:bCs/>
                <w:color w:val="000000"/>
                <w:sz w:val="20"/>
                <w:szCs w:val="20"/>
              </w:rPr>
              <w:t> </w:t>
            </w:r>
          </w:p>
        </w:tc>
        <w:tc>
          <w:tcPr>
            <w:tcW w:w="4143" w:type="dxa"/>
            <w:tcBorders>
              <w:bottom w:val="single" w:color="auto" w:sz="4" w:space="0"/>
            </w:tcBorders>
            <w:shd w:val="clear" w:color="000000" w:fill="538DD5"/>
            <w:vAlign w:val="bottom"/>
            <w:hideMark/>
          </w:tcPr>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 </w:t>
            </w:r>
          </w:p>
        </w:tc>
        <w:tc>
          <w:tcPr>
            <w:tcW w:w="687" w:type="dxa"/>
            <w:tcBorders>
              <w:bottom w:val="single" w:color="auto" w:sz="4" w:space="0"/>
            </w:tcBorders>
            <w:shd w:val="clear" w:color="000000" w:fill="538DD5"/>
            <w:vAlign w:val="bottom"/>
            <w:hideMark/>
          </w:tcPr>
          <w:p w:rsidRPr="00793F39" w:rsidR="006247A5" w:rsidP="00651515" w:rsidRDefault="006247A5">
            <w:pPr>
              <w:jc w:val="center"/>
              <w:rPr>
                <w:rFonts w:asciiTheme="minorHAnsi" w:hAnsiTheme="minorHAnsi"/>
                <w:b/>
                <w:bCs/>
                <w:color w:val="000000"/>
                <w:sz w:val="20"/>
                <w:szCs w:val="20"/>
              </w:rPr>
            </w:pPr>
            <w:r w:rsidRPr="00793F39">
              <w:rPr>
                <w:rFonts w:asciiTheme="minorHAnsi" w:hAnsiTheme="minorHAnsi"/>
                <w:b/>
                <w:bCs/>
                <w:color w:val="000000"/>
                <w:sz w:val="20"/>
                <w:szCs w:val="20"/>
              </w:rPr>
              <w:t> </w:t>
            </w:r>
          </w:p>
        </w:tc>
        <w:tc>
          <w:tcPr>
            <w:tcW w:w="1194" w:type="dxa"/>
            <w:tcBorders>
              <w:bottom w:val="single" w:color="auto" w:sz="4" w:space="0"/>
            </w:tcBorders>
            <w:shd w:val="clear" w:color="000000" w:fill="538DD5"/>
          </w:tcPr>
          <w:p w:rsidRPr="00793F39" w:rsidR="006247A5" w:rsidP="00651515" w:rsidRDefault="006247A5">
            <w:pPr>
              <w:rPr>
                <w:rFonts w:asciiTheme="minorHAnsi" w:hAnsiTheme="minorHAnsi"/>
                <w:b/>
                <w:bCs/>
                <w:color w:val="000000"/>
                <w:sz w:val="20"/>
                <w:szCs w:val="20"/>
              </w:rPr>
            </w:pPr>
          </w:p>
        </w:tc>
        <w:tc>
          <w:tcPr>
            <w:tcW w:w="4515" w:type="dxa"/>
            <w:tcBorders>
              <w:bottom w:val="single" w:color="auto" w:sz="4" w:space="0"/>
            </w:tcBorders>
            <w:shd w:val="clear" w:color="000000" w:fill="538DD5"/>
            <w:hideMark/>
          </w:tcPr>
          <w:p w:rsidRPr="00793F39" w:rsidR="006247A5" w:rsidP="00651515" w:rsidRDefault="006247A5">
            <w:pPr>
              <w:rPr>
                <w:rFonts w:asciiTheme="minorHAnsi" w:hAnsiTheme="minorHAnsi"/>
                <w:b/>
                <w:bCs/>
                <w:color w:val="000000"/>
                <w:sz w:val="20"/>
                <w:szCs w:val="20"/>
              </w:rPr>
            </w:pPr>
            <w:r w:rsidRPr="00793F39">
              <w:rPr>
                <w:rFonts w:asciiTheme="minorHAnsi" w:hAnsiTheme="minorHAnsi"/>
                <w:b/>
                <w:bCs/>
                <w:color w:val="000000"/>
                <w:sz w:val="20"/>
                <w:szCs w:val="20"/>
              </w:rPr>
              <w:t> </w:t>
            </w:r>
          </w:p>
        </w:tc>
      </w:tr>
      <w:tr w:rsidRPr="00793F39" w:rsidR="001B6916" w:rsidTr="007960E0">
        <w:trPr>
          <w:trHeight w:val="467"/>
        </w:trPr>
        <w:tc>
          <w:tcPr>
            <w:tcW w:w="14655" w:type="dxa"/>
            <w:gridSpan w:val="8"/>
            <w:shd w:val="clear" w:color="auto" w:fill="C2D69B" w:themeFill="accent3" w:themeFillTint="99"/>
          </w:tcPr>
          <w:p w:rsidRPr="00793F39" w:rsidR="001B6916" w:rsidP="005E65C2" w:rsidRDefault="003751C4">
            <w:pPr>
              <w:rPr>
                <w:rFonts w:asciiTheme="minorHAnsi" w:hAnsiTheme="minorHAnsi"/>
                <w:b/>
                <w:i/>
                <w:color w:val="000000"/>
                <w:sz w:val="20"/>
                <w:szCs w:val="20"/>
              </w:rPr>
            </w:pPr>
            <w:r w:rsidRPr="00793F39">
              <w:rPr>
                <w:rFonts w:asciiTheme="minorHAnsi" w:hAnsiTheme="minorHAnsi"/>
                <w:b/>
                <w:i/>
                <w:color w:val="000000"/>
                <w:sz w:val="20"/>
                <w:szCs w:val="20"/>
              </w:rPr>
              <w:t xml:space="preserve">Onderwerpen op het terrein van </w:t>
            </w:r>
            <w:r w:rsidRPr="00793F39" w:rsidR="005E65C2">
              <w:rPr>
                <w:rFonts w:asciiTheme="minorHAnsi" w:hAnsiTheme="minorHAnsi"/>
                <w:b/>
                <w:i/>
                <w:color w:val="000000"/>
                <w:sz w:val="20"/>
                <w:szCs w:val="20"/>
              </w:rPr>
              <w:t xml:space="preserve">Europese Zaken </w:t>
            </w:r>
          </w:p>
        </w:tc>
      </w:tr>
      <w:tr w:rsidRPr="00793F39" w:rsidR="007960E0" w:rsidTr="00793F39">
        <w:trPr>
          <w:trHeight w:val="884"/>
        </w:trPr>
        <w:tc>
          <w:tcPr>
            <w:tcW w:w="438" w:type="dxa"/>
          </w:tcPr>
          <w:p w:rsidRPr="00793F39" w:rsidR="007960E0" w:rsidP="00793F39" w:rsidRDefault="007960E0">
            <w:pPr>
              <w:rPr>
                <w:rFonts w:asciiTheme="minorHAnsi" w:hAnsiTheme="minorHAnsi"/>
                <w:color w:val="000000"/>
                <w:sz w:val="20"/>
                <w:szCs w:val="20"/>
              </w:rPr>
            </w:pPr>
            <w:r w:rsidRPr="00793F39">
              <w:rPr>
                <w:rFonts w:asciiTheme="minorHAnsi" w:hAnsiTheme="minorHAnsi"/>
                <w:color w:val="000000"/>
                <w:sz w:val="20"/>
                <w:szCs w:val="20"/>
              </w:rPr>
              <w:t>1.</w:t>
            </w:r>
          </w:p>
        </w:tc>
        <w:tc>
          <w:tcPr>
            <w:tcW w:w="1134" w:type="dxa"/>
            <w:shd w:val="clear" w:color="auto" w:fill="auto"/>
            <w:noWrap/>
          </w:tcPr>
          <w:p w:rsidRPr="00793F39" w:rsidR="007960E0" w:rsidP="00793F39" w:rsidRDefault="007960E0">
            <w:pPr>
              <w:rPr>
                <w:rFonts w:asciiTheme="minorHAnsi" w:hAnsiTheme="minorHAnsi" w:eastAsiaTheme="minorHAnsi"/>
                <w:color w:val="000000"/>
                <w:sz w:val="20"/>
                <w:szCs w:val="20"/>
              </w:rPr>
            </w:pPr>
            <w:r w:rsidRPr="00793F39">
              <w:rPr>
                <w:rFonts w:asciiTheme="minorHAnsi" w:hAnsiTheme="minorHAnsi"/>
                <w:color w:val="000000"/>
                <w:sz w:val="20"/>
                <w:szCs w:val="20"/>
              </w:rPr>
              <w:t>14-dec-16</w:t>
            </w:r>
          </w:p>
        </w:tc>
        <w:tc>
          <w:tcPr>
            <w:tcW w:w="780" w:type="dxa"/>
            <w:shd w:val="clear" w:color="auto" w:fill="auto"/>
            <w:noWrap/>
          </w:tcPr>
          <w:p w:rsidRPr="00793F39" w:rsidR="007960E0" w:rsidP="00793F39" w:rsidRDefault="007960E0">
            <w:pPr>
              <w:rPr>
                <w:rFonts w:asciiTheme="minorHAnsi" w:hAnsiTheme="minorHAnsi" w:eastAsiaTheme="minorHAnsi"/>
                <w:color w:val="000000"/>
                <w:sz w:val="20"/>
                <w:szCs w:val="20"/>
              </w:rPr>
            </w:pPr>
            <w:r w:rsidRPr="00793F39">
              <w:rPr>
                <w:rFonts w:asciiTheme="minorHAnsi" w:hAnsiTheme="minorHAnsi" w:eastAsiaTheme="minorHAnsi"/>
                <w:color w:val="000000"/>
                <w:sz w:val="20"/>
                <w:szCs w:val="20"/>
              </w:rPr>
              <w:t>EUZA</w:t>
            </w:r>
          </w:p>
        </w:tc>
        <w:tc>
          <w:tcPr>
            <w:tcW w:w="1764" w:type="dxa"/>
            <w:shd w:val="clear" w:color="auto" w:fill="auto"/>
            <w:noWrap/>
          </w:tcPr>
          <w:p w:rsidRPr="00793F39" w:rsidR="007960E0" w:rsidP="00793F39" w:rsidRDefault="007960E0">
            <w:pPr>
              <w:rPr>
                <w:rFonts w:asciiTheme="minorHAnsi" w:hAnsiTheme="minorHAnsi" w:eastAsiaTheme="minorHAnsi"/>
                <w:color w:val="000000"/>
                <w:sz w:val="20"/>
                <w:szCs w:val="20"/>
              </w:rPr>
            </w:pPr>
            <w:r w:rsidRPr="00793F39">
              <w:rPr>
                <w:rFonts w:asciiTheme="minorHAnsi" w:hAnsiTheme="minorHAnsi"/>
                <w:color w:val="000000"/>
                <w:sz w:val="20"/>
                <w:szCs w:val="20"/>
              </w:rPr>
              <w:t>verordening</w:t>
            </w:r>
          </w:p>
        </w:tc>
        <w:tc>
          <w:tcPr>
            <w:tcW w:w="4143" w:type="dxa"/>
            <w:shd w:val="clear" w:color="auto" w:fill="auto"/>
          </w:tcPr>
          <w:p w:rsidRPr="00793F39" w:rsidR="007960E0" w:rsidP="00793F39" w:rsidRDefault="007960E0">
            <w:pPr>
              <w:rPr>
                <w:rFonts w:asciiTheme="minorHAnsi" w:hAnsiTheme="minorHAnsi" w:eastAsiaTheme="minorHAnsi"/>
                <w:color w:val="000000"/>
                <w:sz w:val="20"/>
                <w:szCs w:val="20"/>
                <w:lang w:val="en-GB"/>
              </w:rPr>
            </w:pPr>
            <w:r w:rsidRPr="00793F39">
              <w:rPr>
                <w:rFonts w:asciiTheme="minorHAnsi" w:hAnsiTheme="minorHAnsi"/>
                <w:color w:val="000000"/>
                <w:sz w:val="20"/>
                <w:szCs w:val="20"/>
                <w:lang w:val="en-GB"/>
              </w:rPr>
              <w:t>Proposal for a REGULATION OF THE EUROPEAN PARLIAMENT AND OF THE COUNCIL adapting a number of legal acts in the area of Justice providing for the use of the regulatory procedure with scrutiny to Article 290 of the Treaty on the Functioning of the European Union (Text with EEA relevance)</w:t>
            </w:r>
          </w:p>
        </w:tc>
        <w:tc>
          <w:tcPr>
            <w:tcW w:w="687" w:type="dxa"/>
            <w:shd w:val="clear" w:color="auto" w:fill="auto"/>
            <w:noWrap/>
          </w:tcPr>
          <w:p w:rsidRPr="00793F39" w:rsidR="007960E0" w:rsidP="00793F39" w:rsidRDefault="007960E0">
            <w:pPr>
              <w:rPr>
                <w:rFonts w:asciiTheme="minorHAnsi" w:hAnsiTheme="minorHAnsi" w:eastAsiaTheme="minorHAnsi"/>
                <w:color w:val="0000FF"/>
                <w:sz w:val="20"/>
                <w:szCs w:val="20"/>
                <w:u w:val="single"/>
                <w:lang w:val="en-GB"/>
              </w:rPr>
            </w:pPr>
            <w:hyperlink w:history="1" r:id="rId9">
              <w:r w:rsidRPr="00793F39">
                <w:rPr>
                  <w:rStyle w:val="Hyperlink"/>
                  <w:rFonts w:asciiTheme="minorHAnsi" w:hAnsiTheme="minorHAnsi"/>
                  <w:sz w:val="20"/>
                  <w:szCs w:val="20"/>
                </w:rPr>
                <w:t>7</w:t>
              </w:r>
              <w:r w:rsidRPr="00793F39">
                <w:rPr>
                  <w:rStyle w:val="Hyperlink"/>
                  <w:rFonts w:asciiTheme="minorHAnsi" w:hAnsiTheme="minorHAnsi"/>
                  <w:sz w:val="20"/>
                  <w:szCs w:val="20"/>
                </w:rPr>
                <w:t>9</w:t>
              </w:r>
              <w:r w:rsidRPr="00793F39">
                <w:rPr>
                  <w:rStyle w:val="Hyperlink"/>
                  <w:rFonts w:asciiTheme="minorHAnsi" w:hAnsiTheme="minorHAnsi"/>
                  <w:sz w:val="20"/>
                  <w:szCs w:val="20"/>
                </w:rPr>
                <w:t>8</w:t>
              </w:r>
            </w:hyperlink>
          </w:p>
        </w:tc>
        <w:tc>
          <w:tcPr>
            <w:tcW w:w="1194" w:type="dxa"/>
            <w:shd w:val="clear" w:color="auto" w:fill="auto"/>
          </w:tcPr>
          <w:p w:rsidRPr="00793F39" w:rsidR="007960E0" w:rsidP="00793F39" w:rsidRDefault="007960E0">
            <w:pPr>
              <w:rPr>
                <w:rFonts w:asciiTheme="minorHAnsi" w:hAnsiTheme="minorHAnsi" w:eastAsiaTheme="minorHAnsi"/>
                <w:color w:val="000000"/>
                <w:sz w:val="20"/>
                <w:szCs w:val="20"/>
                <w:lang w:val="en-GB"/>
              </w:rPr>
            </w:pPr>
          </w:p>
        </w:tc>
        <w:tc>
          <w:tcPr>
            <w:tcW w:w="4515" w:type="dxa"/>
            <w:shd w:val="clear" w:color="auto" w:fill="auto"/>
          </w:tcPr>
          <w:p w:rsidR="007960E0" w:rsidP="00793F39" w:rsidRDefault="00793F39">
            <w:pPr>
              <w:rPr>
                <w:rFonts w:asciiTheme="minorHAnsi" w:hAnsiTheme="minorHAnsi" w:eastAsiaTheme="minorHAnsi"/>
                <w:color w:val="000000"/>
                <w:sz w:val="20"/>
                <w:szCs w:val="20"/>
                <w:lang w:val="en-GB"/>
              </w:rPr>
            </w:pPr>
            <w:r w:rsidRPr="00793F39">
              <w:rPr>
                <w:rFonts w:asciiTheme="minorHAnsi" w:hAnsiTheme="minorHAnsi" w:eastAsiaTheme="minorHAnsi"/>
                <w:b/>
                <w:color w:val="000000"/>
                <w:sz w:val="20"/>
                <w:szCs w:val="20"/>
                <w:lang w:val="en-GB"/>
              </w:rPr>
              <w:t>Behandelvoorstel</w:t>
            </w:r>
            <w:r>
              <w:rPr>
                <w:rFonts w:asciiTheme="minorHAnsi" w:hAnsiTheme="minorHAnsi" w:eastAsiaTheme="minorHAnsi"/>
                <w:color w:val="000000"/>
                <w:sz w:val="20"/>
                <w:szCs w:val="20"/>
                <w:lang w:val="en-GB"/>
              </w:rPr>
              <w:t>: voor kennisgeving aannemen</w:t>
            </w:r>
            <w:r w:rsidR="000F26C9">
              <w:rPr>
                <w:rFonts w:asciiTheme="minorHAnsi" w:hAnsiTheme="minorHAnsi" w:eastAsiaTheme="minorHAnsi"/>
                <w:color w:val="000000"/>
                <w:sz w:val="20"/>
                <w:szCs w:val="20"/>
                <w:lang w:val="en-GB"/>
              </w:rPr>
              <w:t>.</w:t>
            </w:r>
          </w:p>
          <w:p w:rsidR="00793F39" w:rsidP="00793F39" w:rsidRDefault="00793F39">
            <w:pPr>
              <w:rPr>
                <w:rFonts w:asciiTheme="minorHAnsi" w:hAnsiTheme="minorHAnsi" w:eastAsiaTheme="minorHAnsi"/>
                <w:color w:val="000000"/>
                <w:sz w:val="20"/>
                <w:szCs w:val="20"/>
                <w:lang w:val="en-GB"/>
              </w:rPr>
            </w:pPr>
          </w:p>
          <w:p w:rsidRPr="00793F39" w:rsidR="00793F39" w:rsidP="00793F39" w:rsidRDefault="00793F39">
            <w:pPr>
              <w:rPr>
                <w:rFonts w:asciiTheme="minorHAnsi" w:hAnsiTheme="minorHAnsi" w:eastAsiaTheme="minorHAnsi"/>
                <w:color w:val="000000"/>
                <w:sz w:val="20"/>
                <w:szCs w:val="20"/>
              </w:rPr>
            </w:pPr>
            <w:r w:rsidRPr="00793F39">
              <w:rPr>
                <w:rFonts w:asciiTheme="minorHAnsi" w:hAnsiTheme="minorHAnsi" w:eastAsiaTheme="minorHAnsi"/>
                <w:color w:val="000000"/>
                <w:sz w:val="20"/>
                <w:szCs w:val="20"/>
              </w:rPr>
              <w:t xml:space="preserve">Dit betreft een update van een aantal </w:t>
            </w:r>
            <w:r>
              <w:rPr>
                <w:rFonts w:asciiTheme="minorHAnsi" w:hAnsiTheme="minorHAnsi" w:eastAsiaTheme="minorHAnsi"/>
                <w:color w:val="000000"/>
                <w:sz w:val="20"/>
                <w:szCs w:val="20"/>
              </w:rPr>
              <w:t>kaderbesluiten</w:t>
            </w:r>
            <w:r w:rsidR="000F26C9">
              <w:rPr>
                <w:rFonts w:asciiTheme="minorHAnsi" w:hAnsiTheme="minorHAnsi" w:eastAsiaTheme="minorHAnsi"/>
                <w:color w:val="000000"/>
                <w:sz w:val="20"/>
                <w:szCs w:val="20"/>
              </w:rPr>
              <w:t xml:space="preserve"> op het terrein van justitie</w:t>
            </w:r>
            <w:r>
              <w:rPr>
                <w:rFonts w:asciiTheme="minorHAnsi" w:hAnsiTheme="minorHAnsi" w:eastAsiaTheme="minorHAnsi"/>
                <w:color w:val="000000"/>
                <w:sz w:val="20"/>
                <w:szCs w:val="20"/>
              </w:rPr>
              <w:t xml:space="preserve"> die nog uitgaan van de pre-Lissabon comitologieprocedures naar de huidige procedures voor vaststelling van gedelegeerde- en uitvoeringshandelingen. </w:t>
            </w:r>
          </w:p>
          <w:p w:rsidRPr="00793F39" w:rsidR="00793F39" w:rsidP="00793F39" w:rsidRDefault="00793F39">
            <w:pPr>
              <w:rPr>
                <w:rFonts w:asciiTheme="minorHAnsi" w:hAnsiTheme="minorHAnsi" w:eastAsiaTheme="minorHAnsi"/>
                <w:color w:val="000000"/>
                <w:sz w:val="20"/>
                <w:szCs w:val="20"/>
              </w:rPr>
            </w:pPr>
          </w:p>
        </w:tc>
      </w:tr>
      <w:tr w:rsidRPr="000F26C9" w:rsidR="007960E0" w:rsidTr="00793F39">
        <w:trPr>
          <w:trHeight w:val="884"/>
        </w:trPr>
        <w:tc>
          <w:tcPr>
            <w:tcW w:w="438" w:type="dxa"/>
          </w:tcPr>
          <w:p w:rsidRPr="00793F39" w:rsidR="007960E0" w:rsidP="00793F39" w:rsidRDefault="007960E0">
            <w:pPr>
              <w:rPr>
                <w:rFonts w:asciiTheme="minorHAnsi" w:hAnsiTheme="minorHAnsi"/>
                <w:color w:val="000000"/>
                <w:sz w:val="20"/>
                <w:szCs w:val="20"/>
              </w:rPr>
            </w:pPr>
            <w:r w:rsidRPr="00793F39">
              <w:rPr>
                <w:rFonts w:asciiTheme="minorHAnsi" w:hAnsiTheme="minorHAnsi"/>
                <w:color w:val="000000"/>
                <w:sz w:val="20"/>
                <w:szCs w:val="20"/>
              </w:rPr>
              <w:t xml:space="preserve">2. </w:t>
            </w:r>
          </w:p>
        </w:tc>
        <w:tc>
          <w:tcPr>
            <w:tcW w:w="1134" w:type="dxa"/>
            <w:shd w:val="clear" w:color="auto" w:fill="auto"/>
            <w:noWrap/>
          </w:tcPr>
          <w:p w:rsidRPr="00793F39" w:rsidR="007960E0" w:rsidP="00793F39" w:rsidRDefault="007960E0">
            <w:pPr>
              <w:rPr>
                <w:rFonts w:asciiTheme="minorHAnsi" w:hAnsiTheme="minorHAnsi"/>
                <w:color w:val="000000"/>
                <w:sz w:val="20"/>
                <w:szCs w:val="20"/>
              </w:rPr>
            </w:pPr>
            <w:r w:rsidRPr="00793F39">
              <w:rPr>
                <w:rFonts w:asciiTheme="minorHAnsi" w:hAnsiTheme="minorHAnsi"/>
                <w:color w:val="000000"/>
                <w:sz w:val="20"/>
                <w:szCs w:val="20"/>
              </w:rPr>
              <w:t>14-dec-16</w:t>
            </w:r>
          </w:p>
        </w:tc>
        <w:tc>
          <w:tcPr>
            <w:tcW w:w="780" w:type="dxa"/>
            <w:shd w:val="clear" w:color="auto" w:fill="auto"/>
            <w:noWrap/>
          </w:tcPr>
          <w:p w:rsidRPr="00793F39" w:rsidR="007960E0" w:rsidP="00793F39" w:rsidRDefault="007960E0">
            <w:pPr>
              <w:rPr>
                <w:rFonts w:asciiTheme="minorHAnsi" w:hAnsiTheme="minorHAnsi"/>
                <w:color w:val="000000"/>
                <w:sz w:val="20"/>
                <w:szCs w:val="20"/>
              </w:rPr>
            </w:pPr>
            <w:r w:rsidRPr="00793F39">
              <w:rPr>
                <w:rFonts w:asciiTheme="minorHAnsi" w:hAnsiTheme="minorHAnsi"/>
                <w:color w:val="000000"/>
                <w:sz w:val="20"/>
                <w:szCs w:val="20"/>
              </w:rPr>
              <w:t>EUZA</w:t>
            </w:r>
          </w:p>
        </w:tc>
        <w:tc>
          <w:tcPr>
            <w:tcW w:w="1764" w:type="dxa"/>
            <w:shd w:val="clear" w:color="auto" w:fill="auto"/>
            <w:noWrap/>
          </w:tcPr>
          <w:p w:rsidRPr="00793F39" w:rsidR="007960E0" w:rsidP="00793F39" w:rsidRDefault="007960E0">
            <w:pPr>
              <w:rPr>
                <w:rFonts w:asciiTheme="minorHAnsi" w:hAnsiTheme="minorHAnsi"/>
                <w:color w:val="000000"/>
                <w:sz w:val="20"/>
                <w:szCs w:val="20"/>
              </w:rPr>
            </w:pPr>
            <w:r w:rsidRPr="00793F39">
              <w:rPr>
                <w:rFonts w:asciiTheme="minorHAnsi" w:hAnsiTheme="minorHAnsi"/>
                <w:color w:val="000000"/>
                <w:sz w:val="20"/>
                <w:szCs w:val="20"/>
              </w:rPr>
              <w:t>verordening</w:t>
            </w:r>
          </w:p>
        </w:tc>
        <w:tc>
          <w:tcPr>
            <w:tcW w:w="4143" w:type="dxa"/>
            <w:shd w:val="clear" w:color="auto" w:fill="auto"/>
          </w:tcPr>
          <w:p w:rsidRPr="00793F39" w:rsidR="007960E0" w:rsidP="00793F39" w:rsidRDefault="007960E0">
            <w:pPr>
              <w:rPr>
                <w:rFonts w:asciiTheme="minorHAnsi" w:hAnsiTheme="minorHAnsi"/>
                <w:color w:val="000000"/>
                <w:sz w:val="20"/>
                <w:szCs w:val="20"/>
                <w:lang w:val="en-GB"/>
              </w:rPr>
            </w:pPr>
            <w:r w:rsidRPr="00793F39">
              <w:rPr>
                <w:rFonts w:asciiTheme="minorHAnsi" w:hAnsiTheme="minorHAnsi"/>
                <w:color w:val="000000"/>
                <w:sz w:val="20"/>
                <w:szCs w:val="20"/>
                <w:lang w:val="en-GB"/>
              </w:rPr>
              <w:t>Proposal for a REGULATION OF THE EUROPEAN PARLIAMENT AND OF THE COUNCIL adapting a number of legal acts providing for the use of the regulatory procedure with scrutiny to Articles 290 and 291 of the Treaty on the Functioning of the European Union</w:t>
            </w:r>
          </w:p>
        </w:tc>
        <w:tc>
          <w:tcPr>
            <w:tcW w:w="687" w:type="dxa"/>
            <w:shd w:val="clear" w:color="auto" w:fill="auto"/>
            <w:noWrap/>
          </w:tcPr>
          <w:p w:rsidRPr="00793F39" w:rsidR="007960E0" w:rsidP="00793F39" w:rsidRDefault="007960E0">
            <w:pPr>
              <w:rPr>
                <w:rFonts w:asciiTheme="minorHAnsi" w:hAnsiTheme="minorHAnsi"/>
                <w:color w:val="0000FF"/>
                <w:sz w:val="20"/>
                <w:szCs w:val="20"/>
                <w:u w:val="single"/>
                <w:lang w:val="en-GB"/>
              </w:rPr>
            </w:pPr>
            <w:hyperlink w:history="1" r:id="rId10">
              <w:r w:rsidRPr="00793F39">
                <w:rPr>
                  <w:rStyle w:val="Hyperlink"/>
                  <w:rFonts w:asciiTheme="minorHAnsi" w:hAnsiTheme="minorHAnsi"/>
                  <w:sz w:val="20"/>
                  <w:szCs w:val="20"/>
                </w:rPr>
                <w:t>7</w:t>
              </w:r>
              <w:r w:rsidRPr="00793F39">
                <w:rPr>
                  <w:rStyle w:val="Hyperlink"/>
                  <w:rFonts w:asciiTheme="minorHAnsi" w:hAnsiTheme="minorHAnsi"/>
                  <w:sz w:val="20"/>
                  <w:szCs w:val="20"/>
                </w:rPr>
                <w:t>9</w:t>
              </w:r>
              <w:r w:rsidRPr="00793F39">
                <w:rPr>
                  <w:rStyle w:val="Hyperlink"/>
                  <w:rFonts w:asciiTheme="minorHAnsi" w:hAnsiTheme="minorHAnsi"/>
                  <w:sz w:val="20"/>
                  <w:szCs w:val="20"/>
                </w:rPr>
                <w:t>9</w:t>
              </w:r>
            </w:hyperlink>
          </w:p>
        </w:tc>
        <w:tc>
          <w:tcPr>
            <w:tcW w:w="1194" w:type="dxa"/>
            <w:shd w:val="clear" w:color="auto" w:fill="auto"/>
          </w:tcPr>
          <w:p w:rsidRPr="00793F39" w:rsidR="007960E0" w:rsidP="00793F39" w:rsidRDefault="007960E0">
            <w:pPr>
              <w:rPr>
                <w:rFonts w:asciiTheme="minorHAnsi" w:hAnsiTheme="minorHAnsi"/>
                <w:color w:val="000000"/>
                <w:sz w:val="20"/>
                <w:szCs w:val="20"/>
                <w:lang w:val="en-GB"/>
              </w:rPr>
            </w:pPr>
          </w:p>
        </w:tc>
        <w:tc>
          <w:tcPr>
            <w:tcW w:w="4515" w:type="dxa"/>
            <w:shd w:val="clear" w:color="auto" w:fill="auto"/>
          </w:tcPr>
          <w:p w:rsidRPr="000F26C9" w:rsidR="000F26C9" w:rsidP="000F26C9" w:rsidRDefault="000F26C9">
            <w:pPr>
              <w:rPr>
                <w:rFonts w:asciiTheme="minorHAnsi" w:hAnsiTheme="minorHAnsi" w:eastAsiaTheme="minorHAnsi"/>
                <w:color w:val="000000"/>
                <w:sz w:val="20"/>
                <w:szCs w:val="20"/>
              </w:rPr>
            </w:pPr>
            <w:r w:rsidRPr="000F26C9">
              <w:rPr>
                <w:rFonts w:asciiTheme="minorHAnsi" w:hAnsiTheme="minorHAnsi" w:eastAsiaTheme="minorHAnsi"/>
                <w:b/>
                <w:color w:val="000000"/>
                <w:sz w:val="20"/>
                <w:szCs w:val="20"/>
              </w:rPr>
              <w:t>Behandelvoorstel</w:t>
            </w:r>
            <w:r w:rsidRPr="000F26C9">
              <w:rPr>
                <w:rFonts w:asciiTheme="minorHAnsi" w:hAnsiTheme="minorHAnsi" w:eastAsiaTheme="minorHAnsi"/>
                <w:color w:val="000000"/>
                <w:sz w:val="20"/>
                <w:szCs w:val="20"/>
              </w:rPr>
              <w:t>: voor kennisgeving aannemen</w:t>
            </w:r>
            <w:r>
              <w:rPr>
                <w:rFonts w:asciiTheme="minorHAnsi" w:hAnsiTheme="minorHAnsi" w:eastAsiaTheme="minorHAnsi"/>
                <w:color w:val="000000"/>
                <w:sz w:val="20"/>
                <w:szCs w:val="20"/>
              </w:rPr>
              <w:t>.</w:t>
            </w:r>
          </w:p>
          <w:p w:rsidRPr="000F26C9" w:rsidR="000F26C9" w:rsidP="000F26C9" w:rsidRDefault="000F26C9">
            <w:pPr>
              <w:rPr>
                <w:rFonts w:asciiTheme="minorHAnsi" w:hAnsiTheme="minorHAnsi" w:eastAsiaTheme="minorHAnsi"/>
                <w:color w:val="000000"/>
                <w:sz w:val="20"/>
                <w:szCs w:val="20"/>
              </w:rPr>
            </w:pPr>
          </w:p>
          <w:p w:rsidRPr="000F26C9" w:rsidR="007960E0" w:rsidP="000F26C9" w:rsidRDefault="000F26C9">
            <w:pPr>
              <w:rPr>
                <w:rFonts w:asciiTheme="minorHAnsi" w:hAnsiTheme="minorHAnsi" w:eastAsiaTheme="minorHAnsi"/>
                <w:color w:val="000000"/>
                <w:sz w:val="20"/>
                <w:szCs w:val="20"/>
              </w:rPr>
            </w:pPr>
            <w:r w:rsidRPr="00793F39">
              <w:rPr>
                <w:rFonts w:asciiTheme="minorHAnsi" w:hAnsiTheme="minorHAnsi" w:eastAsiaTheme="minorHAnsi"/>
                <w:color w:val="000000"/>
                <w:sz w:val="20"/>
                <w:szCs w:val="20"/>
              </w:rPr>
              <w:t xml:space="preserve">Dit betreft een update van een aantal </w:t>
            </w:r>
            <w:r>
              <w:rPr>
                <w:rFonts w:asciiTheme="minorHAnsi" w:hAnsiTheme="minorHAnsi" w:eastAsiaTheme="minorHAnsi"/>
                <w:color w:val="000000"/>
                <w:sz w:val="20"/>
                <w:szCs w:val="20"/>
              </w:rPr>
              <w:t>verordeningen en richtlijnen</w:t>
            </w:r>
            <w:r>
              <w:rPr>
                <w:rFonts w:asciiTheme="minorHAnsi" w:hAnsiTheme="minorHAnsi" w:eastAsiaTheme="minorHAnsi"/>
                <w:color w:val="000000"/>
                <w:sz w:val="20"/>
                <w:szCs w:val="20"/>
              </w:rPr>
              <w:t xml:space="preserve"> die nog uitgaan van de pre-Lissabon comitologieprocedures naar de huidige procedures voor vaststelling van gedelegeerde- en uitvoeringshandelingen. </w:t>
            </w:r>
          </w:p>
        </w:tc>
      </w:tr>
      <w:tr w:rsidRPr="000F26C9" w:rsidR="007960E0" w:rsidTr="00793F39">
        <w:trPr>
          <w:trHeight w:val="884"/>
        </w:trPr>
        <w:tc>
          <w:tcPr>
            <w:tcW w:w="438" w:type="dxa"/>
          </w:tcPr>
          <w:p w:rsidRPr="00793F39" w:rsidR="007960E0" w:rsidP="00793F39" w:rsidRDefault="007960E0">
            <w:pPr>
              <w:rPr>
                <w:rFonts w:asciiTheme="minorHAnsi" w:hAnsiTheme="minorHAnsi"/>
                <w:color w:val="000000"/>
                <w:sz w:val="20"/>
                <w:szCs w:val="20"/>
              </w:rPr>
            </w:pPr>
            <w:r w:rsidRPr="00793F39">
              <w:rPr>
                <w:rFonts w:asciiTheme="minorHAnsi" w:hAnsiTheme="minorHAnsi"/>
                <w:color w:val="000000"/>
                <w:sz w:val="20"/>
                <w:szCs w:val="20"/>
              </w:rPr>
              <w:t>3.</w:t>
            </w:r>
          </w:p>
        </w:tc>
        <w:tc>
          <w:tcPr>
            <w:tcW w:w="1134" w:type="dxa"/>
            <w:shd w:val="clear" w:color="auto" w:fill="auto"/>
            <w:noWrap/>
          </w:tcPr>
          <w:p w:rsidRPr="00793F39" w:rsidR="007960E0" w:rsidP="00793F39" w:rsidRDefault="007960E0">
            <w:pPr>
              <w:rPr>
                <w:rFonts w:asciiTheme="minorHAnsi" w:hAnsiTheme="minorHAnsi"/>
                <w:color w:val="000000"/>
                <w:sz w:val="20"/>
                <w:szCs w:val="20"/>
              </w:rPr>
            </w:pPr>
            <w:r w:rsidRPr="00793F39">
              <w:rPr>
                <w:rFonts w:asciiTheme="minorHAnsi" w:hAnsiTheme="minorHAnsi"/>
                <w:color w:val="000000"/>
                <w:sz w:val="20"/>
                <w:szCs w:val="20"/>
              </w:rPr>
              <w:t>16-dec-16</w:t>
            </w:r>
          </w:p>
        </w:tc>
        <w:tc>
          <w:tcPr>
            <w:tcW w:w="780" w:type="dxa"/>
            <w:shd w:val="clear" w:color="auto" w:fill="auto"/>
            <w:noWrap/>
          </w:tcPr>
          <w:p w:rsidRPr="00793F39" w:rsidR="007960E0" w:rsidP="00793F39" w:rsidRDefault="007960E0">
            <w:pPr>
              <w:rPr>
                <w:rFonts w:asciiTheme="minorHAnsi" w:hAnsiTheme="minorHAnsi"/>
                <w:color w:val="000000"/>
                <w:sz w:val="20"/>
                <w:szCs w:val="20"/>
              </w:rPr>
            </w:pPr>
            <w:r w:rsidRPr="00793F39">
              <w:rPr>
                <w:rFonts w:asciiTheme="minorHAnsi" w:hAnsiTheme="minorHAnsi"/>
                <w:color w:val="000000"/>
                <w:sz w:val="20"/>
                <w:szCs w:val="20"/>
              </w:rPr>
              <w:t>EUZA</w:t>
            </w:r>
          </w:p>
        </w:tc>
        <w:tc>
          <w:tcPr>
            <w:tcW w:w="1764" w:type="dxa"/>
            <w:shd w:val="clear" w:color="auto" w:fill="auto"/>
            <w:noWrap/>
          </w:tcPr>
          <w:p w:rsidRPr="00793F39" w:rsidR="007960E0" w:rsidP="00793F39" w:rsidRDefault="007960E0">
            <w:pPr>
              <w:rPr>
                <w:rFonts w:asciiTheme="minorHAnsi" w:hAnsiTheme="minorHAnsi"/>
                <w:color w:val="000000"/>
                <w:sz w:val="20"/>
                <w:szCs w:val="20"/>
              </w:rPr>
            </w:pPr>
            <w:r w:rsidRPr="00793F39">
              <w:rPr>
                <w:rFonts w:asciiTheme="minorHAnsi" w:hAnsiTheme="minorHAnsi"/>
                <w:color w:val="000000"/>
                <w:sz w:val="20"/>
                <w:szCs w:val="20"/>
              </w:rPr>
              <w:t>Verslag</w:t>
            </w:r>
          </w:p>
        </w:tc>
        <w:tc>
          <w:tcPr>
            <w:tcW w:w="4143" w:type="dxa"/>
            <w:shd w:val="clear" w:color="auto" w:fill="auto"/>
          </w:tcPr>
          <w:p w:rsidRPr="00793F39" w:rsidR="007960E0" w:rsidP="00793F39" w:rsidRDefault="007960E0">
            <w:pPr>
              <w:rPr>
                <w:rFonts w:asciiTheme="minorHAnsi" w:hAnsiTheme="minorHAnsi"/>
                <w:color w:val="000000"/>
                <w:sz w:val="20"/>
                <w:szCs w:val="20"/>
                <w:lang w:val="en-GB"/>
              </w:rPr>
            </w:pPr>
            <w:r w:rsidRPr="00793F39">
              <w:rPr>
                <w:rFonts w:asciiTheme="minorHAnsi" w:hAnsiTheme="minorHAnsi"/>
                <w:color w:val="000000"/>
                <w:sz w:val="20"/>
                <w:szCs w:val="20"/>
                <w:lang w:val="en-GB"/>
              </w:rPr>
              <w:t>REPORT FROM THE COMMISSION TO THE EUROPEAN PARLIAMENT, THE COUNCIL, THE EUROPEAN ECONOMIC AND SOCIAL COMMITTEE AND THE COMMITTEE OF THE REGIONS on the implementation of EU macro-regional strategies</w:t>
            </w:r>
          </w:p>
        </w:tc>
        <w:tc>
          <w:tcPr>
            <w:tcW w:w="687" w:type="dxa"/>
            <w:shd w:val="clear" w:color="auto" w:fill="auto"/>
            <w:noWrap/>
          </w:tcPr>
          <w:p w:rsidRPr="00793F39" w:rsidR="007960E0" w:rsidP="00793F39" w:rsidRDefault="007960E0">
            <w:pPr>
              <w:rPr>
                <w:rFonts w:asciiTheme="minorHAnsi" w:hAnsiTheme="minorHAnsi"/>
                <w:color w:val="0000FF"/>
                <w:sz w:val="20"/>
                <w:szCs w:val="20"/>
                <w:u w:val="single"/>
                <w:lang w:val="en-GB"/>
              </w:rPr>
            </w:pPr>
            <w:hyperlink w:history="1" r:id="rId11">
              <w:r w:rsidRPr="00793F39">
                <w:rPr>
                  <w:rStyle w:val="Hyperlink"/>
                  <w:rFonts w:asciiTheme="minorHAnsi" w:hAnsiTheme="minorHAnsi"/>
                  <w:sz w:val="20"/>
                  <w:szCs w:val="20"/>
                </w:rPr>
                <w:t>8</w:t>
              </w:r>
              <w:r w:rsidRPr="00793F39">
                <w:rPr>
                  <w:rStyle w:val="Hyperlink"/>
                  <w:rFonts w:asciiTheme="minorHAnsi" w:hAnsiTheme="minorHAnsi"/>
                  <w:sz w:val="20"/>
                  <w:szCs w:val="20"/>
                </w:rPr>
                <w:t>0</w:t>
              </w:r>
              <w:r w:rsidRPr="00793F39">
                <w:rPr>
                  <w:rStyle w:val="Hyperlink"/>
                  <w:rFonts w:asciiTheme="minorHAnsi" w:hAnsiTheme="minorHAnsi"/>
                  <w:sz w:val="20"/>
                  <w:szCs w:val="20"/>
                </w:rPr>
                <w:t>5</w:t>
              </w:r>
            </w:hyperlink>
          </w:p>
        </w:tc>
        <w:tc>
          <w:tcPr>
            <w:tcW w:w="1194" w:type="dxa"/>
            <w:shd w:val="clear" w:color="auto" w:fill="auto"/>
          </w:tcPr>
          <w:p w:rsidRPr="00793F39" w:rsidR="007960E0" w:rsidP="00793F39" w:rsidRDefault="007960E0">
            <w:pPr>
              <w:rPr>
                <w:rFonts w:asciiTheme="minorHAnsi" w:hAnsiTheme="minorHAnsi"/>
                <w:color w:val="000000"/>
                <w:sz w:val="20"/>
                <w:szCs w:val="20"/>
                <w:lang w:val="en-GB"/>
              </w:rPr>
            </w:pPr>
          </w:p>
        </w:tc>
        <w:tc>
          <w:tcPr>
            <w:tcW w:w="4515" w:type="dxa"/>
            <w:shd w:val="clear" w:color="auto" w:fill="auto"/>
          </w:tcPr>
          <w:p w:rsidR="007960E0" w:rsidP="00793F39" w:rsidRDefault="000F26C9">
            <w:pPr>
              <w:rPr>
                <w:rFonts w:asciiTheme="minorHAnsi" w:hAnsiTheme="minorHAnsi" w:eastAsiaTheme="minorHAnsi"/>
                <w:color w:val="000000"/>
                <w:sz w:val="20"/>
                <w:szCs w:val="20"/>
              </w:rPr>
            </w:pPr>
            <w:r w:rsidRPr="000F26C9">
              <w:rPr>
                <w:rFonts w:asciiTheme="minorHAnsi" w:hAnsiTheme="minorHAnsi" w:eastAsiaTheme="minorHAnsi"/>
                <w:b/>
                <w:color w:val="000000"/>
                <w:sz w:val="20"/>
                <w:szCs w:val="20"/>
              </w:rPr>
              <w:t>Behandelvoorstel</w:t>
            </w:r>
            <w:r w:rsidRPr="000F26C9">
              <w:rPr>
                <w:rFonts w:asciiTheme="minorHAnsi" w:hAnsiTheme="minorHAnsi" w:eastAsiaTheme="minorHAnsi"/>
                <w:color w:val="000000"/>
                <w:sz w:val="20"/>
                <w:szCs w:val="20"/>
              </w:rPr>
              <w:t>: voor kennisgeving aannemen</w:t>
            </w:r>
            <w:r>
              <w:rPr>
                <w:rFonts w:asciiTheme="minorHAnsi" w:hAnsiTheme="minorHAnsi" w:eastAsiaTheme="minorHAnsi"/>
                <w:color w:val="000000"/>
                <w:sz w:val="20"/>
                <w:szCs w:val="20"/>
              </w:rPr>
              <w:t>.</w:t>
            </w:r>
          </w:p>
          <w:p w:rsidR="000F26C9" w:rsidP="00793F39" w:rsidRDefault="000F26C9">
            <w:pPr>
              <w:rPr>
                <w:rFonts w:asciiTheme="minorHAnsi" w:hAnsiTheme="minorHAnsi" w:eastAsiaTheme="minorHAnsi"/>
                <w:color w:val="000000"/>
                <w:sz w:val="20"/>
                <w:szCs w:val="20"/>
              </w:rPr>
            </w:pPr>
          </w:p>
          <w:p w:rsidRPr="000F26C9" w:rsidR="000F26C9" w:rsidP="000F26C9" w:rsidRDefault="000F26C9">
            <w:pPr>
              <w:rPr>
                <w:rFonts w:asciiTheme="minorHAnsi" w:hAnsiTheme="minorHAnsi" w:eastAsiaTheme="minorHAnsi"/>
                <w:color w:val="000000"/>
                <w:sz w:val="20"/>
                <w:szCs w:val="20"/>
              </w:rPr>
            </w:pPr>
            <w:r>
              <w:rPr>
                <w:rFonts w:asciiTheme="minorHAnsi" w:hAnsiTheme="minorHAnsi" w:eastAsiaTheme="minorHAnsi"/>
                <w:color w:val="000000"/>
                <w:sz w:val="20"/>
                <w:szCs w:val="20"/>
              </w:rPr>
              <w:t>Verslag over de resultaten van de macro-regionale strategieën voor de Baltische-zee regio, de Donau-regio, de alpen-regio en de Adriatische/Ionische regio.</w:t>
            </w:r>
          </w:p>
        </w:tc>
      </w:tr>
    </w:tbl>
    <w:p w:rsidRPr="00793F39" w:rsidR="008A08DC" w:rsidRDefault="008A08DC">
      <w:pPr>
        <w:rPr>
          <w:rFonts w:asciiTheme="minorHAnsi" w:hAnsiTheme="minorHAnsi"/>
          <w:b/>
          <w:sz w:val="20"/>
          <w:szCs w:val="20"/>
          <w:lang w:val="en-GB"/>
        </w:rPr>
      </w:pPr>
      <w:bookmarkStart w:name="_GoBack" w:id="0"/>
      <w:bookmarkEnd w:id="0"/>
      <w:r w:rsidRPr="00793F39">
        <w:rPr>
          <w:rFonts w:asciiTheme="minorHAnsi" w:hAnsiTheme="minorHAnsi"/>
          <w:b/>
          <w:sz w:val="20"/>
          <w:szCs w:val="20"/>
          <w:lang w:val="en-GB"/>
        </w:rPr>
        <w:br w:type="page"/>
      </w:r>
    </w:p>
    <w:p w:rsidRPr="00793F39" w:rsidR="008A08DC" w:rsidP="008A08DC" w:rsidRDefault="008A08DC">
      <w:pPr>
        <w:pStyle w:val="Voetnoottekst"/>
        <w:rPr>
          <w:rFonts w:asciiTheme="minorHAnsi" w:hAnsiTheme="minorHAnsi"/>
          <w:b/>
        </w:rPr>
      </w:pPr>
      <w:r w:rsidRPr="00793F39">
        <w:rPr>
          <w:rFonts w:asciiTheme="minorHAnsi" w:hAnsiTheme="minorHAnsi"/>
          <w:b/>
        </w:rPr>
        <w:lastRenderedPageBreak/>
        <w:t>Bijlage: Behandelmogelijkheden EU-voorstellen</w:t>
      </w:r>
    </w:p>
    <w:p w:rsidRPr="00793F39" w:rsidR="008A08DC" w:rsidP="008A08DC" w:rsidRDefault="008A08DC">
      <w:pPr>
        <w:pStyle w:val="Voetnoottekst"/>
        <w:rPr>
          <w:rFonts w:asciiTheme="minorHAnsi" w:hAnsiTheme="minorHAnsi"/>
        </w:rPr>
      </w:pPr>
    </w:p>
    <w:p w:rsidRPr="00793F39" w:rsidR="008A08DC" w:rsidP="008A08DC" w:rsidRDefault="008A08DC">
      <w:pPr>
        <w:rPr>
          <w:rFonts w:asciiTheme="minorHAnsi" w:hAnsiTheme="minorHAnsi"/>
          <w:sz w:val="20"/>
          <w:szCs w:val="20"/>
        </w:rPr>
      </w:pPr>
      <w:r w:rsidRPr="00793F39">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793F39" w:rsidR="008A08DC" w:rsidP="008A08DC" w:rsidRDefault="008A08DC">
      <w:pPr>
        <w:rPr>
          <w:rFonts w:asciiTheme="minorHAnsi" w:hAnsiTheme="minorHAnsi"/>
          <w:sz w:val="20"/>
          <w:szCs w:val="20"/>
        </w:rPr>
      </w:pPr>
      <w:r w:rsidRPr="00793F39">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793F39" w:rsidR="008A08DC" w:rsidP="008A08DC" w:rsidRDefault="008A08DC">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793F39" w:rsidR="008A08DC" w:rsidTr="00092918">
        <w:tc>
          <w:tcPr>
            <w:tcW w:w="2093" w:type="dxa"/>
          </w:tcPr>
          <w:p w:rsidRPr="00793F39" w:rsidR="008A08DC" w:rsidP="00092918" w:rsidRDefault="008A08DC">
            <w:pPr>
              <w:pStyle w:val="Voetnoottekst"/>
              <w:rPr>
                <w:rFonts w:asciiTheme="minorHAnsi" w:hAnsiTheme="minorHAnsi"/>
                <w:b/>
              </w:rPr>
            </w:pPr>
            <w:r w:rsidRPr="00793F39">
              <w:rPr>
                <w:rFonts w:asciiTheme="minorHAnsi" w:hAnsiTheme="minorHAnsi"/>
                <w:b/>
              </w:rPr>
              <w:t>Soort Instrument</w:t>
            </w:r>
          </w:p>
        </w:tc>
        <w:tc>
          <w:tcPr>
            <w:tcW w:w="6946" w:type="dxa"/>
          </w:tcPr>
          <w:p w:rsidRPr="00793F39" w:rsidR="008A08DC" w:rsidP="00092918" w:rsidRDefault="008A08DC">
            <w:pPr>
              <w:pStyle w:val="Voetnoottekst"/>
              <w:rPr>
                <w:rFonts w:asciiTheme="minorHAnsi" w:hAnsiTheme="minorHAnsi"/>
                <w:b/>
              </w:rPr>
            </w:pPr>
            <w:r w:rsidRPr="00793F39">
              <w:rPr>
                <w:rFonts w:asciiTheme="minorHAnsi" w:hAnsiTheme="minorHAnsi"/>
                <w:b/>
              </w:rPr>
              <w:t>Toelichting</w:t>
            </w:r>
          </w:p>
        </w:tc>
        <w:tc>
          <w:tcPr>
            <w:tcW w:w="5103" w:type="dxa"/>
          </w:tcPr>
          <w:p w:rsidRPr="00793F39" w:rsidR="008A08DC" w:rsidP="00092918" w:rsidRDefault="008A08DC">
            <w:pPr>
              <w:pStyle w:val="Voetnoottekst"/>
              <w:rPr>
                <w:rFonts w:asciiTheme="minorHAnsi" w:hAnsiTheme="minorHAnsi"/>
                <w:b/>
              </w:rPr>
            </w:pPr>
            <w:r w:rsidRPr="00793F39">
              <w:rPr>
                <w:rFonts w:asciiTheme="minorHAnsi" w:hAnsiTheme="minorHAnsi"/>
                <w:b/>
              </w:rPr>
              <w:t xml:space="preserve">Mogelijke beïnvloedingsmomenten </w:t>
            </w:r>
          </w:p>
        </w:tc>
      </w:tr>
      <w:tr w:rsidRPr="00793F39" w:rsidR="008A08DC" w:rsidTr="00092918">
        <w:tc>
          <w:tcPr>
            <w:tcW w:w="14142" w:type="dxa"/>
            <w:gridSpan w:val="3"/>
          </w:tcPr>
          <w:p w:rsidRPr="00793F39" w:rsidR="008A08DC" w:rsidP="00092918" w:rsidRDefault="008A08DC">
            <w:pPr>
              <w:pStyle w:val="Voetnoottekst"/>
              <w:rPr>
                <w:rFonts w:asciiTheme="minorHAnsi" w:hAnsiTheme="minorHAnsi"/>
                <w:i/>
              </w:rPr>
            </w:pPr>
          </w:p>
          <w:p w:rsidRPr="00793F39" w:rsidR="008A08DC" w:rsidP="00092918" w:rsidRDefault="008A08DC">
            <w:pPr>
              <w:pStyle w:val="Voetnoottekst"/>
              <w:rPr>
                <w:rFonts w:asciiTheme="minorHAnsi" w:hAnsiTheme="minorHAnsi"/>
                <w:i/>
              </w:rPr>
            </w:pPr>
            <w:r w:rsidRPr="00793F39">
              <w:rPr>
                <w:rFonts w:asciiTheme="minorHAnsi" w:hAnsiTheme="minorHAnsi"/>
                <w:i/>
              </w:rPr>
              <w:t>Wetgevende, bindende rechtshandelingen</w:t>
            </w: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Verordening</w:t>
            </w:r>
          </w:p>
        </w:tc>
        <w:tc>
          <w:tcPr>
            <w:tcW w:w="6946" w:type="dxa"/>
          </w:tcPr>
          <w:p w:rsidRPr="00793F39" w:rsidR="008A08DC" w:rsidP="00092918" w:rsidRDefault="008A08DC">
            <w:pPr>
              <w:pStyle w:val="Voetnoottekst"/>
              <w:rPr>
                <w:rFonts w:asciiTheme="minorHAnsi" w:hAnsiTheme="minorHAnsi"/>
              </w:rPr>
            </w:pPr>
            <w:r w:rsidRPr="00793F39">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ambtenaren of Commissaris Europese Commissie (de ‘auteurs’) uitnodigen voor briefing/gesprek, evt. via videoconferentie.</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subsidiariteitstoets overwegen: let op termijn (zie hieronder).</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behandelvoorbehoud overwegen: let op termijn (zie hieronder).</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ad-hoc rapporteur(s) binnen de commissie(s) benoemen.</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tijdens overleg met kabinet NL onderhandelingsinzet aan de orde stellen, evt. aan de hand van het “BNC-fiche”.</w:t>
            </w:r>
            <w:r w:rsidRPr="00793F39">
              <w:rPr>
                <w:rStyle w:val="Voetnootmarkering"/>
                <w:rFonts w:asciiTheme="minorHAnsi" w:hAnsiTheme="minorHAnsi"/>
              </w:rPr>
              <w:footnoteReference w:id="1"/>
            </w:r>
            <w:r w:rsidRPr="00793F39">
              <w:rPr>
                <w:rFonts w:asciiTheme="minorHAnsi" w:hAnsiTheme="minorHAnsi"/>
              </w:rPr>
              <w:t xml:space="preserve"> </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EP-rapporteur uitnodigen, evt. via videoconferentie.</w:t>
            </w:r>
            <w:r w:rsidRPr="00793F39">
              <w:rPr>
                <w:rFonts w:asciiTheme="minorHAnsi" w:hAnsiTheme="minorHAnsi"/>
              </w:rPr>
              <w:br/>
            </w:r>
            <w:r w:rsidRPr="00793F39">
              <w:rPr>
                <w:rFonts w:asciiTheme="minorHAnsi" w:hAnsiTheme="minorHAnsi"/>
              </w:rPr>
              <w:br/>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NB: Pas na afronding van het onderhandelingstraject: nationale wetgevingstraject monitoren (i.h.k.v. omzetting naar nationale wetgeving).</w:t>
            </w: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 xml:space="preserve">Richtlijn </w:t>
            </w:r>
          </w:p>
        </w:tc>
        <w:tc>
          <w:tcPr>
            <w:tcW w:w="6946" w:type="dxa"/>
          </w:tcPr>
          <w:p w:rsidRPr="00793F39" w:rsidR="008A08DC" w:rsidP="00D537C2" w:rsidRDefault="008A08DC">
            <w:pPr>
              <w:pStyle w:val="Voetnoottekst"/>
              <w:rPr>
                <w:rFonts w:asciiTheme="minorHAnsi" w:hAnsiTheme="minorHAnsi"/>
              </w:rPr>
            </w:pPr>
            <w:r w:rsidRPr="00793F39">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soms geen enkele ruimte om andere regels te stellen. Een aangenomen richtlijn komt terug in de Kamer indien er implementatiewetgeving wordt voorgesteld. </w:t>
            </w:r>
          </w:p>
        </w:tc>
        <w:tc>
          <w:tcPr>
            <w:tcW w:w="5103" w:type="dxa"/>
            <w:vMerge/>
          </w:tcPr>
          <w:p w:rsidRPr="00793F39" w:rsidR="008A08DC" w:rsidP="008A08DC" w:rsidRDefault="008A08DC">
            <w:pPr>
              <w:pStyle w:val="Voetnoottekst"/>
              <w:numPr>
                <w:ilvl w:val="0"/>
                <w:numId w:val="5"/>
              </w:numPr>
              <w:ind w:left="317" w:hanging="283"/>
              <w:rPr>
                <w:rFonts w:asciiTheme="minorHAnsi" w:hAnsiTheme="minorHAnsi"/>
              </w:rPr>
            </w:pP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(Besluit)</w:t>
            </w:r>
          </w:p>
        </w:tc>
        <w:tc>
          <w:tcPr>
            <w:tcW w:w="6946" w:type="dxa"/>
          </w:tcPr>
          <w:p w:rsidRPr="00793F39" w:rsidR="008A08DC" w:rsidP="00092918" w:rsidRDefault="008A08DC">
            <w:pPr>
              <w:pStyle w:val="Voetnoottekst"/>
              <w:rPr>
                <w:rFonts w:asciiTheme="minorHAnsi" w:hAnsiTheme="minorHAnsi"/>
              </w:rPr>
            </w:pPr>
            <w:r w:rsidRPr="00793F39">
              <w:rPr>
                <w:rFonts w:asciiTheme="minorHAnsi" w:hAnsiTheme="minorHAnsi"/>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793F39">
              <w:rPr>
                <w:rFonts w:asciiTheme="minorHAnsi" w:hAnsiTheme="minorHAnsi"/>
              </w:rPr>
              <w:br/>
              <w:t xml:space="preserve">Voor </w:t>
            </w:r>
            <w:r w:rsidRPr="00793F39">
              <w:rPr>
                <w:rFonts w:asciiTheme="minorHAnsi" w:hAnsiTheme="minorHAnsi"/>
                <w:b/>
              </w:rPr>
              <w:t>wetgevende besluiten</w:t>
            </w:r>
            <w:r w:rsidRPr="00793F39">
              <w:rPr>
                <w:rFonts w:asciiTheme="minorHAnsi" w:hAnsiTheme="minorHAnsi"/>
              </w:rPr>
              <w:t xml:space="preserve"> kan gekozen worden als richtlijnen en verordeningen niet geschikt zijn als instrument. </w:t>
            </w:r>
            <w:r w:rsidRPr="00793F39">
              <w:rPr>
                <w:rFonts w:asciiTheme="minorHAnsi" w:hAnsiTheme="minorHAnsi"/>
                <w:b/>
              </w:rPr>
              <w:t>Niet-wetgevende besluiten</w:t>
            </w:r>
            <w:r w:rsidRPr="00793F39">
              <w:rPr>
                <w:rFonts w:asciiTheme="minorHAnsi" w:hAnsiTheme="minorHAnsi"/>
              </w:rPr>
              <w:t xml:space="preserve"> kunnen gericht zijn tot individuele of alle lidstaten (bv. </w:t>
            </w:r>
            <w:r w:rsidRPr="00793F39">
              <w:rPr>
                <w:rFonts w:asciiTheme="minorHAnsi" w:hAnsiTheme="minorHAnsi"/>
              </w:rPr>
              <w:lastRenderedPageBreak/>
              <w:t xml:space="preserve">maatregelen tegen onrechtmatige staatssteun) of individuen (natuurlijke personen en rechtspersonen) (bv in mededingingszaken). Verder is er nog een aantal </w:t>
            </w:r>
            <w:r w:rsidRPr="00793F39">
              <w:rPr>
                <w:rFonts w:asciiTheme="minorHAnsi" w:hAnsiTheme="minorHAnsi"/>
                <w:b/>
              </w:rPr>
              <w:t>bijzondere besluiten</w:t>
            </w:r>
            <w:r w:rsidRPr="00793F39">
              <w:rPr>
                <w:rFonts w:asciiTheme="minorHAnsi" w:hAnsiTheme="minorHAnsi"/>
              </w:rPr>
              <w:t xml:space="preserve">,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793F39" w:rsidR="008A08DC" w:rsidP="008A08DC" w:rsidRDefault="008A08DC">
            <w:pPr>
              <w:pStyle w:val="Voetnoottekst"/>
              <w:numPr>
                <w:ilvl w:val="0"/>
                <w:numId w:val="5"/>
              </w:numPr>
              <w:ind w:left="317" w:hanging="283"/>
              <w:rPr>
                <w:rFonts w:asciiTheme="minorHAnsi" w:hAnsiTheme="minorHAnsi"/>
              </w:rPr>
            </w:pPr>
          </w:p>
        </w:tc>
      </w:tr>
      <w:tr w:rsidRPr="00793F39" w:rsidR="008A08DC" w:rsidTr="00092918">
        <w:tc>
          <w:tcPr>
            <w:tcW w:w="14142" w:type="dxa"/>
            <w:gridSpan w:val="3"/>
          </w:tcPr>
          <w:p w:rsidRPr="00793F39" w:rsidR="008A08DC" w:rsidP="00092918" w:rsidRDefault="008A08DC">
            <w:pPr>
              <w:pStyle w:val="Voetnoottekst"/>
              <w:rPr>
                <w:rFonts w:asciiTheme="minorHAnsi" w:hAnsiTheme="minorHAnsi"/>
                <w:i/>
              </w:rPr>
            </w:pPr>
            <w:r w:rsidRPr="00793F39">
              <w:rPr>
                <w:rFonts w:asciiTheme="minorHAnsi" w:hAnsiTheme="minorHAnsi"/>
                <w:i/>
              </w:rPr>
              <w:lastRenderedPageBreak/>
              <w:t>Niet-wetgevende bindende rechtshandelingen</w:t>
            </w: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Gedelegeerde handeling</w:t>
            </w:r>
          </w:p>
        </w:tc>
        <w:tc>
          <w:tcPr>
            <w:tcW w:w="6946" w:type="dxa"/>
          </w:tcPr>
          <w:p w:rsidRPr="00793F39" w:rsidR="008A08DC" w:rsidP="00092918" w:rsidRDefault="008A08DC">
            <w:pPr>
              <w:pStyle w:val="Voetnoottekst"/>
              <w:rPr>
                <w:rFonts w:asciiTheme="minorHAnsi" w:hAnsiTheme="minorHAnsi"/>
              </w:rPr>
            </w:pPr>
            <w:r w:rsidRPr="00793F39">
              <w:rPr>
                <w:rFonts w:asciiTheme="minorHAnsi" w:hAnsiTheme="minorHAnsi"/>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kabinet per brief of tijdens overleg bevragen over stand van zaken en appreciatie EU onderhandelingen en NL inzet.</w:t>
            </w:r>
          </w:p>
          <w:p w:rsidRPr="00793F39" w:rsidR="008A08DC" w:rsidP="00092918" w:rsidRDefault="008A08DC">
            <w:pPr>
              <w:pStyle w:val="Voetnoottekst"/>
              <w:ind w:left="360"/>
              <w:rPr>
                <w:rFonts w:asciiTheme="minorHAnsi" w:hAnsiTheme="minorHAnsi"/>
              </w:rPr>
            </w:pP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Uitvoeringshandeling</w:t>
            </w:r>
          </w:p>
        </w:tc>
        <w:tc>
          <w:tcPr>
            <w:tcW w:w="6946" w:type="dxa"/>
          </w:tcPr>
          <w:p w:rsidRPr="00793F39" w:rsidR="008A08DC" w:rsidP="00092918" w:rsidRDefault="008A08DC">
            <w:pPr>
              <w:pStyle w:val="Voetnoottekst"/>
              <w:rPr>
                <w:rFonts w:asciiTheme="minorHAnsi" w:hAnsiTheme="minorHAnsi"/>
              </w:rPr>
            </w:pPr>
            <w:r w:rsidRPr="00793F39">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kabinet per brief of tijdens algemeen overleg/debat bevragen over stand van zaken en appreciatie EU onderhandelingen en NL inzet.</w:t>
            </w:r>
          </w:p>
          <w:p w:rsidRPr="00793F39" w:rsidR="008A08DC" w:rsidP="008A08DC" w:rsidRDefault="008A08DC">
            <w:pPr>
              <w:numPr>
                <w:ilvl w:val="0"/>
                <w:numId w:val="4"/>
              </w:numPr>
              <w:rPr>
                <w:rFonts w:asciiTheme="minorHAnsi" w:hAnsiTheme="minorHAnsi"/>
                <w:sz w:val="20"/>
                <w:szCs w:val="20"/>
              </w:rPr>
            </w:pPr>
            <w:r w:rsidRPr="00793F39">
              <w:rPr>
                <w:rFonts w:asciiTheme="minorHAnsi" w:hAnsiTheme="minorHAnsi"/>
                <w:color w:val="000000"/>
                <w:sz w:val="20"/>
                <w:szCs w:val="20"/>
              </w:rPr>
              <w:t xml:space="preserve">op basis van </w:t>
            </w:r>
            <w:r w:rsidRPr="00793F39">
              <w:rPr>
                <w:rFonts w:asciiTheme="minorHAnsi" w:hAnsiTheme="minorHAnsi"/>
                <w:sz w:val="20"/>
                <w:szCs w:val="20"/>
              </w:rPr>
              <w:t xml:space="preserve">de </w:t>
            </w:r>
            <w:hyperlink w:history="1" r:id="rId12">
              <w:r w:rsidRPr="00793F39">
                <w:rPr>
                  <w:rFonts w:asciiTheme="minorHAnsi" w:hAnsiTheme="minorHAnsi"/>
                  <w:sz w:val="20"/>
                  <w:szCs w:val="20"/>
                  <w:u w:val="single"/>
                </w:rPr>
                <w:t>(gewijzigde) motie Van Gent</w:t>
              </w:r>
            </w:hyperlink>
            <w:r w:rsidRPr="00793F39">
              <w:rPr>
                <w:rFonts w:asciiTheme="minorHAnsi" w:hAnsiTheme="minorHAnsi"/>
                <w:color w:val="000000"/>
                <w:sz w:val="20"/>
                <w:szCs w:val="20"/>
              </w:rPr>
              <w:t xml:space="preserve"> dient het kabinet de Kamer afschriften te sturen van haar correspondentie met de Europese Commissie over de uitvoering van Europese regelgeving.</w:t>
            </w: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Bijzondere rechtshandelingen</w:t>
            </w:r>
          </w:p>
        </w:tc>
        <w:tc>
          <w:tcPr>
            <w:tcW w:w="6946" w:type="dxa"/>
          </w:tcPr>
          <w:p w:rsidRPr="00793F39" w:rsidR="008A08DC" w:rsidP="00092918" w:rsidRDefault="008A08DC">
            <w:pPr>
              <w:pStyle w:val="Voetnoottekst"/>
              <w:rPr>
                <w:rFonts w:asciiTheme="minorHAnsi" w:hAnsiTheme="minorHAnsi"/>
              </w:rPr>
            </w:pPr>
            <w:r w:rsidRPr="00793F39">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793F39" w:rsidR="008A08DC" w:rsidP="00092918" w:rsidRDefault="008A08DC">
            <w:pPr>
              <w:pStyle w:val="Voetnoottekst"/>
              <w:rPr>
                <w:rFonts w:asciiTheme="minorHAnsi" w:hAnsiTheme="minorHAnsi"/>
              </w:rPr>
            </w:pPr>
          </w:p>
        </w:tc>
        <w:tc>
          <w:tcPr>
            <w:tcW w:w="5103" w:type="dxa"/>
          </w:tcPr>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kabinetsappreciatie (‘BNC-fiche’) vragen, bespreken.</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ambtenaren of Commissaris van Europese Commissie (de ‘auteurs’) uitnodigen voor briefing/gesprek, evt. via videoconferentie</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indien het Europees Parlement een rapporteur heeft aangesteld kan deze desgewenst worden uitgenodigd voor een gesprek.</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uw commissie kan op dit onderwerp een ad-hoc rapporteur benoemen</w:t>
            </w:r>
          </w:p>
          <w:p w:rsidRPr="00793F39" w:rsidR="008A08DC" w:rsidP="00092918" w:rsidRDefault="008A08DC">
            <w:pPr>
              <w:pStyle w:val="Voetnoottekst"/>
              <w:ind w:left="360"/>
              <w:rPr>
                <w:rFonts w:asciiTheme="minorHAnsi" w:hAnsiTheme="minorHAnsi"/>
              </w:rPr>
            </w:pPr>
            <w:r w:rsidRPr="00793F39">
              <w:rPr>
                <w:rFonts w:asciiTheme="minorHAnsi" w:hAnsiTheme="minorHAnsi"/>
              </w:rPr>
              <w:t>nationale wetgevingstraject (i.h.k.v. omzetting van richtlijn naar nationale wetgeving).</w:t>
            </w:r>
          </w:p>
          <w:p w:rsidRPr="00793F39" w:rsidR="00AE0EE3" w:rsidP="00092918" w:rsidRDefault="00AE0EE3">
            <w:pPr>
              <w:pStyle w:val="Voetnoottekst"/>
              <w:ind w:left="360"/>
              <w:rPr>
                <w:rFonts w:asciiTheme="minorHAnsi" w:hAnsiTheme="minorHAnsi"/>
              </w:rPr>
            </w:pPr>
          </w:p>
          <w:p w:rsidRPr="00793F39" w:rsidR="00AE0EE3" w:rsidP="00092918" w:rsidRDefault="00AE0EE3">
            <w:pPr>
              <w:pStyle w:val="Voetnoottekst"/>
              <w:ind w:left="360"/>
              <w:rPr>
                <w:rFonts w:asciiTheme="minorHAnsi" w:hAnsiTheme="minorHAnsi"/>
              </w:rPr>
            </w:pPr>
          </w:p>
        </w:tc>
      </w:tr>
      <w:tr w:rsidRPr="00793F39" w:rsidR="008A08DC" w:rsidTr="00092918">
        <w:tc>
          <w:tcPr>
            <w:tcW w:w="14142" w:type="dxa"/>
            <w:gridSpan w:val="3"/>
          </w:tcPr>
          <w:p w:rsidRPr="00793F39" w:rsidR="008A08DC" w:rsidP="00092918" w:rsidRDefault="008A08DC">
            <w:pPr>
              <w:pStyle w:val="Voetnoottekst"/>
              <w:rPr>
                <w:rFonts w:asciiTheme="minorHAnsi" w:hAnsiTheme="minorHAnsi"/>
                <w:i/>
              </w:rPr>
            </w:pPr>
            <w:r w:rsidRPr="00793F39">
              <w:rPr>
                <w:rFonts w:asciiTheme="minorHAnsi" w:hAnsiTheme="minorHAnsi"/>
                <w:i/>
              </w:rPr>
              <w:lastRenderedPageBreak/>
              <w:t>Niet-bindende handelingen (soft-law)</w:t>
            </w: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Advies, aanbeveling, mededeling</w:t>
            </w:r>
          </w:p>
          <w:p w:rsidRPr="00793F39" w:rsidR="008A08DC" w:rsidP="00092918" w:rsidRDefault="008A08DC">
            <w:pPr>
              <w:jc w:val="right"/>
              <w:rPr>
                <w:rFonts w:asciiTheme="minorHAnsi" w:hAnsiTheme="minorHAnsi"/>
                <w:sz w:val="20"/>
                <w:szCs w:val="20"/>
              </w:rPr>
            </w:pPr>
          </w:p>
          <w:p w:rsidRPr="00793F39" w:rsidR="008A08DC" w:rsidP="00092918" w:rsidRDefault="008A08DC">
            <w:pPr>
              <w:jc w:val="right"/>
              <w:rPr>
                <w:rFonts w:asciiTheme="minorHAnsi" w:hAnsiTheme="minorHAnsi"/>
                <w:sz w:val="20"/>
                <w:szCs w:val="20"/>
              </w:rPr>
            </w:pPr>
          </w:p>
          <w:p w:rsidRPr="00793F39" w:rsidR="008A08DC" w:rsidP="00092918" w:rsidRDefault="008A08DC">
            <w:pPr>
              <w:jc w:val="right"/>
              <w:rPr>
                <w:rFonts w:asciiTheme="minorHAnsi" w:hAnsiTheme="minorHAnsi"/>
                <w:sz w:val="20"/>
                <w:szCs w:val="20"/>
              </w:rPr>
            </w:pPr>
          </w:p>
          <w:p w:rsidRPr="00793F39" w:rsidR="008A08DC" w:rsidP="00092918" w:rsidRDefault="008A08DC">
            <w:pPr>
              <w:jc w:val="right"/>
              <w:rPr>
                <w:rFonts w:asciiTheme="minorHAnsi" w:hAnsiTheme="minorHAnsi"/>
                <w:sz w:val="20"/>
                <w:szCs w:val="20"/>
              </w:rPr>
            </w:pPr>
          </w:p>
          <w:p w:rsidRPr="00793F39" w:rsidR="008A08DC" w:rsidP="00092918" w:rsidRDefault="008A08DC">
            <w:pPr>
              <w:jc w:val="right"/>
              <w:rPr>
                <w:rFonts w:asciiTheme="minorHAnsi" w:hAnsiTheme="minorHAnsi"/>
                <w:sz w:val="20"/>
                <w:szCs w:val="20"/>
              </w:rPr>
            </w:pPr>
          </w:p>
        </w:tc>
        <w:tc>
          <w:tcPr>
            <w:tcW w:w="6946" w:type="dxa"/>
          </w:tcPr>
          <w:p w:rsidRPr="00793F39" w:rsidR="008A08DC" w:rsidP="00092918" w:rsidRDefault="008A08DC">
            <w:pPr>
              <w:pStyle w:val="Voetnoottekst"/>
              <w:spacing w:before="100" w:beforeAutospacing="1" w:after="100" w:afterAutospacing="1"/>
              <w:rPr>
                <w:rFonts w:asciiTheme="minorHAnsi" w:hAnsiTheme="minorHAnsi"/>
              </w:rPr>
            </w:pPr>
            <w:r w:rsidRPr="00793F39">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w:t>
            </w:r>
            <w:r w:rsidRPr="00793F39" w:rsidR="00D537C2">
              <w:rPr>
                <w:rFonts w:asciiTheme="minorHAnsi" w:hAnsiTheme="minorHAnsi"/>
              </w:rPr>
              <w:t xml:space="preserve">juridische </w:t>
            </w:r>
            <w:r w:rsidRPr="00793F39">
              <w:rPr>
                <w:rFonts w:asciiTheme="minorHAnsi" w:hAnsiTheme="minorHAnsi"/>
              </w:rPr>
              <w:t>effect</w:t>
            </w:r>
            <w:r w:rsidRPr="00793F39" w:rsidR="00D537C2">
              <w:rPr>
                <w:rFonts w:asciiTheme="minorHAnsi" w:hAnsiTheme="minorHAnsi"/>
              </w:rPr>
              <w:t>en</w:t>
            </w:r>
            <w:r w:rsidRPr="00793F39">
              <w:rPr>
                <w:rFonts w:asciiTheme="minorHAnsi" w:hAnsiTheme="minorHAnsi"/>
              </w:rPr>
              <w:t xml:space="preserve"> hebben: zo is bijvoorbeeld de Europese Commissie (en soms ook de lidstaten) gebonden aan het eigen beleid. Daarnaast moet bij de toepassing van het ‘harde’ Unierecht gekeken worden naar soft-law. </w:t>
            </w:r>
          </w:p>
        </w:tc>
        <w:tc>
          <w:tcPr>
            <w:tcW w:w="5103" w:type="dxa"/>
          </w:tcPr>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kabinet om appreciatie in de vorm van BNC-fiche verzoeken aangezien over deze categorie niet standaard een fiche wordt gemaakt.</w:t>
            </w:r>
          </w:p>
          <w:p w:rsidRPr="00793F39" w:rsidR="008A08DC" w:rsidP="00092918" w:rsidRDefault="008A08DC">
            <w:pPr>
              <w:pStyle w:val="Voetnoottekst"/>
              <w:rPr>
                <w:rFonts w:asciiTheme="minorHAnsi" w:hAnsiTheme="minorHAnsi"/>
              </w:rPr>
            </w:pPr>
          </w:p>
          <w:p w:rsidRPr="00793F39" w:rsidR="008A08DC" w:rsidP="00092918" w:rsidRDefault="008A08DC">
            <w:pPr>
              <w:pStyle w:val="Voetnoottekst"/>
              <w:rPr>
                <w:rFonts w:asciiTheme="minorHAnsi" w:hAnsiTheme="minorHAnsi"/>
              </w:rPr>
            </w:pPr>
          </w:p>
          <w:p w:rsidRPr="00793F39" w:rsidR="008A08DC" w:rsidP="00092918" w:rsidRDefault="008A08DC">
            <w:pPr>
              <w:pStyle w:val="Voetnoottekst"/>
              <w:rPr>
                <w:rFonts w:asciiTheme="minorHAnsi" w:hAnsiTheme="minorHAnsi"/>
              </w:rPr>
            </w:pPr>
          </w:p>
          <w:p w:rsidRPr="00793F39" w:rsidR="008A08DC" w:rsidP="00092918" w:rsidRDefault="008A08DC">
            <w:pPr>
              <w:pStyle w:val="Voetnoottekst"/>
              <w:rPr>
                <w:rFonts w:asciiTheme="minorHAnsi" w:hAnsiTheme="minorHAnsi"/>
              </w:rPr>
            </w:pPr>
          </w:p>
          <w:p w:rsidRPr="00793F39" w:rsidR="008A08DC" w:rsidP="00092918" w:rsidRDefault="008A08DC">
            <w:pPr>
              <w:pStyle w:val="Voetnoottekst"/>
              <w:rPr>
                <w:rFonts w:asciiTheme="minorHAnsi" w:hAnsiTheme="minorHAnsi"/>
              </w:rPr>
            </w:pPr>
          </w:p>
        </w:tc>
      </w:tr>
      <w:tr w:rsidRPr="00793F39" w:rsidR="008A08DC" w:rsidTr="00092918">
        <w:tc>
          <w:tcPr>
            <w:tcW w:w="14142" w:type="dxa"/>
            <w:gridSpan w:val="3"/>
          </w:tcPr>
          <w:p w:rsidRPr="00793F39" w:rsidR="008A08DC" w:rsidP="00092918" w:rsidRDefault="008A08DC">
            <w:pPr>
              <w:pStyle w:val="Voetnoottekst"/>
              <w:rPr>
                <w:rFonts w:asciiTheme="minorHAnsi" w:hAnsiTheme="minorHAnsi"/>
                <w:i/>
              </w:rPr>
            </w:pPr>
            <w:r w:rsidRPr="00793F39">
              <w:rPr>
                <w:rFonts w:asciiTheme="minorHAnsi" w:hAnsiTheme="minorHAnsi"/>
                <w:i/>
              </w:rPr>
              <w:t xml:space="preserve">Overige handelingen en instrumenten </w:t>
            </w: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 xml:space="preserve">Routekaart, actieplannen, strategie, agenda </w:t>
            </w:r>
          </w:p>
        </w:tc>
        <w:tc>
          <w:tcPr>
            <w:tcW w:w="6946" w:type="dxa"/>
          </w:tcPr>
          <w:p w:rsidRPr="00793F39" w:rsidR="008A08DC" w:rsidP="00092918" w:rsidRDefault="008A08DC">
            <w:pPr>
              <w:pStyle w:val="Voetnoottekst"/>
              <w:rPr>
                <w:rFonts w:asciiTheme="minorHAnsi" w:hAnsiTheme="minorHAnsi"/>
              </w:rPr>
            </w:pPr>
            <w:r w:rsidRPr="00793F39">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793F39">
              <w:rPr>
                <w:rStyle w:val="Zwaar"/>
                <w:rFonts w:cs="Arial" w:asciiTheme="minorHAnsi" w:hAnsiTheme="minorHAnsi"/>
              </w:rPr>
              <w:t>voor nieuwe initiatieven</w:t>
            </w:r>
            <w:r w:rsidRPr="00793F39">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793F39">
              <w:rPr>
                <w:rStyle w:val="Zwaar"/>
                <w:rFonts w:cs="Arial" w:asciiTheme="minorHAnsi" w:hAnsiTheme="minorHAnsi"/>
              </w:rPr>
              <w:t xml:space="preserve"> voor evaluaties en geschiktheidscontroles</w:t>
            </w:r>
            <w:r w:rsidRPr="00793F39">
              <w:rPr>
                <w:rFonts w:cs="Arial" w:asciiTheme="minorHAnsi" w:hAnsiTheme="minorHAnsi"/>
              </w:rPr>
              <w:t xml:space="preserve"> wordt bepaald wat er geëvalueerd moet worden en welke aspecten moeten worden onderzocht. </w:t>
            </w:r>
          </w:p>
        </w:tc>
        <w:tc>
          <w:tcPr>
            <w:tcW w:w="5103" w:type="dxa"/>
          </w:tcPr>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kabinet om appreciatie in de vorm van BNC-fiche verzoeken aangezien over deze categorie niet standaard een fiche wordt gemaakt</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en/of kabinet vragen om NL inzet (per commissiebrief of tijdens algemeen overleg/debat).</w:t>
            </w: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Groen- en witboek</w:t>
            </w:r>
          </w:p>
        </w:tc>
        <w:tc>
          <w:tcPr>
            <w:tcW w:w="6946" w:type="dxa"/>
          </w:tcPr>
          <w:p w:rsidRPr="00793F39" w:rsidR="008A08DC" w:rsidP="00092918" w:rsidRDefault="008A08DC">
            <w:pPr>
              <w:pStyle w:val="Voetnoottekst"/>
              <w:rPr>
                <w:rFonts w:asciiTheme="minorHAnsi" w:hAnsiTheme="minorHAnsi"/>
              </w:rPr>
            </w:pPr>
            <w:r w:rsidRPr="00793F39">
              <w:rPr>
                <w:rFonts w:asciiTheme="minorHAnsi" w:hAnsiTheme="minorHAnsi"/>
              </w:rPr>
              <w:t xml:space="preserve">Groenboek: een discussiestuk, waarmee de Europese Commissie de stand van zaken inventariseert omtrent een onderwerp. Ook doet ze aanbevelingen voor nieuw beleid. </w:t>
            </w:r>
          </w:p>
          <w:p w:rsidRPr="00793F39" w:rsidR="008A08DC" w:rsidP="00092918" w:rsidRDefault="008A08DC">
            <w:pPr>
              <w:pStyle w:val="Voetnoottekst"/>
              <w:rPr>
                <w:rFonts w:asciiTheme="minorHAnsi" w:hAnsiTheme="minorHAnsi"/>
              </w:rPr>
            </w:pPr>
          </w:p>
          <w:p w:rsidRPr="00793F39" w:rsidR="008A08DC" w:rsidP="00092918" w:rsidRDefault="008A08DC">
            <w:pPr>
              <w:pStyle w:val="Voetnoottekst"/>
              <w:rPr>
                <w:rFonts w:asciiTheme="minorHAnsi" w:hAnsiTheme="minorHAnsi"/>
              </w:rPr>
            </w:pPr>
            <w:r w:rsidRPr="00793F39">
              <w:rPr>
                <w:rFonts w:asciiTheme="minorHAnsi" w:hAnsiTheme="minorHAnsi"/>
              </w:rPr>
              <w:t>Witboek: hierin zet de Europese Commissie uiteen hoe zij bepaalde doelen wil bereiken. Vaak worden in een witboek al concrete voorstellen uitgewerkt en toegelicht.</w:t>
            </w:r>
          </w:p>
          <w:p w:rsidRPr="00793F39" w:rsidR="008A08DC" w:rsidP="00092918" w:rsidRDefault="008A08DC">
            <w:pPr>
              <w:pStyle w:val="Voetnoottekst"/>
              <w:rPr>
                <w:rFonts w:asciiTheme="minorHAnsi" w:hAnsiTheme="minorHAnsi"/>
              </w:rPr>
            </w:pPr>
            <w:r w:rsidRPr="00793F39">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desgewenst ambtenaren EC of Europees Commissaris uitnodigen voor een toelichting.</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in commissieverband (via schriftelijke inbreng in de vorm van een politieke dialoog) of als lid, burger of via fracties een reactie sturen aan de Europese Commissie.</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Openbare raadpleging (consultatie)</w:t>
            </w:r>
          </w:p>
        </w:tc>
        <w:tc>
          <w:tcPr>
            <w:tcW w:w="6946" w:type="dxa"/>
          </w:tcPr>
          <w:p w:rsidRPr="00793F39" w:rsidR="008A08DC" w:rsidP="00092918" w:rsidRDefault="008A08DC">
            <w:pPr>
              <w:pStyle w:val="Voetnoottekst"/>
              <w:spacing w:before="100" w:beforeAutospacing="1" w:after="100" w:afterAutospacing="1"/>
              <w:rPr>
                <w:rFonts w:asciiTheme="minorHAnsi" w:hAnsiTheme="minorHAnsi"/>
              </w:rPr>
            </w:pPr>
            <w:r w:rsidRPr="00793F39">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793F39">
                <w:rPr>
                  <w:rStyle w:val="Hyperlink"/>
                  <w:rFonts w:asciiTheme="minorHAnsi" w:hAnsiTheme="minorHAnsi"/>
                </w:rPr>
                <w:t>Bekijk alle openbare raadplegingen op "Uw stem in Europa"</w:t>
              </w:r>
            </w:hyperlink>
            <w:r w:rsidRPr="00793F39">
              <w:rPr>
                <w:rFonts w:asciiTheme="minorHAnsi" w:hAnsiTheme="minorHAnsi"/>
              </w:rPr>
              <w:t xml:space="preserve"> . </w:t>
            </w:r>
          </w:p>
        </w:tc>
        <w:tc>
          <w:tcPr>
            <w:tcW w:w="5103" w:type="dxa"/>
          </w:tcPr>
          <w:p w:rsidRPr="00793F39" w:rsidR="008A08DC" w:rsidP="008A08DC" w:rsidRDefault="008A08DC">
            <w:pPr>
              <w:pStyle w:val="Voetnoottekst"/>
              <w:numPr>
                <w:ilvl w:val="0"/>
                <w:numId w:val="4"/>
              </w:numPr>
              <w:autoSpaceDE w:val="0"/>
              <w:autoSpaceDN w:val="0"/>
              <w:rPr>
                <w:rFonts w:asciiTheme="minorHAnsi" w:hAnsiTheme="minorHAnsi"/>
              </w:rPr>
            </w:pPr>
            <w:r w:rsidRPr="00793F39">
              <w:rPr>
                <w:rFonts w:asciiTheme="minorHAnsi" w:hAnsiTheme="minorHAnsi"/>
              </w:rPr>
              <w:t>als burger, lid, fractie of in commissieverband (via schriftelijke inbreng in de vorm van een politieke dialoog). meedoen aan de openbare raadpleging.</w:t>
            </w:r>
          </w:p>
          <w:p w:rsidRPr="00793F39" w:rsidR="008A08DC" w:rsidP="008A08DC" w:rsidRDefault="008A08DC">
            <w:pPr>
              <w:pStyle w:val="Voetnoottekst"/>
              <w:numPr>
                <w:ilvl w:val="0"/>
                <w:numId w:val="4"/>
              </w:numPr>
              <w:autoSpaceDE w:val="0"/>
              <w:autoSpaceDN w:val="0"/>
              <w:rPr>
                <w:rFonts w:asciiTheme="minorHAnsi" w:hAnsiTheme="minorHAnsi"/>
              </w:rPr>
            </w:pPr>
            <w:r w:rsidRPr="00793F39">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793F39" w:rsidR="008A08DC" w:rsidP="008A08DC" w:rsidRDefault="008A08DC">
            <w:pPr>
              <w:pStyle w:val="Voetnoottekst"/>
              <w:numPr>
                <w:ilvl w:val="0"/>
                <w:numId w:val="4"/>
              </w:numPr>
              <w:autoSpaceDE w:val="0"/>
              <w:autoSpaceDN w:val="0"/>
              <w:rPr>
                <w:rFonts w:asciiTheme="minorHAnsi" w:hAnsiTheme="minorHAnsi"/>
              </w:rPr>
            </w:pPr>
            <w:r w:rsidRPr="00793F39">
              <w:rPr>
                <w:rFonts w:asciiTheme="minorHAnsi" w:hAnsiTheme="minorHAnsi"/>
              </w:rPr>
              <w:t>de Kamer ontvangt krachtens de standaard-informatieafspraken de definitieve kabinetsreactie op alle consultaties van de Europese Commissie waarop het kabinet reageert.</w:t>
            </w:r>
          </w:p>
        </w:tc>
      </w:tr>
      <w:tr w:rsidRPr="00793F39" w:rsidR="008A08DC" w:rsidTr="00092918">
        <w:tc>
          <w:tcPr>
            <w:tcW w:w="14142" w:type="dxa"/>
            <w:gridSpan w:val="3"/>
          </w:tcPr>
          <w:p w:rsidRPr="00793F39" w:rsidR="008A08DC" w:rsidP="00092918" w:rsidRDefault="008A08DC">
            <w:pPr>
              <w:pStyle w:val="Voetnoottekst"/>
              <w:rPr>
                <w:rFonts w:asciiTheme="minorHAnsi" w:hAnsiTheme="minorHAnsi"/>
                <w:i/>
              </w:rPr>
            </w:pPr>
            <w:r w:rsidRPr="00793F39">
              <w:rPr>
                <w:rFonts w:asciiTheme="minorHAnsi" w:hAnsiTheme="minorHAnsi"/>
                <w:i/>
              </w:rPr>
              <w:t>Uitgelicht: twee specifieke parlementaire instrumenten bij nieuw gepubliceerde EU-voorstellen</w:t>
            </w: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 xml:space="preserve">Subsidiariteitstoets </w:t>
            </w:r>
          </w:p>
          <w:p w:rsidRPr="00793F39" w:rsidR="008A08DC" w:rsidP="00092918" w:rsidRDefault="008A08DC">
            <w:pPr>
              <w:pStyle w:val="Voetnoottekst"/>
              <w:rPr>
                <w:rFonts w:asciiTheme="minorHAnsi" w:hAnsiTheme="minorHAnsi"/>
              </w:rPr>
            </w:pPr>
            <w:r w:rsidRPr="00793F39">
              <w:rPr>
                <w:rFonts w:asciiTheme="minorHAnsi" w:hAnsiTheme="minorHAnsi"/>
              </w:rPr>
              <w:t>(richting EU)</w:t>
            </w:r>
          </w:p>
        </w:tc>
        <w:tc>
          <w:tcPr>
            <w:tcW w:w="6946" w:type="dxa"/>
          </w:tcPr>
          <w:p w:rsidRPr="00793F39" w:rsidR="008A08DC" w:rsidP="00092918" w:rsidRDefault="008A08DC">
            <w:pPr>
              <w:pStyle w:val="Lijstalinea"/>
              <w:ind w:left="0"/>
              <w:rPr>
                <w:rFonts w:asciiTheme="minorHAnsi" w:hAnsiTheme="minorHAnsi"/>
                <w:sz w:val="20"/>
                <w:szCs w:val="20"/>
              </w:rPr>
            </w:pPr>
            <w:r w:rsidRPr="00793F39">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793F39">
              <w:rPr>
                <w:rFonts w:asciiTheme="minorHAnsi" w:hAnsiTheme="minorHAnsi" w:cstheme="minorHAnsi"/>
                <w:color w:val="000000" w:themeColor="text1"/>
                <w:sz w:val="20"/>
                <w:szCs w:val="20"/>
              </w:rPr>
              <w:t>Elk parlement krijgt 2 stemmen, maar bij een bicameraal stelsel, zoals in Nederland, krijgt elke kamer 1 stem</w:t>
            </w:r>
            <w:r w:rsidRPr="00793F39">
              <w:rPr>
                <w:rFonts w:asciiTheme="minorHAnsi" w:hAnsiTheme="minorHAnsi"/>
                <w:sz w:val="20"/>
                <w:szCs w:val="20"/>
              </w:rPr>
              <w:t>.</w:t>
            </w:r>
            <w:r w:rsidRPr="00793F39">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kabinetsappreciatie (‘BNC-fiche’) komt voor aangekondigde subsidiariteitstoetsen binnen drie weken t.b.v. een snelle behandeling.</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 xml:space="preserve">met andere parlementen in overleg treden t.b.v. behalen meerderheid voor ’gele kaart’ (1/3 stemmen) via parlementaire vertegenwoordiging en/of fractielijnen. </w:t>
            </w:r>
          </w:p>
        </w:tc>
      </w:tr>
      <w:tr w:rsidRPr="00793F39" w:rsidR="008A08DC" w:rsidTr="00092918">
        <w:tc>
          <w:tcPr>
            <w:tcW w:w="2093" w:type="dxa"/>
          </w:tcPr>
          <w:p w:rsidRPr="00793F39" w:rsidR="008A08DC" w:rsidP="00092918" w:rsidRDefault="008A08DC">
            <w:pPr>
              <w:pStyle w:val="Voetnoottekst"/>
              <w:rPr>
                <w:rFonts w:asciiTheme="minorHAnsi" w:hAnsiTheme="minorHAnsi"/>
              </w:rPr>
            </w:pPr>
            <w:r w:rsidRPr="00793F39">
              <w:rPr>
                <w:rFonts w:asciiTheme="minorHAnsi" w:hAnsiTheme="minorHAnsi"/>
              </w:rPr>
              <w:t>Behandel-voorbehoud (richting regering)</w:t>
            </w:r>
          </w:p>
        </w:tc>
        <w:tc>
          <w:tcPr>
            <w:tcW w:w="6946" w:type="dxa"/>
          </w:tcPr>
          <w:p w:rsidRPr="00793F39" w:rsidR="008A08DC" w:rsidP="00092918" w:rsidRDefault="008A08DC">
            <w:pPr>
              <w:pStyle w:val="Lijstalinea"/>
              <w:ind w:left="34"/>
              <w:rPr>
                <w:rFonts w:asciiTheme="minorHAnsi" w:hAnsiTheme="minorHAnsi"/>
                <w:sz w:val="20"/>
                <w:szCs w:val="20"/>
              </w:rPr>
            </w:pPr>
            <w:r w:rsidRPr="00793F39">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bij wetgevende EU-voorstellen kan een commissie besluiten tot het uitvoeren van een zgn. ‘behandelvoorbehoud’. Over deze brief moet plenair gestemd worden (let op de termijnen).</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tijdens een speciaal overleg kan de commissie afspraken maken over informatieverstrekking (bv. in kwartaalrapportages) zolang het desbetreffende dossier in onderhandeling is.</w:t>
            </w:r>
          </w:p>
          <w:p w:rsidRPr="00793F39" w:rsidR="008A08DC" w:rsidP="008A08DC" w:rsidRDefault="008A08DC">
            <w:pPr>
              <w:pStyle w:val="Voetnoottekst"/>
              <w:numPr>
                <w:ilvl w:val="0"/>
                <w:numId w:val="4"/>
              </w:numPr>
              <w:rPr>
                <w:rFonts w:asciiTheme="minorHAnsi" w:hAnsiTheme="minorHAnsi"/>
              </w:rPr>
            </w:pPr>
            <w:r w:rsidRPr="00793F39">
              <w:rPr>
                <w:rFonts w:asciiTheme="minorHAnsi" w:hAnsiTheme="minorHAnsi"/>
              </w:rPr>
              <w:t>kabinetsappreciatie (‘BNC-fiche’) komt voor aangekondigde behandelvoorbehouden binnen drie weken t.b.v. een snelle behandeling.</w:t>
            </w:r>
          </w:p>
          <w:p w:rsidRPr="00793F39" w:rsidR="008A08DC" w:rsidP="00092918" w:rsidRDefault="008A08DC">
            <w:pPr>
              <w:pStyle w:val="Voetnoottekst"/>
              <w:rPr>
                <w:rFonts w:asciiTheme="minorHAnsi" w:hAnsiTheme="minorHAnsi"/>
              </w:rPr>
            </w:pPr>
          </w:p>
        </w:tc>
      </w:tr>
    </w:tbl>
    <w:p w:rsidRPr="00793F39" w:rsidR="008A08DC" w:rsidP="00686D97" w:rsidRDefault="008A08DC">
      <w:pPr>
        <w:pStyle w:val="Voetnoottekst"/>
        <w:rPr>
          <w:rFonts w:asciiTheme="minorHAnsi" w:hAnsiTheme="minorHAnsi"/>
        </w:rPr>
      </w:pPr>
    </w:p>
    <w:sectPr w:rsidRPr="00793F39" w:rsidR="008A08DC" w:rsidSect="00BF35EE">
      <w:footerReference w:type="default" r:id="rId14"/>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51" w:rsidRDefault="00121851">
      <w:r>
        <w:separator/>
      </w:r>
    </w:p>
  </w:endnote>
  <w:endnote w:type="continuationSeparator" w:id="0">
    <w:p w:rsidR="00121851" w:rsidRDefault="0012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B0346F">
          <w:rPr>
            <w:rFonts w:asciiTheme="minorHAnsi" w:hAnsiTheme="minorHAnsi"/>
            <w:noProof/>
            <w:sz w:val="22"/>
            <w:szCs w:val="22"/>
          </w:rPr>
          <w:t>2</w:t>
        </w:r>
        <w:r w:rsidRPr="00BF35EE">
          <w:rPr>
            <w:rFonts w:asciiTheme="minorHAnsi" w:hAnsiTheme="minorHAnsi"/>
            <w:sz w:val="22"/>
            <w:szCs w:val="22"/>
          </w:rPr>
          <w:fldChar w:fldCharType="end"/>
        </w:r>
      </w:p>
    </w:sdtContent>
  </w:sdt>
  <w:p w:rsidR="00BF35EE" w:rsidRDefault="00B034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51" w:rsidRDefault="00121851">
      <w:r>
        <w:separator/>
      </w:r>
    </w:p>
  </w:footnote>
  <w:footnote w:type="continuationSeparator" w:id="0">
    <w:p w:rsidR="00121851" w:rsidRDefault="00121851">
      <w:r>
        <w:continuationSeparator/>
      </w:r>
    </w:p>
  </w:footnote>
  <w:footnote w:id="1">
    <w:p w:rsidR="008A08DC" w:rsidRPr="00B45904" w:rsidRDefault="008A08DC" w:rsidP="008A08DC">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554"/>
    <w:rsid w:val="00010912"/>
    <w:rsid w:val="000125DF"/>
    <w:rsid w:val="00013143"/>
    <w:rsid w:val="000267C8"/>
    <w:rsid w:val="00027885"/>
    <w:rsid w:val="00031022"/>
    <w:rsid w:val="000310BC"/>
    <w:rsid w:val="000336F8"/>
    <w:rsid w:val="00040525"/>
    <w:rsid w:val="00045A71"/>
    <w:rsid w:val="00056596"/>
    <w:rsid w:val="000640EF"/>
    <w:rsid w:val="00066526"/>
    <w:rsid w:val="00082F51"/>
    <w:rsid w:val="00083E48"/>
    <w:rsid w:val="00087839"/>
    <w:rsid w:val="0009137E"/>
    <w:rsid w:val="000A148F"/>
    <w:rsid w:val="000A4BC4"/>
    <w:rsid w:val="000A6D87"/>
    <w:rsid w:val="000A7DE7"/>
    <w:rsid w:val="000B3DF2"/>
    <w:rsid w:val="000C2965"/>
    <w:rsid w:val="000C7FB3"/>
    <w:rsid w:val="000D0355"/>
    <w:rsid w:val="000D2FF3"/>
    <w:rsid w:val="000D7445"/>
    <w:rsid w:val="000E223F"/>
    <w:rsid w:val="000E5473"/>
    <w:rsid w:val="000F26C9"/>
    <w:rsid w:val="001032D1"/>
    <w:rsid w:val="001112D3"/>
    <w:rsid w:val="0011693F"/>
    <w:rsid w:val="00121851"/>
    <w:rsid w:val="001412CA"/>
    <w:rsid w:val="00143A59"/>
    <w:rsid w:val="0014513C"/>
    <w:rsid w:val="00146E06"/>
    <w:rsid w:val="001508A3"/>
    <w:rsid w:val="00151AFF"/>
    <w:rsid w:val="00151BEC"/>
    <w:rsid w:val="00151C20"/>
    <w:rsid w:val="00152ECE"/>
    <w:rsid w:val="001644C0"/>
    <w:rsid w:val="00164DC2"/>
    <w:rsid w:val="00175F69"/>
    <w:rsid w:val="0018120D"/>
    <w:rsid w:val="00183D32"/>
    <w:rsid w:val="00191D53"/>
    <w:rsid w:val="001A0790"/>
    <w:rsid w:val="001A2ABC"/>
    <w:rsid w:val="001B6916"/>
    <w:rsid w:val="001C5200"/>
    <w:rsid w:val="001D48F0"/>
    <w:rsid w:val="001D4D1A"/>
    <w:rsid w:val="001D6711"/>
    <w:rsid w:val="001D70C0"/>
    <w:rsid w:val="001E03FA"/>
    <w:rsid w:val="001F035B"/>
    <w:rsid w:val="00204519"/>
    <w:rsid w:val="00206A94"/>
    <w:rsid w:val="00207E0A"/>
    <w:rsid w:val="00207FB6"/>
    <w:rsid w:val="0021128B"/>
    <w:rsid w:val="00211A0C"/>
    <w:rsid w:val="00214726"/>
    <w:rsid w:val="00214F82"/>
    <w:rsid w:val="00220CB6"/>
    <w:rsid w:val="002237B8"/>
    <w:rsid w:val="002239AA"/>
    <w:rsid w:val="0022650B"/>
    <w:rsid w:val="00227AEF"/>
    <w:rsid w:val="00234B62"/>
    <w:rsid w:val="00237CCE"/>
    <w:rsid w:val="0025196B"/>
    <w:rsid w:val="00261553"/>
    <w:rsid w:val="00270661"/>
    <w:rsid w:val="00272A2E"/>
    <w:rsid w:val="00272EA2"/>
    <w:rsid w:val="002741CA"/>
    <w:rsid w:val="00284430"/>
    <w:rsid w:val="002856AB"/>
    <w:rsid w:val="00291471"/>
    <w:rsid w:val="00291AF0"/>
    <w:rsid w:val="002A1234"/>
    <w:rsid w:val="002A628E"/>
    <w:rsid w:val="002C3757"/>
    <w:rsid w:val="002C4AAE"/>
    <w:rsid w:val="002C551F"/>
    <w:rsid w:val="002C7DA8"/>
    <w:rsid w:val="002D2505"/>
    <w:rsid w:val="002D776B"/>
    <w:rsid w:val="002E1447"/>
    <w:rsid w:val="002E50E7"/>
    <w:rsid w:val="002E594C"/>
    <w:rsid w:val="002F61B8"/>
    <w:rsid w:val="002F74EE"/>
    <w:rsid w:val="002F759F"/>
    <w:rsid w:val="003110DC"/>
    <w:rsid w:val="00316089"/>
    <w:rsid w:val="003331EC"/>
    <w:rsid w:val="003361FC"/>
    <w:rsid w:val="00342728"/>
    <w:rsid w:val="0034461A"/>
    <w:rsid w:val="0035394F"/>
    <w:rsid w:val="0036062C"/>
    <w:rsid w:val="00361ABE"/>
    <w:rsid w:val="00364569"/>
    <w:rsid w:val="00366803"/>
    <w:rsid w:val="0037117F"/>
    <w:rsid w:val="003751C4"/>
    <w:rsid w:val="00376374"/>
    <w:rsid w:val="00382DD4"/>
    <w:rsid w:val="00383C6C"/>
    <w:rsid w:val="003853E5"/>
    <w:rsid w:val="00390714"/>
    <w:rsid w:val="00393EE8"/>
    <w:rsid w:val="003A0957"/>
    <w:rsid w:val="003A218B"/>
    <w:rsid w:val="003B10DC"/>
    <w:rsid w:val="003C0D55"/>
    <w:rsid w:val="003C35BA"/>
    <w:rsid w:val="003C3E53"/>
    <w:rsid w:val="003C5F1E"/>
    <w:rsid w:val="003D5694"/>
    <w:rsid w:val="0040544B"/>
    <w:rsid w:val="00405C96"/>
    <w:rsid w:val="004115AF"/>
    <w:rsid w:val="004149FC"/>
    <w:rsid w:val="00423082"/>
    <w:rsid w:val="00427F1A"/>
    <w:rsid w:val="00431C6C"/>
    <w:rsid w:val="00452369"/>
    <w:rsid w:val="00454C0B"/>
    <w:rsid w:val="00454E4E"/>
    <w:rsid w:val="0045788F"/>
    <w:rsid w:val="00460B45"/>
    <w:rsid w:val="00463A1D"/>
    <w:rsid w:val="00463CF3"/>
    <w:rsid w:val="00475F81"/>
    <w:rsid w:val="00490A3C"/>
    <w:rsid w:val="00494123"/>
    <w:rsid w:val="004A0EF7"/>
    <w:rsid w:val="004B006B"/>
    <w:rsid w:val="004B0BFC"/>
    <w:rsid w:val="004B35B7"/>
    <w:rsid w:val="004C66FB"/>
    <w:rsid w:val="004C7A6A"/>
    <w:rsid w:val="004E7DFB"/>
    <w:rsid w:val="004F231F"/>
    <w:rsid w:val="004F4196"/>
    <w:rsid w:val="004F6997"/>
    <w:rsid w:val="00514B7E"/>
    <w:rsid w:val="00515857"/>
    <w:rsid w:val="00516474"/>
    <w:rsid w:val="00517B90"/>
    <w:rsid w:val="00520157"/>
    <w:rsid w:val="005245D4"/>
    <w:rsid w:val="00534004"/>
    <w:rsid w:val="00537140"/>
    <w:rsid w:val="0054232E"/>
    <w:rsid w:val="0055022E"/>
    <w:rsid w:val="00553D57"/>
    <w:rsid w:val="00572CB7"/>
    <w:rsid w:val="00573B74"/>
    <w:rsid w:val="00575D2D"/>
    <w:rsid w:val="00576674"/>
    <w:rsid w:val="00586FBB"/>
    <w:rsid w:val="00591220"/>
    <w:rsid w:val="005963C0"/>
    <w:rsid w:val="005A072A"/>
    <w:rsid w:val="005A439F"/>
    <w:rsid w:val="005A64ED"/>
    <w:rsid w:val="005A7BC7"/>
    <w:rsid w:val="005B14A6"/>
    <w:rsid w:val="005D0375"/>
    <w:rsid w:val="005D363F"/>
    <w:rsid w:val="005D7885"/>
    <w:rsid w:val="005E65C2"/>
    <w:rsid w:val="006001E6"/>
    <w:rsid w:val="0060216D"/>
    <w:rsid w:val="006125BD"/>
    <w:rsid w:val="006247A5"/>
    <w:rsid w:val="006451FC"/>
    <w:rsid w:val="00646961"/>
    <w:rsid w:val="00647DAC"/>
    <w:rsid w:val="00647E2A"/>
    <w:rsid w:val="006659D9"/>
    <w:rsid w:val="006706BC"/>
    <w:rsid w:val="00674C7B"/>
    <w:rsid w:val="00683169"/>
    <w:rsid w:val="00685D1B"/>
    <w:rsid w:val="00686D97"/>
    <w:rsid w:val="006A3426"/>
    <w:rsid w:val="006A6743"/>
    <w:rsid w:val="006B2CCC"/>
    <w:rsid w:val="006C723A"/>
    <w:rsid w:val="006C7264"/>
    <w:rsid w:val="006C7983"/>
    <w:rsid w:val="006E1686"/>
    <w:rsid w:val="006E499A"/>
    <w:rsid w:val="006E49FF"/>
    <w:rsid w:val="006E6A0A"/>
    <w:rsid w:val="006F31BB"/>
    <w:rsid w:val="006F3C3F"/>
    <w:rsid w:val="00700FAC"/>
    <w:rsid w:val="00703D1F"/>
    <w:rsid w:val="0070507A"/>
    <w:rsid w:val="00707885"/>
    <w:rsid w:val="00711AA7"/>
    <w:rsid w:val="007177EF"/>
    <w:rsid w:val="007239DF"/>
    <w:rsid w:val="00730927"/>
    <w:rsid w:val="007429C3"/>
    <w:rsid w:val="0074444B"/>
    <w:rsid w:val="007529D4"/>
    <w:rsid w:val="0075559E"/>
    <w:rsid w:val="00756636"/>
    <w:rsid w:val="00761EB1"/>
    <w:rsid w:val="007802EE"/>
    <w:rsid w:val="00783511"/>
    <w:rsid w:val="00793F39"/>
    <w:rsid w:val="00795C57"/>
    <w:rsid w:val="007960E0"/>
    <w:rsid w:val="007A4F5B"/>
    <w:rsid w:val="007A5611"/>
    <w:rsid w:val="007B2A1D"/>
    <w:rsid w:val="007B44D7"/>
    <w:rsid w:val="007B5049"/>
    <w:rsid w:val="007C183E"/>
    <w:rsid w:val="007C42C8"/>
    <w:rsid w:val="007C4AF0"/>
    <w:rsid w:val="007D3B71"/>
    <w:rsid w:val="007D54AA"/>
    <w:rsid w:val="007E1127"/>
    <w:rsid w:val="007F387D"/>
    <w:rsid w:val="007F39C1"/>
    <w:rsid w:val="007F67A8"/>
    <w:rsid w:val="00804E2F"/>
    <w:rsid w:val="008121D9"/>
    <w:rsid w:val="008122A1"/>
    <w:rsid w:val="0082198B"/>
    <w:rsid w:val="0082556D"/>
    <w:rsid w:val="00827F25"/>
    <w:rsid w:val="00833E69"/>
    <w:rsid w:val="00835554"/>
    <w:rsid w:val="008379F7"/>
    <w:rsid w:val="00845D7F"/>
    <w:rsid w:val="008510D2"/>
    <w:rsid w:val="00862411"/>
    <w:rsid w:val="008648A0"/>
    <w:rsid w:val="00874D93"/>
    <w:rsid w:val="0088310D"/>
    <w:rsid w:val="00892EA6"/>
    <w:rsid w:val="0089505B"/>
    <w:rsid w:val="0089570A"/>
    <w:rsid w:val="008979BE"/>
    <w:rsid w:val="008A08DC"/>
    <w:rsid w:val="008A0FEB"/>
    <w:rsid w:val="008B1CA8"/>
    <w:rsid w:val="008B2867"/>
    <w:rsid w:val="008B6E56"/>
    <w:rsid w:val="008D12A7"/>
    <w:rsid w:val="008D3B24"/>
    <w:rsid w:val="008D541F"/>
    <w:rsid w:val="008E54A7"/>
    <w:rsid w:val="008E7F34"/>
    <w:rsid w:val="00905E58"/>
    <w:rsid w:val="00910D25"/>
    <w:rsid w:val="0092246C"/>
    <w:rsid w:val="00922E6A"/>
    <w:rsid w:val="00927087"/>
    <w:rsid w:val="00932D5A"/>
    <w:rsid w:val="00937CB1"/>
    <w:rsid w:val="0094620E"/>
    <w:rsid w:val="00954ABD"/>
    <w:rsid w:val="00960E22"/>
    <w:rsid w:val="00960F0F"/>
    <w:rsid w:val="00961526"/>
    <w:rsid w:val="00966EE3"/>
    <w:rsid w:val="009728B6"/>
    <w:rsid w:val="0097599C"/>
    <w:rsid w:val="00981E16"/>
    <w:rsid w:val="009825E1"/>
    <w:rsid w:val="0098439F"/>
    <w:rsid w:val="00990E31"/>
    <w:rsid w:val="009958DE"/>
    <w:rsid w:val="009A0714"/>
    <w:rsid w:val="009A0C20"/>
    <w:rsid w:val="009A2AA8"/>
    <w:rsid w:val="009A6E76"/>
    <w:rsid w:val="009C7876"/>
    <w:rsid w:val="009D3D79"/>
    <w:rsid w:val="009E4EE2"/>
    <w:rsid w:val="00A0245D"/>
    <w:rsid w:val="00A12462"/>
    <w:rsid w:val="00A133C5"/>
    <w:rsid w:val="00A15487"/>
    <w:rsid w:val="00A15542"/>
    <w:rsid w:val="00A163C5"/>
    <w:rsid w:val="00A2074A"/>
    <w:rsid w:val="00A24F6C"/>
    <w:rsid w:val="00A30CF0"/>
    <w:rsid w:val="00A3717E"/>
    <w:rsid w:val="00A37C55"/>
    <w:rsid w:val="00A40207"/>
    <w:rsid w:val="00A40870"/>
    <w:rsid w:val="00A418AE"/>
    <w:rsid w:val="00A41F64"/>
    <w:rsid w:val="00A44E9F"/>
    <w:rsid w:val="00A45C8B"/>
    <w:rsid w:val="00A47D74"/>
    <w:rsid w:val="00A62907"/>
    <w:rsid w:val="00A643EE"/>
    <w:rsid w:val="00A66B6F"/>
    <w:rsid w:val="00A66EEE"/>
    <w:rsid w:val="00A70586"/>
    <w:rsid w:val="00A762AC"/>
    <w:rsid w:val="00A7766A"/>
    <w:rsid w:val="00A824A7"/>
    <w:rsid w:val="00A874E5"/>
    <w:rsid w:val="00A91CAE"/>
    <w:rsid w:val="00A94D6C"/>
    <w:rsid w:val="00AA08E5"/>
    <w:rsid w:val="00AA224C"/>
    <w:rsid w:val="00AA2605"/>
    <w:rsid w:val="00AB1FA1"/>
    <w:rsid w:val="00AB7DCF"/>
    <w:rsid w:val="00AB7F45"/>
    <w:rsid w:val="00AD0BC9"/>
    <w:rsid w:val="00AD0BE3"/>
    <w:rsid w:val="00AD1849"/>
    <w:rsid w:val="00AD19EF"/>
    <w:rsid w:val="00AD3AF5"/>
    <w:rsid w:val="00AD617F"/>
    <w:rsid w:val="00AE0EE3"/>
    <w:rsid w:val="00B0346F"/>
    <w:rsid w:val="00B07015"/>
    <w:rsid w:val="00B0726E"/>
    <w:rsid w:val="00B118FB"/>
    <w:rsid w:val="00B2098B"/>
    <w:rsid w:val="00B2185A"/>
    <w:rsid w:val="00B226EE"/>
    <w:rsid w:val="00B24174"/>
    <w:rsid w:val="00B30C96"/>
    <w:rsid w:val="00B320F4"/>
    <w:rsid w:val="00B449B1"/>
    <w:rsid w:val="00B5078C"/>
    <w:rsid w:val="00B519A0"/>
    <w:rsid w:val="00B560F5"/>
    <w:rsid w:val="00B62481"/>
    <w:rsid w:val="00B63933"/>
    <w:rsid w:val="00B648AB"/>
    <w:rsid w:val="00B666CA"/>
    <w:rsid w:val="00B6759A"/>
    <w:rsid w:val="00B70DB1"/>
    <w:rsid w:val="00B712B8"/>
    <w:rsid w:val="00B77F86"/>
    <w:rsid w:val="00B823EF"/>
    <w:rsid w:val="00B84A83"/>
    <w:rsid w:val="00B866B6"/>
    <w:rsid w:val="00B907D2"/>
    <w:rsid w:val="00B9712A"/>
    <w:rsid w:val="00BA0F05"/>
    <w:rsid w:val="00BA37B0"/>
    <w:rsid w:val="00BA4987"/>
    <w:rsid w:val="00BA78B2"/>
    <w:rsid w:val="00BB69C8"/>
    <w:rsid w:val="00BB6D78"/>
    <w:rsid w:val="00BB77C1"/>
    <w:rsid w:val="00BC2AEB"/>
    <w:rsid w:val="00BC3830"/>
    <w:rsid w:val="00BC40E5"/>
    <w:rsid w:val="00BD4B9C"/>
    <w:rsid w:val="00BD6B9A"/>
    <w:rsid w:val="00BD7BD9"/>
    <w:rsid w:val="00BE2CD4"/>
    <w:rsid w:val="00BE6656"/>
    <w:rsid w:val="00BE7508"/>
    <w:rsid w:val="00BF2F9F"/>
    <w:rsid w:val="00BF3135"/>
    <w:rsid w:val="00BF490F"/>
    <w:rsid w:val="00C02160"/>
    <w:rsid w:val="00C02EA8"/>
    <w:rsid w:val="00C14EF7"/>
    <w:rsid w:val="00C15693"/>
    <w:rsid w:val="00C17EB1"/>
    <w:rsid w:val="00C22387"/>
    <w:rsid w:val="00C30B39"/>
    <w:rsid w:val="00C3493D"/>
    <w:rsid w:val="00C3551E"/>
    <w:rsid w:val="00C52855"/>
    <w:rsid w:val="00C5611A"/>
    <w:rsid w:val="00C56293"/>
    <w:rsid w:val="00C65131"/>
    <w:rsid w:val="00C70D97"/>
    <w:rsid w:val="00C70F70"/>
    <w:rsid w:val="00C72E42"/>
    <w:rsid w:val="00C753CD"/>
    <w:rsid w:val="00C75FBB"/>
    <w:rsid w:val="00C939E9"/>
    <w:rsid w:val="00C94390"/>
    <w:rsid w:val="00C945EA"/>
    <w:rsid w:val="00C9509A"/>
    <w:rsid w:val="00CA03D2"/>
    <w:rsid w:val="00CA2A4A"/>
    <w:rsid w:val="00CA4EE1"/>
    <w:rsid w:val="00CB10E0"/>
    <w:rsid w:val="00CB2AD6"/>
    <w:rsid w:val="00CB3838"/>
    <w:rsid w:val="00CB51CB"/>
    <w:rsid w:val="00CB5ED8"/>
    <w:rsid w:val="00CC23E5"/>
    <w:rsid w:val="00CC706D"/>
    <w:rsid w:val="00CE0561"/>
    <w:rsid w:val="00CE0C5F"/>
    <w:rsid w:val="00CF1187"/>
    <w:rsid w:val="00CF719D"/>
    <w:rsid w:val="00CF7E87"/>
    <w:rsid w:val="00D02E63"/>
    <w:rsid w:val="00D051FA"/>
    <w:rsid w:val="00D1136D"/>
    <w:rsid w:val="00D1206B"/>
    <w:rsid w:val="00D1255D"/>
    <w:rsid w:val="00D12D6A"/>
    <w:rsid w:val="00D14A0E"/>
    <w:rsid w:val="00D14EE1"/>
    <w:rsid w:val="00D1623A"/>
    <w:rsid w:val="00D26685"/>
    <w:rsid w:val="00D27F1D"/>
    <w:rsid w:val="00D537C2"/>
    <w:rsid w:val="00D66EED"/>
    <w:rsid w:val="00D721E6"/>
    <w:rsid w:val="00D727C1"/>
    <w:rsid w:val="00D72D50"/>
    <w:rsid w:val="00D72DE5"/>
    <w:rsid w:val="00D80CE2"/>
    <w:rsid w:val="00D81151"/>
    <w:rsid w:val="00D8438B"/>
    <w:rsid w:val="00D87FD4"/>
    <w:rsid w:val="00D90F1B"/>
    <w:rsid w:val="00D9256B"/>
    <w:rsid w:val="00D95C25"/>
    <w:rsid w:val="00D97657"/>
    <w:rsid w:val="00DA02FA"/>
    <w:rsid w:val="00DA5D9B"/>
    <w:rsid w:val="00DB47F3"/>
    <w:rsid w:val="00DD0962"/>
    <w:rsid w:val="00DD29B9"/>
    <w:rsid w:val="00DD6EF0"/>
    <w:rsid w:val="00DF3FBF"/>
    <w:rsid w:val="00DF6DCD"/>
    <w:rsid w:val="00DF7027"/>
    <w:rsid w:val="00E00E32"/>
    <w:rsid w:val="00E0112C"/>
    <w:rsid w:val="00E063A5"/>
    <w:rsid w:val="00E06D3F"/>
    <w:rsid w:val="00E16AF5"/>
    <w:rsid w:val="00E321E7"/>
    <w:rsid w:val="00E32D11"/>
    <w:rsid w:val="00E36E25"/>
    <w:rsid w:val="00E4026A"/>
    <w:rsid w:val="00E442AF"/>
    <w:rsid w:val="00E5110C"/>
    <w:rsid w:val="00E512BF"/>
    <w:rsid w:val="00E515AD"/>
    <w:rsid w:val="00E54E20"/>
    <w:rsid w:val="00E551BC"/>
    <w:rsid w:val="00E66275"/>
    <w:rsid w:val="00E74BC0"/>
    <w:rsid w:val="00E805CD"/>
    <w:rsid w:val="00E91431"/>
    <w:rsid w:val="00E9164C"/>
    <w:rsid w:val="00EA2272"/>
    <w:rsid w:val="00EA3F31"/>
    <w:rsid w:val="00EB362A"/>
    <w:rsid w:val="00ED2AB6"/>
    <w:rsid w:val="00ED2D4C"/>
    <w:rsid w:val="00EF694A"/>
    <w:rsid w:val="00F06A3A"/>
    <w:rsid w:val="00F076BF"/>
    <w:rsid w:val="00F153A4"/>
    <w:rsid w:val="00F16A5B"/>
    <w:rsid w:val="00F21075"/>
    <w:rsid w:val="00F2138D"/>
    <w:rsid w:val="00F267A1"/>
    <w:rsid w:val="00F27B16"/>
    <w:rsid w:val="00F324EC"/>
    <w:rsid w:val="00F47DCD"/>
    <w:rsid w:val="00F50A0B"/>
    <w:rsid w:val="00F51470"/>
    <w:rsid w:val="00F52965"/>
    <w:rsid w:val="00F55786"/>
    <w:rsid w:val="00F609C5"/>
    <w:rsid w:val="00F6529D"/>
    <w:rsid w:val="00F669A0"/>
    <w:rsid w:val="00F70F14"/>
    <w:rsid w:val="00F718E5"/>
    <w:rsid w:val="00F81DE9"/>
    <w:rsid w:val="00F92187"/>
    <w:rsid w:val="00F9458A"/>
    <w:rsid w:val="00FB1274"/>
    <w:rsid w:val="00FB7CA6"/>
    <w:rsid w:val="00FC3488"/>
    <w:rsid w:val="00FC462B"/>
    <w:rsid w:val="00FC46DA"/>
    <w:rsid w:val="00FC6070"/>
    <w:rsid w:val="00FD7D7B"/>
    <w:rsid w:val="00FE1126"/>
    <w:rsid w:val="00FE45C4"/>
    <w:rsid w:val="00FF173D"/>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18088532">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17720061">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63348632">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8974425">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27190209">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622458">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23498222">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7412885">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226323">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ec.europa.eu/yourvoice/consultations/index_nl.htm"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www.ipex.eu/IPEXL-WEB/dossier/document/COM20160805.do"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ipex.eu/IPEXL-WEB/dossier/document/COM20160799.do" TargetMode="External" Id="rId10" /><Relationship Type="http://schemas.microsoft.com/office/2007/relationships/stylesWithEffects" Target="stylesWithEffects.xml" Id="rId4" /><Relationship Type="http://schemas.openxmlformats.org/officeDocument/2006/relationships/hyperlink" Target="http://www.ipex.eu/IPEXL-WEB/dossier/document/COM20160798.do" TargetMode="Externa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2201</ap:Words>
  <ap:Characters>14623</ap:Characters>
  <ap:DocSecurity>0</ap:DocSecurity>
  <ap:Lines>121</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2017-01-12T08:57:00.0000000Z</dcterms:created>
  <dcterms:modified xsi:type="dcterms:W3CDTF">2017-01-12T08:57:00.0000000Z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0x010100085AF329146E4640A873A0541326F8B3</vt:lpwstr>
  </property>
</Properties>
</file>