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4E043B" w:rsidP="004E043B" w:rsidRDefault="004E043B">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4E043B" w:rsidP="004E043B" w:rsidRDefault="004E043B">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4E043B" w:rsidP="004E043B" w:rsidRDefault="004E043B">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4E043B" w:rsidP="004E043B" w:rsidRDefault="004E043B">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tabs>
                <w:tab w:val="left" w:pos="-1440"/>
                <w:tab w:val="left" w:pos="-720"/>
              </w:tabs>
              <w:suppressAutoHyphens/>
              <w:rPr>
                <w:rFonts w:ascii="Times New Roman" w:hAnsi="Times New Roman"/>
                <w:sz w:val="24"/>
              </w:rPr>
            </w:pPr>
          </w:p>
          <w:p w:rsidRPr="00457D84" w:rsidR="004E043B" w:rsidP="004E043B" w:rsidRDefault="004E043B">
            <w:pPr>
              <w:rPr>
                <w:rFonts w:ascii="Times New Roman" w:hAnsi="Times New Roman"/>
                <w:sz w:val="24"/>
              </w:rPr>
            </w:pPr>
          </w:p>
          <w:p w:rsidRPr="002168F4" w:rsidR="00CB3578" w:rsidP="004E043B" w:rsidRDefault="004E043B">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E043B" w:rsidTr="0090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D2683" w:rsidR="004E043B" w:rsidP="000D5BC4" w:rsidRDefault="004E043B">
            <w:pPr>
              <w:rPr>
                <w:rFonts w:ascii="Times New Roman" w:hAnsi="Times New Roman"/>
                <w:b/>
                <w:sz w:val="24"/>
              </w:rPr>
            </w:pPr>
            <w:r w:rsidRPr="00BD2683">
              <w:rPr>
                <w:rFonts w:ascii="Times New Roman" w:hAnsi="Times New Roman"/>
                <w:b/>
                <w:sz w:val="24"/>
              </w:rPr>
              <w:t>Vaststelling van de begrotingsstaat van Buitenlandse Handel en Ontwikkelingssamenwerking (XVII)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E043B" w:rsidTr="00EA3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E043B" w:rsidRDefault="00094E09">
            <w:pPr>
              <w:pStyle w:val="Amendement"/>
              <w:rPr>
                <w:rFonts w:ascii="Times New Roman" w:hAnsi="Times New Roman" w:cs="Times New Roman"/>
              </w:rPr>
            </w:pPr>
            <w:r>
              <w:rPr>
                <w:rFonts w:ascii="Times New Roman" w:hAnsi="Times New Roman" w:cs="Times New Roman"/>
              </w:rPr>
              <w:t xml:space="preserve">GEWIJZIGD </w:t>
            </w:r>
            <w:bookmarkStart w:name="_GoBack" w:id="0"/>
            <w:bookmarkEnd w:id="0"/>
            <w:r w:rsidRPr="002168F4" w:rsidR="004E043B">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Wij Willem-Alexander, bij de gratie Gods, Koning der Nederlanden, Prins van Oranje-Nassau, enz. enz. enz.</w:t>
      </w:r>
    </w:p>
    <w:p w:rsidR="00BD2683" w:rsidP="00BD2683" w:rsidRDefault="00BD2683">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Allen, die deze zullen zien of horen lezen, saluut! doen te weten:</w:t>
      </w: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00BD2683" w:rsidP="00BD2683" w:rsidRDefault="00BD2683">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D2683" w:rsidP="00BD2683" w:rsidRDefault="00BD2683">
      <w:pPr>
        <w:tabs>
          <w:tab w:val="left" w:pos="284"/>
          <w:tab w:val="left" w:pos="567"/>
          <w:tab w:val="left" w:pos="851"/>
        </w:tabs>
        <w:ind w:right="-2"/>
        <w:rPr>
          <w:rFonts w:ascii="Times New Roman" w:hAnsi="Times New Roman"/>
          <w:b/>
          <w:sz w:val="24"/>
          <w:szCs w:val="20"/>
        </w:rPr>
      </w:pPr>
    </w:p>
    <w:p w:rsidR="004E043B" w:rsidP="00BD2683" w:rsidRDefault="004E043B">
      <w:pPr>
        <w:tabs>
          <w:tab w:val="left" w:pos="284"/>
          <w:tab w:val="left" w:pos="567"/>
          <w:tab w:val="left" w:pos="851"/>
        </w:tabs>
        <w:ind w:right="-2"/>
        <w:rPr>
          <w:rFonts w:ascii="Times New Roman" w:hAnsi="Times New Roman"/>
          <w:b/>
          <w:sz w:val="24"/>
          <w:szCs w:val="20"/>
        </w:rPr>
      </w:pPr>
    </w:p>
    <w:p w:rsidRPr="00BD2683" w:rsidR="00BD2683" w:rsidP="00BD2683" w:rsidRDefault="00BD2683">
      <w:pPr>
        <w:tabs>
          <w:tab w:val="left" w:pos="284"/>
          <w:tab w:val="left" w:pos="567"/>
          <w:tab w:val="left" w:pos="851"/>
        </w:tabs>
        <w:ind w:right="-2"/>
        <w:rPr>
          <w:rFonts w:ascii="Times New Roman" w:hAnsi="Times New Roman"/>
          <w:b/>
          <w:sz w:val="24"/>
          <w:szCs w:val="20"/>
        </w:rPr>
      </w:pPr>
      <w:r w:rsidRPr="00BD2683">
        <w:rPr>
          <w:rFonts w:ascii="Times New Roman" w:hAnsi="Times New Roman"/>
          <w:b/>
          <w:sz w:val="24"/>
          <w:szCs w:val="20"/>
        </w:rPr>
        <w:t xml:space="preserve">Artikel 1 </w:t>
      </w:r>
    </w:p>
    <w:p w:rsidR="00BD2683" w:rsidP="00BD2683" w:rsidRDefault="00BD2683">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De bij deze wet behorende begrotingsstaat voor het jaar 2017 wordt vastgesteld.</w:t>
      </w:r>
    </w:p>
    <w:p w:rsidR="00BD2683" w:rsidP="00BD2683" w:rsidRDefault="00BD2683">
      <w:pPr>
        <w:tabs>
          <w:tab w:val="left" w:pos="284"/>
          <w:tab w:val="left" w:pos="567"/>
          <w:tab w:val="left" w:pos="851"/>
        </w:tabs>
        <w:ind w:right="-2"/>
        <w:rPr>
          <w:rFonts w:ascii="Times New Roman" w:hAnsi="Times New Roman"/>
          <w:b/>
          <w:sz w:val="24"/>
          <w:szCs w:val="20"/>
        </w:rPr>
      </w:pPr>
    </w:p>
    <w:p w:rsidRPr="00BD2683" w:rsidR="00BD2683" w:rsidP="00BD2683" w:rsidRDefault="00BD2683">
      <w:pPr>
        <w:tabs>
          <w:tab w:val="left" w:pos="284"/>
          <w:tab w:val="left" w:pos="567"/>
          <w:tab w:val="left" w:pos="851"/>
        </w:tabs>
        <w:ind w:right="-2"/>
        <w:rPr>
          <w:rFonts w:ascii="Times New Roman" w:hAnsi="Times New Roman"/>
          <w:b/>
          <w:sz w:val="24"/>
          <w:szCs w:val="20"/>
        </w:rPr>
      </w:pPr>
      <w:r w:rsidRPr="00BD2683">
        <w:rPr>
          <w:rFonts w:ascii="Times New Roman" w:hAnsi="Times New Roman"/>
          <w:b/>
          <w:sz w:val="24"/>
          <w:szCs w:val="20"/>
        </w:rPr>
        <w:t xml:space="preserve">Artikel 2 </w:t>
      </w:r>
    </w:p>
    <w:p w:rsidR="00BD2683" w:rsidP="00BD2683" w:rsidRDefault="00BD2683">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De vaststelling van begrotingsstaat geschiedt in duizenden euro’s.</w:t>
      </w:r>
    </w:p>
    <w:p w:rsidR="00BD2683" w:rsidP="00BD2683" w:rsidRDefault="00BD2683">
      <w:pPr>
        <w:tabs>
          <w:tab w:val="left" w:pos="284"/>
          <w:tab w:val="left" w:pos="567"/>
          <w:tab w:val="left" w:pos="851"/>
        </w:tabs>
        <w:ind w:right="-2"/>
        <w:rPr>
          <w:rFonts w:ascii="Times New Roman" w:hAnsi="Times New Roman"/>
          <w:b/>
          <w:sz w:val="24"/>
          <w:szCs w:val="20"/>
        </w:rPr>
      </w:pPr>
    </w:p>
    <w:p w:rsidRPr="00BD2683" w:rsidR="00BD2683" w:rsidP="00BD2683" w:rsidRDefault="00BD2683">
      <w:pPr>
        <w:tabs>
          <w:tab w:val="left" w:pos="284"/>
          <w:tab w:val="left" w:pos="567"/>
          <w:tab w:val="left" w:pos="851"/>
        </w:tabs>
        <w:ind w:right="-2"/>
        <w:rPr>
          <w:rFonts w:ascii="Times New Roman" w:hAnsi="Times New Roman"/>
          <w:b/>
          <w:sz w:val="24"/>
          <w:szCs w:val="20"/>
        </w:rPr>
      </w:pPr>
      <w:r w:rsidRPr="00BD2683">
        <w:rPr>
          <w:rFonts w:ascii="Times New Roman" w:hAnsi="Times New Roman"/>
          <w:b/>
          <w:sz w:val="24"/>
          <w:szCs w:val="20"/>
        </w:rPr>
        <w:t xml:space="preserve">Artikel 3 </w:t>
      </w:r>
    </w:p>
    <w:p w:rsidR="00BD2683" w:rsidP="00BD2683" w:rsidRDefault="00BD2683">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 xml:space="preserve">Deze wet treedt in werking met ingang van 1 januari van het onderhavige begrotingsjaar. Indien het Staatsblad waarin deze wet wordt geplaatst, wordt uitgegeven op of na deze datum </w:t>
      </w:r>
      <w:r w:rsidRPr="00BD2683">
        <w:rPr>
          <w:rFonts w:ascii="Times New Roman" w:hAnsi="Times New Roman"/>
          <w:sz w:val="24"/>
          <w:szCs w:val="20"/>
        </w:rPr>
        <w:lastRenderedPageBreak/>
        <w:t>van 1 januari, treedt zij in werking met ingang van de dag na de datum van uitgifte van dat Staatsblad en werkt zij terug tot en met 1 januari.</w:t>
      </w:r>
    </w:p>
    <w:p w:rsidR="00BD2683" w:rsidP="00BD2683" w:rsidRDefault="00BD2683">
      <w:pPr>
        <w:tabs>
          <w:tab w:val="left" w:pos="284"/>
          <w:tab w:val="left" w:pos="567"/>
          <w:tab w:val="left" w:pos="851"/>
        </w:tabs>
        <w:ind w:right="-2"/>
        <w:rPr>
          <w:rFonts w:ascii="Times New Roman" w:hAnsi="Times New Roman"/>
          <w:sz w:val="24"/>
          <w:szCs w:val="20"/>
        </w:rPr>
      </w:pPr>
    </w:p>
    <w:p w:rsidR="00E37652" w:rsidP="00BD2683" w:rsidRDefault="00E37652">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2683">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BD2683" w:rsidP="00BD2683" w:rsidRDefault="00BD2683">
      <w:pPr>
        <w:tabs>
          <w:tab w:val="left" w:pos="284"/>
          <w:tab w:val="left" w:pos="567"/>
          <w:tab w:val="left" w:pos="851"/>
        </w:tabs>
        <w:ind w:right="-2"/>
        <w:rPr>
          <w:rFonts w:ascii="Times New Roman" w:hAnsi="Times New Roman"/>
          <w:sz w:val="24"/>
          <w:szCs w:val="20"/>
        </w:rPr>
      </w:pPr>
    </w:p>
    <w:p w:rsidRPr="00BD2683" w:rsidR="00BD2683" w:rsidP="00BD2683" w:rsidRDefault="00BD2683">
      <w:pPr>
        <w:tabs>
          <w:tab w:val="left" w:pos="284"/>
          <w:tab w:val="left" w:pos="567"/>
          <w:tab w:val="left" w:pos="851"/>
        </w:tabs>
        <w:ind w:right="-2"/>
        <w:rPr>
          <w:rFonts w:ascii="Times New Roman" w:hAnsi="Times New Roman"/>
          <w:sz w:val="24"/>
          <w:szCs w:val="20"/>
        </w:rPr>
      </w:pPr>
      <w:r w:rsidRPr="00BD2683">
        <w:rPr>
          <w:rFonts w:ascii="Times New Roman" w:hAnsi="Times New Roman"/>
          <w:sz w:val="24"/>
          <w:szCs w:val="20"/>
        </w:rPr>
        <w:t>Gegeven</w:t>
      </w: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E37652" w:rsidP="00BD2683" w:rsidRDefault="00E37652">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r w:rsidRPr="00BD2683">
        <w:rPr>
          <w:rFonts w:ascii="Times New Roman" w:hAnsi="Times New Roman"/>
          <w:sz w:val="24"/>
          <w:szCs w:val="20"/>
        </w:rPr>
        <w:t>De Minister voor Buitenlandse Handel en Ontwikkelingssamenwerking,</w:t>
      </w: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BD2683" w:rsidP="00BD2683" w:rsidRDefault="00BD2683">
      <w:pPr>
        <w:tabs>
          <w:tab w:val="left" w:pos="284"/>
          <w:tab w:val="left" w:pos="567"/>
          <w:tab w:val="left" w:pos="851"/>
        </w:tabs>
        <w:ind w:right="-2"/>
        <w:rPr>
          <w:rFonts w:ascii="Times New Roman" w:hAnsi="Times New Roman"/>
          <w:sz w:val="24"/>
          <w:szCs w:val="20"/>
        </w:rPr>
      </w:pPr>
    </w:p>
    <w:p w:rsidR="00E37652" w:rsidP="00BD2683" w:rsidRDefault="00E37652">
      <w:pPr>
        <w:tabs>
          <w:tab w:val="left" w:pos="284"/>
          <w:tab w:val="left" w:pos="567"/>
          <w:tab w:val="left" w:pos="851"/>
        </w:tabs>
        <w:ind w:right="-2"/>
        <w:rPr>
          <w:rFonts w:ascii="Times New Roman" w:hAnsi="Times New Roman"/>
          <w:sz w:val="24"/>
          <w:szCs w:val="20"/>
        </w:rPr>
      </w:pPr>
    </w:p>
    <w:p w:rsidR="006D4FA3" w:rsidP="00BD2683" w:rsidRDefault="00BD2683">
      <w:pPr>
        <w:tabs>
          <w:tab w:val="left" w:pos="284"/>
          <w:tab w:val="left" w:pos="567"/>
          <w:tab w:val="left" w:pos="851"/>
        </w:tabs>
        <w:ind w:right="-2"/>
        <w:rPr>
          <w:rFonts w:ascii="Times New Roman" w:hAnsi="Times New Roman"/>
          <w:sz w:val="24"/>
          <w:szCs w:val="20"/>
        </w:rPr>
      </w:pPr>
      <w:r w:rsidRPr="00BD2683">
        <w:rPr>
          <w:rFonts w:ascii="Times New Roman" w:hAnsi="Times New Roman"/>
          <w:sz w:val="24"/>
          <w:szCs w:val="20"/>
        </w:rPr>
        <w:t>De Minister voor Buitenlandse Handel en Ontwikkelingssamenwerking,</w:t>
      </w:r>
    </w:p>
    <w:p w:rsidR="006D4FA3" w:rsidRDefault="006D4FA3">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4A0" w:firstRow="1" w:lastRow="0" w:firstColumn="1" w:lastColumn="0" w:noHBand="0" w:noVBand="1"/>
      </w:tblPr>
      <w:tblGrid>
        <w:gridCol w:w="160"/>
        <w:gridCol w:w="5324"/>
        <w:gridCol w:w="1587"/>
        <w:gridCol w:w="1199"/>
        <w:gridCol w:w="1424"/>
      </w:tblGrid>
      <w:tr w:rsidRPr="006D4FA3" w:rsidR="006D4FA3" w:rsidTr="006D4FA3">
        <w:trPr>
          <w:tblHeader/>
        </w:trPr>
        <w:tc>
          <w:tcPr>
            <w:tcW w:w="9694" w:type="dxa"/>
            <w:gridSpan w:val="5"/>
            <w:shd w:val="clear" w:color="auto" w:fill="auto"/>
            <w:tcMar>
              <w:top w:w="0" w:type="dxa"/>
              <w:left w:w="10" w:type="dxa"/>
              <w:bottom w:w="0" w:type="dxa"/>
              <w:right w:w="10" w:type="dxa"/>
            </w:tcMar>
          </w:tcPr>
          <w:p w:rsidRPr="006D4FA3" w:rsidR="006D4FA3" w:rsidP="006D4FA3" w:rsidRDefault="006D4FA3">
            <w:pPr>
              <w:keepNext/>
              <w:autoSpaceDN w:val="0"/>
              <w:textAlignment w:val="baseline"/>
              <w:rPr>
                <w:rFonts w:ascii="Times New Roman" w:hAnsi="Times New Roman"/>
                <w:b/>
                <w:kern w:val="3"/>
                <w:sz w:val="24"/>
              </w:rPr>
            </w:pPr>
            <w:r w:rsidRPr="006D4FA3">
              <w:rPr>
                <w:rFonts w:ascii="Times New Roman" w:hAnsi="Times New Roman"/>
                <w:b/>
                <w:kern w:val="3"/>
                <w:sz w:val="24"/>
              </w:rPr>
              <w:lastRenderedPageBreak/>
              <w:t>Departementale begrotingsstaat (XVII) behorende bij de Wet van ............, Stb. ......</w:t>
            </w:r>
          </w:p>
          <w:p w:rsidRPr="006D4FA3" w:rsidR="006D4FA3" w:rsidP="006D4FA3" w:rsidRDefault="006D4FA3">
            <w:pPr>
              <w:keepNext/>
              <w:autoSpaceDN w:val="0"/>
              <w:textAlignment w:val="baseline"/>
              <w:rPr>
                <w:rFonts w:ascii="Times New Roman" w:hAnsi="Times New Roman"/>
                <w:b/>
                <w:kern w:val="3"/>
                <w:sz w:val="24"/>
              </w:rPr>
            </w:pPr>
            <w:r w:rsidRPr="006D4FA3">
              <w:rPr>
                <w:rFonts w:ascii="Times New Roman" w:hAnsi="Times New Roman"/>
                <w:b/>
                <w:kern w:val="3"/>
                <w:sz w:val="24"/>
              </w:rPr>
              <w:t>Begroting 2017 voor Buitenlandse Handel en Ontwikkelingssamenwerking</w:t>
            </w:r>
          </w:p>
          <w:p w:rsidRPr="006D4FA3" w:rsidR="006D4FA3" w:rsidP="006D4FA3" w:rsidRDefault="006D4FA3">
            <w:pPr>
              <w:keepNext/>
              <w:autoSpaceDN w:val="0"/>
              <w:textAlignment w:val="baseline"/>
              <w:rPr>
                <w:rFonts w:ascii="Times New Roman" w:hAnsi="Times New Roman"/>
                <w:b/>
                <w:kern w:val="3"/>
                <w:sz w:val="24"/>
              </w:rPr>
            </w:pPr>
            <w:r w:rsidRPr="006D4FA3">
              <w:rPr>
                <w:rFonts w:ascii="Times New Roman" w:hAnsi="Times New Roman"/>
                <w:b/>
                <w:kern w:val="3"/>
                <w:sz w:val="24"/>
              </w:rPr>
              <w:t>(bedragen in EUR 1.000)</w:t>
            </w:r>
          </w:p>
        </w:tc>
      </w:tr>
      <w:tr w:rsidRPr="006D4FA3" w:rsidR="006D4FA3" w:rsidTr="006D4FA3">
        <w:trPr>
          <w:tblHeader/>
        </w:trPr>
        <w:tc>
          <w:tcPr>
            <w:tcW w:w="160" w:type="dxa"/>
            <w:tcBorders>
              <w:top w:val="single" w:color="000000" w:sz="4" w:space="0"/>
            </w:tcBorders>
            <w:shd w:val="clear" w:color="auto" w:fill="auto"/>
            <w:tcMar>
              <w:top w:w="45"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tcBorders>
              <w:top w:val="single" w:color="000000" w:sz="4" w:space="0"/>
            </w:tcBorders>
            <w:shd w:val="clear" w:color="auto" w:fill="auto"/>
            <w:tcMar>
              <w:top w:w="45"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4210" w:type="dxa"/>
            <w:gridSpan w:val="3"/>
            <w:tcBorders>
              <w:top w:val="single" w:color="000000" w:sz="4" w:space="0"/>
            </w:tcBorders>
            <w:shd w:val="clear" w:color="auto" w:fill="auto"/>
            <w:tcMar>
              <w:top w:w="45"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(1)</w:t>
            </w:r>
          </w:p>
        </w:tc>
      </w:tr>
      <w:tr w:rsidRPr="006D4FA3" w:rsidR="006D4FA3" w:rsidTr="006D4FA3">
        <w:trPr>
          <w:tblHeader/>
        </w:trPr>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Omschrijving</w:t>
            </w:r>
          </w:p>
        </w:tc>
        <w:tc>
          <w:tcPr>
            <w:tcW w:w="4210" w:type="dxa"/>
            <w:gridSpan w:val="3"/>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Oorspronkelijk vastgestelde begroting</w:t>
            </w:r>
          </w:p>
        </w:tc>
      </w:tr>
      <w:tr w:rsidRPr="006D4FA3" w:rsidR="006D4FA3" w:rsidTr="006D4FA3">
        <w:trPr>
          <w:tblHeader/>
        </w:trPr>
        <w:tc>
          <w:tcPr>
            <w:tcW w:w="160" w:type="dxa"/>
            <w:tcBorders>
              <w:bottom w:val="single" w:color="000000" w:sz="4" w:space="0"/>
            </w:tcBorders>
            <w:shd w:val="clear" w:color="auto" w:fill="auto"/>
            <w:tcMar>
              <w:top w:w="0" w:type="dxa"/>
              <w:left w:w="10" w:type="dxa"/>
              <w:bottom w:w="45"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c>
          <w:tcPr>
            <w:tcW w:w="1587"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verplichtingen</w:t>
            </w:r>
          </w:p>
        </w:tc>
        <w:tc>
          <w:tcPr>
            <w:tcW w:w="1199"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uitgaven</w:t>
            </w:r>
          </w:p>
        </w:tc>
        <w:tc>
          <w:tcPr>
            <w:tcW w:w="1424"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ontvangsten</w:t>
            </w:r>
          </w:p>
        </w:tc>
      </w:tr>
      <w:tr w:rsidRPr="006D4FA3" w:rsidR="006D4FA3" w:rsidTr="006D4FA3">
        <w:tc>
          <w:tcPr>
            <w:tcW w:w="160" w:type="dxa"/>
            <w:shd w:val="clear" w:color="auto" w:fill="auto"/>
            <w:tcMar>
              <w:top w:w="45"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shd w:val="clear" w:color="auto" w:fill="auto"/>
            <w:tcMar>
              <w:top w:w="45"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b/>
                <w:kern w:val="3"/>
                <w:sz w:val="24"/>
              </w:rPr>
              <w:t>TOTAAL</w:t>
            </w:r>
          </w:p>
        </w:tc>
        <w:tc>
          <w:tcPr>
            <w:tcW w:w="1587" w:type="dxa"/>
            <w:shd w:val="clear" w:color="auto" w:fill="auto"/>
            <w:tcMar>
              <w:top w:w="45"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b/>
                <w:kern w:val="3"/>
                <w:sz w:val="24"/>
              </w:rPr>
              <w:t>1.299.926</w:t>
            </w:r>
          </w:p>
        </w:tc>
        <w:tc>
          <w:tcPr>
            <w:tcW w:w="1199" w:type="dxa"/>
            <w:shd w:val="clear" w:color="auto" w:fill="auto"/>
            <w:tcMar>
              <w:top w:w="45"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b/>
                <w:kern w:val="3"/>
                <w:sz w:val="24"/>
              </w:rPr>
              <w:t>2.246.057</w:t>
            </w:r>
          </w:p>
        </w:tc>
        <w:tc>
          <w:tcPr>
            <w:tcW w:w="1424" w:type="dxa"/>
            <w:shd w:val="clear" w:color="auto" w:fill="auto"/>
            <w:tcMar>
              <w:top w:w="45"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b/>
                <w:kern w:val="3"/>
                <w:sz w:val="24"/>
              </w:rPr>
              <w:t>100.208</w:t>
            </w: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b/>
                <w:kern w:val="3"/>
                <w:sz w:val="24"/>
              </w:rPr>
              <w:t>Beleidsartikelen</w:t>
            </w: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b/>
                <w:kern w:val="3"/>
                <w:sz w:val="24"/>
              </w:rPr>
              <w:t>1.299.926</w:t>
            </w: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b/>
                <w:kern w:val="3"/>
                <w:sz w:val="24"/>
              </w:rPr>
              <w:t>2.246.057</w:t>
            </w: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b/>
                <w:kern w:val="3"/>
                <w:sz w:val="24"/>
              </w:rPr>
              <w:t>100.208</w:t>
            </w: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1</w:t>
            </w: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Duurzame handel en investeringen</w:t>
            </w: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242.591</w:t>
            </w: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496.986</w:t>
            </w: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23.126</w:t>
            </w: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2</w:t>
            </w: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Duurzame ontwikkeling, voedselzekerheid en water</w:t>
            </w: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476.815</w:t>
            </w: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660.072</w:t>
            </w: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3</w:t>
            </w: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Sociale vooruitgang</w:t>
            </w: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222.763</w:t>
            </w: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727.524</w:t>
            </w: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r>
      <w:tr w:rsidRPr="006D4FA3" w:rsidR="006D4FA3" w:rsidTr="006D4FA3">
        <w:tc>
          <w:tcPr>
            <w:tcW w:w="160" w:type="dxa"/>
            <w:shd w:val="clear" w:color="auto" w:fill="auto"/>
            <w:tcMar>
              <w:top w:w="0" w:type="dxa"/>
              <w:left w:w="10" w:type="dxa"/>
              <w:bottom w:w="0" w:type="dxa"/>
              <w:right w:w="10"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4</w:t>
            </w:r>
          </w:p>
        </w:tc>
        <w:tc>
          <w:tcPr>
            <w:tcW w:w="5324" w:type="dxa"/>
            <w:shd w:val="clear" w:color="auto" w:fill="auto"/>
            <w:tcMar>
              <w:top w:w="0" w:type="dxa"/>
              <w:left w:w="57" w:type="dxa"/>
              <w:bottom w:w="0"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Vrede en veiligheid voor ontwikkeling</w:t>
            </w:r>
          </w:p>
        </w:tc>
        <w:tc>
          <w:tcPr>
            <w:tcW w:w="1587"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329.990</w:t>
            </w:r>
          </w:p>
        </w:tc>
        <w:tc>
          <w:tcPr>
            <w:tcW w:w="1199"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469.106</w:t>
            </w:r>
          </w:p>
        </w:tc>
        <w:tc>
          <w:tcPr>
            <w:tcW w:w="1424" w:type="dxa"/>
            <w:shd w:val="clear" w:color="auto" w:fill="auto"/>
            <w:tcMar>
              <w:top w:w="0" w:type="dxa"/>
              <w:left w:w="57" w:type="dxa"/>
              <w:bottom w:w="0"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p>
        </w:tc>
      </w:tr>
      <w:tr w:rsidRPr="006D4FA3" w:rsidR="006D4FA3" w:rsidTr="006D4FA3">
        <w:tc>
          <w:tcPr>
            <w:tcW w:w="160" w:type="dxa"/>
            <w:tcBorders>
              <w:bottom w:val="single" w:color="000000" w:sz="4" w:space="0"/>
            </w:tcBorders>
            <w:shd w:val="clear" w:color="auto" w:fill="auto"/>
            <w:tcMar>
              <w:top w:w="0" w:type="dxa"/>
              <w:left w:w="10" w:type="dxa"/>
              <w:bottom w:w="45" w:type="dxa"/>
              <w:right w:w="10"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5</w:t>
            </w:r>
          </w:p>
        </w:tc>
        <w:tc>
          <w:tcPr>
            <w:tcW w:w="5324"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textAlignment w:val="baseline"/>
              <w:rPr>
                <w:rFonts w:ascii="Times New Roman" w:hAnsi="Times New Roman"/>
                <w:kern w:val="3"/>
                <w:sz w:val="24"/>
              </w:rPr>
            </w:pPr>
            <w:r w:rsidRPr="006D4FA3">
              <w:rPr>
                <w:rFonts w:ascii="Times New Roman" w:hAnsi="Times New Roman"/>
                <w:kern w:val="3"/>
                <w:sz w:val="24"/>
              </w:rPr>
              <w:t>Versterkte kaders voor ontwikkeling</w:t>
            </w:r>
          </w:p>
        </w:tc>
        <w:tc>
          <w:tcPr>
            <w:tcW w:w="1587"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27.767</w:t>
            </w:r>
          </w:p>
        </w:tc>
        <w:tc>
          <w:tcPr>
            <w:tcW w:w="1199"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 107.631</w:t>
            </w:r>
          </w:p>
        </w:tc>
        <w:tc>
          <w:tcPr>
            <w:tcW w:w="1424" w:type="dxa"/>
            <w:tcBorders>
              <w:bottom w:val="single" w:color="000000" w:sz="4" w:space="0"/>
            </w:tcBorders>
            <w:shd w:val="clear" w:color="auto" w:fill="auto"/>
            <w:tcMar>
              <w:top w:w="0" w:type="dxa"/>
              <w:left w:w="57" w:type="dxa"/>
              <w:bottom w:w="45" w:type="dxa"/>
              <w:right w:w="57" w:type="dxa"/>
            </w:tcMar>
          </w:tcPr>
          <w:p w:rsidRPr="006D4FA3" w:rsidR="006D4FA3" w:rsidP="006D4FA3" w:rsidRDefault="006D4FA3">
            <w:pPr>
              <w:widowControl w:val="0"/>
              <w:autoSpaceDN w:val="0"/>
              <w:jc w:val="right"/>
              <w:textAlignment w:val="baseline"/>
              <w:rPr>
                <w:rFonts w:ascii="Times New Roman" w:hAnsi="Times New Roman"/>
                <w:kern w:val="3"/>
                <w:sz w:val="24"/>
              </w:rPr>
            </w:pPr>
            <w:r w:rsidRPr="006D4FA3">
              <w:rPr>
                <w:rFonts w:ascii="Times New Roman" w:hAnsi="Times New Roman"/>
                <w:kern w:val="3"/>
                <w:sz w:val="24"/>
              </w:rPr>
              <w:t>77.082</w:t>
            </w:r>
          </w:p>
        </w:tc>
      </w:tr>
    </w:tbl>
    <w:p w:rsidRPr="00BD2683" w:rsidR="00BD2683" w:rsidP="00BD2683" w:rsidRDefault="00BD2683">
      <w:pPr>
        <w:tabs>
          <w:tab w:val="left" w:pos="284"/>
          <w:tab w:val="left" w:pos="567"/>
          <w:tab w:val="left" w:pos="851"/>
        </w:tabs>
        <w:ind w:right="-2"/>
        <w:rPr>
          <w:rFonts w:ascii="Times New Roman" w:hAnsi="Times New Roman"/>
          <w:sz w:val="24"/>
          <w:szCs w:val="20"/>
        </w:rPr>
      </w:pPr>
    </w:p>
    <w:p w:rsidRPr="002168F4" w:rsidR="00CB3578" w:rsidP="00BD2683" w:rsidRDefault="00CB3578">
      <w:pPr>
        <w:tabs>
          <w:tab w:val="left" w:pos="284"/>
          <w:tab w:val="left" w:pos="567"/>
          <w:tab w:val="left" w:pos="851"/>
        </w:tabs>
        <w:ind w:right="-2"/>
        <w:rPr>
          <w:rFonts w:ascii="Times New Roman" w:hAnsi="Times New Roman"/>
          <w:sz w:val="24"/>
          <w:szCs w:val="20"/>
        </w:rPr>
      </w:pPr>
    </w:p>
    <w:sectPr w:rsidRPr="002168F4" w:rsidR="00CB3578" w:rsidSect="006D4FA3">
      <w:footerReference w:type="even" r:id="rId7"/>
      <w:footerReference w:type="default" r:id="rId8"/>
      <w:pgSz w:w="11906" w:h="16838"/>
      <w:pgMar w:top="1276"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683" w:rsidRDefault="00BD2683">
      <w:pPr>
        <w:spacing w:line="20" w:lineRule="exact"/>
      </w:pPr>
    </w:p>
  </w:endnote>
  <w:endnote w:type="continuationSeparator" w:id="0">
    <w:p w:rsidR="00BD2683" w:rsidRDefault="00BD2683">
      <w:pPr>
        <w:pStyle w:val="Amendement"/>
      </w:pPr>
      <w:r>
        <w:rPr>
          <w:b w:val="0"/>
          <w:bCs w:val="0"/>
        </w:rPr>
        <w:t xml:space="preserve"> </w:t>
      </w:r>
    </w:p>
  </w:endnote>
  <w:endnote w:type="continuationNotice" w:id="1">
    <w:p w:rsidR="00BD2683" w:rsidRDefault="00BD268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94E0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683" w:rsidRDefault="00BD2683">
      <w:pPr>
        <w:pStyle w:val="Amendement"/>
      </w:pPr>
      <w:r>
        <w:rPr>
          <w:b w:val="0"/>
          <w:bCs w:val="0"/>
        </w:rPr>
        <w:separator/>
      </w:r>
    </w:p>
  </w:footnote>
  <w:footnote w:type="continuationSeparator" w:id="0">
    <w:p w:rsidR="00BD2683" w:rsidRDefault="00BD2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83"/>
    <w:rsid w:val="00012DBE"/>
    <w:rsid w:val="00094E09"/>
    <w:rsid w:val="000A1D81"/>
    <w:rsid w:val="00111ED3"/>
    <w:rsid w:val="001C190E"/>
    <w:rsid w:val="002168F4"/>
    <w:rsid w:val="002A727C"/>
    <w:rsid w:val="004E043B"/>
    <w:rsid w:val="005D2707"/>
    <w:rsid w:val="00606255"/>
    <w:rsid w:val="006B607A"/>
    <w:rsid w:val="006D4FA3"/>
    <w:rsid w:val="007D451C"/>
    <w:rsid w:val="00826224"/>
    <w:rsid w:val="00930A23"/>
    <w:rsid w:val="009C7354"/>
    <w:rsid w:val="009E6D7F"/>
    <w:rsid w:val="00A11E73"/>
    <w:rsid w:val="00A2521E"/>
    <w:rsid w:val="00AE436A"/>
    <w:rsid w:val="00BD2683"/>
    <w:rsid w:val="00C135B1"/>
    <w:rsid w:val="00C92DF8"/>
    <w:rsid w:val="00CB3578"/>
    <w:rsid w:val="00D20AFA"/>
    <w:rsid w:val="00D55648"/>
    <w:rsid w:val="00E16443"/>
    <w:rsid w:val="00E36EE9"/>
    <w:rsid w:val="00E3765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350</ap:Words>
  <ap:Characters>2177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2016-12-08T19:46:00.0000000Z</dcterms:created>
  <dcterms:modified xsi:type="dcterms:W3CDTF">2016-12-09T08:29:00.0000000Z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