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C26849" w:rsidP="00C26849" w:rsidRDefault="00C26849">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C26849" w:rsidP="00C26849" w:rsidRDefault="00C26849">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C26849" w:rsidP="00C26849" w:rsidRDefault="00C26849">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C26849" w:rsidP="00C26849" w:rsidRDefault="00C26849">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tabs>
                <w:tab w:val="left" w:pos="-1440"/>
                <w:tab w:val="left" w:pos="-720"/>
              </w:tabs>
              <w:suppressAutoHyphens/>
              <w:rPr>
                <w:rFonts w:ascii="Times New Roman" w:hAnsi="Times New Roman"/>
                <w:sz w:val="24"/>
              </w:rPr>
            </w:pPr>
          </w:p>
          <w:p w:rsidRPr="00457D84" w:rsidR="00C26849" w:rsidP="00C26849" w:rsidRDefault="00C26849">
            <w:pPr>
              <w:rPr>
                <w:rFonts w:ascii="Times New Roman" w:hAnsi="Times New Roman"/>
                <w:sz w:val="24"/>
              </w:rPr>
            </w:pPr>
          </w:p>
          <w:p w:rsidRPr="002168F4" w:rsidR="00CB3578" w:rsidP="00C26849" w:rsidRDefault="00C26849">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26849" w:rsidTr="009F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E72BC" w:rsidR="00C26849" w:rsidP="000D5BC4" w:rsidRDefault="00C26849">
            <w:pPr>
              <w:rPr>
                <w:rFonts w:ascii="Times New Roman" w:hAnsi="Times New Roman"/>
                <w:b/>
                <w:sz w:val="24"/>
              </w:rPr>
            </w:pPr>
            <w:r w:rsidRPr="007E72BC">
              <w:rPr>
                <w:rFonts w:ascii="Times New Roman" w:hAnsi="Times New Roman"/>
                <w:b/>
                <w:sz w:val="24"/>
              </w:rPr>
              <w:t>Vaststelling van de begrotingsstaat van de overige Hoge Colleges van Staat en de Kabinetten van de Gouverneurs (IIB)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26849" w:rsidTr="00031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26849" w:rsidRDefault="00C2684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E72BC" w:rsidP="00A11E73" w:rsidRDefault="007E72BC">
      <w:pPr>
        <w:tabs>
          <w:tab w:val="left" w:pos="284"/>
          <w:tab w:val="left" w:pos="567"/>
          <w:tab w:val="left" w:pos="851"/>
        </w:tabs>
        <w:ind w:right="1848"/>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Wij Willem-Alexander, bij de gratie Gods, Koning der Nederlanden, Prins van Oranje-Nassau, enz. enz. enz.</w:t>
      </w:r>
    </w:p>
    <w:p w:rsidR="007E72BC" w:rsidP="007E72BC" w:rsidRDefault="007E72BC">
      <w:pPr>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Allen, die deze zullen zien of horen lezen, saluut! doen te weten:</w:t>
      </w: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007E72BC" w:rsidP="007E72BC" w:rsidRDefault="007E72BC">
      <w:pPr>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E72BC" w:rsidP="007E72BC" w:rsidRDefault="007E72BC">
      <w:pPr>
        <w:rPr>
          <w:rFonts w:ascii="Times New Roman" w:hAnsi="Times New Roman"/>
          <w:b/>
          <w:sz w:val="24"/>
          <w:szCs w:val="20"/>
        </w:rPr>
      </w:pPr>
    </w:p>
    <w:p w:rsidRPr="007E72BC" w:rsidR="007E72BC" w:rsidP="007E72BC" w:rsidRDefault="007E72BC">
      <w:pPr>
        <w:rPr>
          <w:rFonts w:ascii="Times New Roman" w:hAnsi="Times New Roman"/>
          <w:b/>
          <w:sz w:val="24"/>
          <w:szCs w:val="20"/>
        </w:rPr>
      </w:pPr>
      <w:r w:rsidRPr="007E72BC">
        <w:rPr>
          <w:rFonts w:ascii="Times New Roman" w:hAnsi="Times New Roman"/>
          <w:b/>
          <w:sz w:val="24"/>
          <w:szCs w:val="20"/>
        </w:rPr>
        <w:t xml:space="preserve">Artikel 1 </w:t>
      </w:r>
    </w:p>
    <w:p w:rsidR="007E72BC" w:rsidP="007E72BC" w:rsidRDefault="007E72BC">
      <w:pPr>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De bij deze wet behorende begrotingsstaat voor het jaar 2017 wordt vastgesteld.</w:t>
      </w:r>
    </w:p>
    <w:p w:rsidR="007E72BC" w:rsidP="007E72BC" w:rsidRDefault="007E72BC">
      <w:pPr>
        <w:rPr>
          <w:rFonts w:ascii="Times New Roman" w:hAnsi="Times New Roman"/>
          <w:b/>
          <w:sz w:val="24"/>
          <w:szCs w:val="20"/>
        </w:rPr>
      </w:pPr>
    </w:p>
    <w:p w:rsidRPr="007E72BC" w:rsidR="007E72BC" w:rsidP="007E72BC" w:rsidRDefault="007E72BC">
      <w:pPr>
        <w:rPr>
          <w:rFonts w:ascii="Times New Roman" w:hAnsi="Times New Roman"/>
          <w:b/>
          <w:sz w:val="24"/>
          <w:szCs w:val="20"/>
        </w:rPr>
      </w:pPr>
      <w:r w:rsidRPr="007E72BC">
        <w:rPr>
          <w:rFonts w:ascii="Times New Roman" w:hAnsi="Times New Roman"/>
          <w:b/>
          <w:sz w:val="24"/>
          <w:szCs w:val="20"/>
        </w:rPr>
        <w:t xml:space="preserve">Artikel 2 </w:t>
      </w:r>
    </w:p>
    <w:p w:rsidR="007E72BC" w:rsidP="007E72BC" w:rsidRDefault="007E72BC">
      <w:pPr>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De vaststelling van de begrotingsstaat geschiedt in duizenden euro’s.</w:t>
      </w:r>
    </w:p>
    <w:p w:rsidR="007E72BC" w:rsidP="007E72BC" w:rsidRDefault="007E72BC">
      <w:pPr>
        <w:rPr>
          <w:rFonts w:ascii="Times New Roman" w:hAnsi="Times New Roman"/>
          <w:b/>
          <w:sz w:val="24"/>
          <w:szCs w:val="20"/>
        </w:rPr>
      </w:pPr>
    </w:p>
    <w:p w:rsidRPr="007E72BC" w:rsidR="007E72BC" w:rsidP="007E72BC" w:rsidRDefault="007E72BC">
      <w:pPr>
        <w:rPr>
          <w:rFonts w:ascii="Times New Roman" w:hAnsi="Times New Roman"/>
          <w:b/>
          <w:sz w:val="24"/>
          <w:szCs w:val="20"/>
        </w:rPr>
      </w:pPr>
      <w:r w:rsidRPr="007E72BC">
        <w:rPr>
          <w:rFonts w:ascii="Times New Roman" w:hAnsi="Times New Roman"/>
          <w:b/>
          <w:sz w:val="24"/>
          <w:szCs w:val="20"/>
        </w:rPr>
        <w:t xml:space="preserve">Artikel 3 </w:t>
      </w:r>
    </w:p>
    <w:p w:rsidR="007E72BC" w:rsidP="007E72BC" w:rsidRDefault="007E72BC">
      <w:pPr>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w:t>
      </w:r>
      <w:r w:rsidRPr="007E72BC">
        <w:rPr>
          <w:rFonts w:ascii="Times New Roman" w:hAnsi="Times New Roman"/>
          <w:sz w:val="24"/>
          <w:szCs w:val="20"/>
        </w:rPr>
        <w:lastRenderedPageBreak/>
        <w:t>van 1 januari, treedt zij in werking met ingang van de dag na de datum van uitgifte van dat Staatsblad en werkt zij terug tot en met 1 januari.</w:t>
      </w:r>
    </w:p>
    <w:p w:rsidR="007E72BC" w:rsidP="007E72BC" w:rsidRDefault="007E72BC">
      <w:pPr>
        <w:rPr>
          <w:rFonts w:ascii="Times New Roman" w:hAnsi="Times New Roman"/>
          <w:sz w:val="24"/>
          <w:szCs w:val="20"/>
        </w:rPr>
      </w:pPr>
    </w:p>
    <w:p w:rsidR="00C26849" w:rsidP="007E72BC" w:rsidRDefault="00C26849">
      <w:pPr>
        <w:ind w:firstLine="284"/>
        <w:rPr>
          <w:rFonts w:ascii="Times New Roman" w:hAnsi="Times New Roman"/>
          <w:sz w:val="24"/>
          <w:szCs w:val="20"/>
        </w:rPr>
      </w:pPr>
    </w:p>
    <w:p w:rsidRPr="007E72BC" w:rsidR="007E72BC" w:rsidP="007E72BC" w:rsidRDefault="007E72BC">
      <w:pPr>
        <w:ind w:firstLine="284"/>
        <w:rPr>
          <w:rFonts w:ascii="Times New Roman" w:hAnsi="Times New Roman"/>
          <w:sz w:val="24"/>
          <w:szCs w:val="20"/>
        </w:rPr>
      </w:pPr>
      <w:r w:rsidRPr="007E72B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7E72BC" w:rsidP="007E72BC" w:rsidRDefault="007E72BC">
      <w:pPr>
        <w:rPr>
          <w:rFonts w:ascii="Times New Roman" w:hAnsi="Times New Roman"/>
          <w:sz w:val="24"/>
          <w:szCs w:val="20"/>
        </w:rPr>
      </w:pPr>
    </w:p>
    <w:p w:rsidRPr="007E72BC" w:rsidR="007E72BC" w:rsidP="007E72BC" w:rsidRDefault="007E72BC">
      <w:pPr>
        <w:rPr>
          <w:rFonts w:ascii="Times New Roman" w:hAnsi="Times New Roman"/>
          <w:sz w:val="24"/>
          <w:szCs w:val="20"/>
        </w:rPr>
      </w:pPr>
      <w:r w:rsidRPr="007E72BC">
        <w:rPr>
          <w:rFonts w:ascii="Times New Roman" w:hAnsi="Times New Roman"/>
          <w:sz w:val="24"/>
          <w:szCs w:val="20"/>
        </w:rPr>
        <w:t>Gegeven</w:t>
      </w: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C26849" w:rsidP="007E72BC" w:rsidRDefault="00C26849">
      <w:pPr>
        <w:rPr>
          <w:rFonts w:ascii="Times New Roman" w:hAnsi="Times New Roman"/>
          <w:sz w:val="24"/>
          <w:szCs w:val="20"/>
        </w:rPr>
      </w:pPr>
    </w:p>
    <w:p w:rsidR="007E72BC" w:rsidP="007E72BC" w:rsidRDefault="007E72BC">
      <w:pPr>
        <w:rPr>
          <w:rFonts w:ascii="Times New Roman" w:hAnsi="Times New Roman"/>
          <w:sz w:val="24"/>
          <w:szCs w:val="20"/>
        </w:rPr>
      </w:pPr>
      <w:r w:rsidRPr="007E72BC">
        <w:rPr>
          <w:rFonts w:ascii="Times New Roman" w:hAnsi="Times New Roman"/>
          <w:sz w:val="24"/>
          <w:szCs w:val="20"/>
        </w:rPr>
        <w:t>De Minister van Binnenlandse Zaken en Koninkrijksrelaties</w:t>
      </w:r>
      <w:r w:rsidR="00CA0DE3">
        <w:rPr>
          <w:rFonts w:ascii="Times New Roman" w:hAnsi="Times New Roman"/>
          <w:sz w:val="24"/>
          <w:szCs w:val="20"/>
        </w:rPr>
        <w:t>,</w:t>
      </w: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7E72BC" w:rsidP="007E72BC" w:rsidRDefault="007E72BC">
      <w:pPr>
        <w:rPr>
          <w:rFonts w:ascii="Times New Roman" w:hAnsi="Times New Roman"/>
          <w:sz w:val="24"/>
          <w:szCs w:val="20"/>
        </w:rPr>
      </w:pPr>
    </w:p>
    <w:p w:rsidR="00C26849" w:rsidP="007E72BC" w:rsidRDefault="00C26849">
      <w:pPr>
        <w:rPr>
          <w:rFonts w:ascii="Times New Roman" w:hAnsi="Times New Roman"/>
          <w:sz w:val="24"/>
          <w:szCs w:val="20"/>
        </w:rPr>
      </w:pPr>
    </w:p>
    <w:p w:rsidR="007E72BC" w:rsidP="007E72BC" w:rsidRDefault="007E72BC">
      <w:pPr>
        <w:rPr>
          <w:rFonts w:ascii="Times New Roman" w:hAnsi="Times New Roman"/>
          <w:sz w:val="24"/>
          <w:szCs w:val="20"/>
        </w:rPr>
      </w:pPr>
      <w:r w:rsidRPr="007E72BC">
        <w:rPr>
          <w:rFonts w:ascii="Times New Roman" w:hAnsi="Times New Roman"/>
          <w:sz w:val="24"/>
          <w:szCs w:val="20"/>
        </w:rPr>
        <w:t>De Minister van Binnenlandse Zaken en Koninkrijksrelaties</w:t>
      </w:r>
      <w:r w:rsidR="00CA0DE3">
        <w:rPr>
          <w:rFonts w:ascii="Times New Roman" w:hAnsi="Times New Roman"/>
          <w:sz w:val="24"/>
          <w:szCs w:val="20"/>
        </w:rPr>
        <w:t>,</w:t>
      </w:r>
      <w:bookmarkStart w:name="_GoBack" w:id="0"/>
      <w:bookmarkEnd w:id="0"/>
      <w:r>
        <w:rPr>
          <w:rFonts w:ascii="Times New Roman" w:hAnsi="Times New Roman"/>
          <w:sz w:val="24"/>
          <w:szCs w:val="20"/>
        </w:rPr>
        <w:br w:type="page"/>
      </w:r>
    </w:p>
    <w:tbl>
      <w:tblPr>
        <w:tblW w:w="9694" w:type="dxa"/>
        <w:tblInd w:w="-302" w:type="dxa"/>
        <w:tblCellMar>
          <w:left w:w="10" w:type="dxa"/>
          <w:right w:w="10" w:type="dxa"/>
        </w:tblCellMar>
        <w:tblLook w:val="04A0" w:firstRow="1" w:lastRow="0" w:firstColumn="1" w:lastColumn="0" w:noHBand="0" w:noVBand="1"/>
      </w:tblPr>
      <w:tblGrid>
        <w:gridCol w:w="566"/>
        <w:gridCol w:w="3688"/>
        <w:gridCol w:w="2158"/>
        <w:gridCol w:w="1405"/>
        <w:gridCol w:w="1877"/>
      </w:tblGrid>
      <w:tr w:rsidRPr="007E72BC" w:rsidR="007E72BC" w:rsidTr="007E72BC">
        <w:trPr>
          <w:tblHeader/>
        </w:trPr>
        <w:tc>
          <w:tcPr>
            <w:tcW w:w="0" w:type="auto"/>
            <w:gridSpan w:val="5"/>
          </w:tcPr>
          <w:p w:rsidRPr="007E72BC" w:rsidR="007E72BC" w:rsidP="007E72BC" w:rsidRDefault="007E72BC">
            <w:pPr>
              <w:keepNext/>
              <w:autoSpaceDN w:val="0"/>
              <w:textAlignment w:val="baseline"/>
              <w:rPr>
                <w:rFonts w:ascii="Times New Roman" w:hAnsi="Times New Roman" w:eastAsiaTheme="minorEastAsia"/>
                <w:b/>
                <w:kern w:val="3"/>
                <w:sz w:val="24"/>
              </w:rPr>
            </w:pPr>
            <w:r w:rsidRPr="007E72BC">
              <w:rPr>
                <w:rFonts w:ascii="Times New Roman" w:hAnsi="Times New Roman" w:eastAsiaTheme="minorEastAsia"/>
                <w:b/>
                <w:kern w:val="3"/>
                <w:sz w:val="24"/>
              </w:rPr>
              <w:lastRenderedPageBreak/>
              <w:t>Vaststelling van de begrotingsstaat van de overige Hoge Colleges van Staat en Kabinetten van de Gouverneurs (IIB) voor het jaar 2017</w:t>
            </w:r>
          </w:p>
          <w:p w:rsidRPr="007E72BC" w:rsidR="007E72BC" w:rsidP="007E72BC" w:rsidRDefault="007E72BC">
            <w:pPr>
              <w:keepNext/>
              <w:autoSpaceDN w:val="0"/>
              <w:textAlignment w:val="baseline"/>
              <w:rPr>
                <w:rFonts w:ascii="Times New Roman" w:hAnsi="Times New Roman" w:eastAsiaTheme="minorEastAsia"/>
                <w:b/>
                <w:kern w:val="3"/>
                <w:sz w:val="24"/>
              </w:rPr>
            </w:pPr>
            <w:r w:rsidRPr="007E72BC">
              <w:rPr>
                <w:rFonts w:ascii="Times New Roman" w:hAnsi="Times New Roman" w:eastAsiaTheme="minorEastAsia"/>
                <w:b/>
                <w:kern w:val="3"/>
                <w:sz w:val="24"/>
              </w:rPr>
              <w:t>(Bedragen x € 1.000)</w:t>
            </w:r>
          </w:p>
        </w:tc>
      </w:tr>
      <w:tr w:rsidRPr="007E72BC" w:rsidR="007E72BC" w:rsidTr="007E72BC">
        <w:trPr>
          <w:tblHeader/>
        </w:trPr>
        <w:tc>
          <w:tcPr>
            <w:tcW w:w="0" w:type="auto"/>
            <w:tcBorders>
              <w:top w:val="single" w:color="000000" w:sz="4" w:space="0"/>
            </w:tcBorders>
            <w:tcMar>
              <w:top w:w="45"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Art.</w:t>
            </w:r>
          </w:p>
        </w:tc>
        <w:tc>
          <w:tcPr>
            <w:tcW w:w="0" w:type="auto"/>
            <w:tcBorders>
              <w:top w:val="single" w:color="000000" w:sz="4" w:space="0"/>
            </w:tcBorders>
            <w:tcMar>
              <w:top w:w="45" w:type="dxa"/>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Omschrijving</w:t>
            </w:r>
          </w:p>
        </w:tc>
        <w:tc>
          <w:tcPr>
            <w:tcW w:w="0" w:type="auto"/>
            <w:gridSpan w:val="3"/>
            <w:tcBorders>
              <w:top w:val="single" w:color="000000" w:sz="4" w:space="0"/>
            </w:tcBorders>
            <w:tcMar>
              <w:top w:w="45" w:type="dxa"/>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Oorspronkelijk vastgestelde begroting</w:t>
            </w:r>
          </w:p>
        </w:tc>
      </w:tr>
      <w:tr w:rsidRPr="007E72BC" w:rsidR="007E72BC" w:rsidTr="007E72BC">
        <w:trPr>
          <w:tblHeader/>
        </w:trPr>
        <w:tc>
          <w:tcPr>
            <w:tcW w:w="0" w:type="auto"/>
            <w:tcBorders>
              <w:bottom w:val="single" w:color="000000" w:sz="4" w:space="0"/>
            </w:tcBorders>
            <w:tcMar>
              <w:bottom w:w="45"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Verplichtingen</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Uitgaven</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Ontvangsten</w:t>
            </w:r>
          </w:p>
        </w:tc>
      </w:tr>
      <w:tr w:rsidRPr="007E72BC" w:rsidR="007E72BC" w:rsidTr="007E72BC">
        <w:tc>
          <w:tcPr>
            <w:tcW w:w="0" w:type="auto"/>
            <w:tcMar>
              <w:top w:w="45"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p>
        </w:tc>
        <w:tc>
          <w:tcPr>
            <w:tcW w:w="0" w:type="auto"/>
            <w:tcMar>
              <w:top w:w="45" w:type="dxa"/>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top w:w="45" w:type="dxa"/>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b/>
                <w:kern w:val="3"/>
                <w:sz w:val="24"/>
              </w:rPr>
              <w:t>115.016</w:t>
            </w:r>
          </w:p>
        </w:tc>
        <w:tc>
          <w:tcPr>
            <w:tcW w:w="0" w:type="auto"/>
            <w:tcMar>
              <w:top w:w="45" w:type="dxa"/>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b/>
                <w:kern w:val="3"/>
                <w:sz w:val="24"/>
              </w:rPr>
              <w:t>115.016</w:t>
            </w:r>
          </w:p>
        </w:tc>
        <w:tc>
          <w:tcPr>
            <w:tcW w:w="0" w:type="auto"/>
            <w:tcMar>
              <w:top w:w="45" w:type="dxa"/>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b/>
                <w:kern w:val="3"/>
                <w:sz w:val="24"/>
              </w:rPr>
              <w:t>5.695</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r>
      <w:tr w:rsidRPr="007E72BC" w:rsidR="007E72BC" w:rsidTr="007E72BC">
        <w:tc>
          <w:tcPr>
            <w:tcW w:w="0" w:type="auto"/>
            <w:gridSpan w:val="2"/>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b/>
                <w:kern w:val="3"/>
                <w:sz w:val="24"/>
              </w:rPr>
              <w:t>Beleidsartikelen</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1</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Raad van State</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59.314</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59.314</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1.950</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Algemene Rekenkamer</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28.047</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28.047</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1.217</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3</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De Nationale ombudsman</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15.230</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15.230</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2.189</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4</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Kanselarij Nederlandse Orden</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4.671</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4.671</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29</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6</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Kabinet Gouverneur Aruba</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2.183</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2.183</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60</w:t>
            </w:r>
          </w:p>
        </w:tc>
      </w:tr>
      <w:tr w:rsidRPr="007E72BC" w:rsidR="007E72BC" w:rsidTr="007E72BC">
        <w:tc>
          <w:tcPr>
            <w:tcW w:w="0" w:type="auto"/>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7</w:t>
            </w:r>
          </w:p>
        </w:tc>
        <w:tc>
          <w:tcPr>
            <w:tcW w:w="0" w:type="auto"/>
            <w:tcMar>
              <w:left w:w="57"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Kabinet Gouverneur Curaçao</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3.213</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3.213</w:t>
            </w:r>
          </w:p>
        </w:tc>
        <w:tc>
          <w:tcPr>
            <w:tcW w:w="0" w:type="auto"/>
            <w:tcMar>
              <w:left w:w="57"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200</w:t>
            </w:r>
          </w:p>
        </w:tc>
      </w:tr>
      <w:tr w:rsidRPr="007E72BC" w:rsidR="007E72BC" w:rsidTr="007E72BC">
        <w:tc>
          <w:tcPr>
            <w:tcW w:w="0" w:type="auto"/>
            <w:tcBorders>
              <w:bottom w:val="single" w:color="000000" w:sz="4" w:space="0"/>
            </w:tcBorders>
            <w:tcMar>
              <w:bottom w:w="45"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8</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Kabinet Gouverneur St. Maarten</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2.358</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2.358</w:t>
            </w:r>
          </w:p>
        </w:tc>
        <w:tc>
          <w:tcPr>
            <w:tcW w:w="0" w:type="auto"/>
            <w:tcBorders>
              <w:bottom w:val="single" w:color="000000" w:sz="4" w:space="0"/>
            </w:tcBorders>
            <w:tcMar>
              <w:left w:w="57" w:type="dxa"/>
              <w:bottom w:w="45" w:type="dxa"/>
              <w:right w:w="57" w:type="dxa"/>
            </w:tcMar>
          </w:tcPr>
          <w:p w:rsidRPr="007E72BC" w:rsidR="007E72BC" w:rsidP="007E72BC" w:rsidRDefault="007E72BC">
            <w:pPr>
              <w:widowControl w:val="0"/>
              <w:autoSpaceDN w:val="0"/>
              <w:jc w:val="right"/>
              <w:textAlignment w:val="baseline"/>
              <w:rPr>
                <w:rFonts w:ascii="Times New Roman" w:hAnsi="Times New Roman" w:eastAsiaTheme="minorEastAsia"/>
                <w:kern w:val="3"/>
                <w:sz w:val="24"/>
              </w:rPr>
            </w:pPr>
            <w:r w:rsidRPr="007E72BC">
              <w:rPr>
                <w:rFonts w:ascii="Times New Roman" w:hAnsi="Times New Roman" w:eastAsiaTheme="minorEastAsia"/>
                <w:kern w:val="3"/>
                <w:sz w:val="24"/>
              </w:rPr>
              <w:t>50</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2BC" w:rsidRDefault="007E72BC">
      <w:pPr>
        <w:spacing w:line="20" w:lineRule="exact"/>
      </w:pPr>
    </w:p>
  </w:endnote>
  <w:endnote w:type="continuationSeparator" w:id="0">
    <w:p w:rsidR="007E72BC" w:rsidRDefault="007E72BC">
      <w:pPr>
        <w:pStyle w:val="Amendement"/>
      </w:pPr>
      <w:r>
        <w:rPr>
          <w:b w:val="0"/>
          <w:bCs w:val="0"/>
        </w:rPr>
        <w:t xml:space="preserve"> </w:t>
      </w:r>
    </w:p>
  </w:endnote>
  <w:endnote w:type="continuationNotice" w:id="1">
    <w:p w:rsidR="007E72BC" w:rsidRDefault="007E72B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0DE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2BC" w:rsidRDefault="007E72BC">
      <w:pPr>
        <w:pStyle w:val="Amendement"/>
      </w:pPr>
      <w:r>
        <w:rPr>
          <w:b w:val="0"/>
          <w:bCs w:val="0"/>
        </w:rPr>
        <w:separator/>
      </w:r>
    </w:p>
  </w:footnote>
  <w:footnote w:type="continuationSeparator" w:id="0">
    <w:p w:rsidR="007E72BC" w:rsidRDefault="007E7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BC"/>
    <w:rsid w:val="00012DBE"/>
    <w:rsid w:val="000A1D81"/>
    <w:rsid w:val="00111ED3"/>
    <w:rsid w:val="001C190E"/>
    <w:rsid w:val="002168F4"/>
    <w:rsid w:val="002A727C"/>
    <w:rsid w:val="005D2707"/>
    <w:rsid w:val="00606255"/>
    <w:rsid w:val="006B607A"/>
    <w:rsid w:val="007D451C"/>
    <w:rsid w:val="007E72BC"/>
    <w:rsid w:val="00826224"/>
    <w:rsid w:val="00930A23"/>
    <w:rsid w:val="009C7354"/>
    <w:rsid w:val="009E6D7F"/>
    <w:rsid w:val="00A11E73"/>
    <w:rsid w:val="00A2521E"/>
    <w:rsid w:val="00AE436A"/>
    <w:rsid w:val="00C135B1"/>
    <w:rsid w:val="00C26849"/>
    <w:rsid w:val="00C754DE"/>
    <w:rsid w:val="00C92DF8"/>
    <w:rsid w:val="00CA0DE3"/>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369</ap:Words>
  <ap:Characters>2093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2016-12-08T18:47:00.0000000Z</dcterms:created>
  <dcterms:modified xsi:type="dcterms:W3CDTF">2016-12-08T18:48:00.0000000Z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