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4215A585" wp14:anchorId="38236CE7">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4E1052F8" wp14:anchorId="537BC3B8">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W03.16.0055/II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4 mei 2016</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AF7A69" w:rsidRDefault="0071053D">
              <w:r>
                <w:t>Bij Kabinetsmissive van 17 maart 2016, no.2016000477, heeft Uwe Majesteit, op voordracht van de Minister van Veiligheid en Justitie, bij de Afdeling advisering van de Raad van State ter overweging aanhangig gemaakt het voorstel van wet tot wijziging van het Wetboek van Strafvordering ter implementatie van de richtlijn 2014/41/EU van het Europees Parlement en de Raad van 3 april 2014 betreffende het Europees onderzoeksbevel in strafzaken (implementatie richtlijn Europees onderzoeksbevel), met memorie van toelichting.</w:t>
              </w:r>
            </w:p>
          </w:sdtContent>
        </w:sdt>
        <w:p w:rsidRPr="00831363" w:rsidR="00CE4655" w:rsidP="003C7608" w:rsidRDefault="00CE4655"/>
        <w:sdt>
          <w:sdtPr>
            <w:rPr>
              <w:szCs w:val="22"/>
            </w:rPr>
            <w:alias w:val="VrijeTekst1"/>
            <w:tag w:val="VrijeTekst1"/>
            <w:id w:val="-437221631"/>
            <w:lock w:val="sdtLocked"/>
          </w:sdtPr>
          <w:sdtEndPr>
            <w:rPr>
              <w:szCs w:val="24"/>
            </w:rPr>
          </w:sdtEndPr>
          <w:sdtContent>
            <w:p w:rsidRPr="0010262A" w:rsidR="00FC78D7" w:rsidP="00FC78D7" w:rsidRDefault="0071053D">
              <w:pPr>
                <w:rPr>
                  <w:szCs w:val="22"/>
                </w:rPr>
              </w:pPr>
              <w:r w:rsidRPr="0010262A">
                <w:rPr>
                  <w:szCs w:val="22"/>
                </w:rPr>
                <w:t xml:space="preserve">Het wetsvoorstel strekt tot implementatie van de Europese richtlijn betreffende het Europees onderzoekbevel (hierna: EOB) in strafzaken. De richtlijn ziet op de kleine rechtshulp, dat wil zeggen de wederzijdse bijstand door EU-lidstaten bij het vervolgen, berechten en met name het opsporen van strafbare feiten. </w:t>
              </w:r>
            </w:p>
            <w:p w:rsidRPr="0010262A" w:rsidR="00FC78D7" w:rsidP="00FC78D7" w:rsidRDefault="002B6A25">
              <w:pPr>
                <w:rPr>
                  <w:szCs w:val="22"/>
                </w:rPr>
              </w:pPr>
            </w:p>
            <w:p w:rsidRPr="0010262A" w:rsidR="00FC78D7" w:rsidP="00FC78D7" w:rsidRDefault="0071053D">
              <w:pPr>
                <w:rPr>
                  <w:szCs w:val="22"/>
                </w:rPr>
              </w:pPr>
              <w:r w:rsidRPr="0010262A">
                <w:rPr>
                  <w:szCs w:val="22"/>
                </w:rPr>
                <w:t xml:space="preserve">Onlangs heeft de Afdeling </w:t>
              </w:r>
              <w:r>
                <w:rPr>
                  <w:szCs w:val="22"/>
                </w:rPr>
                <w:t xml:space="preserve">advisering van de Raad van State </w:t>
              </w:r>
              <w:r w:rsidRPr="0010262A">
                <w:rPr>
                  <w:szCs w:val="22"/>
                </w:rPr>
                <w:t>advies uitgebracht over het wetsvoorstel herziening regeling internationale samenwerking in strafzaken.</w:t>
              </w:r>
              <w:r w:rsidRPr="0010262A">
                <w:rPr>
                  <w:rStyle w:val="FootnoteReference"/>
                  <w:szCs w:val="22"/>
                </w:rPr>
                <w:footnoteReference w:id="1"/>
              </w:r>
              <w:r w:rsidRPr="0010262A">
                <w:rPr>
                  <w:szCs w:val="22"/>
                </w:rPr>
                <w:t xml:space="preserve"> Dat wetsvoorstel voorziet in een nieuwe regeling voor de kleine rechtshulp </w:t>
              </w:r>
              <w:r>
                <w:rPr>
                  <w:szCs w:val="22"/>
                </w:rPr>
                <w:t xml:space="preserve">tussen </w:t>
              </w:r>
              <w:r w:rsidRPr="0010262A">
                <w:rPr>
                  <w:szCs w:val="22"/>
                </w:rPr>
                <w:t xml:space="preserve">staten </w:t>
              </w:r>
              <w:r>
                <w:rPr>
                  <w:szCs w:val="22"/>
                </w:rPr>
                <w:t>vooral</w:t>
              </w:r>
              <w:r w:rsidRPr="0010262A">
                <w:rPr>
                  <w:szCs w:val="22"/>
                </w:rPr>
                <w:t xml:space="preserve"> </w:t>
              </w:r>
              <w:r w:rsidRPr="0010262A">
                <w:rPr>
                  <w:i/>
                  <w:szCs w:val="22"/>
                </w:rPr>
                <w:t xml:space="preserve">buiten </w:t>
              </w:r>
              <w:r w:rsidRPr="0010262A">
                <w:rPr>
                  <w:szCs w:val="22"/>
                </w:rPr>
                <w:t xml:space="preserve">de Europese Unie. In het voorliggende wetsvoorstel is gestreefd naar aansluiting bij </w:t>
              </w:r>
              <w:r>
                <w:rPr>
                  <w:szCs w:val="22"/>
                </w:rPr>
                <w:t>dat wetsvoorstel</w:t>
              </w:r>
              <w:r w:rsidRPr="0010262A">
                <w:rPr>
                  <w:szCs w:val="22"/>
                </w:rPr>
                <w:t>.</w:t>
              </w:r>
              <w:r w:rsidRPr="0010262A">
                <w:rPr>
                  <w:rStyle w:val="FootnoteReference"/>
                  <w:szCs w:val="22"/>
                </w:rPr>
                <w:footnoteReference w:id="2"/>
              </w:r>
              <w:r w:rsidRPr="0010262A">
                <w:rPr>
                  <w:szCs w:val="22"/>
                </w:rPr>
                <w:t xml:space="preserve"> Opmerkingen uit het advies over dat wetsvoorstel</w:t>
              </w:r>
              <w:r>
                <w:rPr>
                  <w:szCs w:val="22"/>
                </w:rPr>
                <w:t xml:space="preserve"> die</w:t>
              </w:r>
              <w:r w:rsidRPr="0010262A">
                <w:rPr>
                  <w:szCs w:val="22"/>
                </w:rPr>
                <w:t xml:space="preserve"> relevant zijn voor het onderhavige wetsvoorstel worden in dit advies herhaald.</w:t>
              </w:r>
            </w:p>
            <w:p w:rsidRPr="0010262A" w:rsidR="00FC78D7" w:rsidP="00FC78D7" w:rsidRDefault="002B6A25">
              <w:pPr>
                <w:rPr>
                  <w:szCs w:val="22"/>
                </w:rPr>
              </w:pPr>
            </w:p>
            <w:p w:rsidRPr="0010262A" w:rsidR="00FC78D7" w:rsidP="00FC78D7" w:rsidRDefault="0071053D">
              <w:pPr>
                <w:rPr>
                  <w:szCs w:val="22"/>
                </w:rPr>
              </w:pPr>
              <w:r>
                <w:rPr>
                  <w:szCs w:val="22"/>
                </w:rPr>
                <w:t>Op</w:t>
              </w:r>
              <w:r w:rsidRPr="0010262A">
                <w:rPr>
                  <w:szCs w:val="22"/>
                </w:rPr>
                <w:t xml:space="preserve"> onderdelen, </w:t>
              </w:r>
              <w:r>
                <w:rPr>
                  <w:szCs w:val="22"/>
                </w:rPr>
                <w:t>in het bijzonder</w:t>
              </w:r>
              <w:r w:rsidRPr="0010262A">
                <w:rPr>
                  <w:szCs w:val="22"/>
                </w:rPr>
                <w:t xml:space="preserve"> de regeling van de videoconferentie, </w:t>
              </w:r>
              <w:r>
                <w:rPr>
                  <w:szCs w:val="22"/>
                </w:rPr>
                <w:t xml:space="preserve">biedt het voorstel </w:t>
              </w:r>
              <w:r w:rsidRPr="0010262A">
                <w:rPr>
                  <w:szCs w:val="22"/>
                </w:rPr>
                <w:t xml:space="preserve">voor EU-lidstaten meer waarborgen dan het wetsvoorstel herziening internationale samenwerking in strafzaken </w:t>
              </w:r>
              <w:r>
                <w:rPr>
                  <w:szCs w:val="22"/>
                </w:rPr>
                <w:t xml:space="preserve">met </w:t>
              </w:r>
              <w:r w:rsidRPr="0010262A">
                <w:rPr>
                  <w:szCs w:val="22"/>
                </w:rPr>
                <w:t>staten buiten</w:t>
              </w:r>
              <w:r>
                <w:rPr>
                  <w:szCs w:val="22"/>
                </w:rPr>
                <w:t xml:space="preserve"> de</w:t>
              </w:r>
              <w:r w:rsidRPr="0010262A">
                <w:rPr>
                  <w:szCs w:val="22"/>
                </w:rPr>
                <w:t xml:space="preserve"> Europ</w:t>
              </w:r>
              <w:r>
                <w:rPr>
                  <w:szCs w:val="22"/>
                </w:rPr>
                <w:t>ese Unie</w:t>
              </w:r>
              <w:r w:rsidRPr="0010262A">
                <w:rPr>
                  <w:szCs w:val="22"/>
                </w:rPr>
                <w:t xml:space="preserve">. De Afdeling heeft </w:t>
              </w:r>
              <w:r>
                <w:rPr>
                  <w:szCs w:val="22"/>
                </w:rPr>
                <w:t>niettemin onder andere</w:t>
              </w:r>
              <w:r w:rsidRPr="0010262A">
                <w:rPr>
                  <w:szCs w:val="22"/>
                </w:rPr>
                <w:t xml:space="preserve"> opmerkingen over de redenen voor afschaffing van het verplichte verlof door de rechter voorafgaand aan de overdracht van de resultaten van uitvoering van het EOB aan de uitvaardigende lidstaat en over de voorlopige terbeschikkingstelling van de resultaten aan de uitvaardigende lidstaat, nog voordat daarover onherroepelijk door de rechter is beslist. </w:t>
              </w:r>
            </w:p>
            <w:p w:rsidR="00347860" w:rsidRDefault="002B6A25">
              <w:pPr>
                <w:rPr>
                  <w:sz w:val="18"/>
                  <w:szCs w:val="18"/>
                </w:rPr>
              </w:pPr>
            </w:p>
            <w:p w:rsidRPr="00D15A26" w:rsidR="00FC78D7" w:rsidP="00FC78D7" w:rsidRDefault="0071053D">
              <w:pPr>
                <w:rPr>
                  <w:szCs w:val="22"/>
                </w:rPr>
              </w:pPr>
              <w:r w:rsidRPr="00D15A26">
                <w:rPr>
                  <w:szCs w:val="22"/>
                </w:rPr>
                <w:t xml:space="preserve">1. </w:t>
              </w:r>
              <w:r w:rsidRPr="00D15A26">
                <w:rPr>
                  <w:szCs w:val="22"/>
                </w:rPr>
                <w:tab/>
              </w:r>
              <w:r w:rsidRPr="00D15A26">
                <w:rPr>
                  <w:szCs w:val="22"/>
                  <w:u w:val="single"/>
                </w:rPr>
                <w:t>Afschaffing verlofprocedure</w:t>
              </w:r>
              <w:r w:rsidRPr="00D15A26">
                <w:rPr>
                  <w:szCs w:val="22"/>
                </w:rPr>
                <w:t xml:space="preserve"> </w:t>
              </w:r>
            </w:p>
            <w:p w:rsidR="00347860" w:rsidRDefault="002B6A25">
              <w:pPr>
                <w:rPr>
                  <w:sz w:val="18"/>
                  <w:szCs w:val="18"/>
                </w:rPr>
              </w:pPr>
            </w:p>
            <w:p w:rsidRPr="0010262A" w:rsidR="00FC78D7" w:rsidP="00FC78D7" w:rsidRDefault="0071053D">
              <w:pPr>
                <w:rPr>
                  <w:szCs w:val="22"/>
                </w:rPr>
              </w:pPr>
              <w:r w:rsidRPr="0010262A">
                <w:rPr>
                  <w:szCs w:val="22"/>
                </w:rPr>
                <w:t>De verlofprocedure komt te vervallen onder gelijktijdige verduidelijking van de mogelijkheid tot indiening van een klaagschrift tegen de inbeslagneming of het vorderen van gegevens.</w:t>
              </w:r>
              <w:r>
                <w:rPr>
                  <w:rStyle w:val="FootnoteReference"/>
                  <w:szCs w:val="22"/>
                </w:rPr>
                <w:footnoteReference w:id="3"/>
              </w:r>
              <w:r w:rsidRPr="0010262A">
                <w:rPr>
                  <w:szCs w:val="22"/>
                </w:rPr>
                <w:t xml:space="preserve"> De voorgestelde</w:t>
              </w:r>
              <w:r>
                <w:rPr>
                  <w:szCs w:val="22"/>
                </w:rPr>
                <w:t xml:space="preserve"> </w:t>
              </w:r>
              <w:r w:rsidRPr="0010262A">
                <w:rPr>
                  <w:szCs w:val="22"/>
                </w:rPr>
                <w:t>rechtsbescherming is vergelijkbaar met die onder het huidige Europees bewijsverkrijgingsbevel</w:t>
              </w:r>
              <w:r>
                <w:rPr>
                  <w:szCs w:val="22"/>
                </w:rPr>
                <w:t xml:space="preserve"> (EBB)</w:t>
              </w:r>
              <w:r w:rsidRPr="0010262A">
                <w:rPr>
                  <w:szCs w:val="22"/>
                </w:rPr>
                <w:t>.</w:t>
              </w:r>
              <w:r>
                <w:rPr>
                  <w:rStyle w:val="FootnoteReference"/>
                  <w:szCs w:val="22"/>
                </w:rPr>
                <w:footnoteReference w:id="4"/>
              </w:r>
              <w:r w:rsidRPr="0010262A">
                <w:rPr>
                  <w:szCs w:val="22"/>
                </w:rPr>
                <w:t xml:space="preserve"> Verschil met het wetsvoorstel herziening regeling internationale samenwerking in strafzaken is dat de verlofprocedure in onderhavig voorstel geen enkele plaats meer toekomt, </w:t>
              </w:r>
              <w:r>
                <w:t>ook niet in het geval waarin omwille van redenen van geheimhouding de kennisgeving van de mogelijkheid om een klaagschrift in te dienen achterwege is gebleven</w:t>
              </w:r>
              <w:r w:rsidRPr="0010262A">
                <w:rPr>
                  <w:szCs w:val="22"/>
                </w:rPr>
                <w:t xml:space="preserve">. </w:t>
              </w:r>
            </w:p>
            <w:p w:rsidRPr="0010262A" w:rsidR="00FC78D7" w:rsidP="00FC78D7" w:rsidRDefault="0071053D">
              <w:pPr>
                <w:rPr>
                  <w:szCs w:val="22"/>
                </w:rPr>
              </w:pPr>
              <w:r>
                <w:rPr>
                  <w:szCs w:val="22"/>
                </w:rPr>
                <w:t xml:space="preserve"> </w:t>
              </w:r>
            </w:p>
            <w:p w:rsidRPr="0010262A" w:rsidR="00FC78D7" w:rsidP="00FC78D7" w:rsidRDefault="0071053D">
              <w:pPr>
                <w:rPr>
                  <w:szCs w:val="22"/>
                </w:rPr>
              </w:pPr>
              <w:r w:rsidRPr="0010262A">
                <w:rPr>
                  <w:szCs w:val="22"/>
                </w:rPr>
                <w:t xml:space="preserve">De Raad voor de rechtspraak </w:t>
              </w:r>
              <w:r>
                <w:rPr>
                  <w:szCs w:val="22"/>
                </w:rPr>
                <w:t>merkt</w:t>
              </w:r>
              <w:r w:rsidRPr="0010262A">
                <w:rPr>
                  <w:szCs w:val="22"/>
                </w:rPr>
                <w:t xml:space="preserve"> in zijn advies </w:t>
              </w:r>
              <w:r>
                <w:rPr>
                  <w:szCs w:val="22"/>
                </w:rPr>
                <w:t xml:space="preserve">op </w:t>
              </w:r>
              <w:r w:rsidRPr="0010262A">
                <w:rPr>
                  <w:szCs w:val="22"/>
                </w:rPr>
                <w:t xml:space="preserve">dat afschaffing van de verlofprocedure leidt tot een aanmerkelijke achteruitgang in rechtsbescherming en dat </w:t>
              </w:r>
              <w:r w:rsidRPr="0010262A">
                <w:rPr>
                  <w:szCs w:val="22"/>
                </w:rPr>
                <w:lastRenderedPageBreak/>
                <w:t xml:space="preserve">de richtlijn </w:t>
              </w:r>
              <w:r>
                <w:rPr>
                  <w:szCs w:val="22"/>
                </w:rPr>
                <w:t>wel</w:t>
              </w:r>
              <w:r w:rsidRPr="0010262A">
                <w:rPr>
                  <w:szCs w:val="22"/>
                </w:rPr>
                <w:t xml:space="preserve"> de ruimte laat voor een verlofprocedure.</w:t>
              </w:r>
              <w:r w:rsidRPr="0010262A">
                <w:rPr>
                  <w:rStyle w:val="FootnoteReference"/>
                  <w:szCs w:val="22"/>
                </w:rPr>
                <w:footnoteReference w:id="5"/>
              </w:r>
              <w:r w:rsidRPr="0010262A">
                <w:rPr>
                  <w:szCs w:val="22"/>
                </w:rPr>
                <w:t xml:space="preserve"> In reactie hierop wordt in de toelichting gesteld:</w:t>
              </w:r>
              <w:r w:rsidRPr="0010262A">
                <w:rPr>
                  <w:rStyle w:val="FootnoteReference"/>
                  <w:szCs w:val="22"/>
                </w:rPr>
                <w:footnoteReference w:id="6"/>
              </w:r>
            </w:p>
            <w:p w:rsidRPr="0010262A" w:rsidR="00FC78D7" w:rsidP="00FC78D7" w:rsidRDefault="002B6A25">
              <w:pPr>
                <w:rPr>
                  <w:szCs w:val="22"/>
                </w:rPr>
              </w:pPr>
            </w:p>
            <w:p w:rsidRPr="00D25510" w:rsidR="00FC78D7" w:rsidP="00FC78D7" w:rsidRDefault="0071053D">
              <w:pPr>
                <w:rPr>
                  <w:szCs w:val="22"/>
                </w:rPr>
              </w:pPr>
              <w:r w:rsidRPr="00D25510">
                <w:rPr>
                  <w:szCs w:val="22"/>
                </w:rPr>
                <w:t>“Dit (laatste) is strikt genomen</w:t>
              </w:r>
              <w:r>
                <w:rPr>
                  <w:szCs w:val="22"/>
                </w:rPr>
                <w:t xml:space="preserve"> het geval: </w:t>
              </w:r>
              <w:r w:rsidRPr="00D25510">
                <w:rPr>
                  <w:szCs w:val="22"/>
                </w:rPr>
                <w:t xml:space="preserve">de richtlijn verplicht alleen tot het handhaven van de termijn van maximaal negentig dagen voor uitvoering van het bevel. De verlofprocedure, die meerdere weken in beslag neemt, zou dan moeten worden ingepast. Daarmee zou de uitvoering van het bevel binnen de gestelde termijn waarschijnlijk snel in het gedrang komen. Handhaving van de verlofprocedure laat zich in de ogen van het kabinet niet verenigen met het uitgangspunt van snelle uitvoering van een EOB, terwijl op grond van het wederzijdse vertrouwen tussen lidstaten – de grondslag </w:t>
              </w:r>
              <w:r>
                <w:rPr>
                  <w:szCs w:val="22"/>
                </w:rPr>
                <w:t xml:space="preserve">voor de wederzijdse </w:t>
              </w:r>
              <w:r w:rsidRPr="00D25510">
                <w:rPr>
                  <w:szCs w:val="22"/>
                </w:rPr>
                <w:t xml:space="preserve">erkenning van rechterlijke beslissingen als vormgegeven in deze richtlijn – een extra rechterlijke toets ook niet nodig wordt geacht.” </w:t>
              </w:r>
            </w:p>
            <w:p w:rsidRPr="0010262A" w:rsidR="00FC78D7" w:rsidP="00FC78D7" w:rsidRDefault="002B6A25">
              <w:pPr>
                <w:rPr>
                  <w:szCs w:val="22"/>
                </w:rPr>
              </w:pPr>
            </w:p>
            <w:p w:rsidRPr="0010262A" w:rsidR="00E81EB1" w:rsidP="00FC78D7" w:rsidRDefault="0071053D">
              <w:pPr>
                <w:rPr>
                  <w:szCs w:val="22"/>
                </w:rPr>
              </w:pPr>
              <w:r w:rsidRPr="0010262A">
                <w:rPr>
                  <w:szCs w:val="22"/>
                </w:rPr>
                <w:t>Bij deze motivering plaatst de Afdeling de volgende kanttekeningen</w:t>
              </w:r>
              <w:r>
                <w:rPr>
                  <w:szCs w:val="22"/>
                </w:rPr>
                <w:t xml:space="preserve"> die in het bijzonder betrekking hebben op situaties waarin sprake is van heimelijke bevoegdheidstoepassing waarin de resultaten van onderzoek geheim moeten blijven.</w:t>
              </w:r>
              <w:r w:rsidRPr="0010262A">
                <w:rPr>
                  <w:szCs w:val="22"/>
                </w:rPr>
                <w:t xml:space="preserve"> </w:t>
              </w:r>
            </w:p>
            <w:p w:rsidRPr="0010262A" w:rsidR="00E81EB1" w:rsidP="00FC78D7" w:rsidRDefault="002B6A25">
              <w:pPr>
                <w:rPr>
                  <w:szCs w:val="22"/>
                </w:rPr>
              </w:pPr>
            </w:p>
            <w:p w:rsidR="006738BF" w:rsidP="00FC78D7" w:rsidRDefault="0071053D">
              <w:pPr>
                <w:rPr>
                  <w:szCs w:val="22"/>
                </w:rPr>
              </w:pPr>
              <w:r w:rsidRPr="0010262A">
                <w:rPr>
                  <w:szCs w:val="22"/>
                </w:rPr>
                <w:t xml:space="preserve">a. </w:t>
              </w:r>
              <w:r>
                <w:rPr>
                  <w:szCs w:val="22"/>
                </w:rPr>
                <w:tab/>
              </w:r>
              <w:r w:rsidRPr="0010262A">
                <w:rPr>
                  <w:szCs w:val="22"/>
                </w:rPr>
                <w:t xml:space="preserve">De regering meent dat op grond van het wederzijdse vertrouwen tussen de EU-lidstaten een “extra rechterlijke toets” niet nodig is. De Afdeling wijst erop dat sinds de implementatie van het kaderbesluit Europees bewijsverkrijgingsbevel de verlofprocedure voor de overdracht van </w:t>
              </w:r>
              <w:r>
                <w:rPr>
                  <w:szCs w:val="22"/>
                </w:rPr>
                <w:t xml:space="preserve">– kort gezegd – </w:t>
              </w:r>
              <w:r w:rsidRPr="0010262A">
                <w:rPr>
                  <w:szCs w:val="22"/>
                </w:rPr>
                <w:t>bestaand bewijs is afgeschaft. In dat kaderbesluit is bepaald dat een lidstaat een EBB alleen mag uitvaardigen indien dit in de gegeven zaak noodzakelijk en proportioneel is. De uitvaardigende lidstaat dient dit na te gaan.</w:t>
              </w:r>
              <w:r>
                <w:rPr>
                  <w:rStyle w:val="FootnoteReference"/>
                  <w:szCs w:val="22"/>
                </w:rPr>
                <w:footnoteReference w:id="7"/>
              </w:r>
              <w:r w:rsidRPr="0010262A">
                <w:rPr>
                  <w:szCs w:val="22"/>
                </w:rPr>
                <w:t xml:space="preserve"> </w:t>
              </w:r>
            </w:p>
            <w:p w:rsidR="00FC78D7" w:rsidP="00FC78D7" w:rsidRDefault="0071053D">
              <w:pPr>
                <w:rPr>
                  <w:szCs w:val="22"/>
                </w:rPr>
              </w:pPr>
              <w:r>
                <w:rPr>
                  <w:szCs w:val="22"/>
                </w:rPr>
                <w:t>De Afdeling acht het van belang hoe hiermee in de praktijk door de lidstaten wordt omgegaan. Artikel 20, tweede lid, van het Kaderbesluit EBB bepaalt dat het Kaderbesluit, in het bijzonder de praktische toepassing ervan door de lidstaten, door de Raad moet worden geëvalueerd. Volgens de toenmalige minister lag het voor de hand dat ter gelegenheid van die evaluatie ook zal worden gekeken naar de toepassing door de verschillende lidstaten van de vereisten van proportionaliteit en subsidiariteit in de praktijk.</w:t>
              </w:r>
              <w:r>
                <w:rPr>
                  <w:rStyle w:val="FootnoteReference"/>
                  <w:szCs w:val="22"/>
                </w:rPr>
                <w:footnoteReference w:id="8"/>
              </w:r>
              <w:r>
                <w:rPr>
                  <w:szCs w:val="22"/>
                </w:rPr>
                <w:t xml:space="preserve"> Voor zover de Afdeling bekend, heeft deze evaluatie van het EBB niet plaatsgevonden. De vraag naar de werking in de praktijk klemt temeer nu uit de evaluatie van het Europees Arrestatiebevel blijkt dat</w:t>
              </w:r>
              <w:r w:rsidRPr="007A6321">
                <w:rPr>
                  <w:szCs w:val="22"/>
                </w:rPr>
                <w:t xml:space="preserve"> in </w:t>
              </w:r>
              <w:r>
                <w:rPr>
                  <w:szCs w:val="22"/>
                </w:rPr>
                <w:t xml:space="preserve">de </w:t>
              </w:r>
              <w:r w:rsidRPr="007A6321">
                <w:rPr>
                  <w:szCs w:val="22"/>
                </w:rPr>
                <w:t>praktijk de besluitvorming soms te veel wordt overgelaten aan d</w:t>
              </w:r>
              <w:r>
                <w:rPr>
                  <w:szCs w:val="22"/>
                </w:rPr>
                <w:t>e administratieve ondersteuning.</w:t>
              </w:r>
              <w:r>
                <w:rPr>
                  <w:rStyle w:val="FootnoteReference"/>
                  <w:szCs w:val="22"/>
                </w:rPr>
                <w:footnoteReference w:id="9"/>
              </w:r>
              <w:r w:rsidRPr="007A6321">
                <w:rPr>
                  <w:szCs w:val="22"/>
                </w:rPr>
                <w:t xml:space="preserve"> </w:t>
              </w:r>
              <w:r>
                <w:rPr>
                  <w:szCs w:val="22"/>
                </w:rPr>
                <w:t xml:space="preserve">Hoewel deze evaluatie ziet op het Europees Arrestatiebevel en niet op het EBB, kan zij ook relevant zijn voor de toekomstige uitvoering van het EOB. In reactie op de stelling dat op grond van het wederzijds vertrouwen tussen EU-lidstaten een rechterlijke toets niet nodig is, </w:t>
              </w:r>
              <w:r>
                <w:rPr>
                  <w:szCs w:val="22"/>
                </w:rPr>
                <w:lastRenderedPageBreak/>
                <w:t>adviseert de Afdeling</w:t>
              </w:r>
              <w:r w:rsidRPr="0010262A">
                <w:rPr>
                  <w:szCs w:val="22"/>
                </w:rPr>
                <w:t xml:space="preserve"> in de toelichting, voor zover beschikbaar, in te gaan op </w:t>
              </w:r>
              <w:r>
                <w:rPr>
                  <w:szCs w:val="22"/>
                </w:rPr>
                <w:t xml:space="preserve">de </w:t>
              </w:r>
              <w:r w:rsidRPr="0010262A">
                <w:rPr>
                  <w:szCs w:val="22"/>
                </w:rPr>
                <w:t xml:space="preserve">ervaringen met betrekking tot de uitvoering van het EBB en in het bijzonder de vernieuwde rechtsbescherming waarbij de </w:t>
              </w:r>
              <w:r>
                <w:rPr>
                  <w:szCs w:val="22"/>
                </w:rPr>
                <w:t xml:space="preserve">rechterlijke </w:t>
              </w:r>
              <w:r w:rsidRPr="0010262A">
                <w:rPr>
                  <w:szCs w:val="22"/>
                </w:rPr>
                <w:t xml:space="preserve">verlofprocedure is afgeschaft. </w:t>
              </w:r>
            </w:p>
            <w:p w:rsidR="007A6321" w:rsidP="00FC78D7" w:rsidRDefault="002B6A25">
              <w:pPr>
                <w:rPr>
                  <w:szCs w:val="22"/>
                </w:rPr>
              </w:pPr>
            </w:p>
            <w:p w:rsidRPr="0065022E" w:rsidR="0065022E" w:rsidP="0065022E" w:rsidRDefault="0071053D">
              <w:pPr>
                <w:rPr>
                  <w:szCs w:val="22"/>
                </w:rPr>
              </w:pPr>
              <w:r>
                <w:rPr>
                  <w:szCs w:val="22"/>
                </w:rPr>
                <w:t xml:space="preserve">b. </w:t>
              </w:r>
              <w:r>
                <w:rPr>
                  <w:szCs w:val="22"/>
                </w:rPr>
                <w:tab/>
                <w:t>Voorts</w:t>
              </w:r>
              <w:r w:rsidRPr="0065022E">
                <w:rPr>
                  <w:szCs w:val="22"/>
                </w:rPr>
                <w:t xml:space="preserve"> stelt de regering dat voor betrokkenen dezelfde rechtsmiddelen openstaan als in een Nederlandse zaak. De Afdeling merkt op dat in de toelichting tevens wordt erkend dat het voor </w:t>
              </w:r>
              <w:r>
                <w:rPr>
                  <w:szCs w:val="22"/>
                </w:rPr>
                <w:t xml:space="preserve">een </w:t>
              </w:r>
              <w:r w:rsidRPr="0065022E">
                <w:rPr>
                  <w:szCs w:val="22"/>
                </w:rPr>
                <w:t xml:space="preserve">betrokkene </w:t>
              </w:r>
              <w:r>
                <w:rPr>
                  <w:szCs w:val="22"/>
                </w:rPr>
                <w:t>waarschijnlijk in praktische</w:t>
              </w:r>
              <w:r w:rsidRPr="0065022E">
                <w:rPr>
                  <w:szCs w:val="22"/>
                </w:rPr>
                <w:t xml:space="preserve"> en juridische zin moeilijker zal zijn om zijn rechten na overdracht uit te oefenen in de uitvaardigende staat.</w:t>
              </w:r>
              <w:r w:rsidRPr="0065022E">
                <w:rPr>
                  <w:szCs w:val="22"/>
                  <w:vertAlign w:val="superscript"/>
                </w:rPr>
                <w:footnoteReference w:id="10"/>
              </w:r>
              <w:r w:rsidRPr="0065022E">
                <w:rPr>
                  <w:szCs w:val="22"/>
                </w:rPr>
                <w:t xml:space="preserve"> Aan te nemen valt dat een kennisgeving aan betrokkenen in veruit de meeste gevallen niet zal plaatsvinden omdat de geheimhouding van het onderzoek daardoor in gedrang komt.</w:t>
              </w:r>
              <w:r>
                <w:rPr>
                  <w:rStyle w:val="FootnoteReference"/>
                  <w:szCs w:val="22"/>
                </w:rPr>
                <w:footnoteReference w:id="11"/>
              </w:r>
              <w:r w:rsidRPr="0065022E">
                <w:rPr>
                  <w:szCs w:val="22"/>
                </w:rPr>
                <w:t xml:space="preserve"> Het belang van geheimhouding is nog eens benadrukt door het College van Procureurs-generaal en de politie in hun adviezen.</w:t>
              </w:r>
              <w:r w:rsidRPr="0065022E">
                <w:rPr>
                  <w:szCs w:val="22"/>
                  <w:vertAlign w:val="superscript"/>
                </w:rPr>
                <w:footnoteReference w:id="12"/>
              </w:r>
              <w:r w:rsidRPr="0065022E">
                <w:rPr>
                  <w:szCs w:val="22"/>
                </w:rPr>
                <w:t xml:space="preserve"> Tegen deze achtergrond kan de (verkorte) verlofprocedure een waarborg bieden in de gevallen waarin omwille van de geheimhouding geen kennisgeving aan </w:t>
              </w:r>
              <w:r>
                <w:rPr>
                  <w:szCs w:val="22"/>
                </w:rPr>
                <w:t xml:space="preserve">een </w:t>
              </w:r>
              <w:r w:rsidRPr="0065022E">
                <w:rPr>
                  <w:szCs w:val="22"/>
                </w:rPr>
                <w:t xml:space="preserve">betrokkene heeft plaatsgevonden van de bevoegdheid een klaagschrift in te dienen. Dit is hetzelfde systeem van rechtsbescherming, als voorgesteld in het wetsvoorstel herziening internationale samenwerking in strafzaken, zij het op andere gronden. </w:t>
              </w:r>
            </w:p>
            <w:p w:rsidR="0065022E" w:rsidP="00FC78D7" w:rsidRDefault="002B6A25">
              <w:pPr>
                <w:rPr>
                  <w:szCs w:val="22"/>
                </w:rPr>
              </w:pPr>
            </w:p>
            <w:p w:rsidRPr="0010262A" w:rsidR="007A6321" w:rsidP="00FC78D7" w:rsidRDefault="0071053D">
              <w:pPr>
                <w:rPr>
                  <w:szCs w:val="22"/>
                </w:rPr>
              </w:pPr>
              <w:r>
                <w:rPr>
                  <w:szCs w:val="22"/>
                </w:rPr>
                <w:t>c.</w:t>
              </w:r>
              <w:r>
                <w:rPr>
                  <w:szCs w:val="22"/>
                </w:rPr>
                <w:tab/>
                <w:t xml:space="preserve">Verder </w:t>
              </w:r>
              <w:r w:rsidRPr="007A6321">
                <w:rPr>
                  <w:szCs w:val="22"/>
                </w:rPr>
                <w:t xml:space="preserve">is niet steeds sprake van een “extra rechterlijke toets” zoals in de toelichting wordt gesteld, omdat de uitvaardigende autoriteit ook een officier van justitie kan zijn en bij de uitvoering van sommige bevelen in Nederland geen rechter is betrokken. Te denken valt aan een EOB tot </w:t>
              </w:r>
              <w:r>
                <w:rPr>
                  <w:szCs w:val="22"/>
                </w:rPr>
                <w:t>het vorderen van grote hoeveelheden</w:t>
              </w:r>
              <w:r w:rsidRPr="007A6321">
                <w:rPr>
                  <w:szCs w:val="22"/>
                </w:rPr>
                <w:t xml:space="preserve"> gegevens bij banken ex artikel 126nd Sv waarbij omwille van de geheimhouding geen notificatie aan betrokkenen plaats heeft gehad en de uitvaardigende li</w:t>
              </w:r>
              <w:r>
                <w:rPr>
                  <w:szCs w:val="22"/>
                </w:rPr>
                <w:t xml:space="preserve">dstaat geen tussenkomst van de </w:t>
              </w:r>
              <w:r w:rsidRPr="007A6321">
                <w:rPr>
                  <w:szCs w:val="22"/>
                </w:rPr>
                <w:t>rechter-commissaris heeft gevraagd.</w:t>
              </w:r>
              <w:r w:rsidRPr="007A6321">
                <w:rPr>
                  <w:szCs w:val="22"/>
                  <w:vertAlign w:val="superscript"/>
                </w:rPr>
                <w:footnoteReference w:id="13"/>
              </w:r>
              <w:r w:rsidRPr="007A6321">
                <w:rPr>
                  <w:szCs w:val="22"/>
                </w:rPr>
                <w:t xml:space="preserve"> </w:t>
              </w:r>
              <w:r>
                <w:rPr>
                  <w:szCs w:val="22"/>
                </w:rPr>
                <w:t xml:space="preserve">In dat geval is er dus in het geheel geen sprake van een toets door een rechter. </w:t>
              </w:r>
            </w:p>
            <w:p w:rsidRPr="0010262A" w:rsidR="00FC78D7" w:rsidP="00FC78D7" w:rsidRDefault="002B6A25">
              <w:pPr>
                <w:rPr>
                  <w:szCs w:val="22"/>
                </w:rPr>
              </w:pPr>
            </w:p>
            <w:p w:rsidR="00E81EB1" w:rsidP="00FC78D7" w:rsidRDefault="0071053D">
              <w:pPr>
                <w:rPr>
                  <w:szCs w:val="22"/>
                </w:rPr>
              </w:pPr>
              <w:r>
                <w:rPr>
                  <w:szCs w:val="22"/>
                </w:rPr>
                <w:t>d</w:t>
              </w:r>
              <w:r w:rsidRPr="0010262A">
                <w:rPr>
                  <w:szCs w:val="22"/>
                </w:rPr>
                <w:t xml:space="preserve">. </w:t>
              </w:r>
              <w:r>
                <w:rPr>
                  <w:szCs w:val="22"/>
                </w:rPr>
                <w:tab/>
                <w:t xml:space="preserve">Een ander </w:t>
              </w:r>
              <w:r w:rsidRPr="0010262A">
                <w:rPr>
                  <w:szCs w:val="22"/>
                </w:rPr>
                <w:t xml:space="preserve">argument van de regering is dat door de verlofprocedure een snelle tenuitvoerlegging snel in het gedrang zal komen. Dit behoeft relativering aangezien in het wetsvoorstel herziening internationale samenwerking in strafzaken nu juist is voorgesteld om de termijn voor een verlofprocedure te verkorten (tot 30 dagen of 90 dagen). </w:t>
              </w:r>
            </w:p>
            <w:p w:rsidRPr="0010262A" w:rsidR="00FC78D7" w:rsidP="00FC78D7" w:rsidRDefault="002B6A25">
              <w:pPr>
                <w:rPr>
                  <w:szCs w:val="22"/>
                </w:rPr>
              </w:pPr>
            </w:p>
            <w:p w:rsidRPr="0010262A" w:rsidR="00FC78D7" w:rsidP="00FC78D7" w:rsidRDefault="0071053D">
              <w:pPr>
                <w:rPr>
                  <w:szCs w:val="22"/>
                </w:rPr>
              </w:pPr>
              <w:r>
                <w:rPr>
                  <w:szCs w:val="22"/>
                </w:rPr>
                <w:t>e.</w:t>
              </w:r>
              <w:r>
                <w:rPr>
                  <w:szCs w:val="22"/>
                </w:rPr>
                <w:tab/>
              </w:r>
              <w:r w:rsidRPr="0010262A">
                <w:rPr>
                  <w:szCs w:val="22"/>
                </w:rPr>
                <w:t>In het licht van</w:t>
              </w:r>
              <w:r>
                <w:rPr>
                  <w:szCs w:val="22"/>
                </w:rPr>
                <w:t xml:space="preserve"> het voorgaande </w:t>
              </w:r>
              <w:r w:rsidRPr="0010262A">
                <w:rPr>
                  <w:szCs w:val="22"/>
                </w:rPr>
                <w:t>adviseert de Afdeling de keuze om geen verlofprocedure op te nemen voor de gevallen dat omwille van de geheimhouding geen kennisgeving plaatsvindt</w:t>
              </w:r>
              <w:r>
                <w:rPr>
                  <w:szCs w:val="22"/>
                </w:rPr>
                <w:t xml:space="preserve"> </w:t>
              </w:r>
              <w:r w:rsidRPr="007A6321">
                <w:rPr>
                  <w:szCs w:val="22"/>
                </w:rPr>
                <w:t xml:space="preserve">nader te motiveren </w:t>
              </w:r>
              <w:r>
                <w:rPr>
                  <w:szCs w:val="22"/>
                </w:rPr>
                <w:t>en zo nodig het wetsvoorstel aan te passen conform het wetsvoorstel herziening internationale samenwerking in strafzaken.</w:t>
              </w:r>
              <w:r w:rsidRPr="0010262A">
                <w:rPr>
                  <w:szCs w:val="22"/>
                </w:rPr>
                <w:t xml:space="preserve"> </w:t>
              </w:r>
            </w:p>
            <w:p w:rsidRPr="00A507E9" w:rsidR="00FC78D7" w:rsidP="00FC78D7" w:rsidRDefault="002B6A25">
              <w:pPr>
                <w:rPr>
                  <w:sz w:val="18"/>
                  <w:szCs w:val="18"/>
                </w:rPr>
              </w:pPr>
            </w:p>
            <w:p w:rsidRPr="0010262A" w:rsidR="00FC78D7" w:rsidP="00FC78D7" w:rsidRDefault="0071053D">
              <w:pPr>
                <w:rPr>
                  <w:szCs w:val="22"/>
                </w:rPr>
              </w:pPr>
              <w:r>
                <w:rPr>
                  <w:szCs w:val="22"/>
                </w:rPr>
                <w:t>2</w:t>
              </w:r>
              <w:r w:rsidRPr="0010262A">
                <w:rPr>
                  <w:szCs w:val="22"/>
                </w:rPr>
                <w:t xml:space="preserve">. </w:t>
              </w:r>
              <w:r w:rsidRPr="0010262A">
                <w:rPr>
                  <w:szCs w:val="22"/>
                </w:rPr>
                <w:tab/>
              </w:r>
              <w:r w:rsidRPr="0010262A">
                <w:rPr>
                  <w:szCs w:val="22"/>
                  <w:u w:val="single"/>
                </w:rPr>
                <w:t>Voorlopige terbeschikkingstelling</w:t>
              </w:r>
              <w:r w:rsidRPr="0010262A">
                <w:rPr>
                  <w:szCs w:val="22"/>
                </w:rPr>
                <w:t xml:space="preserve"> </w:t>
              </w:r>
            </w:p>
            <w:p w:rsidRPr="0010262A" w:rsidR="00E81EB1" w:rsidP="00FC78D7" w:rsidRDefault="002B6A25">
              <w:pPr>
                <w:rPr>
                  <w:szCs w:val="22"/>
                </w:rPr>
              </w:pPr>
            </w:p>
            <w:p w:rsidRPr="0010262A" w:rsidR="00E81EB1" w:rsidP="00FC78D7" w:rsidRDefault="0071053D">
              <w:pPr>
                <w:rPr>
                  <w:szCs w:val="22"/>
                </w:rPr>
              </w:pPr>
              <w:r w:rsidRPr="0010262A">
                <w:rPr>
                  <w:szCs w:val="22"/>
                </w:rPr>
                <w:t xml:space="preserve">De </w:t>
              </w:r>
              <w:r>
                <w:rPr>
                  <w:szCs w:val="22"/>
                </w:rPr>
                <w:t xml:space="preserve">richtlijn bepaalt dat de </w:t>
              </w:r>
              <w:r w:rsidRPr="0010262A">
                <w:rPr>
                  <w:szCs w:val="22"/>
                </w:rPr>
                <w:t>overdracht van bewijsmateriaal kan worden opgeschort in afwachting van een beslissing op een ingesteld rechtsmiddel. Dit is echter niet het geval indien in het EOB voldoende is gemotiveerd dat een onmiddellijke overdracht essentieel is voor het goede verloop van het onderzoek of voor de bescherming van individuele rechten.</w:t>
              </w:r>
              <w:r w:rsidRPr="0010262A">
                <w:rPr>
                  <w:szCs w:val="22"/>
                  <w:vertAlign w:val="superscript"/>
                </w:rPr>
                <w:footnoteReference w:id="14"/>
              </w:r>
              <w:r>
                <w:rPr>
                  <w:szCs w:val="22"/>
                </w:rPr>
                <w:t xml:space="preserve"> Dit is </w:t>
              </w:r>
              <w:r w:rsidRPr="0010262A">
                <w:rPr>
                  <w:szCs w:val="22"/>
                </w:rPr>
                <w:t xml:space="preserve">de </w:t>
              </w:r>
              <w:r>
                <w:rPr>
                  <w:szCs w:val="22"/>
                </w:rPr>
                <w:t>“</w:t>
              </w:r>
              <w:r w:rsidRPr="0010262A">
                <w:rPr>
                  <w:szCs w:val="22"/>
                </w:rPr>
                <w:t>voorlopig</w:t>
              </w:r>
              <w:r>
                <w:rPr>
                  <w:szCs w:val="22"/>
                </w:rPr>
                <w:t>e terbeschikkingstelling”</w:t>
              </w:r>
              <w:r w:rsidRPr="0010262A">
                <w:rPr>
                  <w:szCs w:val="22"/>
                </w:rPr>
                <w:t>. De overdracht van bewijsmateriaal wordt opgeschort indien de betrokkene daardoor ernstige en onomkeerbare schade zou lijden.</w:t>
              </w:r>
              <w:r w:rsidRPr="0010262A">
                <w:rPr>
                  <w:rStyle w:val="FootnoteReference"/>
                  <w:szCs w:val="22"/>
                </w:rPr>
                <w:footnoteReference w:id="15"/>
              </w:r>
              <w:r w:rsidRPr="0010262A">
                <w:rPr>
                  <w:szCs w:val="22"/>
                </w:rPr>
                <w:t xml:space="preserve"> De voorlopige terbeschikkingstelling is geïmplementeerd in het voorgestelde artikel 5.4.9, derde lid, Sv </w:t>
              </w:r>
              <w:r>
                <w:rPr>
                  <w:szCs w:val="22"/>
                </w:rPr>
                <w:t>dat als volgt luidt</w:t>
              </w:r>
              <w:r w:rsidRPr="0010262A">
                <w:rPr>
                  <w:szCs w:val="22"/>
                </w:rPr>
                <w:t xml:space="preserve">: </w:t>
              </w:r>
            </w:p>
            <w:p w:rsidRPr="00A507E9" w:rsidR="00E81EB1" w:rsidP="00FC78D7" w:rsidRDefault="002B6A25">
              <w:pPr>
                <w:rPr>
                  <w:sz w:val="18"/>
                  <w:szCs w:val="18"/>
                </w:rPr>
              </w:pPr>
            </w:p>
            <w:p w:rsidRPr="00D25510" w:rsidR="00FC78D7" w:rsidP="00FC78D7" w:rsidRDefault="0071053D">
              <w:pPr>
                <w:rPr>
                  <w:szCs w:val="22"/>
                </w:rPr>
              </w:pPr>
              <w:r w:rsidRPr="00D25510">
                <w:rPr>
                  <w:szCs w:val="22"/>
                </w:rPr>
                <w:t>“Indien een klaagschrift is ingediend of nog kan worden ingediend, kan op een gemotiveerd verzoek van de uitvaardigende autoriteit aan de uitvaardigende autoriteit een afschrift van de stukken of kopie van de gegevens (die zijn) vergaard ter uitvoering van het bevel voorlopig ter beschikking worden gesteld, indien voor zover</w:t>
              </w:r>
              <w:r>
                <w:rPr>
                  <w:rStyle w:val="FootnoteReference"/>
                  <w:szCs w:val="22"/>
                </w:rPr>
                <w:footnoteReference w:id="16"/>
              </w:r>
              <w:r w:rsidRPr="00D25510">
                <w:rPr>
                  <w:szCs w:val="22"/>
                </w:rPr>
                <w:t xml:space="preserve"> dit de belangen van de rechthebbende niet ernstig schaadt. De voorlopige terbeschikkingstelling vindt plaats onder de voorwaarden dat het Nederlands recht onverkort blijft gelden ten aanzien van de overhandigde resultaten en dat het gebruik daarvan als bewijsmiddel pas mogelijk is nadat deze definitief ter beschikking worden gesteld.”</w:t>
              </w:r>
            </w:p>
            <w:p w:rsidRPr="00A507E9" w:rsidR="00E81EB1" w:rsidP="00FC78D7" w:rsidRDefault="002B6A25">
              <w:pPr>
                <w:rPr>
                  <w:sz w:val="18"/>
                  <w:szCs w:val="18"/>
                </w:rPr>
              </w:pPr>
            </w:p>
            <w:p w:rsidRPr="0010262A" w:rsidR="00E81EB1" w:rsidP="00FC78D7" w:rsidRDefault="0071053D">
              <w:pPr>
                <w:rPr>
                  <w:szCs w:val="22"/>
                </w:rPr>
              </w:pPr>
              <w:r w:rsidRPr="0010262A">
                <w:rPr>
                  <w:szCs w:val="22"/>
                </w:rPr>
                <w:t xml:space="preserve">Hierover </w:t>
              </w:r>
              <w:r>
                <w:rPr>
                  <w:szCs w:val="22"/>
                </w:rPr>
                <w:t>merkt</w:t>
              </w:r>
              <w:r w:rsidRPr="0010262A">
                <w:rPr>
                  <w:szCs w:val="22"/>
                </w:rPr>
                <w:t xml:space="preserve"> de Afdeling </w:t>
              </w:r>
              <w:r>
                <w:rPr>
                  <w:szCs w:val="22"/>
                </w:rPr>
                <w:t>het</w:t>
              </w:r>
              <w:r w:rsidRPr="0010262A">
                <w:rPr>
                  <w:szCs w:val="22"/>
                </w:rPr>
                <w:t xml:space="preserve"> volgende </w:t>
              </w:r>
              <w:r>
                <w:rPr>
                  <w:szCs w:val="22"/>
                </w:rPr>
                <w:t>op</w:t>
              </w:r>
              <w:r w:rsidRPr="0010262A">
                <w:rPr>
                  <w:szCs w:val="22"/>
                </w:rPr>
                <w:t xml:space="preserve">. </w:t>
              </w:r>
            </w:p>
            <w:p w:rsidRPr="0010262A" w:rsidR="00E81EB1" w:rsidP="00FC78D7" w:rsidRDefault="002B6A25">
              <w:pPr>
                <w:rPr>
                  <w:szCs w:val="22"/>
                </w:rPr>
              </w:pPr>
            </w:p>
            <w:p w:rsidR="00F4623D" w:rsidP="00FC78D7" w:rsidRDefault="0071053D">
              <w:pPr>
                <w:rPr>
                  <w:szCs w:val="22"/>
                </w:rPr>
              </w:pPr>
              <w:r>
                <w:rPr>
                  <w:szCs w:val="22"/>
                </w:rPr>
                <w:t xml:space="preserve">a. </w:t>
              </w:r>
              <w:r>
                <w:rPr>
                  <w:szCs w:val="22"/>
                </w:rPr>
                <w:tab/>
                <w:t>De</w:t>
              </w:r>
              <w:r w:rsidRPr="0010262A">
                <w:rPr>
                  <w:szCs w:val="22"/>
                </w:rPr>
                <w:t xml:space="preserve"> richtlijn </w:t>
              </w:r>
              <w:r>
                <w:rPr>
                  <w:szCs w:val="22"/>
                </w:rPr>
                <w:t xml:space="preserve">bezigt </w:t>
              </w:r>
              <w:r w:rsidRPr="0010262A">
                <w:rPr>
                  <w:szCs w:val="22"/>
                </w:rPr>
                <w:t>de term “bewijsmateriaal” hetgeen ook lijkt te duiden op voorwerpen.</w:t>
              </w:r>
              <w:r>
                <w:rPr>
                  <w:rStyle w:val="FootnoteReference"/>
                  <w:szCs w:val="22"/>
                </w:rPr>
                <w:footnoteReference w:id="17"/>
              </w:r>
              <w:r w:rsidRPr="0010262A">
                <w:rPr>
                  <w:szCs w:val="22"/>
                </w:rPr>
                <w:t xml:space="preserve"> Het wetsvoorstel </w:t>
              </w:r>
              <w:r>
                <w:rPr>
                  <w:szCs w:val="22"/>
                </w:rPr>
                <w:t xml:space="preserve">spreekt in artikel 5.4.9 Sv </w:t>
              </w:r>
              <w:r w:rsidRPr="0010262A">
                <w:rPr>
                  <w:szCs w:val="22"/>
                </w:rPr>
                <w:t>echter over “een afschrift van stukken of kopie van de gegevens”, kortom documenten. Daarmee vallen voorwerpen die dienen om de waarheid aan de dag te brengen, zoals kleding van het slachtoffer met sporen, buiten het wetsvoorstel.</w:t>
              </w:r>
              <w:r>
                <w:rPr>
                  <w:szCs w:val="22"/>
                </w:rPr>
                <w:t xml:space="preserve"> In andere bepalingen van het wetsvoorstel wordt echter wel gesproken over voorwerpen, zoals bijvoorbeeld artikel 5.4.10. </w:t>
              </w:r>
            </w:p>
            <w:p w:rsidR="00F4623D" w:rsidP="00FC78D7" w:rsidRDefault="002B6A25">
              <w:pPr>
                <w:rPr>
                  <w:szCs w:val="22"/>
                </w:rPr>
              </w:pPr>
            </w:p>
            <w:p w:rsidRPr="0010262A" w:rsidR="00FC78D7" w:rsidP="00FC78D7" w:rsidRDefault="0071053D">
              <w:pPr>
                <w:rPr>
                  <w:szCs w:val="22"/>
                </w:rPr>
              </w:pPr>
              <w:r w:rsidRPr="0010262A">
                <w:rPr>
                  <w:szCs w:val="22"/>
                </w:rPr>
                <w:t xml:space="preserve">De Afdeling adviseert het wetsvoorstel aan te passen. </w:t>
              </w:r>
            </w:p>
            <w:p w:rsidRPr="0010262A" w:rsidR="00E81EB1" w:rsidP="00FC78D7" w:rsidRDefault="002B6A25">
              <w:pPr>
                <w:rPr>
                  <w:szCs w:val="22"/>
                </w:rPr>
              </w:pPr>
            </w:p>
            <w:p w:rsidR="00F4623D" w:rsidP="00FC78D7" w:rsidRDefault="0071053D">
              <w:pPr>
                <w:rPr>
                  <w:szCs w:val="22"/>
                </w:rPr>
              </w:pPr>
              <w:r>
                <w:rPr>
                  <w:szCs w:val="22"/>
                </w:rPr>
                <w:t>b.</w:t>
              </w:r>
              <w:r>
                <w:rPr>
                  <w:szCs w:val="22"/>
                </w:rPr>
                <w:tab/>
                <w:t>D</w:t>
              </w:r>
              <w:r w:rsidRPr="0010262A">
                <w:rPr>
                  <w:szCs w:val="22"/>
                </w:rPr>
                <w:t xml:space="preserve">e richtlijn </w:t>
              </w:r>
              <w:r>
                <w:rPr>
                  <w:szCs w:val="22"/>
                </w:rPr>
                <w:t xml:space="preserve">spreekt </w:t>
              </w:r>
              <w:r w:rsidRPr="0010262A">
                <w:rPr>
                  <w:szCs w:val="22"/>
                </w:rPr>
                <w:t>over een EOB waarin “voldoende is</w:t>
              </w:r>
              <w:r>
                <w:rPr>
                  <w:szCs w:val="22"/>
                </w:rPr>
                <w:t xml:space="preserve"> </w:t>
              </w:r>
              <w:r w:rsidRPr="0010262A">
                <w:rPr>
                  <w:szCs w:val="22"/>
                </w:rPr>
                <w:t xml:space="preserve">gemotiveerd dat een onmiddellijke overdracht essentieel is voor het goede verloop van het onderzoek of voor de bescherming van de individuele rechten”. In het wetsvoorstel is daarentegen slechts sprake van “een gemotiveerd verzoek”, maar is geen inhoudelijk criterium opgenomen. </w:t>
              </w:r>
            </w:p>
            <w:p w:rsidR="00F4623D" w:rsidP="00FC78D7" w:rsidRDefault="002B6A25">
              <w:pPr>
                <w:rPr>
                  <w:szCs w:val="22"/>
                </w:rPr>
              </w:pPr>
            </w:p>
            <w:p w:rsidRPr="0010262A" w:rsidR="00FC78D7" w:rsidP="00FC78D7" w:rsidRDefault="0071053D">
              <w:pPr>
                <w:rPr>
                  <w:szCs w:val="22"/>
                </w:rPr>
              </w:pPr>
              <w:r w:rsidRPr="0010262A">
                <w:rPr>
                  <w:szCs w:val="22"/>
                </w:rPr>
                <w:t xml:space="preserve">De Afdeling adviseert in het wetsvoorstel het criterium uit de richtlijn op te nemen. </w:t>
              </w:r>
            </w:p>
            <w:p w:rsidRPr="0010262A" w:rsidR="00E81EB1" w:rsidP="00FC78D7" w:rsidRDefault="002B6A25">
              <w:pPr>
                <w:rPr>
                  <w:szCs w:val="22"/>
                </w:rPr>
              </w:pPr>
            </w:p>
            <w:p w:rsidRPr="0010262A" w:rsidR="00FC78D7" w:rsidP="00FC78D7" w:rsidRDefault="0071053D">
              <w:pPr>
                <w:rPr>
                  <w:szCs w:val="22"/>
                </w:rPr>
              </w:pPr>
              <w:r>
                <w:rPr>
                  <w:szCs w:val="22"/>
                </w:rPr>
                <w:t>c.</w:t>
              </w:r>
              <w:r>
                <w:rPr>
                  <w:szCs w:val="22"/>
                </w:rPr>
                <w:tab/>
                <w:t>D</w:t>
              </w:r>
              <w:r w:rsidRPr="0010262A">
                <w:rPr>
                  <w:szCs w:val="22"/>
                </w:rPr>
                <w:t xml:space="preserve">e Afdeling </w:t>
              </w:r>
              <w:r>
                <w:rPr>
                  <w:szCs w:val="22"/>
                </w:rPr>
                <w:t xml:space="preserve">heeft </w:t>
              </w:r>
              <w:r w:rsidRPr="0010262A">
                <w:rPr>
                  <w:szCs w:val="22"/>
                </w:rPr>
                <w:t>vraagtekens bij de voorwaarde dat het “gebruik als bewijsmiddel” pas mogelijk is nadat de</w:t>
              </w:r>
              <w:r>
                <w:rPr>
                  <w:szCs w:val="22"/>
                </w:rPr>
                <w:t xml:space="preserve"> resultaten </w:t>
              </w:r>
              <w:r w:rsidRPr="0010262A">
                <w:rPr>
                  <w:szCs w:val="22"/>
                </w:rPr>
                <w:t>definitief ter beschikking worden gesteld.</w:t>
              </w:r>
              <w:r>
                <w:rPr>
                  <w:rStyle w:val="FootnoteReference"/>
                  <w:szCs w:val="22"/>
                </w:rPr>
                <w:footnoteReference w:id="18"/>
              </w:r>
              <w:r w:rsidRPr="0010262A">
                <w:rPr>
                  <w:szCs w:val="22"/>
                </w:rPr>
                <w:t xml:space="preserve"> </w:t>
              </w:r>
              <w:r>
                <w:t>Voorzover hiermee bedoeld is om het gebruik van de resultaten voor opsporingsonderzoek uit te sluiten, lijkt deze voorwaarde niet in overeenstemming te zijn met het doel van de voorlopige terbeschikkingsstelling</w:t>
              </w:r>
              <w:r w:rsidRPr="0010262A">
                <w:rPr>
                  <w:szCs w:val="22"/>
                </w:rPr>
                <w:t>. De onmiddellijke overdracht strekt immers tot het waarborgen van het belang van het goede verloop van het onderzoek of het belang van bescherming van individuele rechten.</w:t>
              </w:r>
              <w:r>
                <w:rPr>
                  <w:rStyle w:val="FootnoteReference"/>
                  <w:szCs w:val="22"/>
                </w:rPr>
                <w:footnoteReference w:id="19"/>
              </w:r>
              <w:r w:rsidRPr="0010262A">
                <w:rPr>
                  <w:szCs w:val="22"/>
                </w:rPr>
                <w:t xml:space="preserve"> Het doel van het goede verloop van het onderzoek lijkt mee te brengen dat het overgedragen materiaal ook onmiddellijk </w:t>
              </w:r>
              <w:r w:rsidRPr="0010262A">
                <w:rPr>
                  <w:i/>
                  <w:szCs w:val="22"/>
                </w:rPr>
                <w:t>gebruikt</w:t>
              </w:r>
              <w:r w:rsidRPr="0010262A">
                <w:rPr>
                  <w:szCs w:val="22"/>
                </w:rPr>
                <w:t xml:space="preserve"> kan worden voor het onderzoek. </w:t>
              </w:r>
              <w:r>
                <w:rPr>
                  <w:szCs w:val="22"/>
                </w:rPr>
                <w:t xml:space="preserve">Daarnaast </w:t>
              </w:r>
              <w:r w:rsidRPr="0010262A">
                <w:rPr>
                  <w:szCs w:val="22"/>
                </w:rPr>
                <w:t xml:space="preserve">is niet duidelijk hoe kan worden beoordeeld of de voorwaarde </w:t>
              </w:r>
              <w:r>
                <w:rPr>
                  <w:szCs w:val="22"/>
                </w:rPr>
                <w:t xml:space="preserve">wordt nageleefd </w:t>
              </w:r>
              <w:r w:rsidRPr="0010262A">
                <w:rPr>
                  <w:szCs w:val="22"/>
                </w:rPr>
                <w:t>dat het gebruik van</w:t>
              </w:r>
              <w:r>
                <w:rPr>
                  <w:szCs w:val="22"/>
                </w:rPr>
                <w:t xml:space="preserve"> de resultaten als bewijsmiddel </w:t>
              </w:r>
              <w:r w:rsidRPr="0010262A">
                <w:rPr>
                  <w:szCs w:val="22"/>
                </w:rPr>
                <w:t>pas mogelijk is nadat d</w:t>
              </w:r>
              <w:r>
                <w:rPr>
                  <w:szCs w:val="22"/>
                </w:rPr>
                <w:t>eze</w:t>
              </w:r>
              <w:r w:rsidRPr="0010262A">
                <w:rPr>
                  <w:szCs w:val="22"/>
                </w:rPr>
                <w:t xml:space="preserve"> “definitief” ter beschikking </w:t>
              </w:r>
              <w:r>
                <w:rPr>
                  <w:szCs w:val="22"/>
                </w:rPr>
                <w:t>zijn</w:t>
              </w:r>
              <w:r w:rsidRPr="0010262A">
                <w:rPr>
                  <w:szCs w:val="22"/>
                </w:rPr>
                <w:t xml:space="preserve"> gesteld. De toelichting gaat daar niet op in. </w:t>
              </w:r>
            </w:p>
            <w:p w:rsidRPr="0010262A" w:rsidR="00E81EB1" w:rsidP="00FC78D7" w:rsidRDefault="002B6A25">
              <w:pPr>
                <w:rPr>
                  <w:szCs w:val="22"/>
                </w:rPr>
              </w:pPr>
            </w:p>
            <w:p w:rsidRPr="0010262A" w:rsidR="00E81EB1" w:rsidP="00FC78D7" w:rsidRDefault="0071053D">
              <w:pPr>
                <w:rPr>
                  <w:szCs w:val="22"/>
                </w:rPr>
              </w:pPr>
              <w:r w:rsidRPr="0010262A">
                <w:rPr>
                  <w:szCs w:val="22"/>
                </w:rPr>
                <w:t xml:space="preserve">De Afdeling adviseert in de toelichting in te gaan op de ratio van de voorlopige terbeschikkingstelling en de </w:t>
              </w:r>
              <w:r>
                <w:rPr>
                  <w:szCs w:val="22"/>
                </w:rPr>
                <w:t xml:space="preserve">wijze waarop de </w:t>
              </w:r>
              <w:r w:rsidRPr="0010262A">
                <w:rPr>
                  <w:szCs w:val="22"/>
                </w:rPr>
                <w:t xml:space="preserve">naleving </w:t>
              </w:r>
              <w:r>
                <w:rPr>
                  <w:szCs w:val="22"/>
                </w:rPr>
                <w:t xml:space="preserve">wordt verzekerd </w:t>
              </w:r>
              <w:r w:rsidRPr="0010262A">
                <w:rPr>
                  <w:szCs w:val="22"/>
                </w:rPr>
                <w:t>van de voorwaarde dat het gebruik van het materiaal</w:t>
              </w:r>
              <w:r>
                <w:rPr>
                  <w:szCs w:val="22"/>
                </w:rPr>
                <w:t xml:space="preserve"> als bewijsmiddel </w:t>
              </w:r>
              <w:r w:rsidRPr="0010262A">
                <w:rPr>
                  <w:szCs w:val="22"/>
                </w:rPr>
                <w:t xml:space="preserve">pas mogelijk is nadat </w:t>
              </w:r>
              <w:r>
                <w:rPr>
                  <w:szCs w:val="22"/>
                </w:rPr>
                <w:t>het materiaal</w:t>
              </w:r>
              <w:r w:rsidRPr="0010262A">
                <w:rPr>
                  <w:szCs w:val="22"/>
                </w:rPr>
                <w:t xml:space="preserve"> definitief ter beschikking is gesteld</w:t>
              </w:r>
              <w:r>
                <w:rPr>
                  <w:szCs w:val="22"/>
                </w:rPr>
                <w:t xml:space="preserve"> </w:t>
              </w:r>
              <w:r>
                <w:t>en zo nodig het wetsvoorstel aan te passen.</w:t>
              </w:r>
            </w:p>
            <w:p w:rsidRPr="00A507E9" w:rsidR="00E81EB1" w:rsidP="00FC78D7" w:rsidRDefault="002B6A25">
              <w:pPr>
                <w:rPr>
                  <w:sz w:val="18"/>
                  <w:szCs w:val="18"/>
                </w:rPr>
              </w:pPr>
            </w:p>
            <w:p w:rsidRPr="0010262A" w:rsidR="00FC78D7" w:rsidRDefault="0071053D">
              <w:pPr>
                <w:keepNext/>
                <w:rPr>
                  <w:szCs w:val="22"/>
                </w:rPr>
              </w:pPr>
              <w:r>
                <w:rPr>
                  <w:szCs w:val="22"/>
                </w:rPr>
                <w:t>3</w:t>
              </w:r>
              <w:r w:rsidRPr="0010262A">
                <w:rPr>
                  <w:szCs w:val="22"/>
                </w:rPr>
                <w:t xml:space="preserve">. </w:t>
              </w:r>
              <w:r w:rsidRPr="0010262A">
                <w:rPr>
                  <w:szCs w:val="22"/>
                </w:rPr>
                <w:tab/>
              </w:r>
              <w:r w:rsidRPr="0010262A">
                <w:rPr>
                  <w:szCs w:val="22"/>
                  <w:u w:val="single"/>
                </w:rPr>
                <w:t>Proportionaliteitstoets en</w:t>
              </w:r>
              <w:r>
                <w:rPr>
                  <w:szCs w:val="22"/>
                  <w:u w:val="single"/>
                </w:rPr>
                <w:t xml:space="preserve"> verhouding tot</w:t>
              </w:r>
              <w:r w:rsidRPr="0010262A">
                <w:rPr>
                  <w:szCs w:val="22"/>
                  <w:u w:val="single"/>
                </w:rPr>
                <w:t xml:space="preserve"> </w:t>
              </w:r>
              <w:r>
                <w:rPr>
                  <w:szCs w:val="22"/>
                  <w:u w:val="single"/>
                </w:rPr>
                <w:t xml:space="preserve">(Europese) </w:t>
              </w:r>
              <w:r w:rsidRPr="0010262A">
                <w:rPr>
                  <w:szCs w:val="22"/>
                  <w:u w:val="single"/>
                </w:rPr>
                <w:t xml:space="preserve">privacywetgeving </w:t>
              </w:r>
            </w:p>
            <w:p w:rsidRPr="0010262A" w:rsidR="00E81EB1" w:rsidP="00FC78D7" w:rsidRDefault="002B6A25">
              <w:pPr>
                <w:rPr>
                  <w:szCs w:val="22"/>
                </w:rPr>
              </w:pPr>
            </w:p>
            <w:p w:rsidRPr="0010262A" w:rsidR="00FC78D7" w:rsidP="00FC78D7" w:rsidRDefault="0071053D">
              <w:pPr>
                <w:rPr>
                  <w:szCs w:val="22"/>
                </w:rPr>
              </w:pPr>
              <w:r w:rsidRPr="0010262A">
                <w:rPr>
                  <w:szCs w:val="22"/>
                </w:rPr>
                <w:t>Op grond van artikel 6</w:t>
              </w:r>
              <w:r>
                <w:rPr>
                  <w:szCs w:val="22"/>
                </w:rPr>
                <w:t>, eerste lid,</w:t>
              </w:r>
              <w:r w:rsidRPr="0010262A">
                <w:rPr>
                  <w:szCs w:val="22"/>
                </w:rPr>
                <w:t xml:space="preserve"> van de richtlijn </w:t>
              </w:r>
              <w:r>
                <w:rPr>
                  <w:szCs w:val="22"/>
                </w:rPr>
                <w:t>kan</w:t>
              </w:r>
              <w:r w:rsidRPr="0010262A">
                <w:rPr>
                  <w:szCs w:val="22"/>
                </w:rPr>
                <w:t xml:space="preserve"> de uitvaardigende autoriteit</w:t>
              </w:r>
              <w:r>
                <w:rPr>
                  <w:szCs w:val="22"/>
                </w:rPr>
                <w:t xml:space="preserve"> een EOB alleen uitvaardigen indien – kort gezegd – </w:t>
              </w:r>
              <w:r w:rsidRPr="0010262A">
                <w:rPr>
                  <w:szCs w:val="22"/>
                </w:rPr>
                <w:t xml:space="preserve">de gevraagde onderzoeksbevoegdheid naar het recht van de uitvaardigende staat </w:t>
              </w:r>
              <w:r>
                <w:rPr>
                  <w:szCs w:val="22"/>
                </w:rPr>
                <w:t xml:space="preserve">in een vergelijkbare zaak </w:t>
              </w:r>
              <w:r w:rsidRPr="0010262A">
                <w:rPr>
                  <w:szCs w:val="22"/>
                </w:rPr>
                <w:t>is toegestaan en</w:t>
              </w:r>
              <w:r>
                <w:rPr>
                  <w:szCs w:val="22"/>
                </w:rPr>
                <w:t xml:space="preserve"> de uitvaardiging noodzakelijk en</w:t>
              </w:r>
              <w:r w:rsidRPr="0010262A">
                <w:rPr>
                  <w:szCs w:val="22"/>
                </w:rPr>
                <w:t xml:space="preserve"> proportioneel is. </w:t>
              </w:r>
              <w:r>
                <w:rPr>
                  <w:szCs w:val="22"/>
                </w:rPr>
                <w:t>De uitvaardigende autoriteit beoordeelt per geval of aan deze voorwaarden is voldaan.</w:t>
              </w:r>
              <w:r>
                <w:rPr>
                  <w:rStyle w:val="FootnoteReference"/>
                  <w:szCs w:val="22"/>
                </w:rPr>
                <w:footnoteReference w:id="20"/>
              </w:r>
              <w:r>
                <w:rPr>
                  <w:szCs w:val="22"/>
                </w:rPr>
                <w:t xml:space="preserve"> </w:t>
              </w:r>
            </w:p>
            <w:p w:rsidRPr="00D25510" w:rsidR="00FC78D7" w:rsidP="00FC78D7" w:rsidRDefault="0071053D">
              <w:pPr>
                <w:rPr>
                  <w:szCs w:val="22"/>
                </w:rPr>
              </w:pPr>
              <w:r w:rsidRPr="0010262A">
                <w:rPr>
                  <w:szCs w:val="22"/>
                </w:rPr>
                <w:t>Indien de officier van justitie die het buitenlandse EOB ontvangt, niettemin reden heeft om te twijfelen aan de proportionaliteit van een bevel, kan hij dit aan de orde stellen bij de uitvaardigende autoriteit</w:t>
              </w:r>
              <w:r>
                <w:rPr>
                  <w:szCs w:val="22"/>
                </w:rPr>
                <w:t>.</w:t>
              </w:r>
              <w:r w:rsidRPr="0010262A">
                <w:rPr>
                  <w:rStyle w:val="FootnoteReference"/>
                  <w:szCs w:val="22"/>
                </w:rPr>
                <w:footnoteReference w:id="21"/>
              </w:r>
              <w:r>
                <w:rPr>
                  <w:szCs w:val="22"/>
                </w:rPr>
                <w:t xml:space="preserve"> Het gaat, aldus de toelichting, “</w:t>
              </w:r>
              <w:r w:rsidRPr="00D25510">
                <w:rPr>
                  <w:szCs w:val="22"/>
                </w:rPr>
                <w:t>om een voorziening die is opgenomen ter voorkoming van gevallen waarin evident disproportioneel lijkt te worden gehandeld, in de zin van inzet van (ingrijpende) opsporingsbevoegdheden voor onderzoek naar zogenoemde bagatelfeiten.”</w:t>
              </w:r>
              <w:r>
                <w:rPr>
                  <w:rStyle w:val="FootnoteReference"/>
                  <w:szCs w:val="22"/>
                </w:rPr>
                <w:footnoteReference w:id="22"/>
              </w:r>
            </w:p>
            <w:p w:rsidR="00746AE4" w:rsidP="00FC78D7" w:rsidRDefault="0071053D">
              <w:pPr>
                <w:rPr>
                  <w:szCs w:val="22"/>
                </w:rPr>
              </w:pPr>
              <w:r w:rsidRPr="0010262A">
                <w:rPr>
                  <w:szCs w:val="22"/>
                </w:rPr>
                <w:t xml:space="preserve">De minister </w:t>
              </w:r>
              <w:r>
                <w:rPr>
                  <w:szCs w:val="22"/>
                </w:rPr>
                <w:t xml:space="preserve">stelt </w:t>
              </w:r>
              <w:r w:rsidRPr="0010262A">
                <w:rPr>
                  <w:szCs w:val="22"/>
                </w:rPr>
                <w:t>dat tijdens de onderhandelingen over de richtlijn uitdrukkelijk de keuze is gemaakt om</w:t>
              </w:r>
              <w:r w:rsidRPr="00D40726">
                <w:rPr>
                  <w:i/>
                  <w:szCs w:val="22"/>
                </w:rPr>
                <w:t xml:space="preserve"> niet</w:t>
              </w:r>
              <w:r>
                <w:rPr>
                  <w:szCs w:val="22"/>
                </w:rPr>
                <w:t xml:space="preserve"> te voorzien in een weigeringsgrond in geval van een mogelijk disproportioneel EOB:</w:t>
              </w:r>
              <w:r w:rsidRPr="00DC0CBC">
                <w:rPr>
                  <w:szCs w:val="22"/>
                  <w:vertAlign w:val="superscript"/>
                </w:rPr>
                <w:footnoteReference w:id="23"/>
              </w:r>
              <w:r w:rsidRPr="0010262A">
                <w:rPr>
                  <w:szCs w:val="22"/>
                </w:rPr>
                <w:t xml:space="preserve"> het primaat van beoordeling van de proportionaliteit dient bij de uitvaardigende autoriteit te blijven.</w:t>
              </w:r>
              <w:r w:rsidRPr="0010262A">
                <w:rPr>
                  <w:rStyle w:val="FootnoteReference"/>
                  <w:szCs w:val="22"/>
                </w:rPr>
                <w:footnoteReference w:id="24"/>
              </w:r>
              <w:r w:rsidRPr="0010262A">
                <w:rPr>
                  <w:szCs w:val="22"/>
                </w:rPr>
                <w:t xml:space="preserve"> </w:t>
              </w:r>
            </w:p>
            <w:p w:rsidRPr="0010262A" w:rsidR="00FC78D7" w:rsidP="00FC78D7" w:rsidRDefault="0071053D">
              <w:pPr>
                <w:rPr>
                  <w:szCs w:val="22"/>
                </w:rPr>
              </w:pPr>
              <w:r w:rsidRPr="0010262A">
                <w:rPr>
                  <w:szCs w:val="22"/>
                </w:rPr>
                <w:t xml:space="preserve">Dit doet vermoeden dat Nederland gehouden is het bevel </w:t>
              </w:r>
              <w:r>
                <w:rPr>
                  <w:szCs w:val="22"/>
                </w:rPr>
                <w:t xml:space="preserve">met betrekking tot de overdracht van informatie </w:t>
              </w:r>
              <w:r w:rsidRPr="0010262A">
                <w:rPr>
                  <w:szCs w:val="22"/>
                </w:rPr>
                <w:t xml:space="preserve">uit te voeren, </w:t>
              </w:r>
              <w:r w:rsidRPr="00B67251">
                <w:rPr>
                  <w:szCs w:val="22"/>
                </w:rPr>
                <w:t xml:space="preserve">indien overleg van de officier van justitie met de uitvaardigende autoriteit over vermeende </w:t>
              </w:r>
              <w:r>
                <w:rPr>
                  <w:szCs w:val="22"/>
                </w:rPr>
                <w:t xml:space="preserve">evidente </w:t>
              </w:r>
              <w:r w:rsidRPr="00B67251">
                <w:rPr>
                  <w:szCs w:val="22"/>
                </w:rPr>
                <w:t>disproportionaliteit van het EOB niet le</w:t>
              </w:r>
              <w:r>
                <w:rPr>
                  <w:szCs w:val="22"/>
                </w:rPr>
                <w:t>idt tot de intrekking daarvan.”</w:t>
              </w:r>
              <w:r w:rsidRPr="0010262A">
                <w:rPr>
                  <w:szCs w:val="22"/>
                </w:rPr>
                <w:t>.</w:t>
              </w:r>
              <w:r w:rsidRPr="0010262A">
                <w:rPr>
                  <w:rStyle w:val="FootnoteReference"/>
                  <w:szCs w:val="22"/>
                </w:rPr>
                <w:footnoteReference w:id="25"/>
              </w:r>
            </w:p>
            <w:p w:rsidRPr="0010262A" w:rsidR="00E81EB1" w:rsidP="00FC78D7" w:rsidRDefault="002B6A25">
              <w:pPr>
                <w:rPr>
                  <w:szCs w:val="22"/>
                </w:rPr>
              </w:pPr>
            </w:p>
            <w:p w:rsidRPr="0010262A" w:rsidR="00FC78D7" w:rsidP="00FC78D7" w:rsidRDefault="0071053D">
              <w:pPr>
                <w:rPr>
                  <w:szCs w:val="22"/>
                </w:rPr>
              </w:pPr>
              <w:r w:rsidRPr="0010262A">
                <w:rPr>
                  <w:szCs w:val="22"/>
                </w:rPr>
                <w:t xml:space="preserve">De Afdeling wijst erop dat </w:t>
              </w:r>
              <w:r>
                <w:rPr>
                  <w:szCs w:val="22"/>
                </w:rPr>
                <w:t>a</w:t>
              </w:r>
              <w:r w:rsidRPr="0010262A">
                <w:rPr>
                  <w:szCs w:val="22"/>
                </w:rPr>
                <w:t xml:space="preserve">rtikel 5:3, eerste lid, van het Besluit politiegegevens bepaalt dat aan personen of instanties in een andere lidstaat van de Europese Unie, die zijn belast met de voorkoming en opsporing van strafbare feiten in de betreffende lidstaat, politiegegevens worden verstrekt onder gelijke voorwaarden als aan politieambtenaren in Nederland, voor zover zij deze behoeven voor een goede uitvoering van die taak en behoudens de toepassing van de gronden, bedoeld in het tweede lid. Het tweede lid, aanhef en onderdeel d, </w:t>
              </w:r>
              <w:r>
                <w:rPr>
                  <w:szCs w:val="22"/>
                </w:rPr>
                <w:t xml:space="preserve">van het Besluit Politiegegevens </w:t>
              </w:r>
              <w:r w:rsidRPr="0010262A">
                <w:rPr>
                  <w:szCs w:val="22"/>
                </w:rPr>
                <w:t xml:space="preserve">bepaalt dat de verstrekking van politiegegevens kan worden </w:t>
              </w:r>
              <w:r w:rsidRPr="0010262A">
                <w:rPr>
                  <w:i/>
                  <w:szCs w:val="22"/>
                </w:rPr>
                <w:t xml:space="preserve">geweigerd </w:t>
              </w:r>
              <w:r w:rsidRPr="0010262A">
                <w:rPr>
                  <w:szCs w:val="22"/>
                </w:rPr>
                <w:t xml:space="preserve">indien dit </w:t>
              </w:r>
              <w:r w:rsidRPr="0010262A">
                <w:rPr>
                  <w:i/>
                  <w:szCs w:val="22"/>
                </w:rPr>
                <w:t>duidelijk disproportioneel</w:t>
              </w:r>
              <w:r w:rsidRPr="0010262A">
                <w:rPr>
                  <w:szCs w:val="22"/>
                </w:rPr>
                <w:t xml:space="preserve"> of irrelevant zou zijn met het oog op de doelen waarvoor om verstrekking van de gegevens is verzocht. Dit voorschrift</w:t>
              </w:r>
              <w:r>
                <w:rPr>
                  <w:szCs w:val="22"/>
                </w:rPr>
                <w:t>, dat strekt ter implementatie van artikel 10, eerste lid, onderdeel c, van Kaderbesluit 2006/960,</w:t>
              </w:r>
              <w:r>
                <w:rPr>
                  <w:rStyle w:val="FootnoteReference"/>
                  <w:szCs w:val="22"/>
                </w:rPr>
                <w:footnoteReference w:id="26"/>
              </w:r>
              <w:r>
                <w:rPr>
                  <w:szCs w:val="22"/>
                </w:rPr>
                <w:t xml:space="preserve"> lijkt</w:t>
              </w:r>
              <w:r w:rsidRPr="0010262A">
                <w:rPr>
                  <w:szCs w:val="22"/>
                </w:rPr>
                <w:t xml:space="preserve"> niet in overeenstemming met de </w:t>
              </w:r>
              <w:r>
                <w:rPr>
                  <w:szCs w:val="22"/>
                </w:rPr>
                <w:t>strekking</w:t>
              </w:r>
              <w:r w:rsidRPr="0010262A">
                <w:rPr>
                  <w:szCs w:val="22"/>
                </w:rPr>
                <w:t xml:space="preserve"> van de </w:t>
              </w:r>
              <w:r>
                <w:rPr>
                  <w:szCs w:val="22"/>
                </w:rPr>
                <w:t xml:space="preserve">onderhavige </w:t>
              </w:r>
              <w:r w:rsidRPr="0010262A">
                <w:rPr>
                  <w:szCs w:val="22"/>
                </w:rPr>
                <w:t>richtlijn</w:t>
              </w:r>
              <w:r>
                <w:rPr>
                  <w:szCs w:val="22"/>
                </w:rPr>
                <w:t xml:space="preserve"> voor zover het gaat om een EOB met betrekking tot de overdracht van (politie)gegevens. </w:t>
              </w:r>
            </w:p>
            <w:p w:rsidRPr="0010262A" w:rsidR="00E81EB1" w:rsidP="00FC78D7" w:rsidRDefault="002B6A25">
              <w:pPr>
                <w:rPr>
                  <w:szCs w:val="22"/>
                </w:rPr>
              </w:pPr>
            </w:p>
            <w:p w:rsidR="009D1450" w:rsidP="00FC78D7" w:rsidRDefault="0071053D">
              <w:pPr>
                <w:rPr>
                  <w:szCs w:val="22"/>
                </w:rPr>
              </w:pPr>
              <w:r w:rsidRPr="009D1450">
                <w:rPr>
                  <w:szCs w:val="22"/>
                </w:rPr>
                <w:t>De Afdeling adviseert in de toelichting in te gaan op de verhouding van de richtlijn</w:t>
              </w:r>
              <w:r>
                <w:rPr>
                  <w:szCs w:val="22"/>
                </w:rPr>
                <w:t>,</w:t>
              </w:r>
              <w:r w:rsidRPr="009D1450">
                <w:rPr>
                  <w:szCs w:val="22"/>
                </w:rPr>
                <w:t xml:space="preserve"> waarbij het primaat van de beoordeling van de proportionaliteit bij de uitvaardigende lidstaat ligt</w:t>
              </w:r>
              <w:r>
                <w:rPr>
                  <w:szCs w:val="22"/>
                </w:rPr>
                <w:t>,</w:t>
              </w:r>
              <w:r w:rsidRPr="009D1450">
                <w:rPr>
                  <w:szCs w:val="22"/>
                </w:rPr>
                <w:t xml:space="preserve"> tot artikel 10, eer</w:t>
              </w:r>
              <w:r>
                <w:rPr>
                  <w:szCs w:val="22"/>
                </w:rPr>
                <w:t xml:space="preserve">ste lid, onderdeel c, van het </w:t>
              </w:r>
              <w:r w:rsidRPr="009D1450">
                <w:rPr>
                  <w:szCs w:val="22"/>
                </w:rPr>
                <w:t>Kaderbesluit 2006/960 en artikel 5:3, tweede lid, aanhef en 30 onderdeel d, van het Besluit politiegegevens</w:t>
              </w:r>
              <w:r>
                <w:rPr>
                  <w:szCs w:val="22"/>
                </w:rPr>
                <w:t>.</w:t>
              </w:r>
            </w:p>
            <w:p w:rsidR="00347860" w:rsidRDefault="002B6A25">
              <w:pPr>
                <w:rPr>
                  <w:sz w:val="18"/>
                  <w:szCs w:val="18"/>
                </w:rPr>
              </w:pPr>
            </w:p>
            <w:p w:rsidRPr="0010262A" w:rsidR="00FC78D7" w:rsidP="007141EE" w:rsidRDefault="0071053D">
              <w:pPr>
                <w:keepNext/>
                <w:rPr>
                  <w:szCs w:val="22"/>
                </w:rPr>
              </w:pPr>
              <w:r>
                <w:rPr>
                  <w:szCs w:val="22"/>
                </w:rPr>
                <w:t>4</w:t>
              </w:r>
              <w:r w:rsidRPr="0010262A">
                <w:rPr>
                  <w:szCs w:val="22"/>
                </w:rPr>
                <w:t xml:space="preserve">. </w:t>
              </w:r>
              <w:r w:rsidRPr="0010262A">
                <w:rPr>
                  <w:szCs w:val="22"/>
                </w:rPr>
                <w:tab/>
              </w:r>
              <w:r w:rsidRPr="0010262A">
                <w:rPr>
                  <w:szCs w:val="22"/>
                  <w:u w:val="single"/>
                </w:rPr>
                <w:t>Criterium voor mogelijke toepassing bevoegdheden</w:t>
              </w:r>
            </w:p>
            <w:p w:rsidRPr="0010262A" w:rsidR="00E81EB1" w:rsidP="007141EE" w:rsidRDefault="002B6A25">
              <w:pPr>
                <w:keepNext/>
                <w:rPr>
                  <w:szCs w:val="22"/>
                </w:rPr>
              </w:pPr>
            </w:p>
            <w:p w:rsidRPr="004275E5" w:rsidR="004275E5" w:rsidP="004275E5" w:rsidRDefault="0071053D">
              <w:pPr>
                <w:rPr>
                  <w:szCs w:val="22"/>
                </w:rPr>
              </w:pPr>
              <w:r>
                <w:rPr>
                  <w:szCs w:val="22"/>
                </w:rPr>
                <w:t>T</w:t>
              </w:r>
              <w:r w:rsidRPr="0010262A">
                <w:rPr>
                  <w:szCs w:val="22"/>
                </w:rPr>
                <w:t xml:space="preserve">er uitvoering van een EOB </w:t>
              </w:r>
              <w:r>
                <w:rPr>
                  <w:szCs w:val="22"/>
                </w:rPr>
                <w:t xml:space="preserve">kunnen </w:t>
              </w:r>
              <w:r w:rsidRPr="0010262A">
                <w:rPr>
                  <w:szCs w:val="22"/>
                </w:rPr>
                <w:t xml:space="preserve">opsporingsbevoegdheden worden toegepast onder dezelfde voorwaarden waaronder deze kunnen worden toegepast in een Nederlands onderzoek naar dezelfde feiten op grond van </w:t>
              </w:r>
              <w:r>
                <w:rPr>
                  <w:szCs w:val="22"/>
                </w:rPr>
                <w:t>het W</w:t>
              </w:r>
              <w:r w:rsidRPr="0010262A">
                <w:rPr>
                  <w:szCs w:val="22"/>
                </w:rPr>
                <w:t>etboek</w:t>
              </w:r>
              <w:r>
                <w:rPr>
                  <w:szCs w:val="22"/>
                </w:rPr>
                <w:t xml:space="preserve"> van Strafvordering.</w:t>
              </w:r>
              <w:r>
                <w:rPr>
                  <w:rStyle w:val="FootnoteReference"/>
                  <w:szCs w:val="22"/>
                </w:rPr>
                <w:footnoteReference w:id="27"/>
              </w:r>
              <w:r w:rsidRPr="0010262A">
                <w:rPr>
                  <w:szCs w:val="22"/>
                </w:rPr>
                <w:t xml:space="preserve"> </w:t>
              </w:r>
              <w:r>
                <w:rPr>
                  <w:szCs w:val="22"/>
                </w:rPr>
                <w:t>Dit komt tot uitdrukking in</w:t>
              </w:r>
              <w:r w:rsidRPr="004275E5">
                <w:rPr>
                  <w:szCs w:val="22"/>
                </w:rPr>
                <w:t xml:space="preserve"> </w:t>
              </w:r>
              <w:r>
                <w:rPr>
                  <w:szCs w:val="22"/>
                </w:rPr>
                <w:t xml:space="preserve">het voorgestelde </w:t>
              </w:r>
              <w:r w:rsidRPr="004275E5">
                <w:rPr>
                  <w:szCs w:val="22"/>
                </w:rPr>
                <w:t>5.4.7, eerste lid, Sv</w:t>
              </w:r>
              <w:r>
                <w:rPr>
                  <w:szCs w:val="22"/>
                </w:rPr>
                <w:t>,</w:t>
              </w:r>
              <w:r w:rsidRPr="004275E5">
                <w:rPr>
                  <w:szCs w:val="22"/>
                </w:rPr>
                <w:t xml:space="preserve"> in een redactie die aansluit bij het wetsvoorstel herziening internationale samenwerking in strafzaken.</w:t>
              </w:r>
              <w:r w:rsidRPr="004275E5">
                <w:rPr>
                  <w:szCs w:val="22"/>
                  <w:vertAlign w:val="superscript"/>
                </w:rPr>
                <w:footnoteReference w:id="28"/>
              </w:r>
            </w:p>
            <w:p w:rsidRPr="0010262A" w:rsidR="00E81EB1" w:rsidP="00FC78D7" w:rsidRDefault="002B6A25">
              <w:pPr>
                <w:rPr>
                  <w:szCs w:val="22"/>
                </w:rPr>
              </w:pPr>
            </w:p>
            <w:p w:rsidRPr="0010262A" w:rsidR="00FC78D7" w:rsidP="00FC78D7" w:rsidRDefault="0071053D">
              <w:pPr>
                <w:rPr>
                  <w:szCs w:val="22"/>
                </w:rPr>
              </w:pPr>
              <w:r w:rsidRPr="0010262A">
                <w:rPr>
                  <w:szCs w:val="22"/>
                </w:rPr>
                <w:t>De Afdeling merkt op dat in de toelichting bij dat wetsvoorstel (consultatieversie) is gesteld dat</w:t>
              </w:r>
              <w:r w:rsidRPr="00DC0CBC">
                <w:rPr>
                  <w:i/>
                  <w:szCs w:val="22"/>
                </w:rPr>
                <w:t xml:space="preserve"> buiten</w:t>
              </w:r>
              <w:r w:rsidRPr="0010262A">
                <w:rPr>
                  <w:szCs w:val="22"/>
                </w:rPr>
                <w:t xml:space="preserve"> de voorwaarden vallen wettelijke criteria als “in het belang van het onderzoek”, “een ernstige inbreuk op de rechtsorde” en “</w:t>
              </w:r>
              <w:r>
                <w:rPr>
                  <w:szCs w:val="22"/>
                </w:rPr>
                <w:t>i</w:t>
              </w:r>
              <w:r w:rsidRPr="0010262A">
                <w:rPr>
                  <w:szCs w:val="22"/>
                </w:rPr>
                <w:t xml:space="preserve">ndien het onderzoek dit dringend vordert”. Dat hiervan moet worden geabstraheerd ligt ook in </w:t>
              </w:r>
              <w:r>
                <w:rPr>
                  <w:szCs w:val="22"/>
                </w:rPr>
                <w:t>het voorliggende</w:t>
              </w:r>
              <w:r w:rsidRPr="0010262A">
                <w:rPr>
                  <w:szCs w:val="22"/>
                </w:rPr>
                <w:t xml:space="preserve"> wetsvoorstel voor de hand omdat het primaat van de proportionaliteitstoets bij de uitvaardigende staat ligt. </w:t>
              </w:r>
            </w:p>
            <w:p w:rsidRPr="0010262A" w:rsidR="00E81EB1" w:rsidP="00FC78D7" w:rsidRDefault="002B6A25">
              <w:pPr>
                <w:rPr>
                  <w:szCs w:val="22"/>
                </w:rPr>
              </w:pPr>
            </w:p>
            <w:p w:rsidRPr="0010262A" w:rsidR="00E81EB1" w:rsidP="00FC78D7" w:rsidRDefault="0071053D">
              <w:pPr>
                <w:rPr>
                  <w:szCs w:val="22"/>
                </w:rPr>
              </w:pPr>
              <w:r w:rsidRPr="0010262A">
                <w:rPr>
                  <w:szCs w:val="22"/>
                </w:rPr>
                <w:t>Gelet hierop adviseert de Afdeling de voorgestelde wettekst te verduidelijken in die zin dat wordt geabstraheerd van de genoemde wettelijke voorwaarden die zien op de noodzaak van de toepassing van de bevoegdheid in het concrete geval.</w:t>
              </w:r>
              <w:r>
                <w:rPr>
                  <w:rStyle w:val="FootnoteReference"/>
                  <w:szCs w:val="22"/>
                </w:rPr>
                <w:footnoteReference w:id="29"/>
              </w:r>
              <w:r w:rsidRPr="0010262A">
                <w:rPr>
                  <w:szCs w:val="22"/>
                </w:rPr>
                <w:t xml:space="preserve"> </w:t>
              </w:r>
            </w:p>
            <w:p w:rsidRPr="00A507E9" w:rsidR="00E81EB1" w:rsidP="00FC78D7" w:rsidRDefault="0071053D">
              <w:pPr>
                <w:rPr>
                  <w:sz w:val="18"/>
                  <w:szCs w:val="18"/>
                </w:rPr>
              </w:pPr>
              <w:r w:rsidRPr="00A507E9">
                <w:rPr>
                  <w:sz w:val="18"/>
                  <w:szCs w:val="18"/>
                </w:rPr>
                <w:t xml:space="preserve"> </w:t>
              </w:r>
            </w:p>
            <w:p w:rsidRPr="0010262A" w:rsidR="00FC78D7" w:rsidP="00FC78D7" w:rsidRDefault="0071053D">
              <w:pPr>
                <w:rPr>
                  <w:szCs w:val="22"/>
                </w:rPr>
              </w:pPr>
              <w:r>
                <w:rPr>
                  <w:szCs w:val="22"/>
                </w:rPr>
                <w:t>5</w:t>
              </w:r>
              <w:r w:rsidRPr="0010262A">
                <w:rPr>
                  <w:szCs w:val="22"/>
                </w:rPr>
                <w:t xml:space="preserve">. </w:t>
              </w:r>
              <w:r w:rsidRPr="0010262A">
                <w:rPr>
                  <w:szCs w:val="22"/>
                </w:rPr>
                <w:tab/>
              </w:r>
              <w:r w:rsidRPr="0010262A">
                <w:rPr>
                  <w:szCs w:val="22"/>
                  <w:u w:val="single"/>
                </w:rPr>
                <w:t>Overig</w:t>
              </w:r>
            </w:p>
            <w:p w:rsidR="004275E5" w:rsidP="00795441" w:rsidRDefault="0071053D">
              <w:pPr>
                <w:rPr>
                  <w:szCs w:val="22"/>
                </w:rPr>
              </w:pPr>
              <w:r w:rsidRPr="0010262A">
                <w:rPr>
                  <w:szCs w:val="22"/>
                </w:rPr>
                <w:t xml:space="preserve"> </w:t>
              </w:r>
              <w:r w:rsidRPr="0010262A">
                <w:rPr>
                  <w:szCs w:val="22"/>
                </w:rPr>
                <w:tab/>
              </w:r>
            </w:p>
            <w:p w:rsidRPr="004275E5" w:rsidR="004275E5" w:rsidP="004275E5" w:rsidRDefault="0071053D">
              <w:pPr>
                <w:rPr>
                  <w:szCs w:val="22"/>
                </w:rPr>
              </w:pPr>
              <w:r>
                <w:rPr>
                  <w:szCs w:val="22"/>
                </w:rPr>
                <w:t>a</w:t>
              </w:r>
              <w:r w:rsidRPr="004275E5">
                <w:rPr>
                  <w:szCs w:val="22"/>
                </w:rPr>
                <w:t>.</w:t>
              </w:r>
              <w:r w:rsidRPr="004275E5">
                <w:rPr>
                  <w:szCs w:val="22"/>
                </w:rPr>
                <w:tab/>
                <w:t>Volgens het voorgestelde artikel 5.4.5, tweede lid, Sv worden bij de uitvoering van het verzoek de door de uitvaardigende autoriteit “aangegeven vormvoorschriften en procedures in acht genomen, tenzij dit strijd oplevert met de grondbeginselen van het Nederlandse recht.”</w:t>
              </w:r>
              <w:r w:rsidRPr="004275E5">
                <w:rPr>
                  <w:szCs w:val="22"/>
                  <w:vertAlign w:val="superscript"/>
                </w:rPr>
                <w:footnoteReference w:id="30"/>
              </w:r>
              <w:r w:rsidRPr="004275E5">
                <w:rPr>
                  <w:szCs w:val="22"/>
                </w:rPr>
                <w:t xml:space="preserve"> In de toelichting wordt niet ingegaan op de vraag welke beginselen hier worden bedoeld. </w:t>
              </w:r>
            </w:p>
            <w:p w:rsidR="004275E5" w:rsidP="004275E5" w:rsidRDefault="0071053D">
              <w:pPr>
                <w:rPr>
                  <w:szCs w:val="22"/>
                </w:rPr>
              </w:pPr>
              <w:r w:rsidRPr="004275E5">
                <w:rPr>
                  <w:szCs w:val="22"/>
                </w:rPr>
                <w:t xml:space="preserve">De Afdeling adviseert nader in te gaan op de aard en omvang van de clausule “tenzij dit strijd oplevert met de grondbeginselen van het Nederlands recht”. </w:t>
              </w:r>
            </w:p>
            <w:p w:rsidR="004275E5" w:rsidP="00FC78D7" w:rsidRDefault="002B6A25">
              <w:pPr>
                <w:rPr>
                  <w:szCs w:val="22"/>
                </w:rPr>
              </w:pPr>
            </w:p>
            <w:p w:rsidR="004275E5" w:rsidP="004275E5" w:rsidRDefault="0071053D">
              <w:pPr>
                <w:rPr>
                  <w:szCs w:val="22"/>
                </w:rPr>
              </w:pPr>
              <w:r>
                <w:rPr>
                  <w:szCs w:val="22"/>
                </w:rPr>
                <w:t>b</w:t>
              </w:r>
              <w:r w:rsidRPr="004275E5">
                <w:rPr>
                  <w:szCs w:val="22"/>
                </w:rPr>
                <w:t xml:space="preserve">. </w:t>
              </w:r>
              <w:r w:rsidRPr="004275E5">
                <w:rPr>
                  <w:szCs w:val="22"/>
                </w:rPr>
                <w:tab/>
                <w:t xml:space="preserve">In artikel 5.4.7, derde lid, onderdeel d, Sv wordt gesteld dat een bevel dat ziet op “bevoegdheden die geen dwangmiddel zijn” altijd wordt uitgevoerd. Dit is een uitwerking van artikel 10, tweede lid, onderdeel d, van de richtlijn dat </w:t>
              </w:r>
              <w:r>
                <w:rPr>
                  <w:szCs w:val="22"/>
                </w:rPr>
                <w:t xml:space="preserve">voorschrijft dat </w:t>
              </w:r>
              <w:r w:rsidRPr="004275E5">
                <w:rPr>
                  <w:szCs w:val="22"/>
                </w:rPr>
                <w:t>onderzoeksmaatregelen van “niet-dwingende of niet-intrusieve aard”, zoals gedefinieerd in het recht van de uitvoerende staat s</w:t>
              </w:r>
              <w:r>
                <w:rPr>
                  <w:szCs w:val="22"/>
                </w:rPr>
                <w:t xml:space="preserve">teeds beschikbaar dienen zijn. </w:t>
              </w:r>
              <w:r w:rsidRPr="004275E5">
                <w:rPr>
                  <w:szCs w:val="22"/>
                </w:rPr>
                <w:t xml:space="preserve">Volgens overweging 16 kunnen dit maatregelen zijn die geen inbreuk maken op het recht </w:t>
              </w:r>
              <w:r>
                <w:rPr>
                  <w:szCs w:val="22"/>
                </w:rPr>
                <w:t>op</w:t>
              </w:r>
              <w:r w:rsidRPr="004275E5">
                <w:rPr>
                  <w:szCs w:val="22"/>
                </w:rPr>
                <w:t xml:space="preserve"> privacy of eigendom. </w:t>
              </w:r>
            </w:p>
            <w:p w:rsidR="001D7465" w:rsidP="004275E5" w:rsidRDefault="002B6A25">
              <w:pPr>
                <w:rPr>
                  <w:szCs w:val="22"/>
                </w:rPr>
              </w:pPr>
            </w:p>
            <w:p w:rsidRPr="004275E5" w:rsidR="004275E5" w:rsidP="004275E5" w:rsidRDefault="0071053D">
              <w:pPr>
                <w:rPr>
                  <w:szCs w:val="22"/>
                </w:rPr>
              </w:pPr>
              <w:r w:rsidRPr="004275E5">
                <w:rPr>
                  <w:szCs w:val="22"/>
                </w:rPr>
                <w:t xml:space="preserve">De Afdeling acht de gekozen term “bevoegdheden” niet passend en </w:t>
              </w:r>
              <w:r>
                <w:rPr>
                  <w:szCs w:val="22"/>
                </w:rPr>
                <w:t xml:space="preserve">niet </w:t>
              </w:r>
              <w:r w:rsidRPr="004275E5">
                <w:rPr>
                  <w:szCs w:val="22"/>
                </w:rPr>
                <w:t>duidelijk, nu deze bijvoorbeeld mede de term bijzondere opsporings</w:t>
              </w:r>
              <w:r w:rsidRPr="00462D3F">
                <w:rPr>
                  <w:i/>
                  <w:szCs w:val="22"/>
                </w:rPr>
                <w:t>bevoegdheden</w:t>
              </w:r>
              <w:r w:rsidRPr="004275E5">
                <w:rPr>
                  <w:szCs w:val="22"/>
                </w:rPr>
                <w:t xml:space="preserve"> lijkt te omvatten die een vergaande inbreuk op de privacy met zich meebrengen. Gelet hierop adviseert de Afdeling een meer inhoudelijke omschrijving in de wet op te nemen en nauwer aan te sluiten bij de </w:t>
              </w:r>
              <w:r>
                <w:rPr>
                  <w:szCs w:val="22"/>
                </w:rPr>
                <w:t xml:space="preserve">tekst van de </w:t>
              </w:r>
              <w:r w:rsidRPr="004275E5">
                <w:rPr>
                  <w:szCs w:val="22"/>
                </w:rPr>
                <w:t>richtlijn</w:t>
              </w:r>
              <w:r>
                <w:rPr>
                  <w:szCs w:val="22"/>
                </w:rPr>
                <w:t xml:space="preserve">, door in plaats van bevoegdheden die geen dwangmiddel zijn de term “onderzoeksmaatregelen” te hanteren en daaraan toe te voegen dat deze niet-dwingend of niet-intrusief van aard zijn.   </w:t>
              </w:r>
            </w:p>
            <w:p w:rsidR="0010262A" w:rsidP="00FC78D7" w:rsidRDefault="002B6A25">
              <w:pPr>
                <w:rPr>
                  <w:szCs w:val="22"/>
                </w:rPr>
              </w:pPr>
            </w:p>
            <w:p w:rsidRPr="0010262A" w:rsidR="00A507E9" w:rsidP="00FC78D7" w:rsidRDefault="0071053D">
              <w:pPr>
                <w:rPr>
                  <w:szCs w:val="22"/>
                </w:rPr>
              </w:pPr>
              <w:r>
                <w:rPr>
                  <w:szCs w:val="22"/>
                </w:rPr>
                <w:t>c</w:t>
              </w:r>
              <w:r w:rsidRPr="0010262A">
                <w:rPr>
                  <w:szCs w:val="22"/>
                </w:rPr>
                <w:t xml:space="preserve">. </w:t>
              </w:r>
              <w:r w:rsidRPr="0010262A">
                <w:rPr>
                  <w:szCs w:val="22"/>
                </w:rPr>
                <w:tab/>
                <w:t>Het voorgestelde artikel 5.4.10,</w:t>
              </w:r>
              <w:r>
                <w:rPr>
                  <w:szCs w:val="22"/>
                </w:rPr>
                <w:t xml:space="preserve"> eerste lid,</w:t>
              </w:r>
              <w:r w:rsidRPr="0010262A">
                <w:rPr>
                  <w:szCs w:val="22"/>
                </w:rPr>
                <w:t xml:space="preserve"> Sv bepaalt dat de betrokkene bij wie in het kader van een EOB voorwerpen</w:t>
              </w:r>
              <w:r>
                <w:rPr>
                  <w:rStyle w:val="FootnoteReference"/>
                  <w:szCs w:val="22"/>
                </w:rPr>
                <w:footnoteReference w:id="31"/>
              </w:r>
              <w:r w:rsidRPr="0010262A">
                <w:rPr>
                  <w:szCs w:val="22"/>
                </w:rPr>
                <w:t xml:space="preserve"> in beslag zijn genomen, dan wel gegevens zijn gevorderd, indien de geheimhouding van het onderzoek daardoor niet in het gedrang komt, in kennis wordt gesteld van zijn bevoegdheid om binnen veertien dagen na kennisgeving een klaagschrift ingevolge artikel 552a Sv in te dienen. </w:t>
              </w:r>
            </w:p>
            <w:p w:rsidR="00456AF6" w:rsidP="00FC78D7" w:rsidRDefault="002B6A25">
              <w:pPr>
                <w:rPr>
                  <w:szCs w:val="22"/>
                </w:rPr>
              </w:pPr>
            </w:p>
            <w:p w:rsidRPr="0010262A" w:rsidR="00FC78D7" w:rsidP="00FC78D7" w:rsidRDefault="0071053D">
              <w:pPr>
                <w:rPr>
                  <w:szCs w:val="22"/>
                </w:rPr>
              </w:pPr>
              <w:r w:rsidRPr="0010262A">
                <w:rPr>
                  <w:szCs w:val="22"/>
                </w:rPr>
                <w:t xml:space="preserve">De Afdeling merkt op dat artikel 552a, eerste lid, Sv beklag open stelt tegen veel meer handelingen, zoals de kennisneming en het gebruik van gegevens, opgeslagen, verwerkt of overgedragen door middel van een geautomatiseerd werk. Op grond van artikel 14, eerste lid, van de richtlijn dienen lidstaten erop toe te zien dat op de in het EOB aangegeven onderzoeksmaatregelen rechtsmiddelen toepasselijk zijn die gelijkwaardig zijn met die welke in een vergelijkbare binnenlandse zaak mogelijk zijn. Bovendien nemen de uitvaardigende autoriteiten en de uitvoerende autoriteit passende maatregelen om ervoor te zorgen dat er informatie wordt verstrekt over de in het nationale recht geboden mogelijkheden om rechtsmiddelen in te stellen. </w:t>
              </w:r>
            </w:p>
            <w:p w:rsidR="00456AF6" w:rsidP="00FC78D7" w:rsidRDefault="002B6A25">
              <w:pPr>
                <w:rPr>
                  <w:szCs w:val="22"/>
                </w:rPr>
              </w:pPr>
            </w:p>
            <w:p w:rsidRPr="0010262A" w:rsidR="004275E5" w:rsidP="00FC78D7" w:rsidRDefault="0071053D">
              <w:pPr>
                <w:rPr>
                  <w:szCs w:val="22"/>
                </w:rPr>
              </w:pPr>
              <w:r w:rsidRPr="0010262A">
                <w:rPr>
                  <w:szCs w:val="22"/>
                </w:rPr>
                <w:t xml:space="preserve">Gelet hierop adviseert de Afdeling om de in artikel 5.4.10, eerste lid, Sv bedoelde kennisgeving uit te breiden tot alle gevallen waarover belanghebbenden zich kunnen beklagen als bedoeld in artikel 552a, eerste lid, Sv. </w:t>
              </w:r>
            </w:p>
            <w:p w:rsidRPr="0010262A" w:rsidR="00A507E9" w:rsidP="00FC78D7" w:rsidRDefault="002B6A25">
              <w:pPr>
                <w:rPr>
                  <w:szCs w:val="22"/>
                </w:rPr>
              </w:pPr>
            </w:p>
            <w:p w:rsidRPr="0010262A" w:rsidR="00A507E9" w:rsidP="00A507E9" w:rsidRDefault="0071053D">
              <w:pPr>
                <w:rPr>
                  <w:szCs w:val="22"/>
                </w:rPr>
              </w:pPr>
              <w:r>
                <w:rPr>
                  <w:szCs w:val="22"/>
                </w:rPr>
                <w:t>d</w:t>
              </w:r>
              <w:r w:rsidRPr="0010262A">
                <w:rPr>
                  <w:szCs w:val="22"/>
                </w:rPr>
                <w:t xml:space="preserve">. </w:t>
              </w:r>
              <w:r w:rsidRPr="0010262A">
                <w:rPr>
                  <w:szCs w:val="22"/>
                </w:rPr>
                <w:tab/>
                <w:t>Volgens het voorgestelde artikel 5.4</w:t>
              </w:r>
              <w:r>
                <w:rPr>
                  <w:szCs w:val="22"/>
                </w:rPr>
                <w:t>.</w:t>
              </w:r>
              <w:r w:rsidRPr="0010262A">
                <w:rPr>
                  <w:szCs w:val="22"/>
                </w:rPr>
                <w:t>10, tweede lid, Sv doet de officier van justitie, indien hij</w:t>
              </w:r>
              <w:r>
                <w:rPr>
                  <w:szCs w:val="22"/>
                </w:rPr>
                <w:t xml:space="preserve"> </w:t>
              </w:r>
              <w:r w:rsidRPr="0010262A">
                <w:rPr>
                  <w:szCs w:val="22"/>
                </w:rPr>
                <w:t>redenen heeft om aan te nemen dat een inbeslaggenomen voorwerp niet uitsluitend de beslagene toebehoort, de nodige naspeuringen</w:t>
              </w:r>
              <w:r w:rsidRPr="0010262A">
                <w:rPr>
                  <w:rStyle w:val="FootnoteReference"/>
                  <w:szCs w:val="22"/>
                </w:rPr>
                <w:footnoteReference w:id="32"/>
              </w:r>
              <w:r w:rsidRPr="0010262A">
                <w:rPr>
                  <w:szCs w:val="22"/>
                </w:rPr>
                <w:t xml:space="preserve"> naar de directe belanghebbenden in Nederland. Het is de Afdeling niet duidelijk waarom hier wordt gesproken van “directe” belanghebbenden. In het kader van de beklagprocedure over inbeslagneming van artikel 552</w:t>
              </w:r>
              <w:r>
                <w:rPr>
                  <w:szCs w:val="22"/>
                </w:rPr>
                <w:t>a</w:t>
              </w:r>
              <w:r w:rsidRPr="0010262A">
                <w:rPr>
                  <w:szCs w:val="22"/>
                </w:rPr>
                <w:t xml:space="preserve"> Sv wordt namelijk steeds gesproken over belanghebbenden. Het voorgestelde artikel 5.4.10, derde lid, bepaalt bovendien dat artikel 552a Sv van overeenkomstige toepassing is. In artikel 552a, vijfde lid, Sv wordt onder meer bepaald dat de griffier belanghebbenden in kennis </w:t>
              </w:r>
              <w:r>
                <w:rPr>
                  <w:szCs w:val="22"/>
                </w:rPr>
                <w:t xml:space="preserve">stelt </w:t>
              </w:r>
              <w:r w:rsidRPr="0010262A">
                <w:rPr>
                  <w:szCs w:val="22"/>
                </w:rPr>
                <w:t>van het klaagschrift en dat de griffier hen in staat stelt zelf een klaagschrift in te dienen of te worden gehoord. D</w:t>
              </w:r>
              <w:r>
                <w:rPr>
                  <w:szCs w:val="22"/>
                </w:rPr>
                <w:t>oor d</w:t>
              </w:r>
              <w:r w:rsidRPr="0010262A">
                <w:rPr>
                  <w:szCs w:val="22"/>
                </w:rPr>
                <w:t xml:space="preserve">it verschil in terminologie </w:t>
              </w:r>
              <w:r>
                <w:rPr>
                  <w:szCs w:val="22"/>
                </w:rPr>
                <w:t xml:space="preserve">is het </w:t>
              </w:r>
              <w:r w:rsidRPr="0010262A">
                <w:rPr>
                  <w:szCs w:val="22"/>
                </w:rPr>
                <w:t xml:space="preserve">onduidelijk of het de bedoeling is de groep belanghebbenden die in het kader van de rechtshulpprocedure gewezen worden op hun rechten in een beklagprocedure, te beperken ten opzichte van belanghebbenden in een nationale beklagprocedure. De Afdeling wijst erop dat voor zover </w:t>
              </w:r>
              <w:r>
                <w:rPr>
                  <w:szCs w:val="22"/>
                </w:rPr>
                <w:t>een beperking</w:t>
              </w:r>
              <w:r w:rsidRPr="0010262A">
                <w:rPr>
                  <w:szCs w:val="22"/>
                </w:rPr>
                <w:t xml:space="preserve"> is bedoeld, artikel 14, eerste lid, van de richtlijn voorschrijft dat lidstaten erop toezien dat op de in het EOB aangegeven onderzoeksmaatregelen rechtsmiddelen toepasselijk zijn die gelijkwaardig zijn met die welke in een vergelijkbare binnenlandse zaak mogelijk zijn. De Afdeling adviseert om het wetsvoorstel aan te passen.</w:t>
              </w:r>
              <w:r>
                <w:rPr>
                  <w:rStyle w:val="FootnoteReference"/>
                  <w:szCs w:val="22"/>
                </w:rPr>
                <w:footnoteReference w:id="33"/>
              </w:r>
            </w:p>
            <w:p w:rsidRPr="0010262A" w:rsidR="00E81EB1" w:rsidP="00FC78D7" w:rsidRDefault="002B6A25">
              <w:pPr>
                <w:rPr>
                  <w:szCs w:val="22"/>
                </w:rPr>
              </w:pPr>
            </w:p>
            <w:p w:rsidRPr="0010262A" w:rsidR="00A507E9" w:rsidP="00FC78D7" w:rsidRDefault="0071053D">
              <w:pPr>
                <w:rPr>
                  <w:szCs w:val="22"/>
                </w:rPr>
              </w:pPr>
              <w:r>
                <w:rPr>
                  <w:szCs w:val="22"/>
                </w:rPr>
                <w:t>e</w:t>
              </w:r>
              <w:r w:rsidRPr="0010262A">
                <w:rPr>
                  <w:szCs w:val="22"/>
                </w:rPr>
                <w:t xml:space="preserve">. </w:t>
              </w:r>
              <w:r w:rsidRPr="0010262A">
                <w:rPr>
                  <w:szCs w:val="22"/>
                </w:rPr>
                <w:tab/>
                <w:t xml:space="preserve">Het voorgestelde artikel 5.4.15, derde lid, Sv bepaalt dat in het geval waarin een persoon die in de uitvaardigende lidstaat rechtens van zijn vrijheid is beroofd, tijdelijk ter beschikking wordt gesteld aan Nederland, hij gedurende zijn verblijf in Nederland op bevel van de officier van justitie in verzekering wordt gesteld. “De artikelen 54 en 56, eerste lid, zijn voor zover nodig, van overeenkomstige toepassing.” Deze bepalingen hebben betrekking op de aanhouding buiten heterdaad en het onderzoek aan lichaam en kleding. </w:t>
              </w:r>
            </w:p>
            <w:p w:rsidRPr="0010262A" w:rsidR="00E81EB1" w:rsidP="00FC78D7" w:rsidRDefault="0071053D">
              <w:pPr>
                <w:rPr>
                  <w:szCs w:val="22"/>
                </w:rPr>
              </w:pPr>
              <w:r w:rsidRPr="0010262A">
                <w:rPr>
                  <w:szCs w:val="22"/>
                </w:rPr>
                <w:t>Het valt de Afdeling op dat niet uitdrukkelijk andere bepalingen met betrekking tot de inverzekeringstelling worden vermeld, zoals met name de verplichte rechtmatigheidstoetsing door de rechter-commissaris.</w:t>
              </w:r>
              <w:r>
                <w:rPr>
                  <w:rStyle w:val="FootnoteReference"/>
                  <w:szCs w:val="22"/>
                </w:rPr>
                <w:footnoteReference w:id="34"/>
              </w:r>
              <w:r w:rsidRPr="0010262A">
                <w:rPr>
                  <w:szCs w:val="22"/>
                </w:rPr>
                <w:t xml:space="preserve"> In de richtlijn is, zoals gesteld, bepaald dat de lidstaten erop toezien dat de rechtsmiddelen gelijkwaardig zijn met die welke in een vergelijkbare binnenlandse zaak mogelijk zijn.</w:t>
              </w:r>
              <w:r>
                <w:rPr>
                  <w:rStyle w:val="FootnoteReference"/>
                  <w:szCs w:val="22"/>
                </w:rPr>
                <w:footnoteReference w:id="35"/>
              </w:r>
              <w:r w:rsidRPr="0010262A">
                <w:rPr>
                  <w:szCs w:val="22"/>
                </w:rPr>
                <w:t xml:space="preserve"> De Afdeling adviseert dit toe te lichten</w:t>
              </w:r>
              <w:r>
                <w:rPr>
                  <w:szCs w:val="22"/>
                </w:rPr>
                <w:t xml:space="preserve"> en zo nodig </w:t>
              </w:r>
              <w:r w:rsidRPr="0010262A">
                <w:rPr>
                  <w:szCs w:val="22"/>
                </w:rPr>
                <w:t>het voorstel aan te passen.</w:t>
              </w:r>
            </w:p>
            <w:p w:rsidRPr="00D25510" w:rsidR="00A507E9" w:rsidP="00DC0CBC" w:rsidRDefault="002B6A25">
              <w:pPr>
                <w:rPr>
                  <w:szCs w:val="22"/>
                  <w:u w:val="single"/>
                </w:rPr>
              </w:pPr>
            </w:p>
            <w:p w:rsidRPr="00D25510" w:rsidR="00E81EB1" w:rsidP="00DC0CBC" w:rsidRDefault="0071053D">
              <w:pPr>
                <w:rPr>
                  <w:szCs w:val="22"/>
                </w:rPr>
              </w:pPr>
              <w:r>
                <w:rPr>
                  <w:szCs w:val="22"/>
                </w:rPr>
                <w:t>f.</w:t>
              </w:r>
              <w:r>
                <w:rPr>
                  <w:szCs w:val="22"/>
                </w:rPr>
                <w:tab/>
              </w:r>
              <w:r w:rsidRPr="00D25510">
                <w:rPr>
                  <w:szCs w:val="22"/>
                </w:rPr>
                <w:t xml:space="preserve">Artikel 9 van de richtlijn bepaalt </w:t>
              </w:r>
              <w:r>
                <w:rPr>
                  <w:szCs w:val="22"/>
                </w:rPr>
                <w:t xml:space="preserve">– </w:t>
              </w:r>
              <w:r w:rsidRPr="00D25510">
                <w:rPr>
                  <w:szCs w:val="22"/>
                </w:rPr>
                <w:t>voor zover relevant</w:t>
              </w:r>
              <w:r>
                <w:rPr>
                  <w:szCs w:val="22"/>
                </w:rPr>
                <w:t xml:space="preserve"> –</w:t>
              </w:r>
              <w:r w:rsidRPr="00D25510">
                <w:rPr>
                  <w:szCs w:val="22"/>
                </w:rPr>
                <w:t xml:space="preserve"> dat de uitvoerende autoriteit het bevel erkent zonder verdere formaliteiten en zorgt voor tenuitvoerlegging op dezelfde wijze en onder dezelfde voorwaarden als ware de betrokken de onderzoeksmaatregel bevolen door een autoriteit van de uitvoerende staat. </w:t>
              </w:r>
              <w:r>
                <w:rPr>
                  <w:szCs w:val="22"/>
                </w:rPr>
                <w:t xml:space="preserve">Zoals opgemerkt kent de </w:t>
              </w:r>
              <w:r w:rsidRPr="00D25510">
                <w:rPr>
                  <w:szCs w:val="22"/>
                </w:rPr>
                <w:t>richtlijn tevens</w:t>
              </w:r>
              <w:r>
                <w:rPr>
                  <w:szCs w:val="22"/>
                </w:rPr>
                <w:t xml:space="preserve"> </w:t>
              </w:r>
              <w:r w:rsidRPr="00D25510">
                <w:rPr>
                  <w:szCs w:val="22"/>
                </w:rPr>
                <w:t xml:space="preserve">als uitgangspunt dat bij de uitvoering van het EOB de door de uitvaardigende autoriteit aangegeven vormvoorschriften en procedures in acht worden genomen, tenzij dit strijd oplevert met de grondbeginselen van het Nederlands recht. </w:t>
              </w:r>
            </w:p>
            <w:p w:rsidR="00E81EB1" w:rsidP="00DC0CBC" w:rsidRDefault="0071053D">
              <w:pPr>
                <w:rPr>
                  <w:szCs w:val="22"/>
                </w:rPr>
              </w:pPr>
              <w:r w:rsidRPr="00D25510">
                <w:rPr>
                  <w:szCs w:val="22"/>
                </w:rPr>
                <w:t xml:space="preserve">In de toelichting wordt in dit verband gesteld dat </w:t>
              </w:r>
              <w:r>
                <w:rPr>
                  <w:szCs w:val="22"/>
                </w:rPr>
                <w:t>“</w:t>
              </w:r>
              <w:r w:rsidRPr="00D25510">
                <w:rPr>
                  <w:szCs w:val="22"/>
                </w:rPr>
                <w:t>het vanzelfsprekend van groot belang is dat de wijze waarop uitvoering wordt gegeven aan het EOB aansluit op de behoeften van de buitenlandse strafvorderlijke onderzoek en dat de uitvaardigende staat de wens kan hebben dat vertegenwoordigers bij de uitvoering aanwezig zijn</w:t>
              </w:r>
              <w:r>
                <w:rPr>
                  <w:szCs w:val="22"/>
                </w:rPr>
                <w:t>”</w:t>
              </w:r>
              <w:r w:rsidRPr="00D25510">
                <w:rPr>
                  <w:szCs w:val="22"/>
                </w:rPr>
                <w:t>.</w:t>
              </w:r>
              <w:r>
                <w:rPr>
                  <w:rStyle w:val="FootnoteReference"/>
                  <w:szCs w:val="22"/>
                </w:rPr>
                <w:footnoteReference w:id="36"/>
              </w:r>
              <w:r w:rsidRPr="00D25510">
                <w:rPr>
                  <w:szCs w:val="22"/>
                </w:rPr>
                <w:t xml:space="preserve"> </w:t>
              </w:r>
            </w:p>
            <w:p w:rsidRPr="00D25510" w:rsidR="00A507E9" w:rsidP="00DC0CBC" w:rsidRDefault="0071053D">
              <w:pPr>
                <w:rPr>
                  <w:szCs w:val="22"/>
                </w:rPr>
              </w:pPr>
              <w:r>
                <w:rPr>
                  <w:szCs w:val="22"/>
                </w:rPr>
                <w:t xml:space="preserve">De Afdeling acht niet duidelijk welke Nederlandse en buitenlandse procedures in een concreet geval van toepassing zijn. </w:t>
              </w:r>
              <w:r w:rsidRPr="00D25510">
                <w:rPr>
                  <w:szCs w:val="22"/>
                </w:rPr>
                <w:t>In de implementatiewet Europees bewijsverkrijgingsbevel is dezelfde regeling opgenomen. Naar aanleiding van vragen in de Eerste Kamer op dit punt stelde de minister</w:t>
              </w:r>
              <w:r>
                <w:rPr>
                  <w:rStyle w:val="FootnoteReference"/>
                  <w:szCs w:val="22"/>
                </w:rPr>
                <w:footnoteReference w:id="37"/>
              </w:r>
              <w:r w:rsidRPr="00D25510">
                <w:rPr>
                  <w:szCs w:val="22"/>
                </w:rPr>
                <w:t xml:space="preserve">: </w:t>
              </w:r>
            </w:p>
            <w:p w:rsidRPr="00D25510" w:rsidR="00E81EB1" w:rsidP="00DC0CBC" w:rsidRDefault="0071053D">
              <w:pPr>
                <w:rPr>
                  <w:szCs w:val="22"/>
                </w:rPr>
              </w:pPr>
              <w:r w:rsidRPr="00D25510">
                <w:rPr>
                  <w:szCs w:val="22"/>
                </w:rPr>
                <w:t xml:space="preserve"> </w:t>
              </w:r>
            </w:p>
            <w:p w:rsidRPr="00D25510" w:rsidR="00E81EB1" w:rsidP="00DC0CBC" w:rsidRDefault="0071053D">
              <w:pPr>
                <w:rPr>
                  <w:szCs w:val="22"/>
                </w:rPr>
              </w:pPr>
              <w:r w:rsidRPr="00D25510">
                <w:rPr>
                  <w:szCs w:val="22"/>
                </w:rPr>
                <w:t>“Zoals ik in het voorgaande heb aangegeven, zal een EBB in Nederland worden uitgevoerd overeenkomstig het Nederlands strafprocesrecht. Nederlandse bepalingen zoals de cautieplicht blijven volledig van kracht. De vormvoorschriften die in artikel 12 van het kaderbesluit worden genoemd, moeten worden gezien als aanvulling op de Ne</w:t>
              </w:r>
              <w:r>
                <w:rPr>
                  <w:szCs w:val="22"/>
                </w:rPr>
                <w:t xml:space="preserve">derlandse regels. </w:t>
              </w:r>
              <w:r w:rsidRPr="00D25510">
                <w:rPr>
                  <w:szCs w:val="22"/>
                </w:rPr>
                <w:t>De achterliggende gedachte bij de bepaling is de volgende. Wanneer een lidstaat een andere lidstaat vraagt om bijstand te verlenen bij het vergaren van bewijsmateriaal, is het van belang dat de vergaarde voorwerpen of informatie ook daadwerkelijk als bewijs kunnen worden toegelaten in de strafzaak in de uitvaardigende lidstaat. Voor sommige lidstaten geldt dat het nationale strafprocesrecht vereist dat bepaalde procedures worden gevolgd bij het vergaren van bewijs, ook wanneer dit</w:t>
              </w:r>
              <w:r>
                <w:rPr>
                  <w:szCs w:val="22"/>
                </w:rPr>
                <w:t xml:space="preserve"> in</w:t>
              </w:r>
              <w:r w:rsidRPr="00D25510">
                <w:rPr>
                  <w:szCs w:val="22"/>
                </w:rPr>
                <w:t xml:space="preserve"> het buitenland geschiedt. Veelal gaat het hierbij om eisen die juist in het belang van de verdachte zijn. Bekende voorbeelden die in het kader van het EBB kunnen spelen zijn de eis dat de raadsman van verdachte bij een doorzoeking aanwezig is. Een ander voorbeeld betreft de eis van het documenteren van de bewijsketen («chain of evidence»), zodat de rechter kan nagaan hoe is omgegaan met het bewijsmateriaal vanaf het moment dat het is in beslag genomen tot de terechtzitting. Ten slotte kan als voorbeeld worden genoemd de aanwezigheid van een opsporingsambtenaar van de uitvaardigende lidstaat bij het verrichten van bepaalde onderzoekshandelingen. Deze kan vervolgens zo nodig in de strafzaak in de uitvaardigende lidstaat uit eigen waarneming verklaren over de uitvoering van het EBB. Het naleven van deze vormvereisten en procedures beoogt te voorkomen dat de inspanningen van de uitvoerende lidstaat achteraf zinloos blijken te zijn geweest omdat de rechter vanwege het niet naleven van bepaalde vormvereisten het bewijs buiten beschouwing laat. Door reeds in het bevel aan te geven dat bepaalde vormvoorschriften in acht moeten worden genomen, kan de uitvoerende lidstaat hiermee rekening houden. Van een dreigende inbreuk op het beginsel van rechtszekerheid is in de genoemde gevallen naar mijn oordeel geen sprake.”</w:t>
              </w:r>
            </w:p>
            <w:p w:rsidRPr="00D25510" w:rsidR="00A507E9" w:rsidP="00DC0CBC" w:rsidRDefault="002B6A25">
              <w:pPr>
                <w:rPr>
                  <w:szCs w:val="22"/>
                </w:rPr>
              </w:pPr>
            </w:p>
            <w:p w:rsidRPr="00F11524" w:rsidR="00891BB0" w:rsidP="00DC0CBC" w:rsidRDefault="0071053D">
              <w:pPr>
                <w:rPr>
                  <w:szCs w:val="22"/>
                </w:rPr>
              </w:pPr>
              <w:r>
                <w:rPr>
                  <w:szCs w:val="22"/>
                </w:rPr>
                <w:t>Gelet op het belang voor de praktijk adviseert de Afdeling in de toelichting bij het voorliggend wetsvoorstel een passage met bovenstaande strekking op te nemen.</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71053D">
              <w:r>
                <w:t>6.</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AF7A69" w:rsidRDefault="0071053D">
              <w:r>
                <w:t>De Afdeling advisering van de Raad van State geeft U in overweging het voorstel van wet te zenden aan de Tweede Kamer der Staten-Generaal, nadat met het vorenstaande rekening zal zijn gehouden.</w:t>
              </w:r>
              <w:r>
                <w:br/>
              </w:r>
              <w:r>
                <w:br/>
              </w:r>
              <w:r>
                <w:br/>
                <w:t>De waarnemend vice-president van de Raad van State,</w:t>
              </w:r>
              <w:r>
                <w:br/>
              </w:r>
              <w:r>
                <w:br/>
                <w:t>(get.) Wiebenga</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W03.16.0055</w:t>
              </w:r>
            </w:sdtContent>
          </w:sdt>
          <w:r w:rsidRPr="00831363">
            <w:t>/</w:t>
          </w:r>
          <w:sdt>
            <w:sdtPr>
              <w:alias w:val="Sectie"/>
              <w:tag w:val="Sectie"/>
              <w:id w:val="743463611"/>
              <w:lock w:val="sdtContentLocked"/>
              <w:placeholder>
                <w:docPart w:val="D10883FDE47A4B5184FB25F7A2C50263"/>
              </w:placeholder>
              <w:text/>
            </w:sdtPr>
            <w:sdtEndPr/>
            <w:sdtContent>
              <w:r>
                <w:t>II</w:t>
              </w:r>
            </w:sdtContent>
          </w:sdt>
        </w:p>
        <w:p w:rsidRPr="00831363" w:rsidR="001410FD" w:rsidRDefault="001410FD"/>
        <w:sdt>
          <w:sdtPr>
            <w:alias w:val="VrijeTekst3"/>
            <w:tag w:val="VrijeTekst3"/>
            <w:id w:val="2141764690"/>
            <w:lock w:val="sdtLocked"/>
          </w:sdtPr>
          <w:sdtEndPr>
            <w:rPr>
              <w:b/>
            </w:rPr>
          </w:sdtEndPr>
          <w:sdtContent>
            <w:p w:rsidR="00D85538" w:rsidP="00F11524" w:rsidRDefault="0071053D">
              <w:pPr>
                <w:rPr>
                  <w:rFonts w:eastAsia="Calibri"/>
                  <w:b/>
                  <w:szCs w:val="22"/>
                  <w:lang w:eastAsia="en-US"/>
                </w:rPr>
              </w:pPr>
              <w:r w:rsidRPr="00DC0CBC">
                <w:rPr>
                  <w:rFonts w:eastAsia="Calibri"/>
                  <w:b/>
                  <w:szCs w:val="22"/>
                  <w:lang w:eastAsia="en-US"/>
                </w:rPr>
                <w:t>Onvolledige implementatie</w:t>
              </w:r>
              <w:r>
                <w:rPr>
                  <w:rFonts w:eastAsia="Calibri"/>
                  <w:b/>
                  <w:szCs w:val="22"/>
                  <w:lang w:eastAsia="en-US"/>
                </w:rPr>
                <w:t xml:space="preserve"> </w:t>
              </w:r>
            </w:p>
            <w:p w:rsidRPr="00DC0CBC" w:rsidR="00D85538" w:rsidP="00057301" w:rsidRDefault="0071053D">
              <w:pPr>
                <w:numPr>
                  <w:ilvl w:val="0"/>
                  <w:numId w:val="1"/>
                </w:numPr>
                <w:rPr>
                  <w:rFonts w:eastAsia="Calibri"/>
                  <w:b/>
                  <w:szCs w:val="22"/>
                  <w:lang w:eastAsia="en-US"/>
                </w:rPr>
              </w:pPr>
              <w:r w:rsidRPr="00DC0CBC">
                <w:rPr>
                  <w:rFonts w:eastAsia="Calibri"/>
                  <w:szCs w:val="22"/>
                  <w:lang w:eastAsia="en-US"/>
                </w:rPr>
                <w:t>Artikel 1, tweede lid, van de richtlijn bevat het uitgangspunt dat de lidstaten zich verbinden om overeenkomstig het beginsel van wederzijdse erkenning een EOB ten uitvoer te leggen. Volgens de transponeringstabel behoeft dit geen implementatie omdat het uit de inhoud van de regeling volgt. Voor een beter begrip van dit uitgangspunt van de</w:t>
              </w:r>
              <w:r>
                <w:rPr>
                  <w:rFonts w:eastAsia="Calibri"/>
                  <w:szCs w:val="22"/>
                  <w:lang w:eastAsia="en-US"/>
                </w:rPr>
                <w:t xml:space="preserve"> </w:t>
              </w:r>
              <w:r w:rsidRPr="00DC0CBC">
                <w:rPr>
                  <w:rFonts w:eastAsia="Calibri"/>
                  <w:szCs w:val="22"/>
                  <w:lang w:eastAsia="en-US"/>
                </w:rPr>
                <w:t xml:space="preserve">regeling is het echter wenselijk om artikel 1, tweede lid, uitdrukkelijk in de wet op te nemen. </w:t>
              </w:r>
            </w:p>
            <w:p w:rsidRPr="00DC0CBC" w:rsidR="00D85538" w:rsidP="00057301" w:rsidRDefault="0071053D">
              <w:pPr>
                <w:numPr>
                  <w:ilvl w:val="0"/>
                  <w:numId w:val="1"/>
                </w:numPr>
                <w:rPr>
                  <w:rFonts w:eastAsia="Calibri"/>
                  <w:b/>
                  <w:szCs w:val="22"/>
                  <w:lang w:eastAsia="en-US"/>
                </w:rPr>
              </w:pPr>
              <w:r w:rsidRPr="00DC0CBC">
                <w:rPr>
                  <w:rFonts w:eastAsia="Calibri"/>
                  <w:szCs w:val="22"/>
                  <w:lang w:eastAsia="en-US"/>
                </w:rPr>
                <w:t>Artikel 6, derde lid, van de richtlijn, de zinsnede “Na dat overleg kan de uitvaardigende autoriteit besluiten het EOB in te trekken.” is niet geïmplementeerd in artikel</w:t>
              </w:r>
              <w:r>
                <w:rPr>
                  <w:rFonts w:eastAsia="Calibri"/>
                  <w:szCs w:val="22"/>
                  <w:lang w:eastAsia="en-US"/>
                </w:rPr>
                <w:t xml:space="preserve"> </w:t>
              </w:r>
              <w:r w:rsidRPr="00DC0CBC">
                <w:rPr>
                  <w:rFonts w:eastAsia="Calibri"/>
                  <w:szCs w:val="22"/>
                  <w:lang w:eastAsia="en-US"/>
                </w:rPr>
                <w:t>5.4</w:t>
              </w:r>
              <w:r>
                <w:rPr>
                  <w:rFonts w:eastAsia="Calibri"/>
                  <w:szCs w:val="22"/>
                  <w:lang w:eastAsia="en-US"/>
                </w:rPr>
                <w:t>.</w:t>
              </w:r>
              <w:r w:rsidRPr="00DC0CBC">
                <w:rPr>
                  <w:rFonts w:eastAsia="Calibri"/>
                  <w:szCs w:val="22"/>
                  <w:lang w:eastAsia="en-US"/>
                </w:rPr>
                <w:t xml:space="preserve">3, vijfde lid. </w:t>
              </w:r>
            </w:p>
            <w:p w:rsidRPr="00DC0CBC" w:rsidR="00D85538" w:rsidP="00057301" w:rsidRDefault="0071053D">
              <w:pPr>
                <w:numPr>
                  <w:ilvl w:val="0"/>
                  <w:numId w:val="1"/>
                </w:numPr>
                <w:rPr>
                  <w:rFonts w:eastAsia="Calibri"/>
                  <w:b/>
                  <w:szCs w:val="22"/>
                  <w:lang w:eastAsia="en-US"/>
                </w:rPr>
              </w:pPr>
              <w:r w:rsidRPr="00DC0CBC">
                <w:rPr>
                  <w:rFonts w:eastAsia="Calibri"/>
                  <w:szCs w:val="22"/>
                  <w:lang w:eastAsia="en-US"/>
                </w:rPr>
                <w:t xml:space="preserve">Artikel 9, vijfde lid, van de richtlijn de zinsnede “en met de desbetreffende afspraken tussen de uitvaardigende </w:t>
              </w:r>
              <w:r>
                <w:rPr>
                  <w:rFonts w:eastAsia="Calibri"/>
                  <w:szCs w:val="22"/>
                  <w:lang w:eastAsia="en-US"/>
                </w:rPr>
                <w:t xml:space="preserve">autoriteit </w:t>
              </w:r>
              <w:r w:rsidRPr="00DC0CBC">
                <w:rPr>
                  <w:rFonts w:eastAsia="Calibri"/>
                  <w:szCs w:val="22"/>
                  <w:lang w:eastAsia="en-US"/>
                </w:rPr>
                <w:t xml:space="preserve">en </w:t>
              </w:r>
              <w:r>
                <w:rPr>
                  <w:rFonts w:eastAsia="Calibri"/>
                  <w:szCs w:val="22"/>
                  <w:lang w:eastAsia="en-US"/>
                </w:rPr>
                <w:t xml:space="preserve">de </w:t>
              </w:r>
              <w:r w:rsidRPr="00DC0CBC">
                <w:rPr>
                  <w:rFonts w:eastAsia="Calibri"/>
                  <w:szCs w:val="22"/>
                  <w:lang w:eastAsia="en-US"/>
                </w:rPr>
                <w:t>uitvoerende autoriteit.” is niet geïmplementeerd in artikel 5.4.5, vijfde lid.</w:t>
              </w:r>
              <w:r>
                <w:rPr>
                  <w:rFonts w:eastAsia="Calibri"/>
                  <w:szCs w:val="22"/>
                  <w:lang w:eastAsia="en-US"/>
                </w:rPr>
                <w:t xml:space="preserve"> </w:t>
              </w:r>
            </w:p>
            <w:p w:rsidRPr="00DC0CBC" w:rsidR="00D85538" w:rsidP="00057301" w:rsidRDefault="0071053D">
              <w:pPr>
                <w:numPr>
                  <w:ilvl w:val="0"/>
                  <w:numId w:val="1"/>
                </w:numPr>
                <w:rPr>
                  <w:rFonts w:eastAsia="Calibri"/>
                  <w:b/>
                  <w:szCs w:val="22"/>
                  <w:lang w:eastAsia="en-US"/>
                </w:rPr>
              </w:pPr>
              <w:r w:rsidRPr="00DC0CBC">
                <w:rPr>
                  <w:rFonts w:eastAsia="Calibri"/>
                  <w:szCs w:val="22"/>
                  <w:lang w:eastAsia="en-US"/>
                </w:rPr>
                <w:t xml:space="preserve">Artikel 12, eerste lid, van de richtlijn, de zinsnede “met dezelfde snelheid en prioriteit als ware het een vergelijkbare binnenlandse zaak” is niet uitdrukkelijk geïmplementeerd in artikel 5.4.5, eerste lid. </w:t>
              </w:r>
            </w:p>
            <w:p w:rsidRPr="00DC0CBC" w:rsidR="00D85538" w:rsidP="00057301" w:rsidRDefault="0071053D">
              <w:pPr>
                <w:numPr>
                  <w:ilvl w:val="0"/>
                  <w:numId w:val="1"/>
                </w:numPr>
                <w:rPr>
                  <w:rFonts w:eastAsia="Calibri"/>
                  <w:b/>
                  <w:szCs w:val="22"/>
                  <w:lang w:eastAsia="en-US"/>
                </w:rPr>
              </w:pPr>
              <w:r w:rsidRPr="00DC0CBC">
                <w:rPr>
                  <w:rFonts w:eastAsia="Calibri"/>
                  <w:szCs w:val="22"/>
                  <w:lang w:eastAsia="en-US"/>
                </w:rPr>
                <w:t>Artikel 12, vijfde lid, van de richtlijn, de zinsnede “of de in lid 2 genoemde specifieke datum” is niet geïmplementeerd in artikel 5.4.2, vijfde lid, of artikel 5.4.6, eerste lid.</w:t>
              </w:r>
              <w:r>
                <w:rPr>
                  <w:rFonts w:eastAsia="Calibri"/>
                  <w:szCs w:val="22"/>
                  <w:lang w:eastAsia="en-US"/>
                </w:rPr>
                <w:t xml:space="preserve"> </w:t>
              </w:r>
            </w:p>
            <w:p w:rsidRPr="00DC0CBC" w:rsidR="00D85538" w:rsidP="00057301" w:rsidRDefault="0071053D">
              <w:pPr>
                <w:numPr>
                  <w:ilvl w:val="0"/>
                  <w:numId w:val="1"/>
                </w:numPr>
                <w:rPr>
                  <w:rFonts w:eastAsia="Calibri"/>
                  <w:b/>
                  <w:szCs w:val="22"/>
                  <w:lang w:eastAsia="en-US"/>
                </w:rPr>
              </w:pPr>
              <w:r w:rsidRPr="00DC0CBC">
                <w:rPr>
                  <w:rFonts w:eastAsia="Calibri"/>
                  <w:szCs w:val="22"/>
                  <w:lang w:eastAsia="en-US"/>
                </w:rPr>
                <w:t xml:space="preserve">Artikel 13, eerste lid, van de richtlijn de zinsnede “of het bewijsmateriaal dat reeds in het bezit is van de bevoegde instanties van de uitvoerende staat” is </w:t>
              </w:r>
              <w:r w:rsidRPr="00D85538">
                <w:rPr>
                  <w:rFonts w:eastAsia="Calibri"/>
                  <w:szCs w:val="22"/>
                  <w:lang w:eastAsia="en-US"/>
                </w:rPr>
                <w:t>niet geïmplementeerd in artikel</w:t>
              </w:r>
              <w:r w:rsidRPr="00DC0CBC">
                <w:rPr>
                  <w:rFonts w:eastAsia="Calibri"/>
                  <w:szCs w:val="22"/>
                  <w:lang w:eastAsia="en-US"/>
                </w:rPr>
                <w:t xml:space="preserve"> 5.4</w:t>
              </w:r>
              <w:r>
                <w:rPr>
                  <w:rFonts w:eastAsia="Calibri"/>
                  <w:szCs w:val="22"/>
                  <w:lang w:eastAsia="en-US"/>
                </w:rPr>
                <w:t>.</w:t>
              </w:r>
              <w:r w:rsidRPr="00DC0CBC">
                <w:rPr>
                  <w:rFonts w:eastAsia="Calibri"/>
                  <w:szCs w:val="22"/>
                  <w:lang w:eastAsia="en-US"/>
                </w:rPr>
                <w:t>9, eerste lid</w:t>
              </w:r>
              <w:r>
                <w:rPr>
                  <w:rFonts w:eastAsia="Calibri"/>
                  <w:szCs w:val="22"/>
                  <w:lang w:eastAsia="en-US"/>
                </w:rPr>
                <w:t>,</w:t>
              </w:r>
              <w:r w:rsidRPr="00DC0CBC">
                <w:rPr>
                  <w:rFonts w:eastAsia="Calibri"/>
                  <w:szCs w:val="22"/>
                  <w:lang w:eastAsia="en-US"/>
                </w:rPr>
                <w:t xml:space="preserve"> of artikel 5.4.8, tweede lid.</w:t>
              </w:r>
              <w:r>
                <w:rPr>
                  <w:rFonts w:eastAsia="Calibri"/>
                  <w:szCs w:val="22"/>
                  <w:lang w:eastAsia="en-US"/>
                </w:rPr>
                <w:t xml:space="preserve"> </w:t>
              </w:r>
            </w:p>
            <w:p w:rsidRPr="00DC0CBC" w:rsidR="00D85538" w:rsidP="00057301" w:rsidRDefault="0071053D">
              <w:pPr>
                <w:numPr>
                  <w:ilvl w:val="0"/>
                  <w:numId w:val="1"/>
                </w:numPr>
                <w:rPr>
                  <w:rFonts w:eastAsia="Calibri"/>
                  <w:b/>
                  <w:szCs w:val="22"/>
                  <w:lang w:eastAsia="en-US"/>
                </w:rPr>
              </w:pPr>
              <w:r w:rsidRPr="00DC0CBC">
                <w:rPr>
                  <w:rFonts w:eastAsia="Calibri"/>
                  <w:szCs w:val="22"/>
                  <w:lang w:eastAsia="en-US"/>
                </w:rPr>
                <w:t xml:space="preserve">Artikel 13, vierde lid, van de richtlijn, de </w:t>
              </w:r>
              <w:r w:rsidRPr="0065022E">
                <w:rPr>
                  <w:rFonts w:eastAsia="Calibri"/>
                  <w:szCs w:val="22"/>
                  <w:lang w:eastAsia="en-US"/>
                </w:rPr>
                <w:t>zinsnede</w:t>
              </w:r>
              <w:r w:rsidRPr="00DC0CBC">
                <w:rPr>
                  <w:rFonts w:eastAsia="Calibri"/>
                  <w:szCs w:val="22"/>
                  <w:lang w:eastAsia="en-US"/>
                </w:rPr>
                <w:t xml:space="preserve"> “dan wel op een ander tijdst</w:t>
              </w:r>
              <w:r>
                <w:rPr>
                  <w:rFonts w:eastAsia="Calibri"/>
                  <w:szCs w:val="22"/>
                  <w:lang w:eastAsia="en-US"/>
                </w:rPr>
                <w:t>i</w:t>
              </w:r>
              <w:r w:rsidRPr="00DC0CBC">
                <w:rPr>
                  <w:rFonts w:eastAsia="Calibri"/>
                  <w:szCs w:val="22"/>
                  <w:lang w:eastAsia="en-US"/>
                </w:rPr>
                <w:t>p of bij een andere gelegenheid, zoals overeengekomen tussen de bevoegde autoriteiten” is niet geïmplementeerd in artikel</w:t>
              </w:r>
              <w:r>
                <w:rPr>
                  <w:rFonts w:eastAsia="Calibri"/>
                  <w:szCs w:val="22"/>
                  <w:lang w:eastAsia="en-US"/>
                </w:rPr>
                <w:t xml:space="preserve"> </w:t>
              </w:r>
              <w:r w:rsidRPr="00DC0CBC">
                <w:rPr>
                  <w:rFonts w:eastAsia="Calibri"/>
                  <w:szCs w:val="22"/>
                  <w:lang w:eastAsia="en-US"/>
                </w:rPr>
                <w:t xml:space="preserve">5.4.9, vierde lid. </w:t>
              </w:r>
            </w:p>
            <w:p w:rsidRPr="00DC0CBC" w:rsidR="00D85538" w:rsidP="00057301" w:rsidRDefault="0071053D">
              <w:pPr>
                <w:numPr>
                  <w:ilvl w:val="0"/>
                  <w:numId w:val="1"/>
                </w:numPr>
                <w:rPr>
                  <w:rFonts w:eastAsia="Calibri"/>
                  <w:b/>
                  <w:szCs w:val="22"/>
                  <w:lang w:eastAsia="en-US"/>
                </w:rPr>
              </w:pPr>
              <w:r w:rsidRPr="00DC0CBC">
                <w:rPr>
                  <w:rFonts w:eastAsia="Calibri"/>
                  <w:szCs w:val="22"/>
                  <w:lang w:eastAsia="en-US"/>
                </w:rPr>
                <w:t>Artikel 16, tweede lid, onderdeel b, van de richtlijn bepaalt onder meer dat de uitvoerende autoriteit onverwijld bericht geeft</w:t>
              </w:r>
              <w:r>
                <w:rPr>
                  <w:rFonts w:eastAsia="Calibri"/>
                  <w:szCs w:val="22"/>
                  <w:lang w:eastAsia="en-US"/>
                </w:rPr>
                <w:t xml:space="preserve"> </w:t>
              </w:r>
              <w:r w:rsidRPr="00DC0CBC">
                <w:rPr>
                  <w:rFonts w:eastAsia="Calibri"/>
                  <w:szCs w:val="22"/>
                  <w:lang w:eastAsia="en-US"/>
                </w:rPr>
                <w:t>aan de uitvaardigende autoriteit</w:t>
              </w:r>
              <w:r>
                <w:rPr>
                  <w:rFonts w:eastAsia="Calibri"/>
                  <w:szCs w:val="22"/>
                  <w:lang w:eastAsia="en-US"/>
                </w:rPr>
                <w:t xml:space="preserve"> </w:t>
              </w:r>
              <w:r w:rsidRPr="00DC0CBC">
                <w:rPr>
                  <w:rFonts w:eastAsia="Calibri"/>
                  <w:szCs w:val="22"/>
                  <w:lang w:eastAsia="en-US"/>
                </w:rPr>
                <w:t xml:space="preserve">indien de uitvoerende autoriteit het tijdens de tenuitvoerlegging van het EOB zonder verdere navraag passend acht om onderzoeksmaatregelen uit te voeren waarin oorspronkelijk niet was voorzien. Deze berichtgeving is niet geïmplementeerd in de transponeringstabel vermelde voorgestelde bepalingen. </w:t>
              </w:r>
            </w:p>
            <w:p w:rsidRPr="00DC0CBC" w:rsidR="00D85538" w:rsidP="00057301" w:rsidRDefault="0071053D">
              <w:pPr>
                <w:numPr>
                  <w:ilvl w:val="0"/>
                  <w:numId w:val="1"/>
                </w:numPr>
                <w:rPr>
                  <w:rFonts w:eastAsia="Calibri"/>
                  <w:b/>
                  <w:szCs w:val="22"/>
                  <w:lang w:eastAsia="en-US"/>
                </w:rPr>
              </w:pPr>
              <w:r w:rsidRPr="00DC0CBC">
                <w:rPr>
                  <w:rFonts w:eastAsia="Calibri"/>
                  <w:szCs w:val="22"/>
                  <w:lang w:eastAsia="en-US"/>
                </w:rPr>
                <w:t>Artikel 26, eerste en tweede lid, van de richtlijn bevatten de verplichting voor iedere lidstaat</w:t>
              </w:r>
              <w:r>
                <w:rPr>
                  <w:rFonts w:eastAsia="Calibri"/>
                  <w:szCs w:val="22"/>
                  <w:lang w:eastAsia="en-US"/>
                </w:rPr>
                <w:t xml:space="preserve"> </w:t>
              </w:r>
              <w:r w:rsidRPr="00DC0CBC">
                <w:rPr>
                  <w:rFonts w:eastAsia="Calibri"/>
                  <w:szCs w:val="22"/>
                  <w:lang w:eastAsia="en-US"/>
                </w:rPr>
                <w:t xml:space="preserve">om de gegevens te kunnen verstrekken om vast te stellen of een natuurlijk persoon of rechtspersoon tegen wie een </w:t>
              </w:r>
              <w:r w:rsidRPr="00DC0CBC">
                <w:rPr>
                  <w:rFonts w:eastAsia="Calibri"/>
                  <w:i/>
                  <w:szCs w:val="22"/>
                  <w:lang w:eastAsia="en-US"/>
                </w:rPr>
                <w:t>strafprocedure</w:t>
              </w:r>
              <w:r w:rsidRPr="00DC0CBC">
                <w:rPr>
                  <w:rFonts w:eastAsia="Calibri"/>
                  <w:szCs w:val="22"/>
                  <w:lang w:eastAsia="en-US"/>
                </w:rPr>
                <w:t xml:space="preserve"> loopt een of meer rekeningen van</w:t>
              </w:r>
              <w:r>
                <w:rPr>
                  <w:rFonts w:eastAsia="Calibri"/>
                  <w:szCs w:val="22"/>
                  <w:lang w:eastAsia="en-US"/>
                </w:rPr>
                <w:t xml:space="preserve"> </w:t>
              </w:r>
              <w:r w:rsidRPr="00DC0CBC">
                <w:rPr>
                  <w:rFonts w:eastAsia="Calibri"/>
                  <w:szCs w:val="22"/>
                  <w:lang w:eastAsia="en-US"/>
                </w:rPr>
                <w:t>om het even welke aard,</w:t>
              </w:r>
              <w:r>
                <w:rPr>
                  <w:rFonts w:eastAsia="Calibri"/>
                  <w:szCs w:val="22"/>
                  <w:lang w:eastAsia="en-US"/>
                </w:rPr>
                <w:t xml:space="preserve"> </w:t>
              </w:r>
              <w:r w:rsidRPr="00DC0CBC">
                <w:rPr>
                  <w:rFonts w:eastAsia="Calibri"/>
                  <w:szCs w:val="22"/>
                  <w:lang w:eastAsia="en-US"/>
                </w:rPr>
                <w:t>bezit of controleert bij enige bank op het grondgebied van de uitvoerende staat. In de transponeringstabel bij dit artikel wordt verwezen</w:t>
              </w:r>
              <w:r>
                <w:rPr>
                  <w:rFonts w:eastAsia="Calibri"/>
                  <w:szCs w:val="22"/>
                  <w:lang w:eastAsia="en-US"/>
                </w:rPr>
                <w:t xml:space="preserve"> </w:t>
              </w:r>
              <w:r w:rsidRPr="00DC0CBC">
                <w:rPr>
                  <w:rFonts w:eastAsia="Calibri"/>
                  <w:szCs w:val="22"/>
                  <w:lang w:eastAsia="en-US"/>
                </w:rPr>
                <w:t xml:space="preserve">naar het geldende artikel 126nc Sv, dat ziet op het vorderen van gegevens in geval van verdenking van een </w:t>
              </w:r>
              <w:r w:rsidRPr="00DC0CBC">
                <w:rPr>
                  <w:rFonts w:eastAsia="Calibri"/>
                  <w:i/>
                  <w:szCs w:val="22"/>
                  <w:lang w:eastAsia="en-US"/>
                </w:rPr>
                <w:t>misdrijf</w:t>
              </w:r>
              <w:r w:rsidRPr="00DC0CBC">
                <w:rPr>
                  <w:rFonts w:eastAsia="Calibri"/>
                  <w:szCs w:val="22"/>
                  <w:lang w:eastAsia="en-US"/>
                </w:rPr>
                <w:t xml:space="preserve">. Deze beperking tot misdrijven lijkt te streng gelet op de eis van een </w:t>
              </w:r>
              <w:r w:rsidRPr="00DC0CBC">
                <w:rPr>
                  <w:rFonts w:eastAsia="Calibri"/>
                  <w:i/>
                  <w:szCs w:val="22"/>
                  <w:lang w:eastAsia="en-US"/>
                </w:rPr>
                <w:t>strafprocedure</w:t>
              </w:r>
              <w:r>
                <w:rPr>
                  <w:rFonts w:eastAsia="Calibri"/>
                  <w:szCs w:val="22"/>
                  <w:lang w:eastAsia="en-US"/>
                </w:rPr>
                <w:t xml:space="preserve"> waaronder ook overtredingen kunnen vallen. </w:t>
              </w:r>
            </w:p>
            <w:p w:rsidR="00057301" w:rsidP="00057301" w:rsidRDefault="002B6A25">
              <w:pPr>
                <w:ind w:left="737"/>
                <w:rPr>
                  <w:rFonts w:eastAsia="Calibri"/>
                  <w:b/>
                  <w:szCs w:val="22"/>
                  <w:lang w:eastAsia="en-US"/>
                </w:rPr>
              </w:pPr>
            </w:p>
            <w:p w:rsidRPr="00DC0CBC" w:rsidR="00795441" w:rsidP="00057301" w:rsidRDefault="0071053D">
              <w:pPr>
                <w:ind w:left="737"/>
                <w:rPr>
                  <w:rFonts w:eastAsia="Calibri"/>
                  <w:b/>
                  <w:szCs w:val="22"/>
                  <w:lang w:eastAsia="en-US"/>
                </w:rPr>
              </w:pPr>
              <w:r>
                <w:rPr>
                  <w:rFonts w:eastAsia="Calibri"/>
                  <w:b/>
                  <w:szCs w:val="22"/>
                  <w:lang w:eastAsia="en-US"/>
                </w:rPr>
                <w:t>Overige w</w:t>
              </w:r>
              <w:r w:rsidRPr="00DC0CBC">
                <w:rPr>
                  <w:rFonts w:eastAsia="Calibri"/>
                  <w:b/>
                  <w:szCs w:val="22"/>
                  <w:lang w:eastAsia="en-US"/>
                </w:rPr>
                <w:t xml:space="preserve">etsvoorstel </w:t>
              </w:r>
            </w:p>
            <w:p w:rsidR="00795441" w:rsidP="00BE22F5" w:rsidRDefault="0071053D">
              <w:pPr>
                <w:numPr>
                  <w:ilvl w:val="0"/>
                  <w:numId w:val="1"/>
                </w:numPr>
                <w:rPr>
                  <w:rFonts w:eastAsia="Calibri"/>
                  <w:szCs w:val="22"/>
                  <w:lang w:eastAsia="en-US"/>
                </w:rPr>
              </w:pPr>
              <w:r>
                <w:rPr>
                  <w:rFonts w:eastAsia="Calibri"/>
                  <w:szCs w:val="22"/>
                  <w:lang w:eastAsia="en-US"/>
                </w:rPr>
                <w:t>Aan de titel Europees Onderzoeksbevel, alsmede in de artikelen waarin sprake is van “de lidstaten” steeds toevoegen: met uitzondering van Denemarken en Ierland (vgl. de implementatie van de richtlijn 2008/52/EG betreffende bepaalde aspecten van bemiddeling/mediation in burgerlijke en handelszaken). Vergelijk</w:t>
              </w:r>
              <w:r w:rsidRPr="00BE22F5">
                <w:rPr>
                  <w:rFonts w:eastAsia="Calibri"/>
                  <w:szCs w:val="22"/>
                  <w:lang w:eastAsia="en-US"/>
                </w:rPr>
                <w:t xml:space="preserve"> de eerste redactionele kanttekening in de bijlage bij het advies van de Afdeling over het wetsvoorstel implementatie richtlijn nr. 2008/52/EG betreffende bepaalde aspecten van bemiddeling/mediation in burgerlijke en handelszaken. Kamerstukken II 2011/12, 33 320, nr. 4, blz. 5, alsmede artikel 1 van die wet van 15 november 2012</w:t>
              </w:r>
              <w:r>
                <w:rPr>
                  <w:rFonts w:eastAsia="Calibri"/>
                  <w:szCs w:val="22"/>
                  <w:lang w:eastAsia="en-US"/>
                </w:rPr>
                <w:t>.</w:t>
              </w:r>
            </w:p>
            <w:p w:rsidRPr="00DC0CBC" w:rsidR="00D85538" w:rsidP="00057301" w:rsidRDefault="0071053D">
              <w:pPr>
                <w:numPr>
                  <w:ilvl w:val="0"/>
                  <w:numId w:val="1"/>
                </w:numPr>
                <w:rPr>
                  <w:rFonts w:eastAsia="Calibri"/>
                  <w:b/>
                  <w:szCs w:val="22"/>
                  <w:lang w:eastAsia="en-US"/>
                </w:rPr>
              </w:pPr>
              <w:r w:rsidRPr="00DC0CBC">
                <w:rPr>
                  <w:rFonts w:eastAsia="Calibri"/>
                  <w:szCs w:val="22"/>
                  <w:lang w:eastAsia="en-US"/>
                </w:rPr>
                <w:t>Artikel 5.4.3, tweede lid, “Het bevel dient te zijn opgesteld in de Nederlands of Engelse taal” wijzigen in: Het bevel is opgesteld in het Nederland</w:t>
              </w:r>
              <w:r>
                <w:rPr>
                  <w:rFonts w:eastAsia="Calibri"/>
                  <w:szCs w:val="22"/>
                  <w:lang w:eastAsia="en-US"/>
                </w:rPr>
                <w:t xml:space="preserve">s </w:t>
              </w:r>
              <w:r w:rsidRPr="00DC0CBC">
                <w:rPr>
                  <w:rFonts w:eastAsia="Calibri"/>
                  <w:szCs w:val="22"/>
                  <w:lang w:eastAsia="en-US"/>
                </w:rPr>
                <w:t>of Engels (Conform aanwijzing 53 van de aanwijzingen voor de regelgeving).</w:t>
              </w:r>
            </w:p>
            <w:p w:rsidRPr="00DC0CBC" w:rsidR="00D85538" w:rsidP="00057301" w:rsidRDefault="0071053D">
              <w:pPr>
                <w:numPr>
                  <w:ilvl w:val="0"/>
                  <w:numId w:val="1"/>
                </w:numPr>
                <w:rPr>
                  <w:rFonts w:eastAsia="Calibri"/>
                  <w:b/>
                  <w:szCs w:val="22"/>
                  <w:lang w:eastAsia="en-US"/>
                </w:rPr>
              </w:pPr>
              <w:r w:rsidRPr="00DC0CBC">
                <w:rPr>
                  <w:rFonts w:eastAsia="Calibri"/>
                  <w:szCs w:val="22"/>
                  <w:lang w:eastAsia="en-US"/>
                </w:rPr>
                <w:t>In artikel 5.4.3, derde lid, “buitenlandse autoriteit” wijzigen: uitvaardigende autoriteit.</w:t>
              </w:r>
            </w:p>
            <w:p w:rsidRPr="00DC0CBC" w:rsidR="00D85538" w:rsidP="00057301" w:rsidRDefault="0071053D">
              <w:pPr>
                <w:numPr>
                  <w:ilvl w:val="0"/>
                  <w:numId w:val="1"/>
                </w:numPr>
                <w:rPr>
                  <w:rFonts w:eastAsia="Calibri"/>
                  <w:b/>
                  <w:szCs w:val="22"/>
                  <w:lang w:eastAsia="en-US"/>
                </w:rPr>
              </w:pPr>
              <w:r w:rsidRPr="00DC0CBC">
                <w:rPr>
                  <w:rFonts w:eastAsia="Calibri"/>
                  <w:szCs w:val="22"/>
                  <w:lang w:eastAsia="en-US"/>
                </w:rPr>
                <w:t>In artikel 5.4.5</w:t>
              </w:r>
              <w:r>
                <w:rPr>
                  <w:rFonts w:eastAsia="Calibri"/>
                  <w:szCs w:val="22"/>
                  <w:lang w:eastAsia="en-US"/>
                </w:rPr>
                <w:t>,</w:t>
              </w:r>
              <w:r w:rsidRPr="00DC0CBC">
                <w:rPr>
                  <w:rFonts w:eastAsia="Calibri"/>
                  <w:szCs w:val="22"/>
                  <w:lang w:eastAsia="en-US"/>
                </w:rPr>
                <w:t xml:space="preserve"> tweede lid, “vormvoorschriften en procedures” wijzigen in: vormvereisten (conform het geldende artikel 552aaa, vijfde lid).</w:t>
              </w:r>
              <w:r>
                <w:rPr>
                  <w:rFonts w:eastAsia="Calibri"/>
                  <w:szCs w:val="22"/>
                  <w:lang w:eastAsia="en-US"/>
                </w:rPr>
                <w:t xml:space="preserve"> </w:t>
              </w:r>
            </w:p>
            <w:p w:rsidRPr="00DC0CBC" w:rsidR="00D85538" w:rsidP="00057301" w:rsidRDefault="0071053D">
              <w:pPr>
                <w:numPr>
                  <w:ilvl w:val="0"/>
                  <w:numId w:val="1"/>
                </w:numPr>
                <w:rPr>
                  <w:rFonts w:eastAsia="Calibri"/>
                  <w:szCs w:val="22"/>
                  <w:lang w:eastAsia="en-US"/>
                </w:rPr>
              </w:pPr>
              <w:r w:rsidRPr="00DC0CBC">
                <w:rPr>
                  <w:rFonts w:eastAsia="Calibri"/>
                  <w:szCs w:val="22"/>
                  <w:lang w:eastAsia="en-US"/>
                </w:rPr>
                <w:t xml:space="preserve">In artikel 5.4.7, tweede lid, onderdeel e, “in de zin van” wijzigen in: als bedoeld in (conform Ar 82). </w:t>
              </w:r>
            </w:p>
            <w:p w:rsidRPr="00DC0CBC" w:rsidR="00D85538" w:rsidP="00057301" w:rsidRDefault="0071053D">
              <w:pPr>
                <w:numPr>
                  <w:ilvl w:val="0"/>
                  <w:numId w:val="1"/>
                </w:numPr>
                <w:rPr>
                  <w:rFonts w:eastAsia="Calibri"/>
                  <w:szCs w:val="22"/>
                  <w:lang w:eastAsia="en-US"/>
                </w:rPr>
              </w:pPr>
              <w:r w:rsidRPr="00DC0CBC">
                <w:rPr>
                  <w:rFonts w:eastAsia="Calibri"/>
                  <w:szCs w:val="22"/>
                  <w:lang w:eastAsia="en-US"/>
                </w:rPr>
                <w:t>In artikel 5.4.9, derde lid, na “gegevens” een komma plaatsen en in de zinsnede “indien voor zover” indien schrappen</w:t>
              </w:r>
              <w:r>
                <w:rPr>
                  <w:rFonts w:eastAsia="Calibri"/>
                  <w:szCs w:val="22"/>
                  <w:lang w:eastAsia="en-US"/>
                </w:rPr>
                <w:t xml:space="preserve">, dan wel wijzigen in: indien en voor zover. </w:t>
              </w:r>
            </w:p>
            <w:p w:rsidRPr="00DC0CBC" w:rsidR="00D85538" w:rsidP="00057301" w:rsidRDefault="0071053D">
              <w:pPr>
                <w:numPr>
                  <w:ilvl w:val="0"/>
                  <w:numId w:val="1"/>
                </w:numPr>
                <w:rPr>
                  <w:rFonts w:eastAsia="Calibri"/>
                  <w:szCs w:val="22"/>
                  <w:lang w:eastAsia="en-US"/>
                </w:rPr>
              </w:pPr>
              <w:r w:rsidRPr="00DC0CBC">
                <w:rPr>
                  <w:rFonts w:eastAsia="Calibri"/>
                  <w:szCs w:val="22"/>
                  <w:lang w:eastAsia="en-US"/>
                </w:rPr>
                <w:t>In artikel 5.4.10, eerste lid, voor “in beslag zijn genomen” invoegen: voorwerpen.</w:t>
              </w:r>
              <w:r>
                <w:rPr>
                  <w:rFonts w:eastAsia="Calibri"/>
                  <w:szCs w:val="22"/>
                  <w:lang w:eastAsia="en-US"/>
                </w:rPr>
                <w:t xml:space="preserve"> </w:t>
              </w:r>
            </w:p>
            <w:p w:rsidRPr="00DC0CBC" w:rsidR="00D85538" w:rsidP="00057301" w:rsidRDefault="0071053D">
              <w:pPr>
                <w:numPr>
                  <w:ilvl w:val="0"/>
                  <w:numId w:val="1"/>
                </w:numPr>
                <w:rPr>
                  <w:rFonts w:eastAsia="Calibri"/>
                  <w:szCs w:val="22"/>
                  <w:lang w:eastAsia="en-US"/>
                </w:rPr>
              </w:pPr>
              <w:r w:rsidRPr="00DC0CBC">
                <w:rPr>
                  <w:rFonts w:eastAsia="Calibri"/>
                  <w:szCs w:val="22"/>
                  <w:lang w:eastAsia="en-US"/>
                </w:rPr>
                <w:t>In artikel 5.4.10, tweede lid, “e</w:t>
              </w:r>
              <w:r w:rsidRPr="00D85538">
                <w:rPr>
                  <w:rFonts w:eastAsia="Calibri"/>
                  <w:szCs w:val="22"/>
                  <w:lang w:eastAsia="en-US"/>
                </w:rPr>
                <w:t>en andere persoon” wijzigen in:</w:t>
              </w:r>
              <w:r w:rsidRPr="00DC0CBC">
                <w:rPr>
                  <w:rFonts w:eastAsia="Calibri"/>
                  <w:szCs w:val="22"/>
                  <w:lang w:eastAsia="en-US"/>
                </w:rPr>
                <w:t xml:space="preserve"> andere personen en “nasporingen” wijzigen in: naspeuringen (e.e.a. conform de redactie van de pendant in het wetsvoorstel herziening internationale samenwerking in strafzaken). </w:t>
              </w:r>
            </w:p>
            <w:p w:rsidRPr="00DC0CBC" w:rsidR="00D85538" w:rsidP="00057301" w:rsidRDefault="0071053D">
              <w:pPr>
                <w:numPr>
                  <w:ilvl w:val="0"/>
                  <w:numId w:val="1"/>
                </w:numPr>
                <w:rPr>
                  <w:rFonts w:eastAsia="Calibri"/>
                  <w:szCs w:val="22"/>
                  <w:lang w:eastAsia="en-US"/>
                </w:rPr>
              </w:pPr>
              <w:r w:rsidRPr="00DC0CBC">
                <w:rPr>
                  <w:rFonts w:eastAsia="Calibri"/>
                  <w:szCs w:val="22"/>
                  <w:lang w:eastAsia="en-US"/>
                </w:rPr>
                <w:t xml:space="preserve">In </w:t>
              </w:r>
              <w:r>
                <w:rPr>
                  <w:rFonts w:eastAsia="Calibri"/>
                  <w:szCs w:val="22"/>
                  <w:lang w:eastAsia="en-US"/>
                </w:rPr>
                <w:t xml:space="preserve">onder meer </w:t>
              </w:r>
              <w:r w:rsidRPr="00DC0CBC">
                <w:rPr>
                  <w:rFonts w:eastAsia="Calibri"/>
                  <w:szCs w:val="22"/>
                  <w:lang w:eastAsia="en-US"/>
                </w:rPr>
                <w:t xml:space="preserve">artikel 5.4.10, vierde lid, </w:t>
              </w:r>
              <w:r>
                <w:rPr>
                  <w:rFonts w:eastAsia="Calibri"/>
                  <w:szCs w:val="22"/>
                  <w:lang w:eastAsia="en-US"/>
                </w:rPr>
                <w:t>de in de bepaling vermelde getallen</w:t>
              </w:r>
              <w:r w:rsidRPr="00DC0CBC">
                <w:rPr>
                  <w:rFonts w:eastAsia="Calibri"/>
                  <w:szCs w:val="22"/>
                  <w:lang w:eastAsia="en-US"/>
                </w:rPr>
                <w:t xml:space="preserve"> </w:t>
              </w:r>
              <w:r>
                <w:rPr>
                  <w:rFonts w:eastAsia="Calibri"/>
                  <w:szCs w:val="22"/>
                  <w:lang w:eastAsia="en-US"/>
                </w:rPr>
                <w:t>uitschrijven.</w:t>
              </w:r>
              <w:r w:rsidRPr="00DC0CBC">
                <w:rPr>
                  <w:rFonts w:eastAsia="Calibri"/>
                  <w:szCs w:val="22"/>
                  <w:lang w:eastAsia="en-US"/>
                </w:rPr>
                <w:t xml:space="preserve"> </w:t>
              </w:r>
            </w:p>
            <w:p w:rsidRPr="00DC0CBC" w:rsidR="00D85538" w:rsidP="00057301" w:rsidRDefault="0071053D">
              <w:pPr>
                <w:numPr>
                  <w:ilvl w:val="0"/>
                  <w:numId w:val="1"/>
                </w:numPr>
                <w:rPr>
                  <w:rFonts w:eastAsia="Calibri"/>
                  <w:szCs w:val="22"/>
                  <w:lang w:eastAsia="en-US"/>
                </w:rPr>
              </w:pPr>
              <w:r w:rsidRPr="00DC0CBC">
                <w:rPr>
                  <w:rFonts w:eastAsia="Calibri"/>
                  <w:szCs w:val="22"/>
                  <w:lang w:eastAsia="en-US"/>
                </w:rPr>
                <w:t>In artikel 5.4.11, tweede en derde lid,</w:t>
              </w:r>
              <w:r>
                <w:rPr>
                  <w:rFonts w:eastAsia="Calibri"/>
                  <w:szCs w:val="22"/>
                  <w:lang w:eastAsia="en-US"/>
                </w:rPr>
                <w:t xml:space="preserve"> </w:t>
              </w:r>
              <w:r w:rsidRPr="00DC0CBC">
                <w:rPr>
                  <w:rFonts w:eastAsia="Calibri"/>
                  <w:szCs w:val="22"/>
                  <w:lang w:eastAsia="en-US"/>
                </w:rPr>
                <w:t xml:space="preserve">“buitenlandse ambtenaren” wijzigen in: ambtenaren van een van de andere lidstaten. </w:t>
              </w:r>
            </w:p>
            <w:p w:rsidRPr="00DC0CBC" w:rsidR="00D85538" w:rsidP="00057301" w:rsidRDefault="0071053D">
              <w:pPr>
                <w:numPr>
                  <w:ilvl w:val="0"/>
                  <w:numId w:val="1"/>
                </w:numPr>
                <w:rPr>
                  <w:rFonts w:eastAsia="Calibri"/>
                  <w:szCs w:val="22"/>
                  <w:lang w:eastAsia="en-US"/>
                </w:rPr>
              </w:pPr>
              <w:r w:rsidRPr="00DC0CBC">
                <w:rPr>
                  <w:rFonts w:eastAsia="Calibri"/>
                  <w:szCs w:val="22"/>
                  <w:lang w:eastAsia="en-US"/>
                </w:rPr>
                <w:t>In artikel 5.4.12, tweede lid, “EOB” tweemaal wijzigen in: Europees onderzoeksbevel.</w:t>
              </w:r>
              <w:r>
                <w:rPr>
                  <w:rFonts w:eastAsia="Calibri"/>
                  <w:szCs w:val="22"/>
                  <w:lang w:eastAsia="en-US"/>
                </w:rPr>
                <w:t xml:space="preserve"> </w:t>
              </w:r>
            </w:p>
            <w:p w:rsidRPr="00DC0CBC" w:rsidR="00D85538" w:rsidP="00057301" w:rsidRDefault="0071053D">
              <w:pPr>
                <w:numPr>
                  <w:ilvl w:val="0"/>
                  <w:numId w:val="1"/>
                </w:numPr>
                <w:rPr>
                  <w:rFonts w:eastAsia="Calibri"/>
                  <w:szCs w:val="22"/>
                  <w:lang w:eastAsia="en-US"/>
                </w:rPr>
              </w:pPr>
              <w:r w:rsidRPr="00DC0CBC">
                <w:rPr>
                  <w:rFonts w:eastAsia="Calibri"/>
                  <w:szCs w:val="22"/>
                  <w:lang w:eastAsia="en-US"/>
                </w:rPr>
                <w:t xml:space="preserve">In artikel 5.4.15, tweede lid, “onderdeel </w:t>
              </w:r>
              <w:r>
                <w:rPr>
                  <w:rFonts w:eastAsia="Calibri"/>
                  <w:szCs w:val="22"/>
                  <w:lang w:eastAsia="en-US"/>
                </w:rPr>
                <w:t>b</w:t>
              </w:r>
              <w:r w:rsidRPr="00DC0CBC">
                <w:rPr>
                  <w:rFonts w:eastAsia="Calibri"/>
                  <w:szCs w:val="22"/>
                  <w:lang w:eastAsia="en-US"/>
                </w:rPr>
                <w:t>, en vierde lid” wijzigen in onderdeel a, en vierde lid.</w:t>
              </w:r>
              <w:r>
                <w:rPr>
                  <w:rFonts w:eastAsia="Calibri"/>
                  <w:szCs w:val="22"/>
                  <w:lang w:eastAsia="en-US"/>
                </w:rPr>
                <w:t xml:space="preserve"> </w:t>
              </w:r>
            </w:p>
            <w:p w:rsidRPr="00DC0CBC" w:rsidR="00D85538" w:rsidP="00057301" w:rsidRDefault="0071053D">
              <w:pPr>
                <w:numPr>
                  <w:ilvl w:val="0"/>
                  <w:numId w:val="1"/>
                </w:numPr>
                <w:rPr>
                  <w:rFonts w:eastAsia="Calibri"/>
                  <w:szCs w:val="22"/>
                  <w:lang w:eastAsia="en-US"/>
                </w:rPr>
              </w:pPr>
              <w:r w:rsidRPr="00DC0CBC">
                <w:rPr>
                  <w:rFonts w:eastAsia="Calibri"/>
                  <w:szCs w:val="22"/>
                  <w:lang w:eastAsia="en-US"/>
                </w:rPr>
                <w:t xml:space="preserve"> In artikel 5.4.26, vierde lid,</w:t>
              </w:r>
              <w:r>
                <w:rPr>
                  <w:rFonts w:eastAsia="Calibri"/>
                  <w:szCs w:val="22"/>
                  <w:lang w:eastAsia="en-US"/>
                </w:rPr>
                <w:t xml:space="preserve"> </w:t>
              </w:r>
              <w:r w:rsidRPr="00DC0CBC">
                <w:rPr>
                  <w:rFonts w:eastAsia="Calibri"/>
                  <w:szCs w:val="22"/>
                  <w:lang w:eastAsia="en-US"/>
                </w:rPr>
                <w:t xml:space="preserve">“in het buitenland” wijzigen in: in een van de andere lidstaten. </w:t>
              </w:r>
            </w:p>
            <w:p w:rsidRPr="00DC0CBC" w:rsidR="00D85538" w:rsidP="00057301" w:rsidRDefault="0071053D">
              <w:pPr>
                <w:numPr>
                  <w:ilvl w:val="0"/>
                  <w:numId w:val="1"/>
                </w:numPr>
                <w:rPr>
                  <w:rFonts w:eastAsia="Calibri"/>
                  <w:szCs w:val="22"/>
                  <w:lang w:eastAsia="en-US"/>
                </w:rPr>
              </w:pPr>
              <w:r w:rsidRPr="00DC0CBC">
                <w:rPr>
                  <w:rFonts w:eastAsia="Calibri"/>
                  <w:szCs w:val="22"/>
                  <w:lang w:eastAsia="en-US"/>
                </w:rPr>
                <w:t>In artikel 5.4</w:t>
              </w:r>
              <w:r>
                <w:rPr>
                  <w:rFonts w:eastAsia="Calibri"/>
                  <w:szCs w:val="22"/>
                  <w:lang w:eastAsia="en-US"/>
                </w:rPr>
                <w:t>.</w:t>
              </w:r>
              <w:r w:rsidRPr="00DC0CBC">
                <w:rPr>
                  <w:rFonts w:eastAsia="Calibri"/>
                  <w:szCs w:val="22"/>
                  <w:lang w:eastAsia="en-US"/>
                </w:rPr>
                <w:t>26, zesde lid,</w:t>
              </w:r>
              <w:r>
                <w:rPr>
                  <w:rFonts w:eastAsia="Calibri"/>
                  <w:szCs w:val="22"/>
                  <w:lang w:eastAsia="en-US"/>
                </w:rPr>
                <w:t xml:space="preserve"> </w:t>
              </w:r>
              <w:r w:rsidRPr="00DC0CBC">
                <w:rPr>
                  <w:rFonts w:eastAsia="Calibri"/>
                  <w:szCs w:val="22"/>
                  <w:lang w:eastAsia="en-US"/>
                </w:rPr>
                <w:t>“Onverminderd het derde lid” wijzigen in: Onverminderd het vierde lid.</w:t>
              </w:r>
              <w:r>
                <w:rPr>
                  <w:rFonts w:eastAsia="Calibri"/>
                  <w:szCs w:val="22"/>
                  <w:lang w:eastAsia="en-US"/>
                </w:rPr>
                <w:t xml:space="preserve"> </w:t>
              </w:r>
            </w:p>
            <w:p w:rsidRPr="00DC0CBC" w:rsidR="00D85538" w:rsidP="00057301" w:rsidRDefault="0071053D">
              <w:pPr>
                <w:numPr>
                  <w:ilvl w:val="0"/>
                  <w:numId w:val="1"/>
                </w:numPr>
                <w:rPr>
                  <w:rFonts w:eastAsia="Calibri"/>
                  <w:szCs w:val="22"/>
                  <w:lang w:eastAsia="en-US"/>
                </w:rPr>
              </w:pPr>
              <w:r w:rsidRPr="00D85538">
                <w:rPr>
                  <w:rFonts w:eastAsia="Calibri"/>
                  <w:szCs w:val="22"/>
                  <w:lang w:eastAsia="en-US"/>
                </w:rPr>
                <w:t>In artikel 5.4.</w:t>
              </w:r>
              <w:r w:rsidRPr="00DC0CBC">
                <w:rPr>
                  <w:rFonts w:eastAsia="Calibri"/>
                  <w:szCs w:val="22"/>
                  <w:lang w:eastAsia="en-US"/>
                </w:rPr>
                <w:t xml:space="preserve">28, vierde lid, na “telecommunicatie” “komen” schrappen. </w:t>
              </w:r>
            </w:p>
            <w:p w:rsidR="00057301" w:rsidP="00057301" w:rsidRDefault="002B6A25">
              <w:pPr>
                <w:ind w:left="737"/>
                <w:rPr>
                  <w:rFonts w:eastAsia="Calibri"/>
                  <w:b/>
                  <w:szCs w:val="22"/>
                  <w:lang w:eastAsia="en-US"/>
                </w:rPr>
              </w:pPr>
            </w:p>
            <w:p w:rsidRPr="00DC0CBC" w:rsidR="00D85538" w:rsidP="00057301" w:rsidRDefault="0071053D">
              <w:pPr>
                <w:keepNext/>
                <w:ind w:left="737"/>
                <w:rPr>
                  <w:rFonts w:eastAsia="Calibri"/>
                  <w:b/>
                  <w:szCs w:val="22"/>
                  <w:lang w:eastAsia="en-US"/>
                </w:rPr>
              </w:pPr>
              <w:r>
                <w:rPr>
                  <w:rFonts w:eastAsia="Calibri"/>
                  <w:b/>
                  <w:szCs w:val="22"/>
                  <w:lang w:eastAsia="en-US"/>
                </w:rPr>
                <w:t>T</w:t>
              </w:r>
              <w:r w:rsidRPr="00DC0CBC">
                <w:rPr>
                  <w:rFonts w:eastAsia="Calibri"/>
                  <w:b/>
                  <w:szCs w:val="22"/>
                  <w:lang w:eastAsia="en-US"/>
                </w:rPr>
                <w:t xml:space="preserve">ransponeringstabel </w:t>
              </w:r>
            </w:p>
            <w:p w:rsidRPr="00DC0CBC" w:rsidR="00D85538" w:rsidP="00057301" w:rsidRDefault="0071053D">
              <w:pPr>
                <w:numPr>
                  <w:ilvl w:val="0"/>
                  <w:numId w:val="1"/>
                </w:numPr>
                <w:rPr>
                  <w:rFonts w:eastAsia="Calibri"/>
                  <w:szCs w:val="22"/>
                  <w:lang w:eastAsia="en-US"/>
                </w:rPr>
              </w:pPr>
              <w:r w:rsidRPr="00DC0CBC">
                <w:rPr>
                  <w:rFonts w:eastAsia="Calibri"/>
                  <w:szCs w:val="22"/>
                  <w:lang w:eastAsia="en-US"/>
                </w:rPr>
                <w:t>In de transponeringstabel bij artikel 13, tweede lid, van de richtlijn “Artikel 5.4.9, tweede lid” wijzigen in: Artikel 5.4.9, eerste en derde lid.</w:t>
              </w:r>
              <w:r>
                <w:rPr>
                  <w:rFonts w:eastAsia="Calibri"/>
                  <w:szCs w:val="22"/>
                  <w:lang w:eastAsia="en-US"/>
                </w:rPr>
                <w:t xml:space="preserve"> </w:t>
              </w:r>
            </w:p>
            <w:p w:rsidRPr="00DC0CBC" w:rsidR="00D85538" w:rsidP="00057301" w:rsidRDefault="0071053D">
              <w:pPr>
                <w:numPr>
                  <w:ilvl w:val="0"/>
                  <w:numId w:val="1"/>
                </w:numPr>
                <w:rPr>
                  <w:rFonts w:eastAsia="Calibri"/>
                  <w:szCs w:val="22"/>
                  <w:lang w:eastAsia="en-US"/>
                </w:rPr>
              </w:pPr>
              <w:r w:rsidRPr="00DC0CBC">
                <w:rPr>
                  <w:rFonts w:eastAsia="Calibri"/>
                  <w:szCs w:val="22"/>
                  <w:lang w:eastAsia="en-US"/>
                </w:rPr>
                <w:t xml:space="preserve">In de transponeringstabel bij artikel 14, vijfde lid, van de richtlijn “Artikel 5.4.1, vijfde lid” wijzigen in: Artikel 5.4.10, vijfde lid. </w:t>
              </w:r>
            </w:p>
            <w:p w:rsidRPr="00DC0CBC" w:rsidR="00D85538" w:rsidP="00057301" w:rsidRDefault="0071053D">
              <w:pPr>
                <w:numPr>
                  <w:ilvl w:val="0"/>
                  <w:numId w:val="1"/>
                </w:numPr>
                <w:rPr>
                  <w:rFonts w:eastAsia="Calibri"/>
                  <w:szCs w:val="22"/>
                  <w:lang w:eastAsia="en-US"/>
                </w:rPr>
              </w:pPr>
              <w:r w:rsidRPr="00DC0CBC">
                <w:rPr>
                  <w:rFonts w:eastAsia="Calibri"/>
                  <w:szCs w:val="22"/>
                  <w:lang w:eastAsia="en-US"/>
                </w:rPr>
                <w:t>In de transponeringstabel bij artikel 16, eerste lid</w:t>
              </w:r>
              <w:r>
                <w:rPr>
                  <w:rFonts w:eastAsia="Calibri"/>
                  <w:szCs w:val="22"/>
                  <w:lang w:eastAsia="en-US"/>
                </w:rPr>
                <w:t>,</w:t>
              </w:r>
              <w:r w:rsidRPr="00DC0CBC">
                <w:rPr>
                  <w:rFonts w:eastAsia="Calibri"/>
                  <w:szCs w:val="22"/>
                  <w:lang w:eastAsia="en-US"/>
                </w:rPr>
                <w:t xml:space="preserve"> van de richtlijn aan “Artikel 5.4.2, tweede lid” toevoegen: en derde lid.</w:t>
              </w:r>
              <w:r>
                <w:rPr>
                  <w:rFonts w:eastAsia="Calibri"/>
                  <w:szCs w:val="22"/>
                  <w:lang w:eastAsia="en-US"/>
                </w:rPr>
                <w:t xml:space="preserve"> </w:t>
              </w:r>
            </w:p>
            <w:p w:rsidRPr="00DC0CBC" w:rsidR="00E70C71" w:rsidP="00057301" w:rsidRDefault="0071053D">
              <w:pPr>
                <w:numPr>
                  <w:ilvl w:val="0"/>
                  <w:numId w:val="1"/>
                </w:numPr>
                <w:rPr>
                  <w:rFonts w:eastAsia="Calibri"/>
                  <w:szCs w:val="22"/>
                  <w:lang w:eastAsia="en-US"/>
                </w:rPr>
              </w:pPr>
              <w:r w:rsidRPr="00DC0CBC">
                <w:rPr>
                  <w:rFonts w:eastAsia="Calibri"/>
                  <w:szCs w:val="22"/>
                  <w:lang w:eastAsia="en-US"/>
                </w:rPr>
                <w:t>In de transponeringstabel bij artikel 22</w:t>
              </w:r>
              <w:r>
                <w:rPr>
                  <w:rFonts w:eastAsia="Calibri"/>
                  <w:szCs w:val="22"/>
                  <w:lang w:eastAsia="en-US"/>
                </w:rPr>
                <w:t>,</w:t>
              </w:r>
              <w:r w:rsidRPr="00DC0CBC">
                <w:rPr>
                  <w:rFonts w:eastAsia="Calibri"/>
                  <w:szCs w:val="22"/>
                  <w:lang w:eastAsia="en-US"/>
                </w:rPr>
                <w:t xml:space="preserve"> zesde lid, van de richtlijn “Artikel 5.4.14, zesde lid” wijzigen in: Artikel 5.4.14, vijfde lid.</w:t>
              </w:r>
              <w:r>
                <w:rPr>
                  <w:rFonts w:eastAsia="Calibri"/>
                  <w:szCs w:val="22"/>
                  <w:lang w:eastAsia="en-US"/>
                </w:rPr>
                <w:t xml:space="preserve"> </w:t>
              </w:r>
            </w:p>
          </w:sdtContent>
        </w:sdt>
        <w:p w:rsidR="00C50D4F" w:rsidP="005841EA" w:rsidRDefault="002B6A25">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53D" w:rsidRDefault="0071053D" w:rsidP="001410FD">
      <w:r>
        <w:separator/>
      </w:r>
    </w:p>
  </w:endnote>
  <w:endnote w:type="continuationSeparator" w:id="0">
    <w:p w:rsidR="0071053D" w:rsidRDefault="0071053D"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Footer"/>
    </w:pPr>
    <w:r w:rsidRPr="00831363">
      <w:rPr>
        <w:noProof/>
        <w:lang w:val="nl-NL" w:eastAsia="nl-NL"/>
      </w:rPr>
      <mc:AlternateContent>
        <mc:Choice Requires="wps">
          <w:drawing>
            <wp:anchor distT="0" distB="0" distL="114300" distR="114300" simplePos="0" relativeHeight="251659264" behindDoc="0" locked="1" layoutInCell="1" allowOverlap="1" wp14:anchorId="21143629" wp14:editId="1F6E89A1">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53D" w:rsidRDefault="0071053D" w:rsidP="001410FD">
      <w:r>
        <w:separator/>
      </w:r>
    </w:p>
  </w:footnote>
  <w:footnote w:type="continuationSeparator" w:id="0">
    <w:p w:rsidR="0071053D" w:rsidRDefault="0071053D" w:rsidP="001410FD">
      <w:r>
        <w:continuationSeparator/>
      </w:r>
    </w:p>
  </w:footnote>
  <w:footnote w:id="1">
    <w:p w:rsidR="00FC78D7" w:rsidRDefault="0071053D" w:rsidP="00F11524">
      <w:pPr>
        <w:pStyle w:val="FootnoteText"/>
        <w:ind w:left="227" w:hanging="227"/>
      </w:pPr>
      <w:r>
        <w:rPr>
          <w:rStyle w:val="FootnoteReference"/>
        </w:rPr>
        <w:footnoteRef/>
      </w:r>
      <w:r>
        <w:t xml:space="preserve"> </w:t>
      </w:r>
      <w:r>
        <w:tab/>
        <w:t xml:space="preserve">Advies van 16 februari 2016 (W03.15.0395/II). Er is nog geen nader rapport verschenen. </w:t>
      </w:r>
    </w:p>
  </w:footnote>
  <w:footnote w:id="2">
    <w:p w:rsidR="007B4043" w:rsidRDefault="0071053D" w:rsidP="00F11524">
      <w:pPr>
        <w:pStyle w:val="FootnoteText"/>
        <w:ind w:left="227" w:hanging="227"/>
      </w:pPr>
      <w:r>
        <w:rPr>
          <w:rStyle w:val="FootnoteReference"/>
        </w:rPr>
        <w:footnoteRef/>
      </w:r>
      <w:r>
        <w:t xml:space="preserve"> </w:t>
      </w:r>
      <w:r>
        <w:tab/>
        <w:t xml:space="preserve">Toelichting, paragraaf 1, laatste tekstblok. </w:t>
      </w:r>
    </w:p>
  </w:footnote>
  <w:footnote w:id="3">
    <w:p w:rsidR="00402D6E" w:rsidRDefault="0071053D">
      <w:pPr>
        <w:pStyle w:val="FootnoteText"/>
      </w:pPr>
      <w:r>
        <w:rPr>
          <w:rStyle w:val="FootnoteReference"/>
        </w:rPr>
        <w:footnoteRef/>
      </w:r>
      <w:r>
        <w:t xml:space="preserve"> </w:t>
      </w:r>
      <w:r>
        <w:tab/>
        <w:t>A</w:t>
      </w:r>
      <w:r w:rsidRPr="0010262A">
        <w:rPr>
          <w:szCs w:val="22"/>
        </w:rPr>
        <w:t xml:space="preserve">rtikel 5.4.10, eerste lid, </w:t>
      </w:r>
      <w:r>
        <w:rPr>
          <w:szCs w:val="22"/>
        </w:rPr>
        <w:t>Wetboek van Strafvordering (</w:t>
      </w:r>
      <w:r w:rsidRPr="0010262A">
        <w:rPr>
          <w:szCs w:val="22"/>
        </w:rPr>
        <w:t>Sv</w:t>
      </w:r>
      <w:r>
        <w:rPr>
          <w:szCs w:val="22"/>
        </w:rPr>
        <w:t>).</w:t>
      </w:r>
    </w:p>
  </w:footnote>
  <w:footnote w:id="4">
    <w:p w:rsidR="00D25510" w:rsidRDefault="0071053D" w:rsidP="00F11524">
      <w:pPr>
        <w:pStyle w:val="FootnoteText"/>
        <w:ind w:left="227" w:hanging="227"/>
      </w:pPr>
      <w:r>
        <w:rPr>
          <w:rStyle w:val="FootnoteReference"/>
        </w:rPr>
        <w:footnoteRef/>
      </w:r>
      <w:r>
        <w:tab/>
        <w:t xml:space="preserve">In de implementatiewet van het EBB is uiteindelijk geen verlofprocedure opgenomen. </w:t>
      </w:r>
    </w:p>
  </w:footnote>
  <w:footnote w:id="5">
    <w:p w:rsidR="00E81EB1" w:rsidRDefault="0071053D" w:rsidP="00F11524">
      <w:pPr>
        <w:pStyle w:val="FootnoteText"/>
        <w:ind w:left="227" w:hanging="227"/>
      </w:pPr>
      <w:r>
        <w:rPr>
          <w:rStyle w:val="FootnoteReference"/>
        </w:rPr>
        <w:footnoteRef/>
      </w:r>
      <w:r>
        <w:t xml:space="preserve"> </w:t>
      </w:r>
      <w:r>
        <w:tab/>
        <w:t xml:space="preserve">Advies van 28 oktober 2015, blz. 8. </w:t>
      </w:r>
    </w:p>
  </w:footnote>
  <w:footnote w:id="6">
    <w:p w:rsidR="00FC78D7" w:rsidRDefault="0071053D" w:rsidP="00F11524">
      <w:pPr>
        <w:pStyle w:val="FootnoteText"/>
        <w:ind w:left="227" w:hanging="227"/>
      </w:pPr>
      <w:r>
        <w:rPr>
          <w:rStyle w:val="FootnoteReference"/>
        </w:rPr>
        <w:footnoteRef/>
      </w:r>
      <w:r>
        <w:t xml:space="preserve"> </w:t>
      </w:r>
      <w:r>
        <w:tab/>
        <w:t xml:space="preserve">Toelichting, paragraaf 5, derde tekstblok. </w:t>
      </w:r>
    </w:p>
  </w:footnote>
  <w:footnote w:id="7">
    <w:p w:rsidR="00402D6E" w:rsidRDefault="0071053D">
      <w:pPr>
        <w:pStyle w:val="FootnoteText"/>
      </w:pPr>
      <w:r>
        <w:rPr>
          <w:rStyle w:val="FootnoteReference"/>
        </w:rPr>
        <w:footnoteRef/>
      </w:r>
      <w:r>
        <w:t xml:space="preserve"> </w:t>
      </w:r>
      <w:r>
        <w:tab/>
        <w:t>A</w:t>
      </w:r>
      <w:r w:rsidRPr="0010262A">
        <w:rPr>
          <w:szCs w:val="22"/>
        </w:rPr>
        <w:t>rtikel 7 van het kaderbesluit</w:t>
      </w:r>
      <w:r>
        <w:rPr>
          <w:szCs w:val="22"/>
        </w:rPr>
        <w:t xml:space="preserve"> EBB.</w:t>
      </w:r>
    </w:p>
  </w:footnote>
  <w:footnote w:id="8">
    <w:p w:rsidR="007A6321" w:rsidRDefault="0071053D" w:rsidP="00F11524">
      <w:pPr>
        <w:pStyle w:val="FootnoteText"/>
        <w:ind w:left="227" w:hanging="227"/>
      </w:pPr>
      <w:r>
        <w:rPr>
          <w:rStyle w:val="FootnoteReference"/>
        </w:rPr>
        <w:footnoteRef/>
      </w:r>
      <w:r>
        <w:t xml:space="preserve"> </w:t>
      </w:r>
      <w:r>
        <w:tab/>
        <w:t xml:space="preserve">Kamerstukken I 2012/13, 32 717, C, blz. 5. Vergelijk artikel 552hhh Sv dat bepaalt dat bij ministeriële regeling regels kunnen worden vastgesteld over het verzamelen en verstrekken van gegevens over de uitvoering van de bepalingen van deze afdeling. Vergelijk voorts de regeling uitvoeringsrapportage bewijsverkrijgingsbevel, Strct. 2013, 17279, in werking getreden op 1 juli 2013. </w:t>
      </w:r>
    </w:p>
  </w:footnote>
  <w:footnote w:id="9">
    <w:p w:rsidR="004275E5" w:rsidRPr="00BE22F5" w:rsidRDefault="0071053D" w:rsidP="00F11524">
      <w:pPr>
        <w:pStyle w:val="FootnoteText"/>
        <w:ind w:left="227" w:hanging="227"/>
        <w:rPr>
          <w:lang w:val="en-US"/>
        </w:rPr>
      </w:pPr>
      <w:r>
        <w:rPr>
          <w:rStyle w:val="FootnoteReference"/>
        </w:rPr>
        <w:footnoteRef/>
      </w:r>
      <w:r w:rsidRPr="00BE22F5">
        <w:rPr>
          <w:lang w:val="en-US"/>
        </w:rPr>
        <w:t xml:space="preserve"> </w:t>
      </w:r>
      <w:r w:rsidRPr="00BE22F5">
        <w:rPr>
          <w:lang w:val="en-US"/>
        </w:rPr>
        <w:tab/>
        <w:t>Final report on the fourth round of mutal evaluations – The practical application of the European Arrest Warrant and corresponding surrender procedures between Member States, 8302/4/09/REV 4, blz. 8:“One of the main features of the EAW system is that the procedure is governed by a judicial authority, so that the role of the central and other administrative authorities is limited to providing practical assistence to smooth the process. The findings of the evaluation demonstrate, however, that in Some Member States non-judicial central authorities continue to play a role in cardinal aspects of the surrender procedure far beyond the administrative tasks assigned in the Framework Decision.“</w:t>
      </w:r>
    </w:p>
  </w:footnote>
  <w:footnote w:id="10">
    <w:p w:rsidR="0065022E" w:rsidRDefault="0071053D" w:rsidP="0065022E">
      <w:pPr>
        <w:pStyle w:val="FootnoteText"/>
        <w:ind w:left="227" w:hanging="227"/>
      </w:pPr>
      <w:r>
        <w:rPr>
          <w:rStyle w:val="FootnoteReference"/>
        </w:rPr>
        <w:footnoteRef/>
      </w:r>
      <w:r>
        <w:t xml:space="preserve"> </w:t>
      </w:r>
      <w:r>
        <w:tab/>
        <w:t xml:space="preserve">Toelichting paragraaf 5, tweede tekstblok. </w:t>
      </w:r>
    </w:p>
  </w:footnote>
  <w:footnote w:id="11">
    <w:p w:rsidR="008E1A1B" w:rsidRDefault="0071053D">
      <w:pPr>
        <w:pStyle w:val="FootnoteText"/>
      </w:pPr>
      <w:r>
        <w:rPr>
          <w:rStyle w:val="FootnoteReference"/>
        </w:rPr>
        <w:footnoteRef/>
      </w:r>
      <w:r>
        <w:t xml:space="preserve"> </w:t>
      </w:r>
      <w:r>
        <w:tab/>
      </w:r>
      <w:r>
        <w:rPr>
          <w:szCs w:val="22"/>
        </w:rPr>
        <w:t>A</w:t>
      </w:r>
      <w:r w:rsidRPr="0065022E">
        <w:rPr>
          <w:szCs w:val="22"/>
        </w:rPr>
        <w:t>rtikel 5.4.10, eerste lid, Sv</w:t>
      </w:r>
      <w:r>
        <w:rPr>
          <w:szCs w:val="22"/>
        </w:rPr>
        <w:t>.</w:t>
      </w:r>
    </w:p>
  </w:footnote>
  <w:footnote w:id="12">
    <w:p w:rsidR="0065022E" w:rsidRDefault="0071053D" w:rsidP="0065022E">
      <w:pPr>
        <w:pStyle w:val="FootnoteText"/>
        <w:ind w:left="227" w:hanging="227"/>
      </w:pPr>
      <w:r>
        <w:rPr>
          <w:rStyle w:val="FootnoteReference"/>
        </w:rPr>
        <w:footnoteRef/>
      </w:r>
      <w:r>
        <w:t xml:space="preserve"> </w:t>
      </w:r>
      <w:r>
        <w:tab/>
        <w:t xml:space="preserve">Advies van het College van procureurs-generaal van 21 oktober 2015, blz. 3-4 en het advies van de politie van 26 november 2015. </w:t>
      </w:r>
    </w:p>
  </w:footnote>
  <w:footnote w:id="13">
    <w:p w:rsidR="007A6321" w:rsidRDefault="0071053D" w:rsidP="00F11524">
      <w:pPr>
        <w:pStyle w:val="FootnoteText"/>
        <w:ind w:left="227" w:hanging="227"/>
      </w:pPr>
      <w:r>
        <w:rPr>
          <w:rStyle w:val="FootnoteReference"/>
        </w:rPr>
        <w:footnoteRef/>
      </w:r>
      <w:r>
        <w:t xml:space="preserve"> </w:t>
      </w:r>
      <w:r>
        <w:tab/>
        <w:t>Op grond van het voorgestelde artikel 5.4.8, eerste lid, Sv stelt de officier van justitie, indien zulks voor de uitvoering van het bevel noodzakelijk of gewenst is, het EOB in handen van de rechter-commissaris.</w:t>
      </w:r>
    </w:p>
  </w:footnote>
  <w:footnote w:id="14">
    <w:p w:rsidR="00E81EB1" w:rsidRDefault="0071053D" w:rsidP="00F11524">
      <w:pPr>
        <w:pStyle w:val="FootnoteText"/>
        <w:ind w:left="227" w:hanging="227"/>
      </w:pPr>
      <w:r>
        <w:rPr>
          <w:rStyle w:val="FootnoteReference"/>
        </w:rPr>
        <w:footnoteRef/>
      </w:r>
      <w:r>
        <w:t xml:space="preserve"> </w:t>
      </w:r>
      <w:r>
        <w:tab/>
        <w:t xml:space="preserve">Artikel 13, tweede lid, van de richtlijn. </w:t>
      </w:r>
    </w:p>
  </w:footnote>
  <w:footnote w:id="15">
    <w:p w:rsidR="00E81EB1" w:rsidRDefault="0071053D" w:rsidP="00F11524">
      <w:pPr>
        <w:pStyle w:val="FootnoteText"/>
        <w:ind w:left="227" w:hanging="227"/>
      </w:pPr>
      <w:r>
        <w:rPr>
          <w:rStyle w:val="FootnoteReference"/>
        </w:rPr>
        <w:footnoteRef/>
      </w:r>
      <w:r>
        <w:t xml:space="preserve"> </w:t>
      </w:r>
      <w:r>
        <w:tab/>
      </w:r>
      <w:r w:rsidRPr="00E81EB1">
        <w:t xml:space="preserve">Artikel 13, tweede lid, van de richtlijn. </w:t>
      </w:r>
    </w:p>
  </w:footnote>
  <w:footnote w:id="16">
    <w:p w:rsidR="00D25510" w:rsidRDefault="0071053D" w:rsidP="00F11524">
      <w:pPr>
        <w:pStyle w:val="FootnoteText"/>
        <w:ind w:left="227" w:hanging="227"/>
      </w:pPr>
      <w:r>
        <w:rPr>
          <w:rStyle w:val="FootnoteReference"/>
        </w:rPr>
        <w:footnoteRef/>
      </w:r>
      <w:r>
        <w:t xml:space="preserve"> </w:t>
      </w:r>
      <w:r>
        <w:tab/>
        <w:t xml:space="preserve">Hier is sprake van een redactioneel punt; zie de redactionele bijlage. </w:t>
      </w:r>
    </w:p>
  </w:footnote>
  <w:footnote w:id="17">
    <w:p w:rsidR="0065022E" w:rsidRDefault="0071053D">
      <w:pPr>
        <w:pStyle w:val="FootnoteText"/>
        <w:ind w:left="227" w:hanging="227"/>
      </w:pPr>
      <w:r>
        <w:rPr>
          <w:rStyle w:val="FootnoteReference"/>
        </w:rPr>
        <w:footnoteRef/>
      </w:r>
      <w:r>
        <w:tab/>
        <w:t xml:space="preserve">Vergelijk ook artikel 13, vierde lid, van de richtlijn dat spreekt over “voorwerpen, documenten en gegevens”.  </w:t>
      </w:r>
    </w:p>
  </w:footnote>
  <w:footnote w:id="18">
    <w:p w:rsidR="008E1A1B" w:rsidRDefault="0071053D">
      <w:pPr>
        <w:pStyle w:val="FootnoteText"/>
        <w:ind w:left="227" w:hanging="227"/>
      </w:pPr>
      <w:r>
        <w:rPr>
          <w:rStyle w:val="FootnoteReference"/>
        </w:rPr>
        <w:footnoteRef/>
      </w:r>
      <w:r>
        <w:t xml:space="preserve"> </w:t>
      </w:r>
      <w:r>
        <w:tab/>
        <w:t>A</w:t>
      </w:r>
      <w:r w:rsidRPr="0010262A">
        <w:rPr>
          <w:szCs w:val="22"/>
        </w:rPr>
        <w:t>rtikel 5.4.9, derde lid, tweede volzin, Sv</w:t>
      </w:r>
      <w:r>
        <w:rPr>
          <w:szCs w:val="22"/>
        </w:rPr>
        <w:t>.</w:t>
      </w:r>
    </w:p>
  </w:footnote>
  <w:footnote w:id="19">
    <w:p w:rsidR="004275E5" w:rsidRDefault="0071053D" w:rsidP="00F11524">
      <w:pPr>
        <w:pStyle w:val="FootnoteText"/>
        <w:ind w:left="227" w:hanging="227"/>
      </w:pPr>
      <w:r>
        <w:rPr>
          <w:rStyle w:val="FootnoteReference"/>
        </w:rPr>
        <w:footnoteRef/>
      </w:r>
      <w:r>
        <w:tab/>
        <w:t xml:space="preserve">Artikel 13, tweede lid, van de richtlijn. </w:t>
      </w:r>
    </w:p>
  </w:footnote>
  <w:footnote w:id="20">
    <w:p w:rsidR="006C4CC8" w:rsidRDefault="0071053D">
      <w:pPr>
        <w:pStyle w:val="FootnoteText"/>
      </w:pPr>
      <w:r>
        <w:rPr>
          <w:rStyle w:val="FootnoteReference"/>
        </w:rPr>
        <w:footnoteRef/>
      </w:r>
      <w:r>
        <w:t xml:space="preserve"> </w:t>
      </w:r>
      <w:r>
        <w:tab/>
        <w:t xml:space="preserve">Artikel 6, tweede lid, van de richtlijn. </w:t>
      </w:r>
    </w:p>
  </w:footnote>
  <w:footnote w:id="21">
    <w:p w:rsidR="00E81EB1" w:rsidRDefault="0071053D" w:rsidP="00F11524">
      <w:pPr>
        <w:pStyle w:val="FootnoteText"/>
        <w:ind w:left="227" w:hanging="227"/>
      </w:pPr>
      <w:r>
        <w:rPr>
          <w:rStyle w:val="FootnoteReference"/>
        </w:rPr>
        <w:footnoteRef/>
      </w:r>
      <w:r>
        <w:t xml:space="preserve"> </w:t>
      </w:r>
      <w:r>
        <w:tab/>
        <w:t xml:space="preserve">Artikel 6, derde lid, van de richtlijn. </w:t>
      </w:r>
    </w:p>
  </w:footnote>
  <w:footnote w:id="22">
    <w:p w:rsidR="00F4623D" w:rsidRDefault="0071053D" w:rsidP="00F11524">
      <w:pPr>
        <w:pStyle w:val="FootnoteText"/>
        <w:ind w:left="227" w:hanging="227"/>
      </w:pPr>
      <w:r>
        <w:rPr>
          <w:rStyle w:val="FootnoteReference"/>
        </w:rPr>
        <w:footnoteRef/>
      </w:r>
      <w:r>
        <w:t xml:space="preserve"> </w:t>
      </w:r>
      <w:r>
        <w:tab/>
        <w:t>Toelichting paragraaf 3.2, laatste tekstblok.</w:t>
      </w:r>
    </w:p>
  </w:footnote>
  <w:footnote w:id="23">
    <w:p w:rsidR="00DC0CBC" w:rsidRDefault="0071053D" w:rsidP="00F11524">
      <w:pPr>
        <w:pStyle w:val="FootnoteText"/>
        <w:ind w:left="227" w:hanging="227"/>
      </w:pPr>
      <w:r>
        <w:rPr>
          <w:rStyle w:val="FootnoteReference"/>
        </w:rPr>
        <w:footnoteRef/>
      </w:r>
      <w:r>
        <w:t xml:space="preserve"> </w:t>
      </w:r>
      <w:r>
        <w:tab/>
        <w:t xml:space="preserve">Naar aanleiding van een vraag van de NOvA in het advies van 19 oktober 2015, blz. 2. </w:t>
      </w:r>
    </w:p>
  </w:footnote>
  <w:footnote w:id="24">
    <w:p w:rsidR="00E81EB1" w:rsidRDefault="0071053D" w:rsidP="00F11524">
      <w:pPr>
        <w:pStyle w:val="FootnoteText"/>
        <w:ind w:left="227" w:hanging="227"/>
      </w:pPr>
      <w:r>
        <w:rPr>
          <w:rStyle w:val="FootnoteReference"/>
        </w:rPr>
        <w:footnoteRef/>
      </w:r>
      <w:r>
        <w:t xml:space="preserve"> </w:t>
      </w:r>
      <w:r>
        <w:tab/>
      </w:r>
      <w:r w:rsidRPr="00E81EB1">
        <w:t>Toelichting par</w:t>
      </w:r>
      <w:r>
        <w:t>agraaf</w:t>
      </w:r>
      <w:r w:rsidRPr="00E81EB1">
        <w:t xml:space="preserve"> 3.2, laatste tekstblok</w:t>
      </w:r>
      <w:r>
        <w:t>.</w:t>
      </w:r>
    </w:p>
  </w:footnote>
  <w:footnote w:id="25">
    <w:p w:rsidR="00E81EB1" w:rsidRDefault="0071053D" w:rsidP="00F11524">
      <w:pPr>
        <w:pStyle w:val="FootnoteText"/>
        <w:ind w:left="227" w:hanging="227"/>
      </w:pPr>
      <w:r>
        <w:rPr>
          <w:rStyle w:val="FootnoteReference"/>
        </w:rPr>
        <w:footnoteRef/>
      </w:r>
      <w:r>
        <w:t xml:space="preserve"> </w:t>
      </w:r>
      <w:r>
        <w:tab/>
        <w:t xml:space="preserve">Vergelijk ook het advies van de Raad voor de rechtspraak, blz. 4. </w:t>
      </w:r>
    </w:p>
  </w:footnote>
  <w:footnote w:id="26">
    <w:p w:rsidR="007A6321" w:rsidRDefault="0071053D" w:rsidP="00F11524">
      <w:pPr>
        <w:pStyle w:val="FootnoteText"/>
        <w:ind w:left="227" w:hanging="227"/>
      </w:pPr>
      <w:r>
        <w:rPr>
          <w:rStyle w:val="FootnoteReference"/>
        </w:rPr>
        <w:footnoteRef/>
      </w:r>
      <w:r>
        <w:tab/>
        <w:t>Artikel 10, eerste lid, onderdeel c, van het Kaderbesluit 2006/960/JBZ van de Raad van 18 december 2006 betreffende de vereenvoudiging van de uitwisseling van informatie en inlichtingen tussen de rechtshandhavingsautoriteiten van de lidstaten van de EU luidt: Onverminderd artikel 3, lid 3, mag een bevoegde rechtshandhavingsautoriteit slechts weigeren informatie of inlichtingen te verstrekken indien er feitelijke redenen zijn om aan te nemen dat de verstrekking van de informatie en inlichtingen: c) duidelijk niet in verhouding staat noch relevant is voor de doeleinden waarvoor de betrokken informatie of inlichtingen zijn gevraagd. Zie voorts de Nota van toelichting bij het Besluit van 14 december 2007, houdende bepalingen ter uitvoering van de Wet politiegegevens (Besluit politiegegevens), Staatsblad 2007, 550, blz. 94.</w:t>
      </w:r>
    </w:p>
  </w:footnote>
  <w:footnote w:id="27">
    <w:p w:rsidR="004275E5" w:rsidRDefault="0071053D" w:rsidP="00F11524">
      <w:pPr>
        <w:pStyle w:val="FootnoteText"/>
        <w:ind w:left="227" w:hanging="227"/>
      </w:pPr>
      <w:r>
        <w:rPr>
          <w:rStyle w:val="FootnoteReference"/>
        </w:rPr>
        <w:footnoteRef/>
      </w:r>
      <w:r>
        <w:tab/>
        <w:t xml:space="preserve">Vergelijk artikel 10 van de richtlijn. </w:t>
      </w:r>
    </w:p>
  </w:footnote>
  <w:footnote w:id="28">
    <w:p w:rsidR="004275E5" w:rsidRDefault="0071053D" w:rsidP="00F11524">
      <w:pPr>
        <w:pStyle w:val="FootnoteText"/>
        <w:ind w:left="227" w:hanging="227"/>
      </w:pPr>
      <w:r>
        <w:rPr>
          <w:rStyle w:val="FootnoteReference"/>
        </w:rPr>
        <w:footnoteRef/>
      </w:r>
      <w:r>
        <w:tab/>
        <w:t xml:space="preserve">Toelichting paragraaf 4,2, eerste tekstblok. </w:t>
      </w:r>
    </w:p>
  </w:footnote>
  <w:footnote w:id="29">
    <w:p w:rsidR="0010262A" w:rsidRDefault="0071053D" w:rsidP="00F11524">
      <w:pPr>
        <w:pStyle w:val="FootnoteText"/>
        <w:ind w:left="227" w:hanging="227"/>
      </w:pPr>
      <w:r>
        <w:rPr>
          <w:rStyle w:val="FootnoteReference"/>
        </w:rPr>
        <w:footnoteRef/>
      </w:r>
      <w:r>
        <w:t xml:space="preserve"> </w:t>
      </w:r>
      <w:r>
        <w:tab/>
        <w:t xml:space="preserve">Vergelijk punt 4 van </w:t>
      </w:r>
      <w:r w:rsidRPr="0010262A">
        <w:t>het advies van de Afdeling van 16 februari 2016 over het wetsvoorstel herziening regeling internationale samenwerking in strafzaken</w:t>
      </w:r>
      <w:r>
        <w:t xml:space="preserve">. </w:t>
      </w:r>
    </w:p>
  </w:footnote>
  <w:footnote w:id="30">
    <w:p w:rsidR="004275E5" w:rsidRDefault="0071053D" w:rsidP="00F11524">
      <w:pPr>
        <w:pStyle w:val="FootnoteText"/>
        <w:ind w:left="227" w:hanging="227"/>
      </w:pPr>
      <w:r>
        <w:rPr>
          <w:rStyle w:val="FootnoteReference"/>
        </w:rPr>
        <w:footnoteRef/>
      </w:r>
      <w:r>
        <w:t xml:space="preserve"> </w:t>
      </w:r>
      <w:r>
        <w:tab/>
        <w:t xml:space="preserve">Dit vormt een implementatie van artikel 9, tweede lid, van de richtlijn, dat spreekt over “fundamentele rechtsbeginselen”. </w:t>
      </w:r>
    </w:p>
  </w:footnote>
  <w:footnote w:id="31">
    <w:p w:rsidR="00D25510" w:rsidRDefault="0071053D" w:rsidP="00F11524">
      <w:pPr>
        <w:pStyle w:val="FootnoteText"/>
        <w:ind w:left="227" w:hanging="227"/>
      </w:pPr>
      <w:r>
        <w:rPr>
          <w:rStyle w:val="FootnoteReference"/>
        </w:rPr>
        <w:footnoteRef/>
      </w:r>
      <w:r>
        <w:t xml:space="preserve"> </w:t>
      </w:r>
      <w:r>
        <w:tab/>
        <w:t xml:space="preserve">Het woord “voorwerpen” is in de voorgestelde wettekst weggevallen. Zie de redactionele bijlage. </w:t>
      </w:r>
    </w:p>
  </w:footnote>
  <w:footnote w:id="32">
    <w:p w:rsidR="00A507E9" w:rsidRDefault="0071053D" w:rsidP="00F11524">
      <w:pPr>
        <w:pStyle w:val="FootnoteText"/>
        <w:ind w:left="227" w:hanging="227"/>
      </w:pPr>
      <w:r>
        <w:rPr>
          <w:rStyle w:val="FootnoteReference"/>
        </w:rPr>
        <w:footnoteRef/>
      </w:r>
      <w:r>
        <w:t xml:space="preserve"> </w:t>
      </w:r>
      <w:r>
        <w:tab/>
        <w:t xml:space="preserve">Het wetsvoorstel spreekt overigens over “nasporingen”. Zie de redactionele bijlage. </w:t>
      </w:r>
    </w:p>
  </w:footnote>
  <w:footnote w:id="33">
    <w:p w:rsidR="0010262A" w:rsidRDefault="0071053D" w:rsidP="00F11524">
      <w:pPr>
        <w:pStyle w:val="FootnoteText"/>
        <w:ind w:left="227" w:hanging="227"/>
      </w:pPr>
      <w:r>
        <w:rPr>
          <w:rStyle w:val="FootnoteReference"/>
        </w:rPr>
        <w:footnoteRef/>
      </w:r>
      <w:r>
        <w:t xml:space="preserve"> </w:t>
      </w:r>
      <w:r>
        <w:tab/>
        <w:t xml:space="preserve">Vergelijk punt 5 van het advies van de Afdeling van 16 februari 2016 over het wetsvoorstel herziening regeling internationale samenwerking in strafzaken. </w:t>
      </w:r>
    </w:p>
  </w:footnote>
  <w:footnote w:id="34">
    <w:p w:rsidR="00456AF6" w:rsidRDefault="0071053D">
      <w:pPr>
        <w:pStyle w:val="FootnoteText"/>
      </w:pPr>
      <w:r>
        <w:rPr>
          <w:rStyle w:val="FootnoteReference"/>
        </w:rPr>
        <w:footnoteRef/>
      </w:r>
      <w:r>
        <w:t xml:space="preserve"> </w:t>
      </w:r>
      <w:r>
        <w:tab/>
        <w:t>E</w:t>
      </w:r>
      <w:r w:rsidRPr="00456AF6">
        <w:t>x artikel 59a Sv</w:t>
      </w:r>
      <w:r>
        <w:t>.</w:t>
      </w:r>
    </w:p>
  </w:footnote>
  <w:footnote w:id="35">
    <w:p w:rsidR="008E1A1B" w:rsidRDefault="0071053D">
      <w:pPr>
        <w:pStyle w:val="FootnoteText"/>
      </w:pPr>
      <w:r>
        <w:rPr>
          <w:rStyle w:val="FootnoteReference"/>
        </w:rPr>
        <w:footnoteRef/>
      </w:r>
      <w:r>
        <w:t xml:space="preserve"> </w:t>
      </w:r>
      <w:r>
        <w:tab/>
      </w:r>
      <w:r>
        <w:rPr>
          <w:szCs w:val="22"/>
        </w:rPr>
        <w:t>A</w:t>
      </w:r>
      <w:r w:rsidRPr="0010262A">
        <w:rPr>
          <w:szCs w:val="22"/>
        </w:rPr>
        <w:t>rtikel 14, eerste lid, van de richtlijn</w:t>
      </w:r>
      <w:r>
        <w:rPr>
          <w:szCs w:val="22"/>
        </w:rPr>
        <w:t>.</w:t>
      </w:r>
    </w:p>
  </w:footnote>
  <w:footnote w:id="36">
    <w:p w:rsidR="004275E5" w:rsidRDefault="0071053D" w:rsidP="00F11524">
      <w:pPr>
        <w:pStyle w:val="FootnoteText"/>
        <w:ind w:left="227" w:hanging="227"/>
      </w:pPr>
      <w:r>
        <w:rPr>
          <w:rStyle w:val="FootnoteReference"/>
        </w:rPr>
        <w:footnoteRef/>
      </w:r>
      <w:r>
        <w:tab/>
        <w:t>Toelichting, paragraaf 4.3.</w:t>
      </w:r>
    </w:p>
  </w:footnote>
  <w:footnote w:id="37">
    <w:p w:rsidR="0065022E" w:rsidRDefault="0071053D">
      <w:pPr>
        <w:pStyle w:val="FootnoteText"/>
      </w:pPr>
      <w:r>
        <w:rPr>
          <w:rStyle w:val="FootnoteReference"/>
        </w:rPr>
        <w:footnoteRef/>
      </w:r>
      <w:r>
        <w:t xml:space="preserve"> </w:t>
      </w:r>
      <w:r>
        <w:tab/>
        <w:t xml:space="preserve">Kamerstukken I 2012/13, 32 717, C, blz. 13.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7C1C">
      <w:rPr>
        <w:rStyle w:val="PageNumber"/>
        <w:noProof/>
      </w:rPr>
      <w:t>1</w:t>
    </w:r>
    <w:r>
      <w:rPr>
        <w:rStyle w:val="PageNumber"/>
      </w:rPr>
      <w:fldChar w:fldCharType="end"/>
    </w:r>
  </w:p>
  <w:p w:rsidR="001410FD" w:rsidRDefault="001410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Header"/>
      <w:jc w:val="center"/>
    </w:pPr>
    <w:r>
      <w:rPr>
        <w:rStyle w:val="PageNumber"/>
      </w:rPr>
      <w:fldChar w:fldCharType="begin"/>
    </w:r>
    <w:r>
      <w:rPr>
        <w:rStyle w:val="PageNumber"/>
      </w:rPr>
      <w:instrText xml:space="preserve"> PAGE </w:instrText>
    </w:r>
    <w:r>
      <w:rPr>
        <w:rStyle w:val="PageNumber"/>
      </w:rPr>
      <w:fldChar w:fldCharType="separate"/>
    </w:r>
    <w:r w:rsidR="002B6A25">
      <w:rPr>
        <w:rStyle w:val="PageNumber"/>
        <w:noProof/>
      </w:rPr>
      <w:t>2</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15EE4">
      <w:rPr>
        <w:rStyle w:val="PageNumber"/>
        <w:noProof/>
      </w:rPr>
      <w:t>I</w:t>
    </w:r>
    <w:r>
      <w:rPr>
        <w:rStyle w:val="PageNumber"/>
      </w:rPr>
      <w:fldChar w:fldCharType="end"/>
    </w:r>
  </w:p>
  <w:p w:rsidR="001410FD" w:rsidRPr="001410FD" w:rsidRDefault="001410FD" w:rsidP="001410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6A25"/>
    <w:rsid w:val="002B7D8A"/>
    <w:rsid w:val="002F16D1"/>
    <w:rsid w:val="0031280A"/>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1053D"/>
    <w:rsid w:val="00743072"/>
    <w:rsid w:val="00796479"/>
    <w:rsid w:val="008108EA"/>
    <w:rsid w:val="00815EE4"/>
    <w:rsid w:val="00831363"/>
    <w:rsid w:val="00883369"/>
    <w:rsid w:val="008C5EDD"/>
    <w:rsid w:val="00907421"/>
    <w:rsid w:val="00977969"/>
    <w:rsid w:val="009E537C"/>
    <w:rsid w:val="009E72D2"/>
    <w:rsid w:val="00A316AD"/>
    <w:rsid w:val="00A31DA9"/>
    <w:rsid w:val="00AC5AD9"/>
    <w:rsid w:val="00AF7A6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Univers" w:hAnsi="Univers"/>
      <w:sz w:val="22"/>
      <w:szCs w:val="24"/>
    </w:rPr>
  </w:style>
  <w:style w:type="paragraph" w:styleId="Heading1">
    <w:name w:val="heading 1"/>
    <w:basedOn w:val="Normal"/>
    <w:next w:val="Normal"/>
    <w:link w:val="Heading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1410FD"/>
  </w:style>
  <w:style w:type="paragraph" w:styleId="FootnoteText">
    <w:name w:val="footnote text"/>
    <w:basedOn w:val="Normal"/>
    <w:link w:val="FootnoteTextChar"/>
    <w:rsid w:val="00733CC8"/>
    <w:pPr>
      <w:tabs>
        <w:tab w:val="left" w:pos="227"/>
      </w:tabs>
    </w:pPr>
    <w:rPr>
      <w:sz w:val="18"/>
      <w:szCs w:val="20"/>
    </w:rPr>
  </w:style>
  <w:style w:type="character" w:customStyle="1" w:styleId="FootnoteTextChar">
    <w:name w:val="Footnote Text Char"/>
    <w:link w:val="FootnoteText"/>
    <w:rsid w:val="00733CC8"/>
    <w:rPr>
      <w:rFonts w:ascii="Univers" w:hAnsi="Univers"/>
      <w:sz w:val="18"/>
    </w:rPr>
  </w:style>
  <w:style w:type="paragraph" w:styleId="Header">
    <w:name w:val="header"/>
    <w:basedOn w:val="Normal"/>
    <w:link w:val="Header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1410FD"/>
    <w:rPr>
      <w:rFonts w:ascii="Univers" w:hAnsi="Univers"/>
      <w:sz w:val="22"/>
      <w:lang w:val="nl" w:eastAsia="en-US"/>
    </w:rPr>
  </w:style>
  <w:style w:type="character" w:styleId="PageNumber">
    <w:name w:val="page number"/>
    <w:rsid w:val="001410FD"/>
    <w:rPr>
      <w:rFonts w:ascii="Univers" w:hAnsi="Univers"/>
      <w:sz w:val="22"/>
    </w:rPr>
  </w:style>
  <w:style w:type="paragraph" w:styleId="Footer">
    <w:name w:val="footer"/>
    <w:basedOn w:val="Normal"/>
    <w:link w:val="Footer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FooterChar">
    <w:name w:val="Footer Char"/>
    <w:link w:val="Footer"/>
    <w:rsid w:val="001410FD"/>
    <w:rPr>
      <w:rFonts w:ascii="Univers" w:hAnsi="Univers"/>
      <w:sz w:val="22"/>
      <w:lang w:val="nl" w:eastAsia="en-US"/>
    </w:rPr>
  </w:style>
  <w:style w:type="paragraph" w:styleId="BalloonText">
    <w:name w:val="Balloon Text"/>
    <w:basedOn w:val="Normal"/>
    <w:link w:val="BalloonTextChar"/>
    <w:rsid w:val="00693EF9"/>
    <w:rPr>
      <w:rFonts w:ascii="Tahoma" w:hAnsi="Tahoma" w:cs="Tahoma"/>
      <w:sz w:val="16"/>
      <w:szCs w:val="16"/>
    </w:rPr>
  </w:style>
  <w:style w:type="character" w:customStyle="1" w:styleId="BalloonTextChar">
    <w:name w:val="Balloon Text Char"/>
    <w:basedOn w:val="DefaultParagraphFont"/>
    <w:link w:val="BalloonText"/>
    <w:rsid w:val="00693EF9"/>
    <w:rPr>
      <w:rFonts w:ascii="Tahoma" w:hAnsi="Tahoma" w:cs="Tahoma"/>
      <w:sz w:val="16"/>
      <w:szCs w:val="16"/>
    </w:rPr>
  </w:style>
  <w:style w:type="character" w:styleId="PlaceholderText">
    <w:name w:val="Placeholder Text"/>
    <w:basedOn w:val="DefaultParagraphFont"/>
    <w:uiPriority w:val="99"/>
    <w:semiHidden/>
    <w:rsid w:val="009228A9"/>
    <w:rPr>
      <w:color w:val="808080"/>
    </w:rPr>
  </w:style>
  <w:style w:type="character" w:customStyle="1" w:styleId="Heading1Char">
    <w:name w:val="Heading 1 Char"/>
    <w:basedOn w:val="DefaultParagraphFont"/>
    <w:link w:val="Heading1"/>
    <w:rsid w:val="009F30FD"/>
    <w:rPr>
      <w:rFonts w:asciiTheme="majorHAnsi" w:eastAsiaTheme="majorEastAsia" w:hAnsiTheme="majorHAnsi" w:cstheme="majorBidi"/>
      <w:b/>
      <w:bCs/>
      <w:color w:val="365F91" w:themeColor="accent1" w:themeShade="BF"/>
      <w:sz w:val="28"/>
      <w:szCs w:val="28"/>
    </w:rPr>
  </w:style>
  <w:style w:type="character" w:styleId="FootnoteReference">
    <w:name w:val="footnote reference"/>
    <w:basedOn w:val="DefaultParagraphFont"/>
    <w:rsid w:val="00FC78D7"/>
    <w:rPr>
      <w:vertAlign w:val="superscript"/>
    </w:rPr>
  </w:style>
  <w:style w:type="character" w:styleId="CommentReference">
    <w:name w:val="annotation reference"/>
    <w:basedOn w:val="DefaultParagraphFont"/>
    <w:rsid w:val="00F4623D"/>
    <w:rPr>
      <w:sz w:val="16"/>
      <w:szCs w:val="16"/>
    </w:rPr>
  </w:style>
  <w:style w:type="paragraph" w:styleId="CommentText">
    <w:name w:val="annotation text"/>
    <w:basedOn w:val="Normal"/>
    <w:link w:val="CommentTextChar"/>
    <w:rsid w:val="00F4623D"/>
    <w:rPr>
      <w:sz w:val="20"/>
      <w:szCs w:val="20"/>
    </w:rPr>
  </w:style>
  <w:style w:type="character" w:customStyle="1" w:styleId="CommentTextChar">
    <w:name w:val="Comment Text Char"/>
    <w:basedOn w:val="DefaultParagraphFont"/>
    <w:link w:val="CommentText"/>
    <w:rsid w:val="00F4623D"/>
    <w:rPr>
      <w:rFonts w:ascii="Univers" w:hAnsi="Univers"/>
    </w:rPr>
  </w:style>
  <w:style w:type="paragraph" w:styleId="CommentSubject">
    <w:name w:val="annotation subject"/>
    <w:basedOn w:val="CommentText"/>
    <w:next w:val="CommentText"/>
    <w:link w:val="CommentSubjectChar"/>
    <w:rsid w:val="00F4623D"/>
    <w:rPr>
      <w:b/>
      <w:bCs/>
    </w:rPr>
  </w:style>
  <w:style w:type="character" w:customStyle="1" w:styleId="CommentSubjectChar">
    <w:name w:val="Comment Subject Char"/>
    <w:basedOn w:val="CommentTextChar"/>
    <w:link w:val="CommentSubject"/>
    <w:rsid w:val="00F4623D"/>
    <w:rPr>
      <w:rFonts w:ascii="Univers" w:hAnsi="Univers"/>
      <w:b/>
      <w:bCs/>
    </w:rPr>
  </w:style>
  <w:style w:type="paragraph" w:styleId="ListParagraph">
    <w:name w:val="List Paragraph"/>
    <w:basedOn w:val="Normal"/>
    <w:uiPriority w:val="34"/>
    <w:qFormat/>
    <w:rsid w:val="00F4623D"/>
    <w:pPr>
      <w:ind w:left="720"/>
      <w:contextualSpacing/>
    </w:p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Univers" w:hAnsi="Univers"/>
      <w:sz w:val="22"/>
      <w:szCs w:val="24"/>
    </w:rPr>
  </w:style>
  <w:style w:type="paragraph" w:styleId="Heading1">
    <w:name w:val="heading 1"/>
    <w:basedOn w:val="Normal"/>
    <w:next w:val="Normal"/>
    <w:link w:val="Heading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1410FD"/>
  </w:style>
  <w:style w:type="paragraph" w:styleId="FootnoteText">
    <w:name w:val="footnote text"/>
    <w:basedOn w:val="Normal"/>
    <w:link w:val="FootnoteTextChar"/>
    <w:rsid w:val="00733CC8"/>
    <w:pPr>
      <w:tabs>
        <w:tab w:val="left" w:pos="227"/>
      </w:tabs>
    </w:pPr>
    <w:rPr>
      <w:sz w:val="18"/>
      <w:szCs w:val="20"/>
    </w:rPr>
  </w:style>
  <w:style w:type="character" w:customStyle="1" w:styleId="FootnoteTextChar">
    <w:name w:val="Footnote Text Char"/>
    <w:link w:val="FootnoteText"/>
    <w:rsid w:val="00733CC8"/>
    <w:rPr>
      <w:rFonts w:ascii="Univers" w:hAnsi="Univers"/>
      <w:sz w:val="18"/>
    </w:rPr>
  </w:style>
  <w:style w:type="paragraph" w:styleId="Header">
    <w:name w:val="header"/>
    <w:basedOn w:val="Normal"/>
    <w:link w:val="Header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1410FD"/>
    <w:rPr>
      <w:rFonts w:ascii="Univers" w:hAnsi="Univers"/>
      <w:sz w:val="22"/>
      <w:lang w:val="nl" w:eastAsia="en-US"/>
    </w:rPr>
  </w:style>
  <w:style w:type="character" w:styleId="PageNumber">
    <w:name w:val="page number"/>
    <w:rsid w:val="001410FD"/>
    <w:rPr>
      <w:rFonts w:ascii="Univers" w:hAnsi="Univers"/>
      <w:sz w:val="22"/>
    </w:rPr>
  </w:style>
  <w:style w:type="paragraph" w:styleId="Footer">
    <w:name w:val="footer"/>
    <w:basedOn w:val="Normal"/>
    <w:link w:val="Footer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FooterChar">
    <w:name w:val="Footer Char"/>
    <w:link w:val="Footer"/>
    <w:rsid w:val="001410FD"/>
    <w:rPr>
      <w:rFonts w:ascii="Univers" w:hAnsi="Univers"/>
      <w:sz w:val="22"/>
      <w:lang w:val="nl" w:eastAsia="en-US"/>
    </w:rPr>
  </w:style>
  <w:style w:type="paragraph" w:styleId="BalloonText">
    <w:name w:val="Balloon Text"/>
    <w:basedOn w:val="Normal"/>
    <w:link w:val="BalloonTextChar"/>
    <w:rsid w:val="00693EF9"/>
    <w:rPr>
      <w:rFonts w:ascii="Tahoma" w:hAnsi="Tahoma" w:cs="Tahoma"/>
      <w:sz w:val="16"/>
      <w:szCs w:val="16"/>
    </w:rPr>
  </w:style>
  <w:style w:type="character" w:customStyle="1" w:styleId="BalloonTextChar">
    <w:name w:val="Balloon Text Char"/>
    <w:basedOn w:val="DefaultParagraphFont"/>
    <w:link w:val="BalloonText"/>
    <w:rsid w:val="00693EF9"/>
    <w:rPr>
      <w:rFonts w:ascii="Tahoma" w:hAnsi="Tahoma" w:cs="Tahoma"/>
      <w:sz w:val="16"/>
      <w:szCs w:val="16"/>
    </w:rPr>
  </w:style>
  <w:style w:type="character" w:styleId="PlaceholderText">
    <w:name w:val="Placeholder Text"/>
    <w:basedOn w:val="DefaultParagraphFont"/>
    <w:uiPriority w:val="99"/>
    <w:semiHidden/>
    <w:rsid w:val="009228A9"/>
    <w:rPr>
      <w:color w:val="808080"/>
    </w:rPr>
  </w:style>
  <w:style w:type="character" w:customStyle="1" w:styleId="Heading1Char">
    <w:name w:val="Heading 1 Char"/>
    <w:basedOn w:val="DefaultParagraphFont"/>
    <w:link w:val="Heading1"/>
    <w:rsid w:val="009F30FD"/>
    <w:rPr>
      <w:rFonts w:asciiTheme="majorHAnsi" w:eastAsiaTheme="majorEastAsia" w:hAnsiTheme="majorHAnsi" w:cstheme="majorBidi"/>
      <w:b/>
      <w:bCs/>
      <w:color w:val="365F91" w:themeColor="accent1" w:themeShade="BF"/>
      <w:sz w:val="28"/>
      <w:szCs w:val="28"/>
    </w:rPr>
  </w:style>
  <w:style w:type="character" w:styleId="FootnoteReference">
    <w:name w:val="footnote reference"/>
    <w:basedOn w:val="DefaultParagraphFont"/>
    <w:rsid w:val="00FC78D7"/>
    <w:rPr>
      <w:vertAlign w:val="superscript"/>
    </w:rPr>
  </w:style>
  <w:style w:type="character" w:styleId="CommentReference">
    <w:name w:val="annotation reference"/>
    <w:basedOn w:val="DefaultParagraphFont"/>
    <w:rsid w:val="00F4623D"/>
    <w:rPr>
      <w:sz w:val="16"/>
      <w:szCs w:val="16"/>
    </w:rPr>
  </w:style>
  <w:style w:type="paragraph" w:styleId="CommentText">
    <w:name w:val="annotation text"/>
    <w:basedOn w:val="Normal"/>
    <w:link w:val="CommentTextChar"/>
    <w:rsid w:val="00F4623D"/>
    <w:rPr>
      <w:sz w:val="20"/>
      <w:szCs w:val="20"/>
    </w:rPr>
  </w:style>
  <w:style w:type="character" w:customStyle="1" w:styleId="CommentTextChar">
    <w:name w:val="Comment Text Char"/>
    <w:basedOn w:val="DefaultParagraphFont"/>
    <w:link w:val="CommentText"/>
    <w:rsid w:val="00F4623D"/>
    <w:rPr>
      <w:rFonts w:ascii="Univers" w:hAnsi="Univers"/>
    </w:rPr>
  </w:style>
  <w:style w:type="paragraph" w:styleId="CommentSubject">
    <w:name w:val="annotation subject"/>
    <w:basedOn w:val="CommentText"/>
    <w:next w:val="CommentText"/>
    <w:link w:val="CommentSubjectChar"/>
    <w:rsid w:val="00F4623D"/>
    <w:rPr>
      <w:b/>
      <w:bCs/>
    </w:rPr>
  </w:style>
  <w:style w:type="character" w:customStyle="1" w:styleId="CommentSubjectChar">
    <w:name w:val="Comment Subject Char"/>
    <w:basedOn w:val="CommentTextChar"/>
    <w:link w:val="CommentSubject"/>
    <w:rsid w:val="00F4623D"/>
    <w:rPr>
      <w:rFonts w:ascii="Univers" w:hAnsi="Univers"/>
      <w:b/>
      <w:bCs/>
    </w:rPr>
  </w:style>
  <w:style w:type="paragraph" w:styleId="ListParagraph">
    <w:name w:val="List Paragraph"/>
    <w:basedOn w:val="Normal"/>
    <w:uiPriority w:val="34"/>
    <w:qFormat/>
    <w:rsid w:val="00F4623D"/>
    <w:pPr>
      <w:ind w:left="720"/>
      <w:contextualSpacing/>
    </w:p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PlaceholderText"/>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PlaceholderText"/>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33CD0"/>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4810</ap:Words>
  <ap:Characters>26459</ap:Characters>
  <ap:DocSecurity>0</ap:DocSecurity>
  <ap:Lines>220</ap:Lines>
  <ap:Paragraphs>62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31207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2016-11-21T13:10:00.0000000Z</dcterms:created>
  <dcterms:modified xsi:type="dcterms:W3CDTF">2016-11-21T13:10:00.0000000Z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0x010100A5AC1445A62B714DAECBC0D53827AA63</vt:lpwstr>
  </property>
</Properties>
</file>