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FE120F">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W13.16.0138/III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 juli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92F9F" w:rsidRDefault="00CD3113">
              <w:r>
                <w:t>Bij Kabinetsmissive van 7 juni 2016, no.2016000976, heeft Uwe Majesteit, op voordracht van de Minister van Volksgezondheid, Welzijn en Sport, bij de Afdeling advisering van de Raad van State ter overweging aanhangig gemaakt het voorstel van wet houdende wijziging van de Zorgverzekeringswet en de Wet op de zorgtoeslag in verband met enkele inhoudelijke en technische verbeteringen (Verzamelwet Zvw 2016), met memorie van toelichting.</w:t>
              </w:r>
            </w:p>
          </w:sdtContent>
        </w:sdt>
        <w:p w:rsidRPr="00831363" w:rsidR="00CE4655" w:rsidP="003C7608" w:rsidRDefault="00CE4655"/>
        <w:sdt>
          <w:sdtPr>
            <w:alias w:val="VrijeTekst1"/>
            <w:tag w:val="VrijeTekst1"/>
            <w:id w:val="-437221631"/>
          </w:sdtPr>
          <w:sdtEndPr/>
          <w:sdtContent>
            <w:p w:rsidR="005D2756" w:rsidP="0087597A" w:rsidRDefault="00CD3113">
              <w:pPr>
                <w:pStyle w:val="Lijstalinea"/>
                <w:ind w:left="0"/>
              </w:pPr>
              <w:r>
                <w:t>Het voorstel strekt er onder meer toe de Zorgverzekeringswet en de Wet op de zorgtoeslag te wijzigen in verband met het vervroegen van de jaarlijkse bekendmaking van de nominale premie en de standaardpremie.</w:t>
              </w:r>
            </w:p>
            <w:p w:rsidRPr="005D2756" w:rsidR="00A9788E" w:rsidP="0087597A" w:rsidRDefault="00FE120F">
              <w:pPr>
                <w:pStyle w:val="Lijstalinea"/>
                <w:ind w:left="0"/>
                <w:rPr>
                  <w:u w:val="single"/>
                </w:rPr>
              </w:pPr>
            </w:p>
            <w:p w:rsidR="007A4E1D" w:rsidP="007A4E1D" w:rsidRDefault="00CD3113">
              <w:pPr>
                <w:pStyle w:val="Lijstalinea"/>
                <w:ind w:left="0"/>
              </w:pPr>
              <w:r w:rsidRPr="00061C48">
                <w:t>De Afdeling advisering van de Raad van State adviseert het voorstel aan de Tweede Kamer te zenden, maar acht</w:t>
              </w:r>
              <w:r>
                <w:t xml:space="preserve"> voor het creëren van de mogelijkheid om toepassing te geven aan de spoedprocedure van de Wet raadgevend referendum (Wrr) een dragende motivering aangewezen en bij gebreke daarvan schrapping van de toepassing van de spoedprocedure.</w:t>
              </w:r>
            </w:p>
            <w:p w:rsidR="007A4E1D" w:rsidP="007A4E1D" w:rsidRDefault="00FE120F">
              <w:pPr>
                <w:pStyle w:val="Lijstalinea"/>
                <w:ind w:left="0"/>
              </w:pPr>
            </w:p>
            <w:p w:rsidRPr="007A4E1D" w:rsidR="00B5545B" w:rsidP="007A4E1D" w:rsidRDefault="00CD3113">
              <w:pPr>
                <w:pStyle w:val="Lijstalinea"/>
                <w:ind w:left="0"/>
              </w:pPr>
              <w:r>
                <w:t>1.</w:t>
              </w:r>
              <w:r>
                <w:tab/>
              </w:r>
              <w:r w:rsidRPr="005D2756">
                <w:rPr>
                  <w:u w:val="single"/>
                </w:rPr>
                <w:t>Spoedprocedure Wet raadgevend referendum</w:t>
              </w:r>
            </w:p>
            <w:p w:rsidR="00D606C3" w:rsidP="00954004" w:rsidRDefault="00FE120F">
              <w:pPr>
                <w:rPr>
                  <w:u w:val="single"/>
                </w:rPr>
              </w:pPr>
            </w:p>
            <w:p w:rsidRPr="00D606C3" w:rsidR="00D606C3" w:rsidP="00954004" w:rsidRDefault="00CD3113">
              <w:r>
                <w:t xml:space="preserve">In artikel III wordt de mogelijkheid gecreëerd om in het inwerkingtredingsbesluit de spoedprocedure uit artikel 12 Wrr toe te passen. </w:t>
              </w:r>
            </w:p>
            <w:p w:rsidR="00327303" w:rsidP="00954004" w:rsidRDefault="00CD3113">
              <w:r>
                <w:t>De toelichting stelt dat dit nodig zou kunnen zijn om de jaarlijkse bekendmaking van de nominale premie met een week te vervroegen teneinde de zorgtoeslag met ingang van een nieuw kalenderjaar te kunnen vaststellen. Of dat nodig is, hangt mede af van het moment waarop het parlement het wetsvoorstel aanneemt, aldus de toelichting.</w:t>
              </w:r>
            </w:p>
            <w:p w:rsidR="00327303" w:rsidP="00954004" w:rsidRDefault="00FE120F"/>
            <w:p w:rsidR="005D2756" w:rsidP="00954004" w:rsidRDefault="00CD3113">
              <w:r>
                <w:t>Uitgangspunt van de Wrr is dat een wet niet in werking treedt voordat een referendum is gehouden of de gelegenheid is geweest om een inleidend verzoek daartoe in te dienen. Daarvan kan slechts worden afgeweken als een wet dermate spoedeisend is dat zij onmiddellijk in werking moet treden. Indien de wetgever daarvoor te lichtvaardig zou kiezen, zou dat het karakter van de Wrr als algemene wet aantasten.</w:t>
              </w:r>
            </w:p>
            <w:p w:rsidR="00327303" w:rsidP="00954004" w:rsidRDefault="00CD3113">
              <w:r>
                <w:t xml:space="preserve"> </w:t>
              </w:r>
            </w:p>
            <w:p w:rsidR="005D2756" w:rsidP="00954004" w:rsidRDefault="00CD3113">
              <w:r>
                <w:t>De Afdeling merkt op dat beoogd wordt af te wijken van de Wrr in een context waarin een wijziging in werking gaat treden op een vooralsnog onbekend moment, te weten een bij koninklijk besluit te bepalen tijdstip.</w:t>
              </w:r>
            </w:p>
            <w:p w:rsidR="005D2756" w:rsidP="00954004" w:rsidRDefault="00CD3113">
              <w:r>
                <w:t>De reden voor toepassing van artikel 12 Wrr zal, blijkens de toelichting op de Wrr,</w:t>
              </w:r>
              <w:r>
                <w:rPr>
                  <w:rStyle w:val="Voetnootmarkering"/>
                </w:rPr>
                <w:footnoteReference w:id="1"/>
              </w:r>
              <w:r>
                <w:t xml:space="preserve"> geen andere kunnen zijn dan dat de wet dermate spoedeisend is dat afgeweken moet worden van de algemene inwerkingtredingsprocedure uit de artikelen 8 en 9.</w:t>
              </w:r>
              <w:r>
                <w:rPr>
                  <w:rStyle w:val="Voetnootmarkering"/>
                </w:rPr>
                <w:footnoteReference w:id="2"/>
              </w:r>
              <w:r>
                <w:t xml:space="preserve"> Het voor de zekerheid opnemen van een bepaling die artikel 12 Wrr van toepassing verklaart, voor het geval toepassing er van in de loop van de parlementaire behandeling wenselijk lijkt, voldoet niet aan dit uitgangspunt.</w:t>
              </w:r>
            </w:p>
            <w:p w:rsidR="005D2756" w:rsidP="00954004" w:rsidRDefault="00FE120F"/>
            <w:p w:rsidR="005D2756" w:rsidP="00954004" w:rsidRDefault="00CD3113">
              <w:r>
                <w:lastRenderedPageBreak/>
                <w:t xml:space="preserve">De Afdeling adviseert dragend te motiveren waarom de spoedprocedure mogelijk wordt gemaakt en bij gebreke van een dergelijke motivering de mogelijkheid om de spoedprocedure te volgen te schrappen.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D3113">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92F9F" w:rsidRDefault="00CD311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W13.16.0138</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58149F" w:rsidP="00D969CB" w:rsidRDefault="00CD3113">
              <w:pPr>
                <w:numPr>
                  <w:ilvl w:val="0"/>
                  <w:numId w:val="1"/>
                </w:numPr>
              </w:pPr>
              <w:r>
                <w:t>In artikel I, onderdeel B, rekening houden met artikel I, onderdeel J, van de Wijzigingswet van 8 april 2016 (Stb 173), waarbij het Zorginstituut wordt vervangen door het CAK in verband met de overgang van een aantal taken.</w:t>
              </w:r>
            </w:p>
            <w:p w:rsidR="0058149F" w:rsidP="00D969CB" w:rsidRDefault="00CD3113">
              <w:pPr>
                <w:numPr>
                  <w:ilvl w:val="0"/>
                  <w:numId w:val="1"/>
                </w:numPr>
              </w:pPr>
              <w:r>
                <w:t>In artikel I, onderdeel F, de verwijzing naar artikel 59a, derde tot en met zevende lid, wijzigen in: derde tot en met achtste lid.</w:t>
              </w:r>
            </w:p>
            <w:p w:rsidR="00C653E6" w:rsidP="00D969CB" w:rsidRDefault="00CD3113">
              <w:pPr>
                <w:numPr>
                  <w:ilvl w:val="0"/>
                  <w:numId w:val="1"/>
                </w:numPr>
              </w:pPr>
              <w:r>
                <w:t xml:space="preserve">In artikel I, onderdeel G, na “artikel 66e, tweede lid,” invoegen: aanhef,. </w:t>
              </w:r>
            </w:p>
          </w:sdtContent>
        </w:sdt>
        <w:p w:rsidR="00C50D4F" w:rsidP="005841EA" w:rsidRDefault="00FE120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CD3113" w:rsidP="005B3E03">
      <w:r>
        <w:separator/>
      </w:r>
    </w:p>
  </w:endnote>
  <w:endnote w:type="continuationSeparator" w:id="0">
    <w:p w:rsidR="00954004" w:rsidRDefault="00CD311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FE120F">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CD3113" w:rsidP="005B3E03">
      <w:r>
        <w:separator/>
      </w:r>
    </w:p>
  </w:footnote>
  <w:footnote w:type="continuationSeparator" w:id="0">
    <w:p w:rsidR="00954004" w:rsidRDefault="00CD3113" w:rsidP="005B3E03">
      <w:r>
        <w:continuationSeparator/>
      </w:r>
    </w:p>
  </w:footnote>
  <w:footnote w:id="1">
    <w:p w:rsidR="00B77C95" w:rsidRDefault="00CD3113">
      <w:pPr>
        <w:pStyle w:val="Voetnoottekst"/>
      </w:pPr>
      <w:r>
        <w:rPr>
          <w:rStyle w:val="Voetnootmarkering"/>
        </w:rPr>
        <w:footnoteRef/>
      </w:r>
      <w:r>
        <w:tab/>
        <w:t>Kamerstukken II 2005/06, 30 372, paragraaf 8.3.2.</w:t>
      </w:r>
    </w:p>
  </w:footnote>
  <w:footnote w:id="2">
    <w:p w:rsidR="00B77C95" w:rsidRDefault="00CD3113">
      <w:pPr>
        <w:pStyle w:val="Voetnoottekst"/>
      </w:pPr>
      <w:r>
        <w:rPr>
          <w:rStyle w:val="Voetnootmarkering"/>
        </w:rPr>
        <w:footnoteRef/>
      </w:r>
      <w:r>
        <w:tab/>
        <w:t>Deze normale procedure houdt in dat het tijdstip van inwerkingtreding van een wet waarover een referendum kan worden gehouden, niet eerder wordt gesteld dan acht weken na de mededeling van de minister van Binnenlandse Zaken en Koninkrijksrelaties over de bekrachtiging van die wet. Deze mededeling wordt binnen een week na die bekrachtiging geplaatst in de Staatscourant.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6E2E39"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6E2E39">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FE120F">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6E2E39"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FE120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4F96B04"/>
    <w:multiLevelType w:val="hybridMultilevel"/>
    <w:tmpl w:val="068EEE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18D0"/>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92F9F"/>
    <w:rsid w:val="006C5E3C"/>
    <w:rsid w:val="006D53BA"/>
    <w:rsid w:val="006E2E39"/>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D3113"/>
    <w:rsid w:val="00CE4655"/>
    <w:rsid w:val="00D2526B"/>
    <w:rsid w:val="00D92754"/>
    <w:rsid w:val="00DB6AF4"/>
    <w:rsid w:val="00DE4E42"/>
    <w:rsid w:val="00E4090A"/>
    <w:rsid w:val="00F374C1"/>
    <w:rsid w:val="00FE1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C4C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C4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8D76CA"/>
    <w:rsid w:val="008F51F7"/>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76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573</ap:Words>
  <ap:Characters>3154</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2016-10-11T12:27:00.0000000Z</dcterms:created>
  <dcterms:modified xsi:type="dcterms:W3CDTF">2016-10-11T12:27:00.0000000Z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0x0101006F2926639D9FD5468122DC0BE817B6CE</vt:lpwstr>
  </property>
</Properties>
</file>