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A3" w:rsidP="00E66794" w:rsidRDefault="00E66794">
      <w:pPr>
        <w:jc w:val="center"/>
        <w:rPr>
          <w:b/>
          <w:sz w:val="24"/>
        </w:rPr>
      </w:pPr>
      <w:bookmarkStart w:name="_GoBack" w:id="0"/>
      <w:bookmarkEnd w:id="0"/>
      <w:r w:rsidRPr="00403DDD">
        <w:rPr>
          <w:b/>
          <w:sz w:val="24"/>
        </w:rPr>
        <w:t>Geannoteerde agenda van de bijeenkomst van</w:t>
      </w:r>
    </w:p>
    <w:p w:rsidRPr="00403DDD" w:rsidR="00E66794" w:rsidP="00E66794" w:rsidRDefault="00E66794">
      <w:pPr>
        <w:jc w:val="center"/>
        <w:rPr>
          <w:b/>
          <w:sz w:val="24"/>
        </w:rPr>
      </w:pPr>
      <w:r w:rsidRPr="00403DDD">
        <w:rPr>
          <w:b/>
          <w:sz w:val="24"/>
        </w:rPr>
        <w:t>de Raad Justitie en Binnenlandse Zaken,</w:t>
      </w:r>
    </w:p>
    <w:p w:rsidRPr="00BE08A6" w:rsidR="00E66794" w:rsidP="00685F74" w:rsidRDefault="00685F74">
      <w:pPr>
        <w:jc w:val="center"/>
        <w:rPr>
          <w:b/>
          <w:sz w:val="24"/>
          <w:lang w:val="de-DE"/>
        </w:rPr>
      </w:pPr>
      <w:r w:rsidRPr="00BE08A6">
        <w:rPr>
          <w:b/>
          <w:sz w:val="24"/>
          <w:lang w:val="de-DE"/>
        </w:rPr>
        <w:t>13</w:t>
      </w:r>
      <w:r w:rsidRPr="00BE08A6" w:rsidR="004111ED">
        <w:rPr>
          <w:b/>
          <w:sz w:val="24"/>
          <w:lang w:val="de-DE"/>
        </w:rPr>
        <w:t xml:space="preserve"> – 1</w:t>
      </w:r>
      <w:r w:rsidRPr="00BE08A6">
        <w:rPr>
          <w:b/>
          <w:sz w:val="24"/>
          <w:lang w:val="de-DE"/>
        </w:rPr>
        <w:t>4</w:t>
      </w:r>
      <w:r w:rsidRPr="00BE08A6" w:rsidR="004111ED">
        <w:rPr>
          <w:b/>
          <w:sz w:val="24"/>
          <w:lang w:val="de-DE"/>
        </w:rPr>
        <w:t xml:space="preserve"> </w:t>
      </w:r>
      <w:r w:rsidRPr="00BE08A6">
        <w:rPr>
          <w:b/>
          <w:sz w:val="24"/>
          <w:lang w:val="de-DE"/>
        </w:rPr>
        <w:t>oktober</w:t>
      </w:r>
      <w:r w:rsidRPr="00BE08A6" w:rsidR="00771EC8">
        <w:rPr>
          <w:b/>
          <w:sz w:val="24"/>
          <w:lang w:val="de-DE"/>
        </w:rPr>
        <w:t xml:space="preserve"> </w:t>
      </w:r>
      <w:r w:rsidRPr="00BE08A6" w:rsidR="00E66794">
        <w:rPr>
          <w:b/>
          <w:sz w:val="24"/>
          <w:lang w:val="de-DE"/>
        </w:rPr>
        <w:t>201</w:t>
      </w:r>
      <w:r w:rsidRPr="00BE08A6" w:rsidR="00F047FE">
        <w:rPr>
          <w:b/>
          <w:sz w:val="24"/>
          <w:lang w:val="de-DE"/>
        </w:rPr>
        <w:t>6</w:t>
      </w:r>
      <w:r w:rsidRPr="00BE08A6" w:rsidR="0080167E">
        <w:rPr>
          <w:b/>
          <w:sz w:val="24"/>
          <w:lang w:val="de-DE"/>
        </w:rPr>
        <w:t xml:space="preserve"> </w:t>
      </w:r>
      <w:r w:rsidRPr="00BE08A6" w:rsidR="00E66794">
        <w:rPr>
          <w:b/>
          <w:sz w:val="24"/>
          <w:lang w:val="de-DE"/>
        </w:rPr>
        <w:t xml:space="preserve">te </w:t>
      </w:r>
      <w:r w:rsidRPr="00BE08A6" w:rsidR="004111ED">
        <w:rPr>
          <w:b/>
          <w:sz w:val="24"/>
          <w:lang w:val="de-DE"/>
        </w:rPr>
        <w:t>Luxemburg</w:t>
      </w:r>
    </w:p>
    <w:p w:rsidRPr="00BE08A6" w:rsidR="00E66794" w:rsidP="00E66794" w:rsidRDefault="00E66794">
      <w:pPr>
        <w:rPr>
          <w:lang w:val="de-DE"/>
        </w:rPr>
      </w:pPr>
    </w:p>
    <w:p w:rsidRPr="00BE08A6" w:rsidR="00E66794" w:rsidP="00E66794" w:rsidRDefault="00E66794">
      <w:pPr>
        <w:rPr>
          <w:lang w:val="de-DE"/>
        </w:rPr>
      </w:pPr>
    </w:p>
    <w:p w:rsidRPr="00BE08A6" w:rsidR="0042413F" w:rsidP="0042413F" w:rsidRDefault="0042413F">
      <w:pPr>
        <w:rPr>
          <w:b/>
          <w:bCs/>
          <w:sz w:val="24"/>
          <w:lang w:val="de-DE"/>
        </w:rPr>
      </w:pPr>
      <w:r w:rsidRPr="00BE08A6">
        <w:rPr>
          <w:b/>
          <w:bCs/>
          <w:sz w:val="24"/>
          <w:lang w:val="de-DE"/>
        </w:rPr>
        <w:t xml:space="preserve">I. </w:t>
      </w:r>
      <w:r w:rsidRPr="00BE08A6" w:rsidR="006307CB">
        <w:rPr>
          <w:b/>
          <w:bCs/>
          <w:sz w:val="24"/>
          <w:lang w:val="de-DE"/>
        </w:rPr>
        <w:t>Gemengd Comité</w:t>
      </w:r>
    </w:p>
    <w:p w:rsidRPr="00BE08A6" w:rsidR="00A92A0E" w:rsidP="00A92A0E" w:rsidRDefault="00A92A0E">
      <w:pPr>
        <w:rPr>
          <w:b/>
          <w:sz w:val="20"/>
          <w:szCs w:val="20"/>
          <w:lang w:val="de-DE"/>
        </w:rPr>
      </w:pPr>
    </w:p>
    <w:p w:rsidR="00BE289E" w:rsidP="00A92A0E" w:rsidRDefault="00BE289E">
      <w:pPr>
        <w:rPr>
          <w:b/>
          <w:sz w:val="20"/>
          <w:szCs w:val="20"/>
        </w:rPr>
      </w:pPr>
      <w:r>
        <w:rPr>
          <w:b/>
          <w:sz w:val="20"/>
          <w:szCs w:val="20"/>
          <w:u w:val="single"/>
        </w:rPr>
        <w:t>Gemengd Comité</w:t>
      </w:r>
    </w:p>
    <w:p w:rsidR="00BE289E" w:rsidP="00A92A0E" w:rsidRDefault="00BE289E">
      <w:pPr>
        <w:rPr>
          <w:b/>
          <w:color w:val="FF0000"/>
          <w:sz w:val="20"/>
          <w:szCs w:val="20"/>
        </w:rPr>
      </w:pPr>
    </w:p>
    <w:p w:rsidR="00685F74" w:rsidP="00685F74" w:rsidRDefault="00685F74">
      <w:pPr>
        <w:pStyle w:val="ListParagraph"/>
        <w:numPr>
          <w:ilvl w:val="0"/>
          <w:numId w:val="1"/>
        </w:numPr>
        <w:rPr>
          <w:b/>
          <w:sz w:val="20"/>
          <w:szCs w:val="20"/>
        </w:rPr>
      </w:pPr>
      <w:r w:rsidRPr="004D70C9">
        <w:rPr>
          <w:b/>
          <w:sz w:val="20"/>
          <w:szCs w:val="20"/>
        </w:rPr>
        <w:t xml:space="preserve">Voorstel voor een verordening van het Europees Parlement en de Raad betreffende de European </w:t>
      </w:r>
      <w:r>
        <w:rPr>
          <w:b/>
          <w:sz w:val="20"/>
          <w:szCs w:val="20"/>
        </w:rPr>
        <w:t xml:space="preserve">Grens- </w:t>
      </w:r>
      <w:r w:rsidRPr="004D70C9">
        <w:rPr>
          <w:b/>
          <w:sz w:val="20"/>
          <w:szCs w:val="20"/>
        </w:rPr>
        <w:t xml:space="preserve">en de </w:t>
      </w:r>
      <w:r>
        <w:rPr>
          <w:b/>
          <w:sz w:val="20"/>
          <w:szCs w:val="20"/>
        </w:rPr>
        <w:t xml:space="preserve">Kustwacht </w:t>
      </w:r>
      <w:r w:rsidRPr="004D70C9">
        <w:rPr>
          <w:b/>
          <w:sz w:val="20"/>
          <w:szCs w:val="20"/>
        </w:rPr>
        <w:t>en tot intrekking van Verordening (EG) nr 2007/2004 , Verordening Besluit ( EG) 863/2007 en Raad</w:t>
      </w:r>
      <w:r>
        <w:rPr>
          <w:b/>
          <w:sz w:val="20"/>
          <w:szCs w:val="20"/>
        </w:rPr>
        <w:t xml:space="preserve">sbesluit </w:t>
      </w:r>
      <w:r w:rsidRPr="004D70C9">
        <w:rPr>
          <w:b/>
          <w:sz w:val="20"/>
          <w:szCs w:val="20"/>
        </w:rPr>
        <w:t xml:space="preserve"> 2005/267</w:t>
      </w:r>
      <w:r>
        <w:rPr>
          <w:b/>
          <w:sz w:val="20"/>
          <w:szCs w:val="20"/>
        </w:rPr>
        <w:t>/EC</w:t>
      </w:r>
    </w:p>
    <w:p w:rsidR="00685F74" w:rsidP="00685F74" w:rsidRDefault="00685F74">
      <w:pPr>
        <w:pStyle w:val="ListParagraph"/>
        <w:ind w:left="360"/>
        <w:rPr>
          <w:b/>
          <w:sz w:val="20"/>
          <w:szCs w:val="20"/>
        </w:rPr>
      </w:pPr>
      <w:r>
        <w:rPr>
          <w:b/>
          <w:sz w:val="20"/>
          <w:szCs w:val="20"/>
        </w:rPr>
        <w:t>Interinstitutioneel dossiernummer 2015/0310 (COD)</w:t>
      </w:r>
    </w:p>
    <w:p w:rsidR="00685F74" w:rsidP="00685F74" w:rsidRDefault="00685F74">
      <w:pPr>
        <w:pStyle w:val="ListParagraph"/>
        <w:ind w:left="360"/>
        <w:rPr>
          <w:b/>
          <w:sz w:val="20"/>
          <w:szCs w:val="20"/>
        </w:rPr>
      </w:pPr>
      <w:r>
        <w:rPr>
          <w:b/>
          <w:sz w:val="20"/>
          <w:szCs w:val="20"/>
        </w:rPr>
        <w:t>= voortgangsrapportage</w:t>
      </w:r>
    </w:p>
    <w:p w:rsidR="00685F74" w:rsidP="00685F74" w:rsidRDefault="00685F74">
      <w:pPr>
        <w:rPr>
          <w:b/>
          <w:sz w:val="20"/>
          <w:szCs w:val="20"/>
        </w:rPr>
      </w:pPr>
    </w:p>
    <w:p w:rsidR="00685F74" w:rsidP="00685F74" w:rsidRDefault="00703B4C">
      <w:pPr>
        <w:rPr>
          <w:b/>
          <w:sz w:val="20"/>
          <w:szCs w:val="20"/>
        </w:rPr>
      </w:pPr>
      <w:r>
        <w:rPr>
          <w:sz w:val="20"/>
          <w:szCs w:val="20"/>
        </w:rPr>
        <w:t>Onder Nederlands v</w:t>
      </w:r>
      <w:r w:rsidR="007B3489">
        <w:rPr>
          <w:sz w:val="20"/>
          <w:szCs w:val="20"/>
        </w:rPr>
        <w:t>oorzitterschap is een politiek akkoord bereikt over de instelling van een Europese grens- en kustwacht. Het Europees Parlement en de Raad hebben op 14 september jl. het voorstel officieel bekrachtigd. Op 6 oktober a.s. zal de Verordening</w:t>
      </w:r>
      <w:r w:rsidR="007B3489">
        <w:rPr>
          <w:rStyle w:val="FootnoteReference"/>
          <w:sz w:val="20"/>
          <w:szCs w:val="20"/>
        </w:rPr>
        <w:footnoteReference w:id="1"/>
      </w:r>
      <w:r w:rsidR="007B3489">
        <w:rPr>
          <w:sz w:val="20"/>
          <w:szCs w:val="20"/>
        </w:rPr>
        <w:t xml:space="preserve"> officieel in werking treden. Frontex ontplooit momenteel de nodige werkzaamheden opdat de Europese grens- en kustwacht nog voor het eind van dit j</w:t>
      </w:r>
      <w:r>
        <w:rPr>
          <w:sz w:val="20"/>
          <w:szCs w:val="20"/>
        </w:rPr>
        <w:t>aar operationeel kan zijn. Het v</w:t>
      </w:r>
      <w:r w:rsidR="007B3489">
        <w:rPr>
          <w:sz w:val="20"/>
          <w:szCs w:val="20"/>
        </w:rPr>
        <w:t>oorzitterschap zal de voortgang met betrekking tot de implementatie toelichten.</w:t>
      </w:r>
    </w:p>
    <w:p w:rsidR="00685F74" w:rsidP="00685F74" w:rsidRDefault="00685F74">
      <w:pPr>
        <w:rPr>
          <w:b/>
          <w:sz w:val="20"/>
          <w:szCs w:val="20"/>
        </w:rPr>
      </w:pPr>
    </w:p>
    <w:p w:rsidR="00AE3388" w:rsidP="00AE3388" w:rsidRDefault="00AE3388">
      <w:pPr>
        <w:rPr>
          <w:b/>
          <w:color w:val="FF0000"/>
          <w:sz w:val="20"/>
          <w:szCs w:val="20"/>
        </w:rPr>
      </w:pPr>
    </w:p>
    <w:p w:rsidRPr="00685F74" w:rsidR="00AE3388" w:rsidP="00AE3388" w:rsidRDefault="00AE3388">
      <w:pPr>
        <w:pStyle w:val="ListParagraph"/>
        <w:numPr>
          <w:ilvl w:val="0"/>
          <w:numId w:val="1"/>
        </w:numPr>
        <w:rPr>
          <w:b/>
          <w:sz w:val="20"/>
          <w:szCs w:val="20"/>
        </w:rPr>
      </w:pPr>
      <w:r>
        <w:rPr>
          <w:b/>
          <w:sz w:val="20"/>
          <w:szCs w:val="20"/>
        </w:rPr>
        <w:t>IT-maatregelen voor grensbewaking</w:t>
      </w:r>
      <w:r w:rsidRPr="00685F74">
        <w:rPr>
          <w:b/>
          <w:sz w:val="20"/>
          <w:szCs w:val="20"/>
        </w:rPr>
        <w:t xml:space="preserve"> </w:t>
      </w:r>
    </w:p>
    <w:p w:rsidR="00AE3388" w:rsidP="00AE3388" w:rsidRDefault="00AE3388">
      <w:pPr>
        <w:pStyle w:val="ListParagraph"/>
        <w:ind w:left="360"/>
        <w:rPr>
          <w:b/>
          <w:sz w:val="20"/>
          <w:szCs w:val="20"/>
        </w:rPr>
      </w:pPr>
      <w:r>
        <w:rPr>
          <w:b/>
          <w:sz w:val="20"/>
          <w:szCs w:val="20"/>
        </w:rPr>
        <w:t>a. Systematische controles van buitengrenzen</w:t>
      </w:r>
    </w:p>
    <w:p w:rsidR="00AE3388" w:rsidP="00AE3388" w:rsidRDefault="00AE3388">
      <w:pPr>
        <w:pStyle w:val="ListParagraph"/>
        <w:ind w:left="360"/>
        <w:rPr>
          <w:b/>
          <w:sz w:val="20"/>
          <w:szCs w:val="20"/>
        </w:rPr>
      </w:pPr>
      <w:r>
        <w:rPr>
          <w:b/>
          <w:sz w:val="20"/>
          <w:szCs w:val="20"/>
        </w:rPr>
        <w:t xml:space="preserve">- </w:t>
      </w:r>
      <w:r w:rsidRPr="00AE3388">
        <w:rPr>
          <w:b/>
          <w:sz w:val="20"/>
          <w:szCs w:val="20"/>
        </w:rPr>
        <w:t xml:space="preserve">Voorstel voor een verordening van het Europees Parlement en de Raad </w:t>
      </w:r>
      <w:r>
        <w:rPr>
          <w:b/>
          <w:sz w:val="20"/>
          <w:szCs w:val="20"/>
        </w:rPr>
        <w:t>tot wijziging van Verordening (</w:t>
      </w:r>
      <w:r w:rsidRPr="00AE3388">
        <w:rPr>
          <w:b/>
          <w:sz w:val="20"/>
          <w:szCs w:val="20"/>
        </w:rPr>
        <w:t xml:space="preserve">EG) nr 562/2006 wat betreft de versterking van de controles </w:t>
      </w:r>
      <w:r>
        <w:rPr>
          <w:b/>
          <w:sz w:val="20"/>
          <w:szCs w:val="20"/>
        </w:rPr>
        <w:t xml:space="preserve">in </w:t>
      </w:r>
      <w:r w:rsidRPr="00AE3388">
        <w:rPr>
          <w:b/>
          <w:sz w:val="20"/>
          <w:szCs w:val="20"/>
        </w:rPr>
        <w:t>relevante databanken aan de buitengrenzen</w:t>
      </w:r>
    </w:p>
    <w:p w:rsidR="00AE3388" w:rsidP="00AE3388" w:rsidRDefault="00AE3388">
      <w:pPr>
        <w:pStyle w:val="ListParagraph"/>
        <w:ind w:left="360"/>
        <w:rPr>
          <w:b/>
          <w:sz w:val="20"/>
          <w:szCs w:val="20"/>
        </w:rPr>
      </w:pPr>
      <w:r>
        <w:rPr>
          <w:b/>
          <w:sz w:val="20"/>
          <w:szCs w:val="20"/>
        </w:rPr>
        <w:t>Interinstitutioneel dossiernummer: 2015/0307 (COD)</w:t>
      </w:r>
    </w:p>
    <w:p w:rsidR="00AE3388" w:rsidP="00AE3388" w:rsidRDefault="00AE3388">
      <w:pPr>
        <w:pStyle w:val="ListParagraph"/>
        <w:ind w:left="360"/>
        <w:rPr>
          <w:b/>
          <w:sz w:val="20"/>
          <w:szCs w:val="20"/>
        </w:rPr>
      </w:pPr>
    </w:p>
    <w:p w:rsidR="007B3489" w:rsidP="007B3489" w:rsidRDefault="00703B4C">
      <w:pPr>
        <w:rPr>
          <w:sz w:val="20"/>
          <w:szCs w:val="20"/>
        </w:rPr>
      </w:pPr>
      <w:r>
        <w:rPr>
          <w:sz w:val="20"/>
          <w:szCs w:val="20"/>
        </w:rPr>
        <w:t>Het v</w:t>
      </w:r>
      <w:r w:rsidR="007B3489">
        <w:rPr>
          <w:sz w:val="20"/>
          <w:szCs w:val="20"/>
        </w:rPr>
        <w:t>oorzitterschap zal de Raad informeren over de voortgang van de triloog met het Europees Parlement. De triloog i</w:t>
      </w:r>
      <w:r>
        <w:rPr>
          <w:sz w:val="20"/>
          <w:szCs w:val="20"/>
        </w:rPr>
        <w:t>s aangevangen onder Nederlands v</w:t>
      </w:r>
      <w:r w:rsidR="007B3489">
        <w:rPr>
          <w:sz w:val="20"/>
          <w:szCs w:val="20"/>
        </w:rPr>
        <w:t>oorzitterschap</w:t>
      </w:r>
    </w:p>
    <w:p w:rsidR="00AE3388" w:rsidP="007B3489" w:rsidRDefault="007B3489">
      <w:pPr>
        <w:rPr>
          <w:b/>
          <w:sz w:val="20"/>
          <w:szCs w:val="20"/>
        </w:rPr>
      </w:pPr>
      <w:r>
        <w:rPr>
          <w:sz w:val="20"/>
          <w:szCs w:val="20"/>
        </w:rPr>
        <w:t>en de ver</w:t>
      </w:r>
      <w:r w:rsidR="00703B4C">
        <w:rPr>
          <w:sz w:val="20"/>
          <w:szCs w:val="20"/>
        </w:rPr>
        <w:t>wachting is dat onder Slowaaks v</w:t>
      </w:r>
      <w:r>
        <w:rPr>
          <w:sz w:val="20"/>
          <w:szCs w:val="20"/>
        </w:rPr>
        <w:t xml:space="preserve">oorzitterschap een politiek akkoord met het Europees Parlement moet kunnen worden bewerkstelligd. Punt van discussie tussen de Raad en het Europees Parlement is onder meer een door een deel van het Europees Parlement gewenste uitzondering voor luchtgrenzen; daarnaast pleit een deel van het Europees Parlement voor  de beperkende mogelijkheid om alleen het Schengen Informatiesysteem (SIS) te raadplegen en nationale databases hiervan uit te sluiten. </w:t>
      </w:r>
      <w:r w:rsidRPr="00E43BCB">
        <w:rPr>
          <w:rFonts w:cs="Arial"/>
          <w:sz w:val="20"/>
          <w:szCs w:val="20"/>
        </w:rPr>
        <w:t xml:space="preserve">Het </w:t>
      </w:r>
      <w:r>
        <w:rPr>
          <w:rFonts w:cs="Arial"/>
          <w:sz w:val="20"/>
          <w:szCs w:val="20"/>
        </w:rPr>
        <w:t>Commissie</w:t>
      </w:r>
      <w:r w:rsidRPr="00E43BCB">
        <w:rPr>
          <w:rFonts w:cs="Arial"/>
          <w:sz w:val="20"/>
          <w:szCs w:val="20"/>
        </w:rPr>
        <w:t xml:space="preserve">voorstel geeft invulling aan het verzoek </w:t>
      </w:r>
      <w:r>
        <w:rPr>
          <w:rFonts w:cs="Arial"/>
          <w:sz w:val="20"/>
          <w:szCs w:val="20"/>
        </w:rPr>
        <w:t>van</w:t>
      </w:r>
      <w:r w:rsidRPr="00E43BCB">
        <w:rPr>
          <w:rFonts w:cs="Arial"/>
          <w:sz w:val="20"/>
          <w:szCs w:val="20"/>
        </w:rPr>
        <w:t xml:space="preserve"> de Raad van 9 en 20 november 2015</w:t>
      </w:r>
      <w:r>
        <w:rPr>
          <w:rFonts w:cs="Arial"/>
          <w:sz w:val="20"/>
          <w:szCs w:val="20"/>
        </w:rPr>
        <w:t xml:space="preserve">. De Raad vroeg het mogelijk te maken </w:t>
      </w:r>
      <w:r w:rsidRPr="00E43BCB">
        <w:rPr>
          <w:rFonts w:cs="Arial"/>
          <w:sz w:val="20"/>
          <w:szCs w:val="20"/>
        </w:rPr>
        <w:t xml:space="preserve">om EU-burgers en hun familieleden met de nationaliteit van een derde land systematisch </w:t>
      </w:r>
      <w:r>
        <w:rPr>
          <w:rFonts w:cs="Arial"/>
          <w:sz w:val="20"/>
          <w:szCs w:val="20"/>
        </w:rPr>
        <w:t xml:space="preserve">te </w:t>
      </w:r>
      <w:r w:rsidRPr="00E43BCB">
        <w:rPr>
          <w:rFonts w:cs="Arial"/>
          <w:sz w:val="20"/>
          <w:szCs w:val="20"/>
        </w:rPr>
        <w:t>controle</w:t>
      </w:r>
      <w:r>
        <w:rPr>
          <w:rFonts w:cs="Arial"/>
          <w:sz w:val="20"/>
          <w:szCs w:val="20"/>
        </w:rPr>
        <w:t>ren</w:t>
      </w:r>
      <w:r w:rsidRPr="00E43BCB">
        <w:rPr>
          <w:rFonts w:cs="Arial"/>
          <w:sz w:val="20"/>
          <w:szCs w:val="20"/>
        </w:rPr>
        <w:t xml:space="preserve"> </w:t>
      </w:r>
      <w:r>
        <w:rPr>
          <w:rFonts w:cs="Arial"/>
          <w:sz w:val="20"/>
          <w:szCs w:val="20"/>
        </w:rPr>
        <w:t>bij het overschrijden van</w:t>
      </w:r>
      <w:r w:rsidRPr="00E43BCB">
        <w:rPr>
          <w:rFonts w:cs="Arial"/>
          <w:sz w:val="20"/>
          <w:szCs w:val="20"/>
        </w:rPr>
        <w:t xml:space="preserve"> de buitengrenzen. Ook wordt het mogelijk om, bij twijfel aan de identiteit of de authenticiteit van de over</w:t>
      </w:r>
      <w:r>
        <w:rPr>
          <w:rFonts w:cs="Arial"/>
          <w:sz w:val="20"/>
          <w:szCs w:val="20"/>
        </w:rPr>
        <w:t>ge</w:t>
      </w:r>
      <w:r w:rsidRPr="00E43BCB">
        <w:rPr>
          <w:rFonts w:cs="Arial"/>
          <w:sz w:val="20"/>
          <w:szCs w:val="20"/>
        </w:rPr>
        <w:t>legde reisdocumenten, deze documenten te controleren door de biometrische gegevens te verifiëren.</w:t>
      </w:r>
    </w:p>
    <w:p w:rsidR="00AE3388" w:rsidP="00F110C2" w:rsidRDefault="00AE3388">
      <w:pPr>
        <w:rPr>
          <w:color w:val="222222"/>
        </w:rPr>
      </w:pPr>
    </w:p>
    <w:p w:rsidR="00AE3388" w:rsidP="00AE3388" w:rsidRDefault="00AE3388">
      <w:pPr>
        <w:pStyle w:val="ListParagraph"/>
        <w:ind w:left="360"/>
        <w:rPr>
          <w:b/>
          <w:sz w:val="20"/>
          <w:szCs w:val="20"/>
        </w:rPr>
      </w:pPr>
      <w:r>
        <w:rPr>
          <w:b/>
          <w:sz w:val="20"/>
          <w:szCs w:val="20"/>
        </w:rPr>
        <w:t xml:space="preserve">b. Entry/exit systeem </w:t>
      </w:r>
    </w:p>
    <w:p w:rsidR="00AE3388" w:rsidP="00301B1B" w:rsidRDefault="00AE3388">
      <w:pPr>
        <w:pStyle w:val="ListParagraph"/>
        <w:ind w:left="360"/>
        <w:rPr>
          <w:b/>
          <w:sz w:val="20"/>
          <w:szCs w:val="20"/>
        </w:rPr>
      </w:pPr>
      <w:r>
        <w:rPr>
          <w:b/>
          <w:sz w:val="20"/>
          <w:szCs w:val="20"/>
        </w:rPr>
        <w:t xml:space="preserve">- </w:t>
      </w:r>
      <w:r w:rsidRPr="00301B1B" w:rsidR="00301B1B">
        <w:rPr>
          <w:b/>
          <w:sz w:val="20"/>
          <w:szCs w:val="20"/>
        </w:rPr>
        <w:t>Voorstel voor een verordening van het Europees Parlement en de Raad tot tot instelling van een inreis-uitreissysteem (EES) voor de registratie van inreis- en</w:t>
      </w:r>
      <w:r w:rsidR="00301B1B">
        <w:rPr>
          <w:b/>
          <w:sz w:val="20"/>
          <w:szCs w:val="20"/>
        </w:rPr>
        <w:t xml:space="preserve"> </w:t>
      </w:r>
      <w:r w:rsidRPr="00301B1B" w:rsidR="00301B1B">
        <w:rPr>
          <w:b/>
          <w:sz w:val="20"/>
          <w:szCs w:val="20"/>
        </w:rPr>
        <w:t>uitreisgegevens en van gegevens over weigering van toegang ten aanzien van onderdanen</w:t>
      </w:r>
      <w:r w:rsidR="00301B1B">
        <w:rPr>
          <w:b/>
          <w:sz w:val="20"/>
          <w:szCs w:val="20"/>
        </w:rPr>
        <w:t xml:space="preserve"> </w:t>
      </w:r>
      <w:r w:rsidRPr="00301B1B" w:rsidR="00301B1B">
        <w:rPr>
          <w:b/>
          <w:sz w:val="20"/>
          <w:szCs w:val="20"/>
        </w:rPr>
        <w:t>van derde landen die de buitengrenzen van de Europese Unie overschrijden en tot</w:t>
      </w:r>
      <w:r w:rsidR="00301B1B">
        <w:rPr>
          <w:b/>
          <w:sz w:val="20"/>
          <w:szCs w:val="20"/>
        </w:rPr>
        <w:t xml:space="preserve"> </w:t>
      </w:r>
      <w:r w:rsidRPr="00301B1B" w:rsidR="00301B1B">
        <w:rPr>
          <w:b/>
          <w:sz w:val="20"/>
          <w:szCs w:val="20"/>
        </w:rPr>
        <w:t>vaststelling van de voorwaarden voor toegang tot het EES voor</w:t>
      </w:r>
      <w:r w:rsidR="00301B1B">
        <w:rPr>
          <w:b/>
          <w:sz w:val="20"/>
          <w:szCs w:val="20"/>
        </w:rPr>
        <w:t xml:space="preserve"> </w:t>
      </w:r>
      <w:r w:rsidRPr="00301B1B" w:rsidR="00301B1B">
        <w:rPr>
          <w:b/>
          <w:sz w:val="20"/>
          <w:szCs w:val="20"/>
        </w:rPr>
        <w:t>rechtshandhavingsdoeleinden</w:t>
      </w:r>
    </w:p>
    <w:p w:rsidR="00301B1B" w:rsidP="00301B1B" w:rsidRDefault="00AE3388">
      <w:pPr>
        <w:pStyle w:val="ListParagraph"/>
        <w:ind w:left="360"/>
        <w:rPr>
          <w:b/>
          <w:sz w:val="20"/>
          <w:szCs w:val="20"/>
        </w:rPr>
      </w:pPr>
      <w:r>
        <w:rPr>
          <w:b/>
          <w:sz w:val="20"/>
          <w:szCs w:val="20"/>
        </w:rPr>
        <w:lastRenderedPageBreak/>
        <w:t>Interinstitutioneel dossiernummer: 201</w:t>
      </w:r>
      <w:r w:rsidR="00301B1B">
        <w:rPr>
          <w:b/>
          <w:sz w:val="20"/>
          <w:szCs w:val="20"/>
        </w:rPr>
        <w:t>6</w:t>
      </w:r>
      <w:r>
        <w:rPr>
          <w:b/>
          <w:sz w:val="20"/>
          <w:szCs w:val="20"/>
        </w:rPr>
        <w:t>/0</w:t>
      </w:r>
      <w:r w:rsidR="00301B1B">
        <w:rPr>
          <w:b/>
          <w:sz w:val="20"/>
          <w:szCs w:val="20"/>
        </w:rPr>
        <w:t>106 (COD)</w:t>
      </w:r>
    </w:p>
    <w:p w:rsidR="00301B1B" w:rsidP="00301B1B" w:rsidRDefault="00301B1B">
      <w:pPr>
        <w:pStyle w:val="ListParagraph"/>
        <w:ind w:left="360"/>
        <w:rPr>
          <w:b/>
          <w:sz w:val="20"/>
          <w:szCs w:val="20"/>
        </w:rPr>
      </w:pPr>
    </w:p>
    <w:p w:rsidRPr="00301B1B" w:rsidR="00301B1B" w:rsidP="00301B1B" w:rsidRDefault="00301B1B">
      <w:pPr>
        <w:pStyle w:val="ListParagraph"/>
        <w:ind w:left="360"/>
        <w:rPr>
          <w:b/>
          <w:sz w:val="20"/>
          <w:szCs w:val="20"/>
        </w:rPr>
      </w:pPr>
      <w:r>
        <w:rPr>
          <w:b/>
          <w:sz w:val="20"/>
          <w:szCs w:val="20"/>
        </w:rPr>
        <w:t xml:space="preserve">- </w:t>
      </w:r>
      <w:r w:rsidRPr="00301B1B">
        <w:rPr>
          <w:b/>
          <w:sz w:val="20"/>
          <w:szCs w:val="20"/>
        </w:rPr>
        <w:t>Voorstel voor een verordening tot wijziging van Verordening (EU) 2016/399 in verband met het gebruik van het inreisuitreissysteem</w:t>
      </w:r>
    </w:p>
    <w:p w:rsidR="00301B1B" w:rsidP="00301B1B" w:rsidRDefault="00301B1B">
      <w:pPr>
        <w:pStyle w:val="ListParagraph"/>
        <w:ind w:left="360"/>
        <w:rPr>
          <w:b/>
          <w:sz w:val="20"/>
          <w:szCs w:val="20"/>
        </w:rPr>
      </w:pPr>
      <w:r w:rsidRPr="00301B1B">
        <w:rPr>
          <w:b/>
          <w:sz w:val="20"/>
          <w:szCs w:val="20"/>
        </w:rPr>
        <w:t>(EES</w:t>
      </w:r>
      <w:r w:rsidR="003F58DF">
        <w:rPr>
          <w:b/>
          <w:sz w:val="20"/>
          <w:szCs w:val="20"/>
        </w:rPr>
        <w:t>)</w:t>
      </w:r>
    </w:p>
    <w:p w:rsidR="003F58DF" w:rsidP="003F58DF" w:rsidRDefault="003F58DF">
      <w:pPr>
        <w:pStyle w:val="ListParagraph"/>
        <w:ind w:left="360"/>
        <w:rPr>
          <w:b/>
          <w:sz w:val="20"/>
          <w:szCs w:val="20"/>
        </w:rPr>
      </w:pPr>
      <w:r>
        <w:rPr>
          <w:b/>
          <w:sz w:val="20"/>
          <w:szCs w:val="20"/>
        </w:rPr>
        <w:t>Interinstitutioneel dossiernummer: 2016/0105 (COD)</w:t>
      </w:r>
    </w:p>
    <w:p w:rsidR="003F58DF" w:rsidP="003F58DF" w:rsidRDefault="003F58DF">
      <w:pPr>
        <w:pStyle w:val="ListParagraph"/>
        <w:ind w:left="360"/>
        <w:rPr>
          <w:b/>
          <w:sz w:val="20"/>
          <w:szCs w:val="20"/>
        </w:rPr>
      </w:pPr>
    </w:p>
    <w:p w:rsidR="00AE3388" w:rsidP="00F110C2" w:rsidRDefault="007B3489">
      <w:pPr>
        <w:rPr>
          <w:color w:val="222222"/>
        </w:rPr>
      </w:pPr>
      <w:r>
        <w:rPr>
          <w:sz w:val="20"/>
          <w:szCs w:val="20"/>
        </w:rPr>
        <w:t>Ministers zullen op de hoogte gesteld worden van de stand van zaken van de bespreking van de voorstellen uit het slimme grenzenpakket. Het Slowaaks</w:t>
      </w:r>
      <w:r w:rsidR="00703B4C">
        <w:rPr>
          <w:sz w:val="20"/>
          <w:szCs w:val="20"/>
        </w:rPr>
        <w:t xml:space="preserve"> v</w:t>
      </w:r>
      <w:r>
        <w:rPr>
          <w:sz w:val="20"/>
          <w:szCs w:val="20"/>
        </w:rPr>
        <w:t xml:space="preserve">oorzitterschap heeft de behandeling van de voorstellen op ambtelijk niveau bijna afgerond en heeft aangegeven dat zij alle inspanningen zal verrichten om nog voor </w:t>
      </w:r>
      <w:r w:rsidR="00216E51">
        <w:rPr>
          <w:sz w:val="20"/>
          <w:szCs w:val="20"/>
        </w:rPr>
        <w:t xml:space="preserve">het </w:t>
      </w:r>
      <w:r>
        <w:rPr>
          <w:sz w:val="20"/>
          <w:szCs w:val="20"/>
        </w:rPr>
        <w:t>eind van dit jaar een politiek akkoord met het Europees Parlement te bereiken. Een belangrijk openstaand punt zijn de gevolgen van bestaande bilaterale verdragen van lidstaten met derde landen op basis van artikel 20 lid 2 van de Schengenuitvoeringsovereenkomst voor de werking van het inreis-uitreissysteem (EES). Het Europees Parlement heeft een rapporteur aangewezen en inhoudelijke behandeling zal spoedig aanvangen.</w:t>
      </w:r>
    </w:p>
    <w:p w:rsidR="00AE3388" w:rsidP="00F110C2" w:rsidRDefault="00AE3388">
      <w:pPr>
        <w:rPr>
          <w:color w:val="222222"/>
        </w:rPr>
      </w:pPr>
    </w:p>
    <w:p w:rsidR="003F58DF" w:rsidP="003F58DF" w:rsidRDefault="003F58DF">
      <w:pPr>
        <w:pStyle w:val="ListParagraph"/>
        <w:ind w:left="360"/>
        <w:rPr>
          <w:b/>
          <w:sz w:val="20"/>
          <w:szCs w:val="20"/>
        </w:rPr>
      </w:pPr>
      <w:r>
        <w:rPr>
          <w:b/>
          <w:sz w:val="20"/>
          <w:szCs w:val="20"/>
        </w:rPr>
        <w:t>c. Ontwikkeling van het Schengen Informatie Systeem (SIS)</w:t>
      </w:r>
    </w:p>
    <w:p w:rsidR="003F58DF" w:rsidP="003F58DF" w:rsidRDefault="003F58DF">
      <w:pPr>
        <w:pStyle w:val="ListParagraph"/>
        <w:ind w:left="360"/>
        <w:rPr>
          <w:b/>
          <w:sz w:val="20"/>
          <w:szCs w:val="20"/>
        </w:rPr>
      </w:pPr>
      <w:r>
        <w:rPr>
          <w:b/>
          <w:sz w:val="20"/>
          <w:szCs w:val="20"/>
        </w:rPr>
        <w:t xml:space="preserve"> </w:t>
      </w:r>
    </w:p>
    <w:p w:rsidR="007B3489" w:rsidP="007B3489" w:rsidRDefault="007B3489">
      <w:pPr>
        <w:rPr>
          <w:sz w:val="20"/>
          <w:szCs w:val="20"/>
        </w:rPr>
      </w:pPr>
      <w:r>
        <w:rPr>
          <w:sz w:val="20"/>
          <w:szCs w:val="20"/>
        </w:rPr>
        <w:t>De Commissie zal tijdens dit agendapunt naar verwachting een toelichting geven op de ontwikkelingen van het Schengen Informatiesysteem (SIS II). De Commissie heeft na een brede consultatie bij lidstaten en eindgebruikers een evaluatie van het huidige systeem afgerond en werkt momenteel aan de verdere ontwikkeling van het systeem. Dit gebeurt onder meer door samen met de lidstaten en eu-LISA te werken aan het realiseren van een zoekfunctie voor vingerafdrukken (AFIS) binnen het SIS. Ook wordt op expertniveau gesproken over de invoering van terugkeerbesluiten in het SIS. Voorts zetten de lidstaten zich samen met de Commissie, eu-LISA en Europol in voor de uitvoering van de SIS-gerelateerde acties uit de EU routekaart informatie-uitwisseling en informatie</w:t>
      </w:r>
      <w:r w:rsidR="00703B4C">
        <w:rPr>
          <w:sz w:val="20"/>
          <w:szCs w:val="20"/>
        </w:rPr>
        <w:t>beheer, welke onder Nederlands v</w:t>
      </w:r>
      <w:r>
        <w:rPr>
          <w:sz w:val="20"/>
          <w:szCs w:val="20"/>
        </w:rPr>
        <w:t xml:space="preserve">oorzitterschap tot stand is gekomen. In de EU Kopgroep inzake terrorismebestrijding wordt bijvoorbeeld intensief gewerkt aan indicatieve criteria voor het invoeren van SIS-signaleringen in verband met terrorisme. </w:t>
      </w:r>
    </w:p>
    <w:p w:rsidR="007B3489" w:rsidP="007B3489" w:rsidRDefault="007B3489">
      <w:pPr>
        <w:rPr>
          <w:sz w:val="20"/>
          <w:szCs w:val="20"/>
        </w:rPr>
      </w:pPr>
    </w:p>
    <w:p w:rsidR="003F58DF" w:rsidP="007B3489" w:rsidRDefault="007B3489">
      <w:pPr>
        <w:rPr>
          <w:bCs/>
          <w:sz w:val="20"/>
          <w:szCs w:val="20"/>
        </w:rPr>
      </w:pPr>
      <w:r>
        <w:rPr>
          <w:sz w:val="20"/>
          <w:szCs w:val="20"/>
        </w:rPr>
        <w:t>Uit de evaluatie van het SIS is naar voren gekomen dat het systeem een succesvolle bijdrage aan grensbewaking en veiligheid in Europa levert. 29 landen zijn aangesloten op het SIS met bepaalde beperkingen voor Bulgarije, Roemenië en het Verenigd Koninkrijk. Sinds de inwerkingtreding van het SIS II op 9 april 2013 tot en met eind 2015 heeft het systeem 371.000 hits op signaleringen opgeleverd, bijgedragen aan de aanhouding van 25.000 personen, het tegenhouden van 79.000 personen aan de buitengrenzen van de EU en het lokaliseren van 12.000 vermiste personen. Ook werden 72.000 rondreizende criminelen en andere personen die een gevaar voor de veiligheid vormen gelokaliseerd. Uit de evaluatie kwam onder meer naar voren dat de behoefte bestaat om de flexibiliteit in het systeem te behouden om snel op nieuwe ontwikkelingen in te kunnen spelen, de duurzame beschikbaarheid van het systeem 24 uur per dag 7 dagen per week nog verder te garanderen, het SIS intensief binnen lidstaten en aan de EU buitengrenzen te gebruiken, SIRENE bureaus voldoende technisch, personeelsmatig toegerust moeten zijn om aan de toenemende uitwisseling van informatie te voldoen, alle functionaliteiten van het systeem adequaat worden benut en de gegevenskwaliteit in het systeem verhoogd wordt. Om aan deze behoeften tegemoet te komen, zal de Commissie naar verwachting in 2017 – hoewel enige onzekerheid over het tijdpad bestaat - een voorstel indienen voor een herziening van de wetgevende basis van het SIS.</w:t>
      </w:r>
    </w:p>
    <w:p w:rsidR="003F58DF" w:rsidP="003F58DF" w:rsidRDefault="003F58DF">
      <w:pPr>
        <w:pStyle w:val="ListParagraph"/>
        <w:ind w:left="360"/>
        <w:rPr>
          <w:b/>
          <w:sz w:val="20"/>
          <w:szCs w:val="20"/>
        </w:rPr>
      </w:pPr>
    </w:p>
    <w:p w:rsidRPr="003F58DF" w:rsidR="003F58DF" w:rsidP="003F58DF" w:rsidRDefault="003F58DF">
      <w:pPr>
        <w:pStyle w:val="ListParagraph"/>
        <w:ind w:left="360"/>
        <w:rPr>
          <w:b/>
          <w:sz w:val="20"/>
          <w:szCs w:val="20"/>
          <w:lang w:val="fr-FR"/>
        </w:rPr>
      </w:pPr>
      <w:r w:rsidRPr="003F58DF">
        <w:rPr>
          <w:b/>
          <w:sz w:val="20"/>
          <w:szCs w:val="20"/>
          <w:lang w:val="fr-FR"/>
        </w:rPr>
        <w:t>d. EU reisinformatie</w:t>
      </w:r>
      <w:r w:rsidR="00A270E2">
        <w:rPr>
          <w:b/>
          <w:sz w:val="20"/>
          <w:szCs w:val="20"/>
          <w:lang w:val="fr-FR"/>
        </w:rPr>
        <w:t>-</w:t>
      </w:r>
      <w:r w:rsidRPr="003F58DF">
        <w:rPr>
          <w:b/>
          <w:sz w:val="20"/>
          <w:szCs w:val="20"/>
          <w:lang w:val="fr-FR"/>
        </w:rPr>
        <w:t xml:space="preserve"> en autorisatiesysteem </w:t>
      </w:r>
      <w:r w:rsidR="00A270E2">
        <w:rPr>
          <w:b/>
          <w:sz w:val="20"/>
          <w:szCs w:val="20"/>
          <w:lang w:val="fr-FR"/>
        </w:rPr>
        <w:t>(ETIAS)</w:t>
      </w:r>
    </w:p>
    <w:p w:rsidRPr="003F58DF" w:rsidR="003F58DF" w:rsidP="003F58DF" w:rsidRDefault="003F58DF">
      <w:pPr>
        <w:pStyle w:val="ListParagraph"/>
        <w:ind w:left="360"/>
        <w:rPr>
          <w:b/>
          <w:sz w:val="20"/>
          <w:szCs w:val="20"/>
          <w:lang w:val="fr-FR"/>
        </w:rPr>
      </w:pPr>
    </w:p>
    <w:p w:rsidR="003F58DF" w:rsidP="00F34161" w:rsidRDefault="007B3489">
      <w:pPr>
        <w:rPr>
          <w:bCs/>
          <w:sz w:val="20"/>
          <w:szCs w:val="20"/>
        </w:rPr>
      </w:pPr>
      <w:r>
        <w:rPr>
          <w:sz w:val="20"/>
          <w:szCs w:val="20"/>
        </w:rPr>
        <w:t>In de Mededelingen</w:t>
      </w:r>
      <w:r>
        <w:rPr>
          <w:rStyle w:val="FootnoteReference"/>
          <w:sz w:val="20"/>
          <w:szCs w:val="20"/>
        </w:rPr>
        <w:footnoteReference w:id="2"/>
      </w:r>
      <w:r>
        <w:rPr>
          <w:sz w:val="20"/>
          <w:szCs w:val="20"/>
        </w:rPr>
        <w:t xml:space="preserve"> van 6 april en 14 september jl. heeft de Commissie aangegeven dat zij medio november een ETIAS-voorstel zal publiceren . Dit systeem moet het reizigersproces faciliteren en het werk van de grenswachters vergemakkelijken doordat </w:t>
      </w:r>
      <w:r>
        <w:rPr>
          <w:sz w:val="20"/>
          <w:szCs w:val="20"/>
        </w:rPr>
        <w:lastRenderedPageBreak/>
        <w:t>een eerste check in het land van herkomst plaatsvindt. Daarnaast moet het systeem een belangrijke bijdrage leveren aan de interne veiligheid van de lidstaten. Op dit moment wordt door de Commissie een haalbaarheidsstudie voor het ETIAS uitgevoerd, waarvoor twee technische bijeenkomsten met experts hebben plaatsgevonden. Het uitvoeren van deze haalbaarheidsstudie geniet brede steun onder de lidstaten, ook van Nederland. Nederland vindt – net als andere lidstaten – dat in het haalbaarheidsonderzoek goed gekeken moet worden naar verschillende technische mogelijkheden, de kosten en baten en de juridische aspecten.</w:t>
      </w:r>
    </w:p>
    <w:p w:rsidR="003F58DF" w:rsidP="00F34161" w:rsidRDefault="003F58DF">
      <w:pPr>
        <w:rPr>
          <w:bCs/>
          <w:sz w:val="20"/>
          <w:szCs w:val="20"/>
        </w:rPr>
      </w:pPr>
    </w:p>
    <w:p w:rsidR="003F58DF" w:rsidP="003F58DF" w:rsidRDefault="003F58DF">
      <w:pPr>
        <w:pStyle w:val="ListParagraph"/>
        <w:ind w:left="360"/>
        <w:rPr>
          <w:b/>
          <w:sz w:val="20"/>
          <w:szCs w:val="20"/>
        </w:rPr>
      </w:pPr>
      <w:r>
        <w:rPr>
          <w:b/>
          <w:sz w:val="20"/>
          <w:szCs w:val="20"/>
        </w:rPr>
        <w:t xml:space="preserve">e. High-level expertgroep voor informatiesystemen en interoperabiliteit </w:t>
      </w:r>
    </w:p>
    <w:p w:rsidR="003F58DF" w:rsidP="003F58DF" w:rsidRDefault="003F58DF">
      <w:pPr>
        <w:pStyle w:val="ListParagraph"/>
        <w:ind w:left="360"/>
        <w:rPr>
          <w:b/>
          <w:sz w:val="20"/>
          <w:szCs w:val="20"/>
        </w:rPr>
      </w:pPr>
      <w:r>
        <w:rPr>
          <w:b/>
          <w:sz w:val="20"/>
          <w:szCs w:val="20"/>
        </w:rPr>
        <w:t>= voortgangsrapportage</w:t>
      </w:r>
    </w:p>
    <w:p w:rsidR="003F58DF" w:rsidP="003F58DF" w:rsidRDefault="003F58DF">
      <w:pPr>
        <w:pStyle w:val="ListParagraph"/>
        <w:ind w:left="360"/>
        <w:rPr>
          <w:b/>
          <w:sz w:val="20"/>
          <w:szCs w:val="20"/>
        </w:rPr>
      </w:pPr>
    </w:p>
    <w:p w:rsidR="003F58DF" w:rsidP="00F34161" w:rsidRDefault="007B3489">
      <w:pPr>
        <w:rPr>
          <w:bCs/>
          <w:sz w:val="20"/>
          <w:szCs w:val="20"/>
        </w:rPr>
      </w:pPr>
      <w:r>
        <w:rPr>
          <w:sz w:val="20"/>
          <w:szCs w:val="20"/>
        </w:rPr>
        <w:t>De Commissie zal een terugkoppeling geven van de besprekingen in de expertgroep (HLEG). De HLEG is een informele steungroep die de Commissie helpt om richting te geven aan het verbeteren van de interoperabiliteit.</w:t>
      </w:r>
    </w:p>
    <w:p w:rsidRPr="004111ED" w:rsidR="004111ED" w:rsidP="008A307B" w:rsidRDefault="004111ED">
      <w:pPr>
        <w:rPr>
          <w:color w:val="FF0000"/>
          <w:sz w:val="20"/>
          <w:szCs w:val="20"/>
        </w:rPr>
      </w:pPr>
    </w:p>
    <w:p w:rsidR="00427CDE" w:rsidP="00427CDE" w:rsidRDefault="00427CDE">
      <w:pPr>
        <w:rPr>
          <w:b/>
          <w:color w:val="FF0000"/>
          <w:sz w:val="20"/>
          <w:szCs w:val="20"/>
        </w:rPr>
      </w:pPr>
    </w:p>
    <w:p w:rsidR="00FB3123" w:rsidP="006825EB" w:rsidRDefault="00FB3123">
      <w:pPr>
        <w:rPr>
          <w:bCs/>
          <w:iCs/>
          <w:sz w:val="20"/>
          <w:szCs w:val="20"/>
        </w:rPr>
      </w:pPr>
    </w:p>
    <w:p w:rsidRPr="0079746F" w:rsidR="006307CB" w:rsidP="00C57471" w:rsidRDefault="006307CB">
      <w:pPr>
        <w:rPr>
          <w:bCs/>
          <w:iCs/>
          <w:sz w:val="20"/>
          <w:szCs w:val="20"/>
        </w:rPr>
      </w:pPr>
      <w:r>
        <w:rPr>
          <w:b/>
          <w:bCs/>
          <w:sz w:val="24"/>
        </w:rPr>
        <w:t>I</w:t>
      </w:r>
      <w:r w:rsidRPr="00ED3C96">
        <w:rPr>
          <w:b/>
          <w:bCs/>
          <w:sz w:val="24"/>
        </w:rPr>
        <w:t>I. Immigratie en asiel</w:t>
      </w:r>
    </w:p>
    <w:p w:rsidRPr="00341BC5" w:rsidR="00341BC5" w:rsidP="00DD284E" w:rsidRDefault="00341BC5">
      <w:pPr>
        <w:rPr>
          <w:b/>
          <w:bCs/>
          <w:iCs/>
          <w:sz w:val="20"/>
          <w:szCs w:val="20"/>
        </w:rPr>
      </w:pPr>
    </w:p>
    <w:p w:rsidR="00DD284E" w:rsidP="00DD284E" w:rsidRDefault="00DD284E">
      <w:pPr>
        <w:rPr>
          <w:b/>
          <w:bCs/>
          <w:iCs/>
          <w:sz w:val="20"/>
          <w:szCs w:val="20"/>
          <w:u w:val="single"/>
        </w:rPr>
      </w:pPr>
      <w:r>
        <w:rPr>
          <w:b/>
          <w:bCs/>
          <w:iCs/>
          <w:sz w:val="20"/>
          <w:szCs w:val="20"/>
          <w:u w:val="single"/>
        </w:rPr>
        <w:t>Raad w</w:t>
      </w:r>
      <w:r w:rsidRPr="00A92A0E">
        <w:rPr>
          <w:b/>
          <w:bCs/>
          <w:iCs/>
          <w:sz w:val="20"/>
          <w:szCs w:val="20"/>
          <w:u w:val="single"/>
        </w:rPr>
        <w:t>etgevende besprekingen</w:t>
      </w:r>
    </w:p>
    <w:p w:rsidR="00341BC5" w:rsidP="00341BC5" w:rsidRDefault="00341BC5">
      <w:pPr>
        <w:rPr>
          <w:b/>
          <w:bCs/>
          <w:iCs/>
          <w:sz w:val="20"/>
          <w:szCs w:val="20"/>
        </w:rPr>
      </w:pPr>
    </w:p>
    <w:p w:rsidR="002978E3" w:rsidP="002978E3" w:rsidRDefault="002978E3">
      <w:pPr>
        <w:rPr>
          <w:b/>
          <w:color w:val="FF0000"/>
          <w:sz w:val="20"/>
          <w:szCs w:val="20"/>
        </w:rPr>
      </w:pPr>
    </w:p>
    <w:p w:rsidRPr="00685F74" w:rsidR="002978E3" w:rsidP="002978E3" w:rsidRDefault="002978E3">
      <w:pPr>
        <w:pStyle w:val="ListParagraph"/>
        <w:numPr>
          <w:ilvl w:val="0"/>
          <w:numId w:val="1"/>
        </w:numPr>
        <w:rPr>
          <w:b/>
          <w:sz w:val="20"/>
          <w:szCs w:val="20"/>
        </w:rPr>
      </w:pPr>
      <w:r>
        <w:rPr>
          <w:b/>
          <w:sz w:val="20"/>
          <w:szCs w:val="20"/>
        </w:rPr>
        <w:t>Herziening Gemeenschappelijk Europees Asielstelsel</w:t>
      </w:r>
      <w:r w:rsidRPr="00685F74">
        <w:rPr>
          <w:b/>
          <w:sz w:val="20"/>
          <w:szCs w:val="20"/>
        </w:rPr>
        <w:t xml:space="preserve"> </w:t>
      </w:r>
    </w:p>
    <w:p w:rsidR="00954289" w:rsidP="0025739A" w:rsidRDefault="002978E3">
      <w:pPr>
        <w:pStyle w:val="ListParagraph"/>
        <w:ind w:left="360"/>
        <w:rPr>
          <w:b/>
          <w:sz w:val="20"/>
          <w:szCs w:val="20"/>
        </w:rPr>
      </w:pPr>
      <w:r>
        <w:rPr>
          <w:b/>
          <w:sz w:val="20"/>
          <w:szCs w:val="20"/>
        </w:rPr>
        <w:t xml:space="preserve">a. </w:t>
      </w:r>
      <w:r w:rsidRPr="0025739A" w:rsidR="0025739A">
        <w:rPr>
          <w:b/>
          <w:sz w:val="20"/>
          <w:szCs w:val="20"/>
        </w:rPr>
        <w:t>Voorstel voor een Verordening van het Europees Parlement en de Raad tot vaststelling van de criteria en instrumenten om te bepalen welke lidstaat verantwoordelijk is voor de behandeling van een verzoek om internationale bescherming dat door een onderdaan van een derde land of een staatloze bij een van de lidstaten wordt ingediend</w:t>
      </w:r>
      <w:r w:rsidR="0025739A">
        <w:rPr>
          <w:b/>
          <w:sz w:val="20"/>
          <w:szCs w:val="20"/>
        </w:rPr>
        <w:t xml:space="preserve"> (herziening)</w:t>
      </w:r>
    </w:p>
    <w:p w:rsidR="002978E3" w:rsidP="007B3489" w:rsidRDefault="0025739A">
      <w:pPr>
        <w:pStyle w:val="ListParagraph"/>
        <w:ind w:left="360"/>
        <w:rPr>
          <w:b/>
          <w:sz w:val="20"/>
          <w:szCs w:val="20"/>
        </w:rPr>
      </w:pPr>
      <w:r>
        <w:rPr>
          <w:b/>
          <w:sz w:val="20"/>
          <w:szCs w:val="20"/>
        </w:rPr>
        <w:t xml:space="preserve">Interinstitutioneel dossiernummer: </w:t>
      </w:r>
      <w:r w:rsidR="007B5EAE">
        <w:rPr>
          <w:b/>
          <w:sz w:val="20"/>
          <w:szCs w:val="20"/>
        </w:rPr>
        <w:t>2016/0133 (COD)</w:t>
      </w:r>
    </w:p>
    <w:p w:rsidR="00256EA9" w:rsidP="00341BC5" w:rsidRDefault="00256EA9">
      <w:pPr>
        <w:rPr>
          <w:b/>
          <w:bCs/>
          <w:iCs/>
          <w:sz w:val="20"/>
          <w:szCs w:val="20"/>
        </w:rPr>
      </w:pPr>
    </w:p>
    <w:p w:rsidR="007B5EAE" w:rsidP="007B5EAE" w:rsidRDefault="007B5EAE">
      <w:pPr>
        <w:pStyle w:val="ListParagraph"/>
        <w:ind w:left="360"/>
        <w:rPr>
          <w:b/>
          <w:sz w:val="20"/>
          <w:szCs w:val="20"/>
        </w:rPr>
      </w:pPr>
      <w:r>
        <w:rPr>
          <w:b/>
          <w:sz w:val="20"/>
          <w:szCs w:val="20"/>
        </w:rPr>
        <w:t xml:space="preserve">b. </w:t>
      </w:r>
      <w:r w:rsidRPr="007B5EAE">
        <w:rPr>
          <w:b/>
          <w:sz w:val="20"/>
          <w:szCs w:val="20"/>
        </w:rPr>
        <w:t>Voorstel voor een herziening van de Richtlijn van het Europees Parlement en de Raad tot vaststelling van normen voor de opvang van asielzoekers</w:t>
      </w:r>
    </w:p>
    <w:p w:rsidR="007B5EAE" w:rsidP="007B5EAE" w:rsidRDefault="007B5EAE">
      <w:pPr>
        <w:pStyle w:val="ListParagraph"/>
        <w:ind w:left="360"/>
        <w:rPr>
          <w:b/>
          <w:sz w:val="20"/>
          <w:szCs w:val="20"/>
        </w:rPr>
      </w:pPr>
      <w:r>
        <w:rPr>
          <w:b/>
          <w:sz w:val="20"/>
          <w:szCs w:val="20"/>
        </w:rPr>
        <w:t>Interinstitutioneel dossiernummer: 2016/0222 (COD)</w:t>
      </w:r>
    </w:p>
    <w:p w:rsidRPr="007B3489" w:rsidR="003F58DF" w:rsidP="007B3489" w:rsidRDefault="003F58DF">
      <w:pPr>
        <w:rPr>
          <w:b/>
          <w:sz w:val="20"/>
          <w:szCs w:val="20"/>
        </w:rPr>
      </w:pPr>
    </w:p>
    <w:p w:rsidR="007B5EAE" w:rsidP="007B5EAE" w:rsidRDefault="007B5EAE">
      <w:pPr>
        <w:pStyle w:val="ListParagraph"/>
        <w:ind w:left="360"/>
        <w:rPr>
          <w:b/>
          <w:sz w:val="20"/>
          <w:szCs w:val="20"/>
        </w:rPr>
      </w:pPr>
      <w:r>
        <w:rPr>
          <w:b/>
          <w:sz w:val="20"/>
          <w:szCs w:val="20"/>
        </w:rPr>
        <w:t xml:space="preserve">c. </w:t>
      </w:r>
      <w:r w:rsidRPr="007B5EAE">
        <w:rPr>
          <w:b/>
          <w:sz w:val="20"/>
          <w:szCs w:val="20"/>
        </w:rPr>
        <w:t>Voorstel voor een verordening van het Europees Parlement en de Raad inzake normen voor de erkenning van onderdanen van derde landen en staatlozen als personen die internationale bescherming genieten, en de inhoud van de verleende bescherming en tot aanpassing van richtlijn 2003/109/EU van 25 november 2003 inzake de status van derdelanders die langdurig ingezetene zijn</w:t>
      </w:r>
    </w:p>
    <w:p w:rsidR="007B5EAE" w:rsidP="007B3489" w:rsidRDefault="007B5EAE">
      <w:pPr>
        <w:pStyle w:val="ListParagraph"/>
        <w:ind w:left="360"/>
        <w:rPr>
          <w:b/>
          <w:sz w:val="20"/>
          <w:szCs w:val="20"/>
        </w:rPr>
      </w:pPr>
      <w:r>
        <w:rPr>
          <w:b/>
          <w:sz w:val="20"/>
          <w:szCs w:val="20"/>
        </w:rPr>
        <w:t>Interinstitutioneel dossiernummer: 2016/0223 (COD)</w:t>
      </w:r>
    </w:p>
    <w:p w:rsidRPr="00341BC5" w:rsidR="003F58DF" w:rsidP="00341BC5" w:rsidRDefault="003F58DF">
      <w:pPr>
        <w:rPr>
          <w:b/>
          <w:bCs/>
          <w:iCs/>
          <w:sz w:val="20"/>
          <w:szCs w:val="20"/>
        </w:rPr>
      </w:pPr>
    </w:p>
    <w:p w:rsidR="007B5EAE" w:rsidP="007B5EAE" w:rsidRDefault="007B5EAE">
      <w:pPr>
        <w:pStyle w:val="ListParagraph"/>
        <w:ind w:left="360"/>
        <w:rPr>
          <w:b/>
          <w:sz w:val="20"/>
          <w:szCs w:val="20"/>
        </w:rPr>
      </w:pPr>
      <w:r>
        <w:rPr>
          <w:b/>
          <w:sz w:val="20"/>
          <w:szCs w:val="20"/>
        </w:rPr>
        <w:t xml:space="preserve">d. </w:t>
      </w:r>
      <w:r w:rsidRPr="007B5EAE">
        <w:rPr>
          <w:b/>
          <w:sz w:val="20"/>
          <w:szCs w:val="20"/>
        </w:rPr>
        <w:t xml:space="preserve">Voorstel voor een Verordening  van het Europees Parlement </w:t>
      </w:r>
      <w:r w:rsidR="00336516">
        <w:rPr>
          <w:b/>
          <w:sz w:val="20"/>
          <w:szCs w:val="20"/>
        </w:rPr>
        <w:t xml:space="preserve">en de Raad </w:t>
      </w:r>
      <w:r w:rsidRPr="007B5EAE">
        <w:rPr>
          <w:b/>
          <w:sz w:val="20"/>
          <w:szCs w:val="20"/>
        </w:rPr>
        <w:t>tot het instellen van een gemeenschappelijke procedure voor internationale bescherming in de EU en tot intrekking van Richtlijn 2013/32</w:t>
      </w:r>
    </w:p>
    <w:p w:rsidR="007B5EAE" w:rsidP="007B3489" w:rsidRDefault="007B5EAE">
      <w:pPr>
        <w:pStyle w:val="ListParagraph"/>
        <w:ind w:left="360"/>
        <w:rPr>
          <w:b/>
          <w:sz w:val="20"/>
          <w:szCs w:val="20"/>
        </w:rPr>
      </w:pPr>
      <w:r>
        <w:rPr>
          <w:b/>
          <w:sz w:val="20"/>
          <w:szCs w:val="20"/>
        </w:rPr>
        <w:t>Interinstitutioneel dossiernummer: 2016/0224 (COD)</w:t>
      </w:r>
    </w:p>
    <w:p w:rsidR="00341BC5" w:rsidP="007E3768" w:rsidRDefault="00341BC5">
      <w:pPr>
        <w:pStyle w:val="ListParagraph"/>
        <w:ind w:left="0"/>
        <w:rPr>
          <w:b/>
          <w:sz w:val="20"/>
          <w:szCs w:val="20"/>
        </w:rPr>
      </w:pPr>
    </w:p>
    <w:p w:rsidR="00336516" w:rsidP="00336516" w:rsidRDefault="00336516">
      <w:pPr>
        <w:pStyle w:val="ListParagraph"/>
        <w:ind w:left="360"/>
        <w:rPr>
          <w:b/>
          <w:sz w:val="20"/>
          <w:szCs w:val="20"/>
        </w:rPr>
      </w:pPr>
      <w:r>
        <w:rPr>
          <w:b/>
          <w:sz w:val="20"/>
          <w:szCs w:val="20"/>
        </w:rPr>
        <w:t xml:space="preserve">e. </w:t>
      </w:r>
      <w:r w:rsidRPr="007B5EAE">
        <w:rPr>
          <w:b/>
          <w:sz w:val="20"/>
          <w:szCs w:val="20"/>
        </w:rPr>
        <w:t xml:space="preserve">Voorstel voor een Verordening  van het Europees Parlement </w:t>
      </w:r>
      <w:r>
        <w:rPr>
          <w:b/>
          <w:sz w:val="20"/>
          <w:szCs w:val="20"/>
        </w:rPr>
        <w:t xml:space="preserve">en de Raad betreffende </w:t>
      </w:r>
      <w:r w:rsidRPr="00336516">
        <w:rPr>
          <w:b/>
          <w:sz w:val="20"/>
          <w:szCs w:val="20"/>
        </w:rPr>
        <w:t>de instelling van „Eurodac” voor de vergelijking van vingerafdrukken ten behoeve van een doeltreffende toepassing van Verordening (EU) nr. 604/2013 tot vaststelling van de criteria en instrumenten om te bepalen welke lidstaat verantwoordelijk is voor de behandeling van een verzoek om internationale bescherming dat door een onderdaan van een derde land of een staatloze bij een van de lidstaten wordt ingediend en betreffende verzoeken van rechtshandhavingsinstanties van de lidstaten en Europol om vergelijkingen van Eurodac-gegevens ten behoeve van rechtshandhaving</w:t>
      </w:r>
      <w:r>
        <w:rPr>
          <w:b/>
          <w:sz w:val="20"/>
          <w:szCs w:val="20"/>
        </w:rPr>
        <w:t xml:space="preserve"> (herziening)</w:t>
      </w:r>
    </w:p>
    <w:p w:rsidR="00336516" w:rsidP="007B3489" w:rsidRDefault="00336516">
      <w:pPr>
        <w:pStyle w:val="ListParagraph"/>
        <w:ind w:left="360"/>
        <w:rPr>
          <w:b/>
          <w:sz w:val="20"/>
          <w:szCs w:val="20"/>
        </w:rPr>
      </w:pPr>
      <w:r>
        <w:rPr>
          <w:b/>
          <w:sz w:val="20"/>
          <w:szCs w:val="20"/>
        </w:rPr>
        <w:t>Interinstitutioneel dossiernummer: 2016/0132 (COD)</w:t>
      </w:r>
    </w:p>
    <w:p w:rsidRPr="00341BC5" w:rsidR="00336516" w:rsidP="00336516" w:rsidRDefault="00336516">
      <w:pPr>
        <w:rPr>
          <w:b/>
          <w:bCs/>
          <w:iCs/>
          <w:sz w:val="20"/>
          <w:szCs w:val="20"/>
        </w:rPr>
      </w:pPr>
    </w:p>
    <w:p w:rsidR="00336516" w:rsidP="00336516" w:rsidRDefault="00336516">
      <w:pPr>
        <w:pStyle w:val="ListParagraph"/>
        <w:ind w:left="360"/>
        <w:rPr>
          <w:b/>
          <w:sz w:val="20"/>
          <w:szCs w:val="20"/>
        </w:rPr>
      </w:pPr>
      <w:r>
        <w:rPr>
          <w:b/>
          <w:sz w:val="20"/>
          <w:szCs w:val="20"/>
        </w:rPr>
        <w:t xml:space="preserve">f. </w:t>
      </w:r>
      <w:r w:rsidRPr="007B5EAE">
        <w:rPr>
          <w:b/>
          <w:sz w:val="20"/>
          <w:szCs w:val="20"/>
        </w:rPr>
        <w:t xml:space="preserve">Voorstel voor een Verordening  van het Europees Parlement </w:t>
      </w:r>
      <w:r>
        <w:rPr>
          <w:b/>
          <w:sz w:val="20"/>
          <w:szCs w:val="20"/>
        </w:rPr>
        <w:t xml:space="preserve">en de Raad </w:t>
      </w:r>
      <w:r w:rsidRPr="00336516">
        <w:rPr>
          <w:b/>
          <w:sz w:val="20"/>
          <w:szCs w:val="20"/>
        </w:rPr>
        <w:t>inzake het Asielagentschap van de Europese Unie en tot intrekking van Verordening (EU) nr. 439/2010</w:t>
      </w:r>
    </w:p>
    <w:p w:rsidR="00336516" w:rsidP="00336516" w:rsidRDefault="00336516">
      <w:pPr>
        <w:pStyle w:val="ListParagraph"/>
        <w:ind w:left="360"/>
        <w:rPr>
          <w:b/>
          <w:sz w:val="20"/>
          <w:szCs w:val="20"/>
        </w:rPr>
      </w:pPr>
      <w:r>
        <w:rPr>
          <w:b/>
          <w:sz w:val="20"/>
          <w:szCs w:val="20"/>
        </w:rPr>
        <w:t xml:space="preserve">Interinstitutioneel dossiernummer: 2016/0131 (COD) </w:t>
      </w:r>
    </w:p>
    <w:p w:rsidR="007D5C32" w:rsidP="00336516" w:rsidRDefault="007D5C32">
      <w:pPr>
        <w:pStyle w:val="ListParagraph"/>
        <w:ind w:left="360"/>
        <w:rPr>
          <w:b/>
          <w:sz w:val="20"/>
          <w:szCs w:val="20"/>
        </w:rPr>
      </w:pPr>
      <w:r>
        <w:rPr>
          <w:b/>
          <w:sz w:val="20"/>
          <w:szCs w:val="20"/>
        </w:rPr>
        <w:t>= beleidsdebat/voortgangsrapportage</w:t>
      </w:r>
    </w:p>
    <w:p w:rsidR="00336516" w:rsidP="00336516" w:rsidRDefault="00336516">
      <w:pPr>
        <w:pStyle w:val="ListParagraph"/>
        <w:ind w:left="360"/>
        <w:rPr>
          <w:b/>
          <w:sz w:val="20"/>
          <w:szCs w:val="20"/>
        </w:rPr>
      </w:pPr>
    </w:p>
    <w:p w:rsidRPr="00F33FB8" w:rsidR="007B3489" w:rsidP="007B3489" w:rsidRDefault="007B3489">
      <w:pPr>
        <w:rPr>
          <w:sz w:val="20"/>
          <w:szCs w:val="20"/>
        </w:rPr>
      </w:pPr>
      <w:r w:rsidRPr="008A6E27">
        <w:rPr>
          <w:sz w:val="20"/>
          <w:szCs w:val="20"/>
        </w:rPr>
        <w:t xml:space="preserve">Het Slowaaks </w:t>
      </w:r>
      <w:r w:rsidR="00703B4C">
        <w:rPr>
          <w:sz w:val="20"/>
          <w:szCs w:val="20"/>
        </w:rPr>
        <w:t>v</w:t>
      </w:r>
      <w:r w:rsidRPr="008A6E27">
        <w:rPr>
          <w:sz w:val="20"/>
          <w:szCs w:val="20"/>
        </w:rPr>
        <w:t xml:space="preserve">oorzitterschap zal een stand van zaken geven van de behandeling van de </w:t>
      </w:r>
      <w:r>
        <w:rPr>
          <w:sz w:val="20"/>
          <w:szCs w:val="20"/>
        </w:rPr>
        <w:t>boven</w:t>
      </w:r>
      <w:r w:rsidRPr="008A6E27">
        <w:rPr>
          <w:sz w:val="20"/>
          <w:szCs w:val="20"/>
        </w:rPr>
        <w:t>genoemde voorstellen</w:t>
      </w:r>
      <w:r>
        <w:rPr>
          <w:sz w:val="20"/>
          <w:szCs w:val="20"/>
        </w:rPr>
        <w:t>, waarover de Kamers met BNC-fiches zijn geïnformeerd</w:t>
      </w:r>
      <w:r w:rsidRPr="008A6E27">
        <w:rPr>
          <w:sz w:val="20"/>
          <w:szCs w:val="20"/>
        </w:rPr>
        <w:t>.</w:t>
      </w:r>
      <w:r>
        <w:rPr>
          <w:rStyle w:val="FootnoteReference"/>
          <w:sz w:val="20"/>
          <w:szCs w:val="20"/>
        </w:rPr>
        <w:t xml:space="preserve"> </w:t>
      </w:r>
      <w:r>
        <w:rPr>
          <w:sz w:val="20"/>
          <w:szCs w:val="20"/>
        </w:rPr>
        <w:t>H</w:t>
      </w:r>
      <w:r w:rsidRPr="008A6E27">
        <w:rPr>
          <w:sz w:val="20"/>
          <w:szCs w:val="20"/>
        </w:rPr>
        <w:t>et voorstel tot herziening van de Dublinverordening</w:t>
      </w:r>
      <w:r>
        <w:rPr>
          <w:sz w:val="20"/>
          <w:szCs w:val="20"/>
        </w:rPr>
        <w:t xml:space="preserve"> wordt op ambtelijk niveau</w:t>
      </w:r>
      <w:r w:rsidRPr="008A6E27">
        <w:rPr>
          <w:sz w:val="20"/>
          <w:szCs w:val="20"/>
        </w:rPr>
        <w:t xml:space="preserve"> bespr</w:t>
      </w:r>
      <w:r>
        <w:rPr>
          <w:sz w:val="20"/>
          <w:szCs w:val="20"/>
        </w:rPr>
        <w:t>o</w:t>
      </w:r>
      <w:r w:rsidRPr="008A6E27">
        <w:rPr>
          <w:sz w:val="20"/>
          <w:szCs w:val="20"/>
        </w:rPr>
        <w:t>ken</w:t>
      </w:r>
      <w:r>
        <w:rPr>
          <w:sz w:val="20"/>
          <w:szCs w:val="20"/>
        </w:rPr>
        <w:t>, waarbij lidstaten hun eerste appreciatie van het voorste</w:t>
      </w:r>
      <w:r w:rsidR="00703B4C">
        <w:rPr>
          <w:sz w:val="20"/>
          <w:szCs w:val="20"/>
        </w:rPr>
        <w:t>l hebben gegeven. Het Slowaaks v</w:t>
      </w:r>
      <w:r>
        <w:rPr>
          <w:sz w:val="20"/>
          <w:szCs w:val="20"/>
        </w:rPr>
        <w:t>oorzitterschap zal over deze inleidende besprekingen rapporteren aan de Raad</w:t>
      </w:r>
      <w:r w:rsidRPr="008A6E27">
        <w:rPr>
          <w:sz w:val="20"/>
          <w:szCs w:val="20"/>
        </w:rPr>
        <w:t>.</w:t>
      </w:r>
      <w:r>
        <w:rPr>
          <w:sz w:val="20"/>
          <w:szCs w:val="20"/>
        </w:rPr>
        <w:t xml:space="preserve"> Uit deze eerste rondgang blijkt dat verschillende lidstaten bezwaren hebben met betrekking tot het verplichtende karakter van het door de Commissie voorgestelde correctiemechanisme, welke bij moet dragen aan betere spreiding van asielaanvragen. </w:t>
      </w:r>
      <w:r w:rsidRPr="00586DF8">
        <w:rPr>
          <w:sz w:val="20"/>
          <w:szCs w:val="20"/>
        </w:rPr>
        <w:t>Nederland is</w:t>
      </w:r>
      <w:r>
        <w:rPr>
          <w:sz w:val="20"/>
          <w:szCs w:val="20"/>
        </w:rPr>
        <w:t xml:space="preserve"> voorstander van een evenwichtige en billijke verdeling van alle asielverzoeken die worden ingediend in de Europese Unie. Het door de Commissie voorgestelde correctiemechanisme kan een stap in die richting zijn, maar hoe de nadere uitwerking vorm krijgt, is daarbij bepalend. D</w:t>
      </w:r>
      <w:r w:rsidRPr="008A6E27">
        <w:rPr>
          <w:sz w:val="20"/>
          <w:szCs w:val="20"/>
        </w:rPr>
        <w:t xml:space="preserve">e </w:t>
      </w:r>
      <w:r>
        <w:rPr>
          <w:sz w:val="20"/>
          <w:szCs w:val="20"/>
        </w:rPr>
        <w:t>behandeling</w:t>
      </w:r>
      <w:r w:rsidRPr="008A6E27">
        <w:rPr>
          <w:sz w:val="20"/>
          <w:szCs w:val="20"/>
        </w:rPr>
        <w:t xml:space="preserve"> van de voorstellen voor een Procedureverordening, Kwalificatieverordening en tot herziening van de Opvangrichtlijn moet nog starten. </w:t>
      </w:r>
      <w:r>
        <w:rPr>
          <w:sz w:val="20"/>
          <w:szCs w:val="20"/>
        </w:rPr>
        <w:t>Het Europees Parlement heeft voor de verschillende voorstellen rapporteurs aangewezen.</w:t>
      </w:r>
    </w:p>
    <w:p w:rsidR="007B3489" w:rsidP="007B3489" w:rsidRDefault="007B3489">
      <w:pPr>
        <w:rPr>
          <w:color w:val="000000"/>
          <w:sz w:val="20"/>
          <w:szCs w:val="20"/>
        </w:rPr>
      </w:pPr>
    </w:p>
    <w:p w:rsidR="007B3489" w:rsidP="007B3489" w:rsidRDefault="007B3489">
      <w:pPr>
        <w:rPr>
          <w:color w:val="000000"/>
          <w:sz w:val="20"/>
          <w:szCs w:val="20"/>
        </w:rPr>
      </w:pPr>
      <w:r>
        <w:rPr>
          <w:color w:val="000000"/>
          <w:sz w:val="20"/>
          <w:szCs w:val="20"/>
        </w:rPr>
        <w:t>De ministers zullen tevens van gedachten wisselen over de</w:t>
      </w:r>
      <w:r w:rsidRPr="00E43BCB">
        <w:rPr>
          <w:color w:val="000000"/>
          <w:sz w:val="20"/>
          <w:szCs w:val="20"/>
        </w:rPr>
        <w:t xml:space="preserve"> herziening van de Eurodac-verordening, waarover beide Kamers op 27 mei jl. middels een BNC-fiche zijn</w:t>
      </w:r>
      <w:r w:rsidRPr="0001070F">
        <w:rPr>
          <w:color w:val="000000"/>
          <w:sz w:val="20"/>
          <w:szCs w:val="20"/>
        </w:rPr>
        <w:t xml:space="preserve"> geïnformeerd</w:t>
      </w:r>
      <w:r w:rsidRPr="00942B88">
        <w:rPr>
          <w:color w:val="000000"/>
          <w:sz w:val="20"/>
          <w:szCs w:val="20"/>
        </w:rPr>
        <w:t>.</w:t>
      </w:r>
      <w:r w:rsidRPr="00111D1E">
        <w:rPr>
          <w:rStyle w:val="FootnoteReference"/>
          <w:color w:val="000000"/>
          <w:sz w:val="20"/>
          <w:szCs w:val="20"/>
        </w:rPr>
        <w:footnoteReference w:id="3"/>
      </w:r>
      <w:r w:rsidRPr="00111D1E">
        <w:rPr>
          <w:color w:val="000000"/>
          <w:sz w:val="20"/>
          <w:szCs w:val="20"/>
        </w:rPr>
        <w:t xml:space="preserve"> </w:t>
      </w:r>
      <w:r w:rsidRPr="00756CD5">
        <w:rPr>
          <w:color w:val="000000"/>
          <w:sz w:val="20"/>
          <w:szCs w:val="20"/>
        </w:rPr>
        <w:t>Voor enkele lidstaten vormen de extra administratieve en financiële lasten een aandachtspunt. Ook opte</w:t>
      </w:r>
      <w:r>
        <w:rPr>
          <w:color w:val="000000"/>
          <w:sz w:val="20"/>
          <w:szCs w:val="20"/>
        </w:rPr>
        <w:t>e</w:t>
      </w:r>
      <w:r w:rsidRPr="00756CD5">
        <w:rPr>
          <w:color w:val="000000"/>
          <w:sz w:val="20"/>
          <w:szCs w:val="20"/>
        </w:rPr>
        <w:t>r</w:t>
      </w:r>
      <w:r>
        <w:rPr>
          <w:color w:val="000000"/>
          <w:sz w:val="20"/>
          <w:szCs w:val="20"/>
        </w:rPr>
        <w:t>t</w:t>
      </w:r>
      <w:r w:rsidRPr="00756CD5">
        <w:rPr>
          <w:color w:val="000000"/>
          <w:sz w:val="20"/>
          <w:szCs w:val="20"/>
        </w:rPr>
        <w:t xml:space="preserve"> een aantal lidstaten voor een verplichting voor het opleggen van administratieve sancties wanneer een persoon weigert medewerking te verlenen aan het afnemen van vingerafdrukken of het maken van een gezichtsopname. In het huidige voorstel wordt het opleggen van dergelijke sancties als mogelijkheid benoemd, maar niet verplicht gesteld. De Commissie heeft aangegeven open te staan voor het opnemen van een verplichting voor lidstaten op dit punt. Verder zijn ook enkele lidstaten kritisch op de noodzaak van een aparte databank voor het correctiemechanisme uit de Dublinverordening naast Eurodac. </w:t>
      </w:r>
      <w:r>
        <w:rPr>
          <w:color w:val="000000"/>
          <w:sz w:val="20"/>
          <w:szCs w:val="20"/>
        </w:rPr>
        <w:t xml:space="preserve">Nederland is voorstander om dit mechanisme te integreren in Eurodac. </w:t>
      </w:r>
      <w:r w:rsidRPr="00756CD5">
        <w:rPr>
          <w:color w:val="000000"/>
          <w:sz w:val="20"/>
          <w:szCs w:val="20"/>
        </w:rPr>
        <w:t xml:space="preserve">De Commissie heeft aangegeven dat er gekeken zal worden naar de interoperabiliteit van verschillende systemen. </w:t>
      </w:r>
    </w:p>
    <w:p w:rsidRPr="003D5C4A" w:rsidR="007B3489" w:rsidP="007B3489" w:rsidRDefault="007B3489">
      <w:pPr>
        <w:rPr>
          <w:sz w:val="20"/>
          <w:szCs w:val="20"/>
        </w:rPr>
      </w:pPr>
      <w:r w:rsidRPr="00756CD5">
        <w:rPr>
          <w:sz w:val="20"/>
          <w:szCs w:val="20"/>
        </w:rPr>
        <w:t xml:space="preserve">De verwachting is dat lidstaten tijdens de JBZ-Raad de focus zullen leggen op de toegang tot Eurodac voor rechtshandhavingsautoriteiten nu verschillende lidstaten herhaaldelijk hebben aangegeven dat deze toegang in de huidige situatie te complex is. </w:t>
      </w:r>
      <w:r w:rsidRPr="00756CD5">
        <w:rPr>
          <w:color w:val="000000"/>
          <w:sz w:val="20"/>
          <w:szCs w:val="20"/>
        </w:rPr>
        <w:t xml:space="preserve">In het belang van de opsporing van terroristische of ernstige misdrijven achten deze lidstaten het van belang dat Eurodac beter toegankelijk wordt voor rechtshandhavingsdiensten, mits met de juiste waarborgen omkleed. </w:t>
      </w:r>
      <w:r w:rsidRPr="00756CD5">
        <w:rPr>
          <w:sz w:val="20"/>
          <w:szCs w:val="20"/>
        </w:rPr>
        <w:t>De</w:t>
      </w:r>
      <w:r>
        <w:rPr>
          <w:sz w:val="20"/>
          <w:szCs w:val="20"/>
        </w:rPr>
        <w:t xml:space="preserve"> </w:t>
      </w:r>
      <w:r w:rsidRPr="00756CD5">
        <w:rPr>
          <w:sz w:val="20"/>
          <w:szCs w:val="20"/>
        </w:rPr>
        <w:t xml:space="preserve">voorwaarden </w:t>
      </w:r>
      <w:r>
        <w:rPr>
          <w:sz w:val="20"/>
          <w:szCs w:val="20"/>
        </w:rPr>
        <w:t xml:space="preserve">voor toegang tot Eurodac door de aangewezen autoriteiten zijn in het voorstel van de </w:t>
      </w:r>
      <w:r w:rsidRPr="00756CD5">
        <w:rPr>
          <w:sz w:val="20"/>
          <w:szCs w:val="20"/>
        </w:rPr>
        <w:t xml:space="preserve"> Commissie </w:t>
      </w:r>
      <w:r>
        <w:rPr>
          <w:sz w:val="20"/>
          <w:szCs w:val="20"/>
        </w:rPr>
        <w:t>niet inhoudelijk gewijzigd en zijn dus formeel geen onderdeel van de besprekingen</w:t>
      </w:r>
      <w:r w:rsidRPr="00756CD5">
        <w:rPr>
          <w:sz w:val="20"/>
          <w:szCs w:val="20"/>
        </w:rPr>
        <w:t xml:space="preserve">. </w:t>
      </w:r>
      <w:r>
        <w:rPr>
          <w:bCs/>
          <w:sz w:val="20"/>
          <w:szCs w:val="20"/>
        </w:rPr>
        <w:t>Het Europees Parlement heeft recentelijk een rapporteur aangewezen waarna behandeling ook daar zal aanvangen.</w:t>
      </w:r>
    </w:p>
    <w:p w:rsidR="007B3489" w:rsidP="007B3489" w:rsidRDefault="007B3489">
      <w:pPr>
        <w:autoSpaceDE w:val="0"/>
        <w:autoSpaceDN w:val="0"/>
        <w:rPr>
          <w:sz w:val="20"/>
          <w:szCs w:val="20"/>
        </w:rPr>
      </w:pPr>
    </w:p>
    <w:p w:rsidRPr="00611847" w:rsidR="007B3489" w:rsidP="007B3489" w:rsidRDefault="007B3489">
      <w:pPr>
        <w:autoSpaceDE w:val="0"/>
        <w:autoSpaceDN w:val="0"/>
        <w:rPr>
          <w:sz w:val="20"/>
          <w:szCs w:val="20"/>
        </w:rPr>
      </w:pPr>
      <w:r w:rsidRPr="00611847">
        <w:rPr>
          <w:sz w:val="20"/>
          <w:szCs w:val="20"/>
        </w:rPr>
        <w:t>Het voorstel voor een verordening voor het EU-</w:t>
      </w:r>
      <w:r>
        <w:rPr>
          <w:sz w:val="20"/>
          <w:szCs w:val="20"/>
        </w:rPr>
        <w:t>asiel</w:t>
      </w:r>
      <w:r w:rsidRPr="00611847">
        <w:rPr>
          <w:sz w:val="20"/>
          <w:szCs w:val="20"/>
        </w:rPr>
        <w:t>agentschap omvat de juridische basis voor een opgewaardeerd asielagentschap. Dit agentschap zal in de plaats komen van het Europees Ondersteuningsbureau voor asielzaken (EASO). Het voorstel maakt deel uit van het eerste pakket van wetgevende voorstellen voor herziening van het GEAS</w:t>
      </w:r>
      <w:r>
        <w:rPr>
          <w:sz w:val="20"/>
          <w:szCs w:val="20"/>
        </w:rPr>
        <w:t>, beide Kamers zijn hierover op 27 mei jl. middels een BNC-fiche geïnformeerd</w:t>
      </w:r>
      <w:r w:rsidRPr="00611847">
        <w:rPr>
          <w:sz w:val="20"/>
          <w:szCs w:val="20"/>
        </w:rPr>
        <w:t>.</w:t>
      </w:r>
      <w:r>
        <w:rPr>
          <w:rStyle w:val="FootnoteReference"/>
          <w:sz w:val="20"/>
          <w:szCs w:val="20"/>
        </w:rPr>
        <w:footnoteReference w:id="4"/>
      </w:r>
      <w:r w:rsidRPr="00611847">
        <w:rPr>
          <w:sz w:val="20"/>
          <w:szCs w:val="20"/>
        </w:rPr>
        <w:t xml:space="preserve"> </w:t>
      </w:r>
    </w:p>
    <w:p w:rsidRPr="00611847" w:rsidR="007B3489" w:rsidP="007B3489" w:rsidRDefault="007B3489">
      <w:pPr>
        <w:autoSpaceDE w:val="0"/>
        <w:autoSpaceDN w:val="0"/>
        <w:rPr>
          <w:sz w:val="20"/>
          <w:szCs w:val="20"/>
        </w:rPr>
      </w:pPr>
      <w:r w:rsidRPr="00611847">
        <w:rPr>
          <w:sz w:val="20"/>
          <w:szCs w:val="20"/>
        </w:rPr>
        <w:t> </w:t>
      </w:r>
    </w:p>
    <w:p w:rsidR="007B3489" w:rsidP="007B3489" w:rsidRDefault="007B3489">
      <w:pPr>
        <w:autoSpaceDE w:val="0"/>
        <w:autoSpaceDN w:val="0"/>
        <w:rPr>
          <w:sz w:val="20"/>
          <w:szCs w:val="20"/>
        </w:rPr>
      </w:pPr>
      <w:r w:rsidRPr="00611847">
        <w:rPr>
          <w:sz w:val="20"/>
          <w:szCs w:val="20"/>
        </w:rPr>
        <w:t xml:space="preserve">Bij de </w:t>
      </w:r>
      <w:r>
        <w:rPr>
          <w:sz w:val="20"/>
          <w:szCs w:val="20"/>
        </w:rPr>
        <w:t xml:space="preserve">ambtelijke </w:t>
      </w:r>
      <w:r w:rsidRPr="00611847">
        <w:rPr>
          <w:sz w:val="20"/>
          <w:szCs w:val="20"/>
        </w:rPr>
        <w:t xml:space="preserve">besprekingen </w:t>
      </w:r>
      <w:r>
        <w:rPr>
          <w:sz w:val="20"/>
          <w:szCs w:val="20"/>
        </w:rPr>
        <w:t>blijkt tot dusver dat éé</w:t>
      </w:r>
      <w:r w:rsidRPr="00611847">
        <w:rPr>
          <w:sz w:val="20"/>
          <w:szCs w:val="20"/>
        </w:rPr>
        <w:t xml:space="preserve">n van de discussiepunten de </w:t>
      </w:r>
      <w:r>
        <w:rPr>
          <w:sz w:val="20"/>
          <w:szCs w:val="20"/>
        </w:rPr>
        <w:t xml:space="preserve">nieuwe </w:t>
      </w:r>
      <w:r w:rsidRPr="00611847">
        <w:rPr>
          <w:sz w:val="20"/>
          <w:szCs w:val="20"/>
        </w:rPr>
        <w:t>monitoringstaak van het agentschap betreft. Enkele lidstaten menen dat er een spanningsveld is tussen monitoring en het leveren van bijstand door het agentschap. Ook werden vragen gesteld over de relatie tussen monitoring en inbreukprocedures. Daarnaast hebben enkele, met name kleinere, lidstaten moeite met de verplichte levering van deskundigen door lidstaten voor de asielinterventiepool. Een derde discussiepunt ziet op de besluitvorming over het ingrijpen in lidstaten wanneer het GEAS in gevaar komt. Het Nederlandse voorstel dat de Raad zou moeten beslissen over ingrijpen in een lidstaat, kon op steun rekenen van andere lidstaten.</w:t>
      </w:r>
    </w:p>
    <w:p w:rsidR="00336516" w:rsidP="007B3489" w:rsidRDefault="007B3489">
      <w:pPr>
        <w:tabs>
          <w:tab w:val="left" w:pos="870"/>
        </w:tabs>
        <w:rPr>
          <w:b/>
          <w:sz w:val="20"/>
          <w:szCs w:val="20"/>
        </w:rPr>
      </w:pPr>
      <w:r>
        <w:rPr>
          <w:sz w:val="20"/>
          <w:szCs w:val="20"/>
        </w:rPr>
        <w:t>In het Europees Parlement heeft de rapporteur zijn ontwerpverslag gepresenteerd.</w:t>
      </w:r>
    </w:p>
    <w:p w:rsidR="00336516" w:rsidP="007E3768" w:rsidRDefault="00336516">
      <w:pPr>
        <w:pStyle w:val="ListParagraph"/>
        <w:ind w:left="0"/>
        <w:rPr>
          <w:b/>
          <w:sz w:val="20"/>
          <w:szCs w:val="20"/>
        </w:rPr>
      </w:pPr>
    </w:p>
    <w:p w:rsidR="007D5C32" w:rsidP="007D5C32" w:rsidRDefault="007D5C32">
      <w:pPr>
        <w:pStyle w:val="ListParagraph"/>
        <w:numPr>
          <w:ilvl w:val="0"/>
          <w:numId w:val="1"/>
        </w:numPr>
        <w:rPr>
          <w:b/>
          <w:sz w:val="20"/>
          <w:szCs w:val="20"/>
        </w:rPr>
      </w:pPr>
      <w:r w:rsidRPr="004D70C9">
        <w:rPr>
          <w:b/>
          <w:sz w:val="20"/>
          <w:szCs w:val="20"/>
        </w:rPr>
        <w:t xml:space="preserve">Voorstel voor een verordening van het Europees Parlement en de Raad </w:t>
      </w:r>
      <w:r w:rsidRPr="007D5C32">
        <w:rPr>
          <w:b/>
          <w:sz w:val="20"/>
          <w:szCs w:val="20"/>
        </w:rPr>
        <w:t>tot oprichting van een EU-hervestigingskader en tot wijziging van Verordening (EU) nr. 516/2014 van het Europees Parlement en de Raad</w:t>
      </w:r>
    </w:p>
    <w:p w:rsidR="007D5C32" w:rsidP="007D5C32" w:rsidRDefault="007D5C32">
      <w:pPr>
        <w:pStyle w:val="ListParagraph"/>
        <w:ind w:left="360"/>
        <w:rPr>
          <w:b/>
          <w:sz w:val="20"/>
          <w:szCs w:val="20"/>
        </w:rPr>
      </w:pPr>
      <w:r>
        <w:rPr>
          <w:b/>
          <w:sz w:val="20"/>
          <w:szCs w:val="20"/>
        </w:rPr>
        <w:t>Interinstitutioneel dossiernummer 2015/0225 (COD)</w:t>
      </w:r>
    </w:p>
    <w:p w:rsidR="007D5C32" w:rsidP="007D5C32" w:rsidRDefault="007D5C32">
      <w:pPr>
        <w:pStyle w:val="ListParagraph"/>
        <w:ind w:left="360"/>
        <w:rPr>
          <w:b/>
          <w:sz w:val="20"/>
          <w:szCs w:val="20"/>
        </w:rPr>
      </w:pPr>
      <w:r>
        <w:rPr>
          <w:b/>
          <w:sz w:val="20"/>
          <w:szCs w:val="20"/>
        </w:rPr>
        <w:t>= beleidsdebat</w:t>
      </w:r>
    </w:p>
    <w:p w:rsidR="007D5C32" w:rsidP="007D5C32" w:rsidRDefault="007D5C32">
      <w:pPr>
        <w:rPr>
          <w:b/>
          <w:sz w:val="20"/>
          <w:szCs w:val="20"/>
        </w:rPr>
      </w:pPr>
    </w:p>
    <w:p w:rsidR="007D5C32" w:rsidP="00216E51" w:rsidRDefault="007B3489">
      <w:pPr>
        <w:rPr>
          <w:b/>
          <w:sz w:val="20"/>
          <w:szCs w:val="20"/>
        </w:rPr>
      </w:pPr>
      <w:r>
        <w:rPr>
          <w:bCs/>
          <w:sz w:val="20"/>
          <w:szCs w:val="20"/>
        </w:rPr>
        <w:t xml:space="preserve">Dit voorstel beoogt de totstandkoming van een gemeenschappelijk Europees hervestigingsbeleid. </w:t>
      </w:r>
      <w:r w:rsidRPr="0007181E">
        <w:rPr>
          <w:rFonts w:cs="Arial"/>
          <w:sz w:val="20"/>
          <w:szCs w:val="20"/>
        </w:rPr>
        <w:t>Een gemeenschappelijk hervestigingskader moet bijdragen aan een veilige, legale en gecontroleerde route naar Europa voor personen die in aanmerking komen voor internationale bescherming in Europa. Daarnaast kan het EU-hervestigingskader strategisch worden ingezet bij de ontwikkeling van de partnerschappen van de EU met derde landen om de samenwerking op het gebied van migratie verder te intensiveren, en is het een instrument voor het tonen van internationale solidariteit en verantwoordelijkheid.</w:t>
      </w:r>
      <w:r>
        <w:rPr>
          <w:rFonts w:cs="Arial"/>
          <w:sz w:val="20"/>
          <w:szCs w:val="20"/>
        </w:rPr>
        <w:t xml:space="preserve"> Nederland verwelkomt het voorstel voor een EU-hervestigingskader, zoals ook blijkt uit het BNC-fiche.</w:t>
      </w:r>
      <w:r>
        <w:rPr>
          <w:rStyle w:val="FootnoteReference"/>
          <w:rFonts w:cs="Arial"/>
          <w:sz w:val="20"/>
          <w:szCs w:val="20"/>
        </w:rPr>
        <w:footnoteReference w:id="5"/>
      </w:r>
      <w:r>
        <w:rPr>
          <w:bCs/>
          <w:sz w:val="20"/>
          <w:szCs w:val="20"/>
        </w:rPr>
        <w:t xml:space="preserve"> Het welslagen van het voorgestelde hervestigingskader zal mede afhankelijk zijn van het aantal lidstaten dat meedoet en het aantal hervestigingsplekken dat zij toezeggen. Nederland acht het daarom van belang dat een balans wordt gevonden waarbij lidstaten nog voldoende vrijheid wordt gelaten voor wat betreft aantallen en herkomstregio’s, zodat deelname praktisch mogelijk als ook politiek te verantwoorden is. Tegelijkertijd is van belang dat zodanige inzet kan worden bewerkstelligd dat dit voor de EU ook daadwerkelijk een solidariteits- en strategisch instrument kan zijn. </w:t>
      </w:r>
      <w:r w:rsidRPr="008A6E27">
        <w:rPr>
          <w:sz w:val="20"/>
          <w:szCs w:val="20"/>
        </w:rPr>
        <w:t xml:space="preserve">De </w:t>
      </w:r>
      <w:r>
        <w:rPr>
          <w:sz w:val="20"/>
          <w:szCs w:val="20"/>
        </w:rPr>
        <w:t>ambtelijke behandeling</w:t>
      </w:r>
      <w:r w:rsidRPr="008A6E27">
        <w:rPr>
          <w:sz w:val="20"/>
          <w:szCs w:val="20"/>
        </w:rPr>
        <w:t xml:space="preserve"> van </w:t>
      </w:r>
      <w:r>
        <w:rPr>
          <w:sz w:val="20"/>
          <w:szCs w:val="20"/>
        </w:rPr>
        <w:t xml:space="preserve">het </w:t>
      </w:r>
      <w:r w:rsidRPr="008A6E27">
        <w:rPr>
          <w:sz w:val="20"/>
          <w:szCs w:val="20"/>
        </w:rPr>
        <w:t xml:space="preserve">voorstel </w:t>
      </w:r>
      <w:r w:rsidR="00216E51">
        <w:rPr>
          <w:sz w:val="20"/>
          <w:szCs w:val="20"/>
        </w:rPr>
        <w:t>is recent gestart</w:t>
      </w:r>
      <w:r w:rsidRPr="008A6E27">
        <w:rPr>
          <w:sz w:val="20"/>
          <w:szCs w:val="20"/>
        </w:rPr>
        <w:t xml:space="preserve">. </w:t>
      </w:r>
      <w:r>
        <w:rPr>
          <w:bCs/>
          <w:sz w:val="20"/>
          <w:szCs w:val="20"/>
        </w:rPr>
        <w:t>Het Europees Parlement heeft recentelijk een rapporteur aangewezen waarna behandeling ook daar zal aanvangen.</w:t>
      </w:r>
    </w:p>
    <w:p w:rsidR="007D5C32" w:rsidP="007D5C32" w:rsidRDefault="007D5C32">
      <w:pPr>
        <w:rPr>
          <w:b/>
          <w:sz w:val="20"/>
          <w:szCs w:val="20"/>
        </w:rPr>
      </w:pPr>
    </w:p>
    <w:p w:rsidR="007B5EAE" w:rsidP="007E3768" w:rsidRDefault="007B5EAE">
      <w:pPr>
        <w:pStyle w:val="ListParagraph"/>
        <w:ind w:left="0"/>
        <w:rPr>
          <w:b/>
          <w:sz w:val="20"/>
          <w:szCs w:val="20"/>
        </w:rPr>
      </w:pPr>
    </w:p>
    <w:p w:rsidR="007E3768" w:rsidP="00FB3123" w:rsidRDefault="007E3768">
      <w:pPr>
        <w:pStyle w:val="ListParagraph"/>
        <w:numPr>
          <w:ilvl w:val="0"/>
          <w:numId w:val="1"/>
        </w:numPr>
        <w:rPr>
          <w:b/>
          <w:sz w:val="20"/>
          <w:szCs w:val="20"/>
        </w:rPr>
      </w:pPr>
      <w:r>
        <w:rPr>
          <w:b/>
          <w:sz w:val="20"/>
          <w:szCs w:val="20"/>
        </w:rPr>
        <w:t>Diversen wetgevend</w:t>
      </w:r>
    </w:p>
    <w:p w:rsidR="007E3768" w:rsidP="007E3768" w:rsidRDefault="007E3768">
      <w:pPr>
        <w:pStyle w:val="ListParagraph"/>
        <w:ind w:left="0"/>
        <w:rPr>
          <w:b/>
          <w:sz w:val="20"/>
          <w:szCs w:val="20"/>
        </w:rPr>
      </w:pPr>
    </w:p>
    <w:p w:rsidR="007E3768" w:rsidP="007E3768" w:rsidRDefault="00703B4C">
      <w:pPr>
        <w:pStyle w:val="ListParagraph"/>
        <w:ind w:left="0"/>
        <w:rPr>
          <w:b/>
          <w:sz w:val="20"/>
          <w:szCs w:val="20"/>
        </w:rPr>
      </w:pPr>
      <w:r>
        <w:rPr>
          <w:sz w:val="20"/>
          <w:szCs w:val="20"/>
        </w:rPr>
        <w:t>Het v</w:t>
      </w:r>
      <w:r w:rsidRPr="00265A0A" w:rsidR="007E3768">
        <w:rPr>
          <w:sz w:val="20"/>
          <w:szCs w:val="20"/>
        </w:rPr>
        <w:t>oorzitterschap zal de Raad informeren over</w:t>
      </w:r>
      <w:r w:rsidR="007E3768">
        <w:rPr>
          <w:sz w:val="20"/>
          <w:szCs w:val="20"/>
        </w:rPr>
        <w:t xml:space="preserve"> de stand van zaken van lopende onderhandelingen over wetgevingsvoorstellen. </w:t>
      </w:r>
    </w:p>
    <w:p w:rsidR="007E3768" w:rsidP="0038518B" w:rsidRDefault="007E3768">
      <w:pPr>
        <w:pStyle w:val="ListParagraph"/>
        <w:ind w:left="0"/>
        <w:rPr>
          <w:b/>
          <w:sz w:val="20"/>
          <w:szCs w:val="20"/>
        </w:rPr>
      </w:pPr>
    </w:p>
    <w:p w:rsidR="00FB3123" w:rsidP="0038518B" w:rsidRDefault="00FB3123">
      <w:pPr>
        <w:pStyle w:val="ListParagraph"/>
        <w:ind w:left="0"/>
        <w:rPr>
          <w:b/>
          <w:sz w:val="20"/>
          <w:szCs w:val="20"/>
        </w:rPr>
      </w:pPr>
    </w:p>
    <w:p w:rsidR="006619C4" w:rsidP="006619C4" w:rsidRDefault="00C93314">
      <w:pPr>
        <w:rPr>
          <w:b/>
          <w:bCs/>
          <w:iCs/>
          <w:sz w:val="20"/>
          <w:szCs w:val="20"/>
          <w:u w:val="single"/>
        </w:rPr>
      </w:pPr>
      <w:r>
        <w:rPr>
          <w:b/>
          <w:bCs/>
          <w:iCs/>
          <w:sz w:val="20"/>
          <w:szCs w:val="20"/>
          <w:u w:val="single"/>
        </w:rPr>
        <w:t>Raad n</w:t>
      </w:r>
      <w:r w:rsidR="00AF5F22">
        <w:rPr>
          <w:b/>
          <w:bCs/>
          <w:iCs/>
          <w:sz w:val="20"/>
          <w:szCs w:val="20"/>
          <w:u w:val="single"/>
        </w:rPr>
        <w:t>iet-w</w:t>
      </w:r>
      <w:r w:rsidRPr="00A92A0E" w:rsidR="00AF5F22">
        <w:rPr>
          <w:b/>
          <w:bCs/>
          <w:iCs/>
          <w:sz w:val="20"/>
          <w:szCs w:val="20"/>
          <w:u w:val="single"/>
        </w:rPr>
        <w:t>etgevende besprekingen</w:t>
      </w:r>
    </w:p>
    <w:p w:rsidR="00256EA9" w:rsidP="00256EA9" w:rsidRDefault="00256EA9">
      <w:pPr>
        <w:rPr>
          <w:b/>
          <w:color w:val="FF0000"/>
          <w:sz w:val="20"/>
          <w:szCs w:val="20"/>
        </w:rPr>
      </w:pPr>
    </w:p>
    <w:p w:rsidR="00256EA9" w:rsidP="00256EA9" w:rsidRDefault="00256EA9">
      <w:pPr>
        <w:pStyle w:val="ListParagraph"/>
        <w:numPr>
          <w:ilvl w:val="0"/>
          <w:numId w:val="1"/>
        </w:numPr>
        <w:rPr>
          <w:b/>
          <w:sz w:val="20"/>
          <w:szCs w:val="20"/>
        </w:rPr>
      </w:pPr>
      <w:r>
        <w:rPr>
          <w:b/>
          <w:sz w:val="20"/>
          <w:szCs w:val="20"/>
        </w:rPr>
        <w:t>Migratie</w:t>
      </w:r>
    </w:p>
    <w:p w:rsidR="00256EA9" w:rsidP="007D5C32" w:rsidRDefault="00256EA9">
      <w:pPr>
        <w:ind w:firstLine="360"/>
        <w:rPr>
          <w:b/>
          <w:sz w:val="20"/>
          <w:szCs w:val="20"/>
        </w:rPr>
      </w:pPr>
      <w:r>
        <w:rPr>
          <w:b/>
          <w:sz w:val="20"/>
          <w:szCs w:val="20"/>
        </w:rPr>
        <w:t xml:space="preserve">- implementatie </w:t>
      </w:r>
    </w:p>
    <w:p w:rsidRPr="00F036BD" w:rsidR="00256EA9" w:rsidP="00256EA9" w:rsidRDefault="00256EA9">
      <w:pPr>
        <w:ind w:firstLine="360"/>
        <w:rPr>
          <w:b/>
          <w:sz w:val="20"/>
          <w:szCs w:val="20"/>
        </w:rPr>
      </w:pPr>
    </w:p>
    <w:p w:rsidR="00256EA9" w:rsidP="00256EA9" w:rsidRDefault="007B3489">
      <w:pPr>
        <w:rPr>
          <w:sz w:val="20"/>
          <w:szCs w:val="20"/>
        </w:rPr>
      </w:pPr>
      <w:r>
        <w:rPr>
          <w:sz w:val="20"/>
          <w:szCs w:val="20"/>
        </w:rPr>
        <w:t>Naa</w:t>
      </w:r>
      <w:r w:rsidR="00703B4C">
        <w:rPr>
          <w:sz w:val="20"/>
          <w:szCs w:val="20"/>
        </w:rPr>
        <w:t>r verwachting zal het Slowaaks v</w:t>
      </w:r>
      <w:r>
        <w:rPr>
          <w:sz w:val="20"/>
          <w:szCs w:val="20"/>
        </w:rPr>
        <w:t>oorzitterschap onder dit agendapunt de uitvoering van gemaakte afspraken willen bespreken. Op vele punten blijkt dat de implementatie van gemaakte afspraken achterblijft, onder meer op: herplaatsing, hervestiging en het aanleveren van voldoende personeel in Griekenland en elders. De achterblijvende implementatie blijkt ook uit de voortgangsoverzichten die de Commissie op 28 september jl. heeft gepresenteerd. Nederland zal het belang van een adequate implementatie van alle gemaakte afspraken blijven benadrukken.</w:t>
      </w:r>
    </w:p>
    <w:p w:rsidR="00256EA9" w:rsidP="00256EA9" w:rsidRDefault="00256EA9">
      <w:pPr>
        <w:rPr>
          <w:sz w:val="20"/>
          <w:szCs w:val="20"/>
        </w:rPr>
      </w:pPr>
    </w:p>
    <w:p w:rsidR="00256EA9" w:rsidP="00256EA9" w:rsidRDefault="00256EA9">
      <w:pPr>
        <w:rPr>
          <w:sz w:val="20"/>
          <w:szCs w:val="20"/>
        </w:rPr>
      </w:pPr>
    </w:p>
    <w:p w:rsidR="00256EA9" w:rsidP="00256EA9" w:rsidRDefault="007D5C32">
      <w:pPr>
        <w:pStyle w:val="ListParagraph"/>
        <w:numPr>
          <w:ilvl w:val="0"/>
          <w:numId w:val="1"/>
        </w:numPr>
        <w:rPr>
          <w:b/>
          <w:sz w:val="20"/>
          <w:szCs w:val="20"/>
        </w:rPr>
      </w:pPr>
      <w:r>
        <w:rPr>
          <w:b/>
          <w:sz w:val="20"/>
          <w:szCs w:val="20"/>
        </w:rPr>
        <w:t>Europese grens- en kustwacht: implementatie</w:t>
      </w:r>
    </w:p>
    <w:p w:rsidR="00256EA9" w:rsidP="007D5C32" w:rsidRDefault="00256EA9">
      <w:pPr>
        <w:pStyle w:val="ListParagraph"/>
        <w:ind w:left="360"/>
        <w:rPr>
          <w:b/>
          <w:sz w:val="20"/>
          <w:szCs w:val="20"/>
        </w:rPr>
      </w:pPr>
      <w:r>
        <w:rPr>
          <w:b/>
          <w:sz w:val="20"/>
          <w:szCs w:val="20"/>
        </w:rPr>
        <w:t xml:space="preserve">= </w:t>
      </w:r>
      <w:r w:rsidR="007D5C32">
        <w:rPr>
          <w:b/>
          <w:sz w:val="20"/>
          <w:szCs w:val="20"/>
        </w:rPr>
        <w:t>voortgangsrapportage</w:t>
      </w:r>
      <w:r>
        <w:rPr>
          <w:b/>
          <w:sz w:val="20"/>
          <w:szCs w:val="20"/>
        </w:rPr>
        <w:t xml:space="preserve"> </w:t>
      </w:r>
    </w:p>
    <w:p w:rsidR="00256EA9" w:rsidP="00256EA9" w:rsidRDefault="00256EA9">
      <w:pPr>
        <w:pStyle w:val="DashEqual1"/>
        <w:numPr>
          <w:ilvl w:val="0"/>
          <w:numId w:val="0"/>
        </w:numPr>
        <w:rPr>
          <w:rFonts w:ascii="Verdana" w:hAnsi="Verdana"/>
          <w:sz w:val="20"/>
          <w:szCs w:val="20"/>
          <w:lang w:val="nl-NL"/>
        </w:rPr>
      </w:pPr>
    </w:p>
    <w:p w:rsidR="00D55B5D" w:rsidP="00BE08A6" w:rsidRDefault="00BE08A6">
      <w:pPr>
        <w:rPr>
          <w:sz w:val="20"/>
          <w:szCs w:val="20"/>
        </w:rPr>
      </w:pPr>
      <w:r>
        <w:rPr>
          <w:sz w:val="20"/>
          <w:szCs w:val="20"/>
        </w:rPr>
        <w:t>Zie onder 1.</w:t>
      </w:r>
    </w:p>
    <w:p w:rsidRPr="005F5981" w:rsidR="00BE08A6" w:rsidP="00BE08A6" w:rsidRDefault="00BE08A6">
      <w:pPr>
        <w:rPr>
          <w:b/>
          <w:sz w:val="20"/>
          <w:szCs w:val="20"/>
        </w:rPr>
      </w:pPr>
    </w:p>
    <w:p w:rsidR="005A16C1" w:rsidP="008B72F8" w:rsidRDefault="005A16C1">
      <w:pPr>
        <w:rPr>
          <w:b/>
          <w:sz w:val="20"/>
          <w:szCs w:val="20"/>
        </w:rPr>
      </w:pPr>
    </w:p>
    <w:p w:rsidRPr="00685F74" w:rsidR="00A270E2" w:rsidP="00BE08A6" w:rsidRDefault="00A270E2">
      <w:pPr>
        <w:pStyle w:val="ListParagraph"/>
        <w:numPr>
          <w:ilvl w:val="0"/>
          <w:numId w:val="1"/>
        </w:numPr>
        <w:rPr>
          <w:b/>
          <w:sz w:val="20"/>
          <w:szCs w:val="20"/>
        </w:rPr>
      </w:pPr>
      <w:r>
        <w:rPr>
          <w:b/>
          <w:sz w:val="20"/>
          <w:szCs w:val="20"/>
        </w:rPr>
        <w:t>IT-maatregelen voor grensbewaking</w:t>
      </w:r>
      <w:r w:rsidRPr="00685F74">
        <w:rPr>
          <w:b/>
          <w:sz w:val="20"/>
          <w:szCs w:val="20"/>
        </w:rPr>
        <w:t xml:space="preserve"> </w:t>
      </w:r>
    </w:p>
    <w:p w:rsidR="00A270E2" w:rsidP="00A270E2" w:rsidRDefault="00A270E2">
      <w:pPr>
        <w:rPr>
          <w:color w:val="222222"/>
        </w:rPr>
      </w:pPr>
    </w:p>
    <w:p w:rsidR="00A270E2" w:rsidP="00A270E2" w:rsidRDefault="00A270E2">
      <w:pPr>
        <w:pStyle w:val="ListParagraph"/>
        <w:ind w:left="360"/>
        <w:rPr>
          <w:b/>
          <w:sz w:val="20"/>
          <w:szCs w:val="20"/>
        </w:rPr>
      </w:pPr>
      <w:r>
        <w:rPr>
          <w:b/>
          <w:sz w:val="20"/>
          <w:szCs w:val="20"/>
        </w:rPr>
        <w:t>c. Ontwikkeling van het Schengen Informatie Systeem (SIS)</w:t>
      </w:r>
    </w:p>
    <w:p w:rsidR="00A270E2" w:rsidP="00A270E2" w:rsidRDefault="00A270E2">
      <w:pPr>
        <w:pStyle w:val="ListParagraph"/>
        <w:ind w:left="360"/>
        <w:rPr>
          <w:b/>
          <w:sz w:val="20"/>
          <w:szCs w:val="20"/>
        </w:rPr>
      </w:pPr>
      <w:r>
        <w:rPr>
          <w:b/>
          <w:sz w:val="20"/>
          <w:szCs w:val="20"/>
        </w:rPr>
        <w:t xml:space="preserve"> </w:t>
      </w:r>
    </w:p>
    <w:p w:rsidRPr="003F58DF" w:rsidR="00A270E2" w:rsidP="00A270E2" w:rsidRDefault="00A270E2">
      <w:pPr>
        <w:pStyle w:val="ListParagraph"/>
        <w:ind w:left="360"/>
        <w:rPr>
          <w:b/>
          <w:sz w:val="20"/>
          <w:szCs w:val="20"/>
          <w:lang w:val="fr-FR"/>
        </w:rPr>
      </w:pPr>
      <w:r w:rsidRPr="003F58DF">
        <w:rPr>
          <w:b/>
          <w:sz w:val="20"/>
          <w:szCs w:val="20"/>
          <w:lang w:val="fr-FR"/>
        </w:rPr>
        <w:t>d. EU reisinformatie</w:t>
      </w:r>
      <w:r>
        <w:rPr>
          <w:b/>
          <w:sz w:val="20"/>
          <w:szCs w:val="20"/>
          <w:lang w:val="fr-FR"/>
        </w:rPr>
        <w:t>-</w:t>
      </w:r>
      <w:r w:rsidRPr="003F58DF">
        <w:rPr>
          <w:b/>
          <w:sz w:val="20"/>
          <w:szCs w:val="20"/>
          <w:lang w:val="fr-FR"/>
        </w:rPr>
        <w:t xml:space="preserve"> en autorisatiesysteem </w:t>
      </w:r>
      <w:r>
        <w:rPr>
          <w:b/>
          <w:sz w:val="20"/>
          <w:szCs w:val="20"/>
          <w:lang w:val="fr-FR"/>
        </w:rPr>
        <w:t>(ETIAS)</w:t>
      </w:r>
    </w:p>
    <w:p w:rsidRPr="003F58DF" w:rsidR="00A270E2" w:rsidP="00A270E2" w:rsidRDefault="00A270E2">
      <w:pPr>
        <w:pStyle w:val="ListParagraph"/>
        <w:ind w:left="360"/>
        <w:rPr>
          <w:b/>
          <w:sz w:val="20"/>
          <w:szCs w:val="20"/>
          <w:lang w:val="fr-FR"/>
        </w:rPr>
      </w:pPr>
    </w:p>
    <w:p w:rsidR="00A270E2" w:rsidP="00A270E2" w:rsidRDefault="00A270E2">
      <w:pPr>
        <w:pStyle w:val="ListParagraph"/>
        <w:ind w:left="360"/>
        <w:rPr>
          <w:b/>
          <w:sz w:val="20"/>
          <w:szCs w:val="20"/>
        </w:rPr>
      </w:pPr>
      <w:r>
        <w:rPr>
          <w:b/>
          <w:sz w:val="20"/>
          <w:szCs w:val="20"/>
        </w:rPr>
        <w:t xml:space="preserve">e. High-level expertgroep voor informatiesystemen en interoperabiliteit </w:t>
      </w:r>
    </w:p>
    <w:p w:rsidR="00A270E2" w:rsidP="00A270E2" w:rsidRDefault="00A270E2">
      <w:pPr>
        <w:pStyle w:val="ListParagraph"/>
        <w:ind w:left="360"/>
        <w:rPr>
          <w:b/>
          <w:sz w:val="20"/>
          <w:szCs w:val="20"/>
        </w:rPr>
      </w:pPr>
      <w:r>
        <w:rPr>
          <w:b/>
          <w:sz w:val="20"/>
          <w:szCs w:val="20"/>
        </w:rPr>
        <w:t>= voortgangsrapportage</w:t>
      </w:r>
    </w:p>
    <w:p w:rsidR="00A270E2" w:rsidP="00A270E2" w:rsidRDefault="00A270E2">
      <w:pPr>
        <w:pStyle w:val="ListParagraph"/>
        <w:ind w:left="360"/>
        <w:rPr>
          <w:b/>
          <w:sz w:val="20"/>
          <w:szCs w:val="20"/>
        </w:rPr>
      </w:pPr>
    </w:p>
    <w:p w:rsidR="00A270E2" w:rsidP="00A270E2" w:rsidRDefault="00BE08A6">
      <w:pPr>
        <w:rPr>
          <w:bCs/>
          <w:sz w:val="20"/>
          <w:szCs w:val="20"/>
        </w:rPr>
      </w:pPr>
      <w:r>
        <w:rPr>
          <w:bCs/>
          <w:sz w:val="20"/>
          <w:szCs w:val="20"/>
        </w:rPr>
        <w:t>Zie onder 2.</w:t>
      </w:r>
    </w:p>
    <w:p w:rsidR="00A270E2" w:rsidP="008B72F8" w:rsidRDefault="00A270E2">
      <w:pPr>
        <w:rPr>
          <w:b/>
          <w:sz w:val="20"/>
          <w:szCs w:val="20"/>
        </w:rPr>
      </w:pPr>
    </w:p>
    <w:p w:rsidR="00A270E2" w:rsidP="00A270E2" w:rsidRDefault="00A270E2">
      <w:pPr>
        <w:pStyle w:val="ListParagraph"/>
        <w:ind w:left="0"/>
        <w:rPr>
          <w:b/>
          <w:sz w:val="20"/>
          <w:szCs w:val="20"/>
        </w:rPr>
      </w:pPr>
    </w:p>
    <w:p w:rsidR="00A270E2" w:rsidP="00BE08A6" w:rsidRDefault="00A270E2">
      <w:pPr>
        <w:pStyle w:val="ListParagraph"/>
        <w:numPr>
          <w:ilvl w:val="0"/>
          <w:numId w:val="1"/>
        </w:numPr>
        <w:rPr>
          <w:b/>
          <w:sz w:val="20"/>
          <w:szCs w:val="20"/>
        </w:rPr>
      </w:pPr>
      <w:r>
        <w:rPr>
          <w:b/>
          <w:sz w:val="20"/>
          <w:szCs w:val="20"/>
        </w:rPr>
        <w:t>Diversen niet-wetgevend</w:t>
      </w:r>
    </w:p>
    <w:p w:rsidR="00A270E2" w:rsidP="00A270E2" w:rsidRDefault="00A270E2">
      <w:pPr>
        <w:pStyle w:val="ListParagraph"/>
        <w:ind w:left="0"/>
        <w:rPr>
          <w:b/>
          <w:sz w:val="20"/>
          <w:szCs w:val="20"/>
        </w:rPr>
      </w:pPr>
    </w:p>
    <w:p w:rsidR="00A270E2" w:rsidP="00A270E2" w:rsidRDefault="00703B4C">
      <w:pPr>
        <w:pStyle w:val="ListParagraph"/>
        <w:ind w:left="0"/>
        <w:rPr>
          <w:b/>
          <w:sz w:val="20"/>
          <w:szCs w:val="20"/>
        </w:rPr>
      </w:pPr>
      <w:r>
        <w:rPr>
          <w:sz w:val="20"/>
          <w:szCs w:val="20"/>
        </w:rPr>
        <w:t>Het v</w:t>
      </w:r>
      <w:r w:rsidRPr="00265A0A" w:rsidR="00A270E2">
        <w:rPr>
          <w:sz w:val="20"/>
          <w:szCs w:val="20"/>
        </w:rPr>
        <w:t>oorzitterschap zal de Raad informeren over</w:t>
      </w:r>
      <w:r w:rsidR="00A270E2">
        <w:rPr>
          <w:sz w:val="20"/>
          <w:szCs w:val="20"/>
        </w:rPr>
        <w:t xml:space="preserve"> de derde ministeriële bijeenkomst in het kader van het Praag Proces “Addressing challenges together”, te Bratislava op 19-20 september 2016.</w:t>
      </w:r>
    </w:p>
    <w:p w:rsidR="00A270E2" w:rsidP="008B72F8" w:rsidRDefault="00A270E2">
      <w:pPr>
        <w:rPr>
          <w:b/>
          <w:sz w:val="20"/>
          <w:szCs w:val="20"/>
        </w:rPr>
      </w:pPr>
    </w:p>
    <w:p w:rsidR="00A270E2" w:rsidP="008B72F8" w:rsidRDefault="00A270E2">
      <w:pPr>
        <w:rPr>
          <w:b/>
          <w:sz w:val="20"/>
          <w:szCs w:val="20"/>
        </w:rPr>
      </w:pPr>
    </w:p>
    <w:p w:rsidRPr="005A16C1" w:rsidR="005A16C1" w:rsidP="008B72F8" w:rsidRDefault="005A16C1">
      <w:pPr>
        <w:rPr>
          <w:b/>
          <w:sz w:val="20"/>
          <w:szCs w:val="20"/>
        </w:rPr>
      </w:pPr>
    </w:p>
    <w:p w:rsidR="00F63A7D" w:rsidP="00F63A7D" w:rsidRDefault="00792F73">
      <w:pPr>
        <w:pStyle w:val="Heading1"/>
        <w:spacing w:before="0" w:after="0"/>
        <w:rPr>
          <w:rFonts w:ascii="Verdana" w:hAnsi="Verdana"/>
          <w:sz w:val="24"/>
          <w:szCs w:val="24"/>
        </w:rPr>
      </w:pPr>
      <w:r w:rsidRPr="00403DDD">
        <w:rPr>
          <w:rFonts w:ascii="Verdana" w:hAnsi="Verdana"/>
          <w:sz w:val="24"/>
          <w:szCs w:val="24"/>
        </w:rPr>
        <w:t>I</w:t>
      </w:r>
      <w:r>
        <w:rPr>
          <w:rFonts w:ascii="Verdana" w:hAnsi="Verdana"/>
          <w:sz w:val="24"/>
          <w:szCs w:val="24"/>
        </w:rPr>
        <w:t>I</w:t>
      </w:r>
      <w:r w:rsidR="006307CB">
        <w:rPr>
          <w:rFonts w:ascii="Verdana" w:hAnsi="Verdana"/>
          <w:sz w:val="24"/>
          <w:szCs w:val="24"/>
        </w:rPr>
        <w:t>I</w:t>
      </w:r>
      <w:r w:rsidRPr="00403DDD">
        <w:rPr>
          <w:rFonts w:ascii="Verdana" w:hAnsi="Verdana"/>
          <w:sz w:val="24"/>
          <w:szCs w:val="24"/>
        </w:rPr>
        <w:t xml:space="preserve">. </w:t>
      </w:r>
      <w:r w:rsidRPr="00792F73">
        <w:rPr>
          <w:rFonts w:ascii="Verdana" w:hAnsi="Verdana"/>
          <w:sz w:val="24"/>
          <w:szCs w:val="24"/>
        </w:rPr>
        <w:t>Veiligheid en Justitie, Grondrechten en Burgerschap</w:t>
      </w:r>
    </w:p>
    <w:p w:rsidRPr="002D50A5" w:rsidR="002D50A5" w:rsidP="002D50A5" w:rsidRDefault="002D50A5"/>
    <w:p w:rsidR="00375056" w:rsidP="00375056" w:rsidRDefault="00375056">
      <w:pPr>
        <w:rPr>
          <w:b/>
          <w:bCs/>
          <w:iCs/>
          <w:sz w:val="20"/>
          <w:szCs w:val="20"/>
          <w:u w:val="single"/>
        </w:rPr>
      </w:pPr>
      <w:r>
        <w:rPr>
          <w:b/>
          <w:bCs/>
          <w:iCs/>
          <w:sz w:val="20"/>
          <w:szCs w:val="20"/>
          <w:u w:val="single"/>
        </w:rPr>
        <w:t>Raad w</w:t>
      </w:r>
      <w:r w:rsidRPr="00A92A0E">
        <w:rPr>
          <w:b/>
          <w:bCs/>
          <w:iCs/>
          <w:sz w:val="20"/>
          <w:szCs w:val="20"/>
          <w:u w:val="single"/>
        </w:rPr>
        <w:t>etgevende besprekingen</w:t>
      </w:r>
    </w:p>
    <w:p w:rsidR="005A16C1" w:rsidP="00375056" w:rsidRDefault="005A16C1">
      <w:pPr>
        <w:rPr>
          <w:b/>
          <w:bCs/>
          <w:iCs/>
          <w:sz w:val="20"/>
          <w:szCs w:val="20"/>
          <w:u w:val="single"/>
        </w:rPr>
      </w:pPr>
    </w:p>
    <w:p w:rsidRPr="00A71E51" w:rsidR="005A16C1" w:rsidP="00BE08A6" w:rsidRDefault="005A16C1">
      <w:pPr>
        <w:pStyle w:val="ListParagraph"/>
        <w:numPr>
          <w:ilvl w:val="0"/>
          <w:numId w:val="1"/>
        </w:numPr>
        <w:rPr>
          <w:b/>
          <w:sz w:val="20"/>
          <w:szCs w:val="20"/>
        </w:rPr>
      </w:pPr>
      <w:r w:rsidRPr="00A71E51">
        <w:rPr>
          <w:b/>
          <w:sz w:val="20"/>
          <w:szCs w:val="20"/>
        </w:rPr>
        <w:t xml:space="preserve">Voorstel voor een verordening van de Raad tot instelling van het </w:t>
      </w:r>
      <w:r w:rsidRPr="00A71E51">
        <w:rPr>
          <w:b/>
          <w:sz w:val="20"/>
          <w:szCs w:val="20"/>
        </w:rPr>
        <w:tab/>
        <w:t>Europees Openbaar Ministerie (EOM)</w:t>
      </w:r>
    </w:p>
    <w:p w:rsidR="005A16C1" w:rsidP="005A16C1" w:rsidRDefault="005A16C1">
      <w:pPr>
        <w:pStyle w:val="ListParagraph"/>
        <w:ind w:left="360"/>
        <w:rPr>
          <w:b/>
          <w:sz w:val="20"/>
          <w:szCs w:val="20"/>
        </w:rPr>
      </w:pPr>
      <w:r>
        <w:rPr>
          <w:b/>
          <w:sz w:val="20"/>
          <w:szCs w:val="20"/>
        </w:rPr>
        <w:t>Interinstitutioneel dossiernummer: 2013/0255 (APP)</w:t>
      </w:r>
    </w:p>
    <w:p w:rsidR="005A16C1" w:rsidP="00B90AF8" w:rsidRDefault="005A16C1">
      <w:pPr>
        <w:pStyle w:val="ListParagraph"/>
        <w:ind w:left="360"/>
        <w:rPr>
          <w:b/>
          <w:sz w:val="20"/>
          <w:szCs w:val="20"/>
        </w:rPr>
      </w:pPr>
      <w:r>
        <w:rPr>
          <w:b/>
          <w:sz w:val="20"/>
          <w:szCs w:val="20"/>
        </w:rPr>
        <w:t xml:space="preserve">= </w:t>
      </w:r>
      <w:r w:rsidR="00B90AF8">
        <w:rPr>
          <w:b/>
          <w:sz w:val="20"/>
          <w:szCs w:val="20"/>
        </w:rPr>
        <w:t>beleidsdebat/g</w:t>
      </w:r>
      <w:r>
        <w:rPr>
          <w:b/>
          <w:sz w:val="20"/>
          <w:szCs w:val="20"/>
        </w:rPr>
        <w:t>edeeltelijke algemene oriëntatie</w:t>
      </w:r>
    </w:p>
    <w:p w:rsidR="005A16C1" w:rsidP="005A16C1" w:rsidRDefault="005A16C1">
      <w:pPr>
        <w:pStyle w:val="ListParagraph"/>
        <w:ind w:left="360"/>
        <w:rPr>
          <w:b/>
          <w:sz w:val="20"/>
          <w:szCs w:val="20"/>
        </w:rPr>
      </w:pPr>
    </w:p>
    <w:p w:rsidR="000B25DA" w:rsidP="000B25DA" w:rsidRDefault="000B25DA">
      <w:r>
        <w:t>Het voorzitterschap is voornemens om enkele onderdelen van de ontwerpverordening aan de JBZ-Raad voor te leggen met het oog op het bereiken van een gedeeltelijke algemene oriëntatie. Het deelpakket artikelen dat aan de JBZ-Raad zal worden voorgelegd en dat is terug te vinden in doc.12809/</w:t>
      </w:r>
      <w:r w:rsidR="006B4078">
        <w:t>1/</w:t>
      </w:r>
      <w:r>
        <w:t xml:space="preserve">16, EPPO 28, omvat de bepalingen over gerechtelijke toetsing van beslissingen van het EOM, de relatie van het EOM met derde landen en niet-deelnemende lidstaten en de relatie tussen het EOM en Eurojust.    </w:t>
      </w:r>
    </w:p>
    <w:p w:rsidR="000B25DA" w:rsidP="000B25DA" w:rsidRDefault="000B25DA">
      <w:r>
        <w:t xml:space="preserve">   </w:t>
      </w:r>
    </w:p>
    <w:p w:rsidR="000B25DA" w:rsidP="000B25DA" w:rsidRDefault="000B25DA">
      <w:r>
        <w:t xml:space="preserve">Voorts beoogt het voorzitterschap, in het licht van zijn ambitie om de onderhandelingen over het EOM dit jaar te finaliseren, een discussie over de ontwerpverordening, zoals die thans, na drie jaar onderhandelen, vorm heeft gekregen (doc. 12775/16, EPPO 27). De ministers worden daarbij gevraagd hun belangrijkste voorbehouden bij de ontwerpverordening kenbaar te maken. Ten slotte zal, zo heeft het voorzitterschap aangekondigd, Eurocommissaris Jourová tijdens de JBZ-Raad een geactualiseerde presentatie geven van de verwachte financiële implicaties van oprichting van het EOM, rekening houdend met de ten opzichte van het oorspronkelijke Commissievoorstel gewijzigde structuur van de organisatie. </w:t>
      </w:r>
    </w:p>
    <w:p w:rsidR="000B25DA" w:rsidP="000B25DA" w:rsidRDefault="000B25DA"/>
    <w:p w:rsidR="000B25DA" w:rsidP="000B25DA" w:rsidRDefault="000B25DA">
      <w:r>
        <w:t xml:space="preserve">Formele besluitvorming over de eindtekst is tijdens deze JBZ-Raad niet aan de orde. Zoals uit de geconsolideerde versie van de ontwerpverordening (doc. 12774/16, EPPO 26) blijkt, heeft een aantal lidstaten en de Commissie nog inhoudelijke voorbehouden bij de voorliggende tekst. De verwachting is niet dat die tijdens deze JBZ-Raad zullen worden opgeheven. Het streven van het voorzitterschap is erop gericht om de eindtekst voor een finaal akkoord voor te leggen tijdens de JBZ-Raad van december 2016. Daarbij is ook de samenhang met de zogenoemde PIF-richtlijn en de ontwerpverordening Eurojust, waarover de onderhandelingen nog niet zijn afgerond, relevant. </w:t>
      </w:r>
    </w:p>
    <w:p w:rsidR="000B25DA" w:rsidP="000B25DA" w:rsidRDefault="000B25DA">
      <w:r>
        <w:t xml:space="preserve">De positie van Nederland ten aanzien van het EOM, laatstelijk op politiek niveau uitgedragen bij gelegenheid van de Informele JBZ-Raad in Bratislava op 7-8 juli 2016, is bij andere lidstaten en de Commissie genoegzaam bekend. In het licht van de motie Van Oosten c.s. (TK, 2015-2016, 32 317, nr. 428), waarmee de regering rekening zal houden op het moment dat besluitvorming over de eindtekst daadwerkelijk aan de orde is, zal de focus van Nederland tijdens deze JBZ-Raad liggen op die aspecten van de ontwerpverordening die voor Nederland thans het meest relevant zijn. Dit betreft met name de discussie over de relatie tussen het EOM en niet-deelnemende lidstaten. </w:t>
      </w:r>
    </w:p>
    <w:p w:rsidR="000B25DA" w:rsidP="000B25DA" w:rsidRDefault="000B25DA"/>
    <w:p w:rsidR="000B25DA" w:rsidP="00E658E2" w:rsidRDefault="000B25DA">
      <w:r>
        <w:t>Op het moment van het opstellen van deze geannoteerde agenda zijn de besprekingen over de relatie tussen het EOM en niet-deelnemende lidstaten op ambtelijk niveau nog gaande. Nederland deelt in deze discussie samen met enkele andere lidstaten – in het bijzonder de lidstaten wier positie regeling vindt in Protocollen 21 en 22 (Ierland, Verenigd Koninkrijk en Denemarken) bij het Verdrag betreffende de werking van de Europese Unie – het standpunt dat de samenwerking tussen het EOM en niet-deelnemende lidstaten, ten behoeve van de rechtszekerheid, in een separaat instrument zou moeten worden geregeld. Nederland zal dit standpunt ook in de JBZ-Raad actief uitdragen.</w:t>
      </w:r>
      <w:r>
        <w:rPr>
          <w:color w:val="FF0000"/>
        </w:rPr>
        <w:t xml:space="preserve"> </w:t>
      </w:r>
      <w:r>
        <w:t xml:space="preserve">Voor de goede orde zij overigens opgemerkt dat het document van het voorzitterschap zich specifiek richt op de positie van voornoemde drie lidstaten vanwege hun bijzondere positie onder de Verdragen alsmede het feit dat een situatie van versterkte samenwerking nog niet aan de orde is.   </w:t>
      </w:r>
    </w:p>
    <w:p w:rsidR="000B25DA" w:rsidP="000B25DA" w:rsidRDefault="000B25DA"/>
    <w:p w:rsidR="005A16C1" w:rsidP="000B25DA" w:rsidRDefault="000B25DA">
      <w:pPr>
        <w:rPr>
          <w:b/>
          <w:bCs/>
          <w:iCs/>
          <w:sz w:val="20"/>
          <w:szCs w:val="20"/>
          <w:u w:val="single"/>
        </w:rPr>
      </w:pPr>
      <w:r>
        <w:t>Ten slotte wordt hier volledigheidshalve nog opgemerkt dat het Europees Parlement op 4 oktober 2016 debatteert over het EOM. Naar verwachting zal bij die gelegenheid een resolutie worden aangenomen waarin het Europees Parlement, dat in ruime meerderheid oprichting van een EOM ter bestrijding van EU-fraude verwelkomt, het belang dat het hecht aan een onafhankelijk en daadkrachtig EOM nog eens onderstreept.</w:t>
      </w:r>
    </w:p>
    <w:p w:rsidR="00207B17" w:rsidP="005A16C1" w:rsidRDefault="00207B17">
      <w:pPr>
        <w:rPr>
          <w:b/>
          <w:bCs/>
          <w:iCs/>
          <w:sz w:val="20"/>
          <w:szCs w:val="20"/>
          <w:u w:val="single"/>
        </w:rPr>
      </w:pPr>
    </w:p>
    <w:p w:rsidRPr="00A71E51" w:rsidR="005A16C1" w:rsidP="00BE08A6" w:rsidRDefault="005A16C1">
      <w:pPr>
        <w:pStyle w:val="ListParagraph"/>
        <w:numPr>
          <w:ilvl w:val="0"/>
          <w:numId w:val="1"/>
        </w:numPr>
        <w:rPr>
          <w:b/>
          <w:sz w:val="20"/>
          <w:szCs w:val="20"/>
        </w:rPr>
      </w:pPr>
      <w:r w:rsidRPr="005A16C1">
        <w:rPr>
          <w:b/>
          <w:sz w:val="20"/>
          <w:szCs w:val="20"/>
        </w:rPr>
        <w:t>Voorstel voor een richtlijn van het Europees Parlement en de Raad betreffende de strafrechtelijke bestrijding van fraude die de financiële belangen van de Unie schaadt</w:t>
      </w:r>
    </w:p>
    <w:p w:rsidR="005A16C1" w:rsidP="005A16C1" w:rsidRDefault="005A16C1">
      <w:pPr>
        <w:pStyle w:val="ListParagraph"/>
        <w:ind w:left="360"/>
        <w:rPr>
          <w:b/>
          <w:sz w:val="20"/>
          <w:szCs w:val="20"/>
        </w:rPr>
      </w:pPr>
      <w:r>
        <w:rPr>
          <w:b/>
          <w:sz w:val="20"/>
          <w:szCs w:val="20"/>
        </w:rPr>
        <w:t>Interinstitutioneel dossiernummer: 2012/0193 (COD)</w:t>
      </w:r>
    </w:p>
    <w:p w:rsidR="005A16C1" w:rsidP="00B90AF8" w:rsidRDefault="005A16C1">
      <w:pPr>
        <w:pStyle w:val="ListParagraph"/>
        <w:ind w:left="360"/>
        <w:rPr>
          <w:b/>
          <w:sz w:val="20"/>
          <w:szCs w:val="20"/>
        </w:rPr>
      </w:pPr>
      <w:r>
        <w:rPr>
          <w:b/>
          <w:sz w:val="20"/>
          <w:szCs w:val="20"/>
        </w:rPr>
        <w:t xml:space="preserve">= </w:t>
      </w:r>
      <w:r w:rsidR="00B90AF8">
        <w:rPr>
          <w:b/>
          <w:sz w:val="20"/>
          <w:szCs w:val="20"/>
        </w:rPr>
        <w:t>beleidsdebat /v</w:t>
      </w:r>
      <w:r>
        <w:rPr>
          <w:b/>
          <w:sz w:val="20"/>
          <w:szCs w:val="20"/>
        </w:rPr>
        <w:t>oortgangsrapportage</w:t>
      </w:r>
    </w:p>
    <w:p w:rsidR="00673DD3" w:rsidP="001502E6" w:rsidRDefault="00673DD3">
      <w:pPr>
        <w:rPr>
          <w:sz w:val="20"/>
          <w:szCs w:val="20"/>
        </w:rPr>
      </w:pPr>
    </w:p>
    <w:p w:rsidRPr="000B25DA" w:rsidR="000B25DA" w:rsidP="000B25DA" w:rsidRDefault="000B25DA">
      <w:r w:rsidRPr="000B25DA">
        <w:t>Uit het discussiedocument van het Slowaakse voorzitterschap blijkt dat er twee vragen worden gesteld. De eerste gaat over de bevoegdheid van het EOM voor het vervolgen van fraude met btw en de tweede gaat over de wijze van geharmoniseerde strafbaarstelling van fraude met btw in de PIF-richtlijn. Dit tweede punt is tevens de belangrijkste openstaande vraag in de onderhandelingen met het Europees Parlement over de PIF-richtlijn, te weten de vraag of een strafbaarstelling van fraude met btw moet worden opgenomen in het toepassingsbereik van de richtlijn.</w:t>
      </w:r>
    </w:p>
    <w:p w:rsidRPr="000B25DA" w:rsidR="000B25DA" w:rsidP="000B25DA" w:rsidRDefault="000B25DA"/>
    <w:p w:rsidRPr="000B25DA" w:rsidR="000B25DA" w:rsidP="000B25DA" w:rsidRDefault="000B25DA">
      <w:r w:rsidRPr="000B25DA">
        <w:t>De opname van een strafbaarstelling van fraude met btw is in 2013 door de Raad in zijn algemene oriëntatie over de richtlijn uitgesloten. De Commissie en het Europees Parlement zijn ferm voorstander van opname van de strafbaarstelling en voelen zich gesteund door het arrest van het Hof van Justitie in de Taricco-zaak van september 2015. De triloog met het Europees Parlement over de richtlijn ligt sinds juni 2015 stil. In december 2015 toonde de Raad mede ten gevolge van voornoemd arrest de bereidheid om de btw kwestie nogmaals te onderzoeken. Zoals in het verslag van de JBZ Raad van 9 en 10 juni 2016 is aangegeven, is tijdens het Nederlandse voorzitterschap uitvoering aan dit proces gegeven en zijn toen ook tekstvoorstellen gepresenteerd die zouden kunnen dienen als basis voor een eventuele verdere discussie van dit punt. In de JBZ Raad van juni 2016 bleek dat ondanks weerstand van een aantal lidstaten er toch ook lidstaten waren die open staan voor een compromis met het Europees Parlement .</w:t>
      </w:r>
    </w:p>
    <w:p w:rsidRPr="000B25DA" w:rsidR="000B25DA" w:rsidP="000B25DA" w:rsidRDefault="000B25DA"/>
    <w:p w:rsidRPr="000B25DA" w:rsidR="000B25DA" w:rsidP="000B25DA" w:rsidRDefault="000B25DA">
      <w:r w:rsidRPr="000B25DA">
        <w:t>Het Slowaakse voorzitterschap doet pogingen om in dit dossier vooruitgang te boeken en agendeert dit punt zowel voor de Ecofin-raad als de JBZ raad. In de ambtelijke fora in Ecofin-kader en JBZ-kader is gebleken dat een toenemend aantal lidstaten een strafbaarstelling toegespitst op ernstige gevallen van grensoverschrijdende btw-fraude (btw-carrouselfraude) met een hoog schadebedrag aanvaardbaar vindt. In dat kader handhaafden tot nu toe een aantal lidstaten, die samen een blokkerende minderheid kunnen vormen, de afwijzende houding. Echter recentelijk lijkt die blokkerende minderheid uit het zicht te raken.</w:t>
      </w:r>
    </w:p>
    <w:p w:rsidRPr="000B25DA" w:rsidR="000B25DA" w:rsidP="000B25DA" w:rsidRDefault="000B25DA"/>
    <w:p w:rsidRPr="000B25DA" w:rsidR="000B25DA" w:rsidP="000B25DA" w:rsidRDefault="000B25DA">
      <w:r w:rsidRPr="000B25DA">
        <w:t xml:space="preserve">Nederland heeft zich zowel in Ecofinverband als in JBZ-kader tot nu toe telkens geschaard achter de lidstaten die in het licht van het beginsel van proportionaliteit opname van btw-fraude afwijzen: de lidstaten gaan over de inning van btw en vrijwel het gehele bedrag komt aan de eigen begrotingen toe. Voorts ligt in ons beleid meer nadruk op preventie en detectie ter voorkoming van verlies aan btw dan op de strafrechtelijke kant. De meerwaarde van een Europese strafrechtelijke aanpak voor de bestrijding van btw-fraude is voor Nederland minder overtuigend. Het Slowaakse voorzitterschap heeft het onderhavige onderwerp ook geagendeerd als informatiepunt voor de Ecofin raad van 11 oktober 2016. </w:t>
      </w:r>
    </w:p>
    <w:p w:rsidRPr="000B25DA" w:rsidR="000B25DA" w:rsidP="000B25DA" w:rsidRDefault="000B25DA"/>
    <w:p w:rsidRPr="000B25DA" w:rsidR="000B25DA" w:rsidP="00422CA3" w:rsidRDefault="000B25DA">
      <w:r w:rsidRPr="000B25DA">
        <w:t xml:space="preserve">Wat betreft de aan de JBZ-raad voorgelegde vragen ben ik van mening dat de vraag over de bevoegdheid van het EOM voorbarig is. Immers deze kan slechts zinvol worden beantwoord nadat er overeenstemming is over harmonisatie van de beoogde delicten inzake fraude met btw in de PIF richtlijn. Onmiddellijk voeg ik hier aan toe, dat dit niets zegt over de Nederlandse houding ten opzichte van het EOM, die genoegzaam bekend is. </w:t>
      </w:r>
    </w:p>
    <w:p w:rsidR="00F3381A" w:rsidP="000B25DA" w:rsidRDefault="000B25DA">
      <w:r w:rsidRPr="000B25DA">
        <w:t>Over de harmonisatie gaat de tweede vraag. Met mijn ambtgenoot van Financiën ben ik van mening dat het tot nu toe ingenomen standpunt weliswaar nog steeds geldig is, maar door de gewijzigde omstandigheden aan kracht heeft verloren. Tegen deze achtergrond lijkt het mij verstandig dat Nederland thans de bereidheid toont om over de voorgestelde teksten voor de PIF-richtlijn te praten. Deze zijn ontleend aan de tekstvoorstellen van juni 2016. De harmonisatie PIF-richtlijn zou zich in ieder geval moeten beperken tot duidelijk gedefinieerde ernstige grensoverschrijdende fraude boven een hoog drempelbedrag.</w:t>
      </w:r>
    </w:p>
    <w:p w:rsidR="00B90AF8" w:rsidP="00B90AF8" w:rsidRDefault="00B90AF8">
      <w:pPr>
        <w:pStyle w:val="ListParagraph"/>
        <w:ind w:left="0"/>
        <w:rPr>
          <w:b/>
          <w:sz w:val="20"/>
          <w:szCs w:val="20"/>
        </w:rPr>
      </w:pPr>
    </w:p>
    <w:p w:rsidR="00B90AF8" w:rsidP="007B3489" w:rsidRDefault="00B90AF8">
      <w:pPr>
        <w:pStyle w:val="ListParagraph"/>
        <w:numPr>
          <w:ilvl w:val="0"/>
          <w:numId w:val="17"/>
        </w:numPr>
        <w:rPr>
          <w:b/>
          <w:sz w:val="20"/>
          <w:szCs w:val="20"/>
        </w:rPr>
      </w:pPr>
      <w:r>
        <w:rPr>
          <w:b/>
          <w:sz w:val="20"/>
          <w:szCs w:val="20"/>
        </w:rPr>
        <w:t>Diversen wetgevend</w:t>
      </w:r>
    </w:p>
    <w:p w:rsidR="00B90AF8" w:rsidP="00B90AF8" w:rsidRDefault="00B90AF8">
      <w:pPr>
        <w:pStyle w:val="ListParagraph"/>
        <w:ind w:left="0"/>
        <w:rPr>
          <w:b/>
          <w:sz w:val="20"/>
          <w:szCs w:val="20"/>
        </w:rPr>
      </w:pPr>
    </w:p>
    <w:p w:rsidR="00B90AF8" w:rsidP="00B90AF8" w:rsidRDefault="00703B4C">
      <w:pPr>
        <w:pStyle w:val="ListParagraph"/>
        <w:ind w:left="0"/>
        <w:rPr>
          <w:b/>
          <w:sz w:val="20"/>
          <w:szCs w:val="20"/>
        </w:rPr>
      </w:pPr>
      <w:r>
        <w:rPr>
          <w:sz w:val="20"/>
          <w:szCs w:val="20"/>
        </w:rPr>
        <w:t>Het v</w:t>
      </w:r>
      <w:r w:rsidRPr="00265A0A" w:rsidR="00B90AF8">
        <w:rPr>
          <w:sz w:val="20"/>
          <w:szCs w:val="20"/>
        </w:rPr>
        <w:t>oorzitterschap zal de Raad informeren over</w:t>
      </w:r>
      <w:r w:rsidR="00B90AF8">
        <w:rPr>
          <w:sz w:val="20"/>
          <w:szCs w:val="20"/>
        </w:rPr>
        <w:t xml:space="preserve"> de stand van zaken van lopende onderhandelingen over wetgevingsvoorstellen. </w:t>
      </w:r>
    </w:p>
    <w:p w:rsidR="00B90AF8" w:rsidP="001502E6" w:rsidRDefault="00B90AF8"/>
    <w:p w:rsidRPr="00265A0A" w:rsidR="00B90AF8" w:rsidP="001502E6" w:rsidRDefault="00B90AF8"/>
    <w:p w:rsidR="003149A9" w:rsidP="003149A9" w:rsidRDefault="003149A9">
      <w:pPr>
        <w:rPr>
          <w:b/>
          <w:bCs/>
          <w:iCs/>
          <w:sz w:val="20"/>
          <w:szCs w:val="20"/>
          <w:u w:val="single"/>
        </w:rPr>
      </w:pPr>
      <w:r>
        <w:rPr>
          <w:b/>
          <w:bCs/>
          <w:iCs/>
          <w:sz w:val="20"/>
          <w:szCs w:val="20"/>
          <w:u w:val="single"/>
        </w:rPr>
        <w:t>Raad niet-w</w:t>
      </w:r>
      <w:r w:rsidRPr="00A92A0E">
        <w:rPr>
          <w:b/>
          <w:bCs/>
          <w:iCs/>
          <w:sz w:val="20"/>
          <w:szCs w:val="20"/>
          <w:u w:val="single"/>
        </w:rPr>
        <w:t>etgevende besprekingen</w:t>
      </w:r>
    </w:p>
    <w:p w:rsidR="003149A9" w:rsidP="003149A9" w:rsidRDefault="003149A9">
      <w:pPr>
        <w:rPr>
          <w:b/>
          <w:sz w:val="20"/>
          <w:szCs w:val="20"/>
        </w:rPr>
      </w:pPr>
    </w:p>
    <w:p w:rsidRPr="00C71D81" w:rsidR="00C71D81" w:rsidP="00C71D81" w:rsidRDefault="00C71D81">
      <w:pPr>
        <w:pStyle w:val="ListParagraph"/>
        <w:ind w:left="0"/>
        <w:rPr>
          <w:b/>
          <w:sz w:val="20"/>
          <w:szCs w:val="20"/>
        </w:rPr>
      </w:pPr>
    </w:p>
    <w:p w:rsidR="006E67BD" w:rsidP="007B3489" w:rsidRDefault="006E67BD">
      <w:pPr>
        <w:pStyle w:val="ListParagraph"/>
        <w:numPr>
          <w:ilvl w:val="0"/>
          <w:numId w:val="17"/>
        </w:numPr>
        <w:rPr>
          <w:b/>
          <w:sz w:val="20"/>
          <w:szCs w:val="20"/>
        </w:rPr>
      </w:pPr>
      <w:r w:rsidRPr="006E67BD">
        <w:rPr>
          <w:b/>
          <w:sz w:val="20"/>
          <w:szCs w:val="20"/>
        </w:rPr>
        <w:t xml:space="preserve"> </w:t>
      </w:r>
      <w:r>
        <w:rPr>
          <w:b/>
          <w:sz w:val="20"/>
          <w:szCs w:val="20"/>
        </w:rPr>
        <w:t xml:space="preserve">Diversen niet-wetgevend </w:t>
      </w:r>
    </w:p>
    <w:p w:rsidR="00D472C3" w:rsidP="00D472C3" w:rsidRDefault="00D472C3">
      <w:pPr>
        <w:pStyle w:val="ListParagraph"/>
        <w:ind w:left="0"/>
        <w:rPr>
          <w:sz w:val="20"/>
          <w:szCs w:val="20"/>
        </w:rPr>
      </w:pPr>
    </w:p>
    <w:p w:rsidR="00CE2F1B" w:rsidP="00422CA3" w:rsidRDefault="00CE2F1B">
      <w:pPr>
        <w:pStyle w:val="ListParagraph"/>
        <w:ind w:left="0"/>
        <w:rPr>
          <w:sz w:val="20"/>
          <w:szCs w:val="20"/>
        </w:rPr>
      </w:pPr>
      <w:r>
        <w:rPr>
          <w:sz w:val="20"/>
          <w:szCs w:val="20"/>
        </w:rPr>
        <w:t>De Commissie zal de Raad informeren over de stand van zaken van de EU-aanpak van haatmisdrijven.</w:t>
      </w:r>
      <w:r w:rsidR="00422CA3">
        <w:rPr>
          <w:sz w:val="20"/>
          <w:szCs w:val="20"/>
        </w:rPr>
        <w:t xml:space="preserve"> De Commissie</w:t>
      </w:r>
      <w:r w:rsidRPr="00422CA3" w:rsidR="00422CA3">
        <w:rPr>
          <w:sz w:val="20"/>
          <w:szCs w:val="20"/>
        </w:rPr>
        <w:t xml:space="preserve"> zal nogmaals het belang van een correcte omzetting en effectieve implementatie van het Kaderbesluit racisme en xenofobie bepleiten, mede in het licht van recente gebeurtenissen. </w:t>
      </w:r>
      <w:r w:rsidR="00422CA3">
        <w:rPr>
          <w:sz w:val="20"/>
          <w:szCs w:val="20"/>
        </w:rPr>
        <w:t xml:space="preserve">De </w:t>
      </w:r>
      <w:r w:rsidRPr="00422CA3" w:rsidR="00422CA3">
        <w:rPr>
          <w:sz w:val="20"/>
          <w:szCs w:val="20"/>
        </w:rPr>
        <w:t>C</w:t>
      </w:r>
      <w:r w:rsidR="00422CA3">
        <w:rPr>
          <w:sz w:val="20"/>
          <w:szCs w:val="20"/>
        </w:rPr>
        <w:t>ommissie</w:t>
      </w:r>
      <w:r w:rsidRPr="00422CA3" w:rsidR="00422CA3">
        <w:rPr>
          <w:sz w:val="20"/>
          <w:szCs w:val="20"/>
        </w:rPr>
        <w:t xml:space="preserve"> zal terugblikken op de resultaten die zijn geboekt tijdens het </w:t>
      </w:r>
      <w:r w:rsidR="00422CA3">
        <w:rPr>
          <w:sz w:val="20"/>
          <w:szCs w:val="20"/>
        </w:rPr>
        <w:t xml:space="preserve">Nederlands </w:t>
      </w:r>
      <w:r w:rsidRPr="00422CA3" w:rsidR="00422CA3">
        <w:rPr>
          <w:sz w:val="20"/>
          <w:szCs w:val="20"/>
        </w:rPr>
        <w:t>voorzitterschap: de</w:t>
      </w:r>
      <w:r w:rsidR="00422CA3">
        <w:rPr>
          <w:sz w:val="20"/>
          <w:szCs w:val="20"/>
        </w:rPr>
        <w:t xml:space="preserve"> </w:t>
      </w:r>
      <w:r w:rsidRPr="00422CA3" w:rsidR="00422CA3">
        <w:rPr>
          <w:sz w:val="20"/>
          <w:szCs w:val="20"/>
        </w:rPr>
        <w:t xml:space="preserve">oprichting van een High Level Group, die wordt ondersteund door een aantal subgroepen die zijn gericht op implementatie en (technische) uitvoering. Daarnaast </w:t>
      </w:r>
      <w:r w:rsidR="00422CA3">
        <w:rPr>
          <w:sz w:val="20"/>
          <w:szCs w:val="20"/>
        </w:rPr>
        <w:t xml:space="preserve">zal de Commissie wijzen op </w:t>
      </w:r>
      <w:r w:rsidRPr="00422CA3" w:rsidR="00422CA3">
        <w:rPr>
          <w:sz w:val="20"/>
          <w:szCs w:val="20"/>
        </w:rPr>
        <w:t xml:space="preserve">de mogelijkheid tot financiële ondersteuning van goede initiatieven.  </w:t>
      </w:r>
    </w:p>
    <w:p w:rsidR="00D472C3" w:rsidP="000076DF" w:rsidRDefault="00D472C3">
      <w:pPr>
        <w:pStyle w:val="ListParagraph"/>
        <w:ind w:left="0"/>
        <w:rPr>
          <w:sz w:val="20"/>
          <w:szCs w:val="20"/>
        </w:rPr>
      </w:pPr>
    </w:p>
    <w:sectPr w:rsidR="00D472C3" w:rsidSect="000D443E">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5A" w:rsidRDefault="00152C5A" w:rsidP="0003349A">
      <w:r>
        <w:separator/>
      </w:r>
    </w:p>
  </w:endnote>
  <w:endnote w:type="continuationSeparator" w:id="0">
    <w:p w:rsidR="00152C5A" w:rsidRDefault="00152C5A" w:rsidP="0003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OHGO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502670"/>
      <w:docPartObj>
        <w:docPartGallery w:val="Page Numbers (Bottom of Page)"/>
        <w:docPartUnique/>
      </w:docPartObj>
    </w:sdtPr>
    <w:sdtEndPr/>
    <w:sdtContent>
      <w:p w:rsidR="00152C5A" w:rsidRDefault="00152C5A">
        <w:pPr>
          <w:pStyle w:val="Footer"/>
          <w:jc w:val="right"/>
        </w:pPr>
        <w:r>
          <w:fldChar w:fldCharType="begin"/>
        </w:r>
        <w:r>
          <w:instrText>PAGE   \* MERGEFORMAT</w:instrText>
        </w:r>
        <w:r>
          <w:fldChar w:fldCharType="separate"/>
        </w:r>
        <w:r w:rsidR="007A054A" w:rsidRPr="007A054A">
          <w:rPr>
            <w:noProof/>
            <w:lang w:val="nl-NL"/>
          </w:rPr>
          <w:t>1</w:t>
        </w:r>
        <w:r>
          <w:fldChar w:fldCharType="end"/>
        </w:r>
      </w:p>
    </w:sdtContent>
  </w:sdt>
  <w:p w:rsidR="00152C5A" w:rsidRDefault="0015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5A" w:rsidRDefault="00152C5A" w:rsidP="0003349A">
      <w:r>
        <w:separator/>
      </w:r>
    </w:p>
  </w:footnote>
  <w:footnote w:type="continuationSeparator" w:id="0">
    <w:p w:rsidR="00152C5A" w:rsidRDefault="00152C5A" w:rsidP="0003349A">
      <w:r>
        <w:continuationSeparator/>
      </w:r>
    </w:p>
  </w:footnote>
  <w:footnote w:id="1">
    <w:p w:rsidR="007B3489" w:rsidRPr="009C2927" w:rsidRDefault="007B3489" w:rsidP="007B3489">
      <w:pPr>
        <w:pStyle w:val="FootnoteText"/>
        <w:rPr>
          <w:sz w:val="16"/>
          <w:szCs w:val="16"/>
        </w:rPr>
      </w:pPr>
      <w:r w:rsidRPr="009C2927">
        <w:rPr>
          <w:rStyle w:val="FootnoteReference"/>
          <w:sz w:val="16"/>
          <w:szCs w:val="16"/>
        </w:rPr>
        <w:footnoteRef/>
      </w:r>
      <w:r w:rsidRPr="009C2927">
        <w:rPr>
          <w:sz w:val="16"/>
          <w:szCs w:val="16"/>
        </w:rPr>
        <w:t xml:space="preserve"> Verordening (EU) 2016/1624</w:t>
      </w:r>
      <w:r w:rsidRPr="00837724">
        <w:rPr>
          <w:sz w:val="16"/>
          <w:szCs w:val="16"/>
        </w:rPr>
        <w:t xml:space="preserve"> van het Europees Parlement en de Raad van 14 september 2016 betreffende de Europese grens- en kustwacht</w:t>
      </w:r>
      <w:r>
        <w:rPr>
          <w:sz w:val="16"/>
          <w:szCs w:val="16"/>
        </w:rPr>
        <w:t xml:space="preserve"> (PbEU 2016, L </w:t>
      </w:r>
      <w:r w:rsidRPr="00837724">
        <w:rPr>
          <w:sz w:val="16"/>
          <w:szCs w:val="16"/>
        </w:rPr>
        <w:t>251</w:t>
      </w:r>
      <w:r>
        <w:rPr>
          <w:sz w:val="16"/>
          <w:szCs w:val="16"/>
        </w:rPr>
        <w:t>).</w:t>
      </w:r>
    </w:p>
  </w:footnote>
  <w:footnote w:id="2">
    <w:p w:rsidR="007B3489" w:rsidRPr="000608EF" w:rsidRDefault="007B3489" w:rsidP="007B3489">
      <w:pPr>
        <w:pStyle w:val="FootnoteText"/>
        <w:rPr>
          <w:sz w:val="16"/>
          <w:szCs w:val="16"/>
        </w:rPr>
      </w:pPr>
      <w:r w:rsidRPr="009C2927">
        <w:rPr>
          <w:rStyle w:val="FootnoteReference"/>
          <w:sz w:val="16"/>
          <w:szCs w:val="16"/>
        </w:rPr>
        <w:footnoteRef/>
      </w:r>
      <w:r w:rsidRPr="009C2927">
        <w:rPr>
          <w:sz w:val="16"/>
          <w:szCs w:val="16"/>
        </w:rPr>
        <w:t xml:space="preserve"> COM(2016) </w:t>
      </w:r>
      <w:r>
        <w:rPr>
          <w:sz w:val="16"/>
          <w:szCs w:val="16"/>
        </w:rPr>
        <w:t>205 en 602.</w:t>
      </w:r>
    </w:p>
  </w:footnote>
  <w:footnote w:id="3">
    <w:p w:rsidR="007B3489" w:rsidRPr="000608EF" w:rsidRDefault="007B3489" w:rsidP="007B3489">
      <w:pPr>
        <w:pStyle w:val="FootnoteText"/>
        <w:rPr>
          <w:sz w:val="16"/>
          <w:szCs w:val="16"/>
        </w:rPr>
      </w:pPr>
      <w:r w:rsidRPr="000608EF">
        <w:rPr>
          <w:rStyle w:val="FootnoteReference"/>
          <w:sz w:val="16"/>
          <w:szCs w:val="16"/>
        </w:rPr>
        <w:footnoteRef/>
      </w:r>
      <w:r w:rsidRPr="000608EF">
        <w:rPr>
          <w:sz w:val="16"/>
          <w:szCs w:val="16"/>
        </w:rPr>
        <w:t xml:space="preserve"> Kamerstukken II, 2015-2016, 22 112 en 34 482, nr. 2145.</w:t>
      </w:r>
    </w:p>
  </w:footnote>
  <w:footnote w:id="4">
    <w:p w:rsidR="007B3489" w:rsidRPr="000608EF" w:rsidRDefault="007B3489" w:rsidP="007B3489">
      <w:pPr>
        <w:pStyle w:val="FootnoteText"/>
        <w:rPr>
          <w:sz w:val="16"/>
          <w:szCs w:val="16"/>
        </w:rPr>
      </w:pPr>
      <w:r w:rsidRPr="000608EF">
        <w:rPr>
          <w:rStyle w:val="FootnoteReference"/>
          <w:sz w:val="16"/>
          <w:szCs w:val="16"/>
        </w:rPr>
        <w:footnoteRef/>
      </w:r>
      <w:r w:rsidRPr="000608EF">
        <w:rPr>
          <w:sz w:val="16"/>
          <w:szCs w:val="16"/>
        </w:rPr>
        <w:t xml:space="preserve"> Kamerstukken II, 2015-2016, 22 112 en 34 482, nr. 2144.</w:t>
      </w:r>
    </w:p>
  </w:footnote>
  <w:footnote w:id="5">
    <w:p w:rsidR="007B3489" w:rsidRPr="000608EF" w:rsidRDefault="007B3489" w:rsidP="007B3489">
      <w:pPr>
        <w:pStyle w:val="FootnoteText"/>
        <w:rPr>
          <w:sz w:val="16"/>
          <w:szCs w:val="16"/>
        </w:rPr>
      </w:pPr>
      <w:r w:rsidRPr="000608EF">
        <w:rPr>
          <w:rStyle w:val="FootnoteReference"/>
          <w:sz w:val="16"/>
          <w:szCs w:val="16"/>
        </w:rPr>
        <w:footnoteRef/>
      </w:r>
      <w:r w:rsidRPr="000608EF">
        <w:rPr>
          <w:sz w:val="16"/>
          <w:szCs w:val="16"/>
        </w:rPr>
        <w:t xml:space="preserve"> Kamerstukken II, 2015-2016, 22 112, nr. 2190.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194B"/>
    <w:multiLevelType w:val="hybridMultilevel"/>
    <w:tmpl w:val="FC4235E8"/>
    <w:lvl w:ilvl="0" w:tplc="6494DD0E">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E7693A"/>
    <w:multiLevelType w:val="hybridMultilevel"/>
    <w:tmpl w:val="4F6A1222"/>
    <w:lvl w:ilvl="0" w:tplc="8C4A6244">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71A08"/>
    <w:multiLevelType w:val="hybridMultilevel"/>
    <w:tmpl w:val="C8C0FF64"/>
    <w:lvl w:ilvl="0" w:tplc="713A5BEE">
      <w:start w:val="1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DB06816"/>
    <w:multiLevelType w:val="hybridMultilevel"/>
    <w:tmpl w:val="710EB3C4"/>
    <w:lvl w:ilvl="0" w:tplc="01CAFC6C">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611276"/>
    <w:multiLevelType w:val="hybridMultilevel"/>
    <w:tmpl w:val="F1FE6804"/>
    <w:lvl w:ilvl="0" w:tplc="C4383520">
      <w:start w:val="2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62F39D9"/>
    <w:multiLevelType w:val="hybridMultilevel"/>
    <w:tmpl w:val="70562A48"/>
    <w:lvl w:ilvl="0" w:tplc="DE0273D6">
      <w:numFmt w:val="bullet"/>
      <w:lvlText w:val="-"/>
      <w:lvlJc w:val="left"/>
      <w:pPr>
        <w:ind w:left="1065" w:hanging="360"/>
      </w:pPr>
      <w:rPr>
        <w:rFonts w:ascii="Verdana" w:eastAsia="Times New Roman" w:hAnsi="Verdana"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nsid w:val="4A611EA8"/>
    <w:multiLevelType w:val="hybridMultilevel"/>
    <w:tmpl w:val="4B8CC3D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8">
    <w:nsid w:val="52875339"/>
    <w:multiLevelType w:val="hybridMultilevel"/>
    <w:tmpl w:val="5978A814"/>
    <w:lvl w:ilvl="0" w:tplc="26E693D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C5158F4"/>
    <w:multiLevelType w:val="hybridMultilevel"/>
    <w:tmpl w:val="4F7CD154"/>
    <w:lvl w:ilvl="0" w:tplc="A36E28CA">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11645E0"/>
    <w:multiLevelType w:val="hybridMultilevel"/>
    <w:tmpl w:val="7256C0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8F85193"/>
    <w:multiLevelType w:val="hybridMultilevel"/>
    <w:tmpl w:val="83526CA8"/>
    <w:lvl w:ilvl="0" w:tplc="BB6CD778">
      <w:start w:val="1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E1B4F99"/>
    <w:multiLevelType w:val="hybridMultilevel"/>
    <w:tmpl w:val="9794A87E"/>
    <w:lvl w:ilvl="0" w:tplc="0F3E0A2C">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3817C7A"/>
    <w:multiLevelType w:val="hybridMultilevel"/>
    <w:tmpl w:val="3C7A97DE"/>
    <w:lvl w:ilvl="0" w:tplc="5F6631B2">
      <w:start w:val="1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453745B"/>
    <w:multiLevelType w:val="hybridMultilevel"/>
    <w:tmpl w:val="97FC46E8"/>
    <w:lvl w:ilvl="0" w:tplc="90C44F3A">
      <w:start w:val="1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7"/>
  </w:num>
  <w:num w:numId="6">
    <w:abstractNumId w:val="3"/>
  </w:num>
  <w:num w:numId="7">
    <w:abstractNumId w:val="2"/>
  </w:num>
  <w:num w:numId="8">
    <w:abstractNumId w:val="6"/>
  </w:num>
  <w:num w:numId="9">
    <w:abstractNumId w:val="11"/>
  </w:num>
  <w:num w:numId="10">
    <w:abstractNumId w:val="4"/>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0"/>
  </w:num>
  <w:num w:numId="15">
    <w:abstractNumId w:val="14"/>
  </w:num>
  <w:num w:numId="16">
    <w:abstractNumId w:val="13"/>
  </w:num>
  <w:num w:numId="17">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jen Taselaar">
    <w15:presenceInfo w15:providerId="None" w15:userId="Arjen Tasel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94"/>
    <w:rsid w:val="00001472"/>
    <w:rsid w:val="000023B9"/>
    <w:rsid w:val="00002A7C"/>
    <w:rsid w:val="000073FD"/>
    <w:rsid w:val="000076DF"/>
    <w:rsid w:val="000165D4"/>
    <w:rsid w:val="00016859"/>
    <w:rsid w:val="0002041F"/>
    <w:rsid w:val="00022BCB"/>
    <w:rsid w:val="00030DD4"/>
    <w:rsid w:val="00031018"/>
    <w:rsid w:val="0003349A"/>
    <w:rsid w:val="00035796"/>
    <w:rsid w:val="0003636F"/>
    <w:rsid w:val="000366CA"/>
    <w:rsid w:val="000418E9"/>
    <w:rsid w:val="00041C72"/>
    <w:rsid w:val="00046877"/>
    <w:rsid w:val="000477BA"/>
    <w:rsid w:val="00051441"/>
    <w:rsid w:val="00051D15"/>
    <w:rsid w:val="00057DF2"/>
    <w:rsid w:val="000600A2"/>
    <w:rsid w:val="00061734"/>
    <w:rsid w:val="00061D98"/>
    <w:rsid w:val="00062167"/>
    <w:rsid w:val="00067029"/>
    <w:rsid w:val="000672B1"/>
    <w:rsid w:val="00075DBC"/>
    <w:rsid w:val="0007708F"/>
    <w:rsid w:val="00077697"/>
    <w:rsid w:val="00081B84"/>
    <w:rsid w:val="000833F1"/>
    <w:rsid w:val="000839CE"/>
    <w:rsid w:val="00084B6A"/>
    <w:rsid w:val="00085162"/>
    <w:rsid w:val="00085EC3"/>
    <w:rsid w:val="00090C6A"/>
    <w:rsid w:val="0009135C"/>
    <w:rsid w:val="00091945"/>
    <w:rsid w:val="000957D3"/>
    <w:rsid w:val="000A26F4"/>
    <w:rsid w:val="000A2704"/>
    <w:rsid w:val="000B03D7"/>
    <w:rsid w:val="000B25DA"/>
    <w:rsid w:val="000B2756"/>
    <w:rsid w:val="000B2C0F"/>
    <w:rsid w:val="000B3BEB"/>
    <w:rsid w:val="000B648A"/>
    <w:rsid w:val="000B7F12"/>
    <w:rsid w:val="000C0B79"/>
    <w:rsid w:val="000C3012"/>
    <w:rsid w:val="000C7871"/>
    <w:rsid w:val="000D2080"/>
    <w:rsid w:val="000D3862"/>
    <w:rsid w:val="000D443E"/>
    <w:rsid w:val="000E3283"/>
    <w:rsid w:val="000E4A8C"/>
    <w:rsid w:val="000F1DAD"/>
    <w:rsid w:val="000F2E15"/>
    <w:rsid w:val="000F3201"/>
    <w:rsid w:val="001005C5"/>
    <w:rsid w:val="00101127"/>
    <w:rsid w:val="00103047"/>
    <w:rsid w:val="001036AE"/>
    <w:rsid w:val="001062E4"/>
    <w:rsid w:val="001064B3"/>
    <w:rsid w:val="00110ADA"/>
    <w:rsid w:val="00110E65"/>
    <w:rsid w:val="001119E4"/>
    <w:rsid w:val="00112183"/>
    <w:rsid w:val="00123225"/>
    <w:rsid w:val="00123B59"/>
    <w:rsid w:val="00124FE5"/>
    <w:rsid w:val="00126A42"/>
    <w:rsid w:val="00126F0F"/>
    <w:rsid w:val="00132004"/>
    <w:rsid w:val="0013538C"/>
    <w:rsid w:val="00137DB1"/>
    <w:rsid w:val="00141713"/>
    <w:rsid w:val="001426BD"/>
    <w:rsid w:val="001432C4"/>
    <w:rsid w:val="00143AB5"/>
    <w:rsid w:val="001472F7"/>
    <w:rsid w:val="001502E6"/>
    <w:rsid w:val="00152C5A"/>
    <w:rsid w:val="0015437C"/>
    <w:rsid w:val="00160E25"/>
    <w:rsid w:val="00160EFA"/>
    <w:rsid w:val="00161D32"/>
    <w:rsid w:val="00162EC4"/>
    <w:rsid w:val="00163CD8"/>
    <w:rsid w:val="00164092"/>
    <w:rsid w:val="00164906"/>
    <w:rsid w:val="001701BE"/>
    <w:rsid w:val="00170804"/>
    <w:rsid w:val="0017188C"/>
    <w:rsid w:val="001751B9"/>
    <w:rsid w:val="0018078A"/>
    <w:rsid w:val="00192423"/>
    <w:rsid w:val="00193680"/>
    <w:rsid w:val="001951C8"/>
    <w:rsid w:val="0019525C"/>
    <w:rsid w:val="001A11DD"/>
    <w:rsid w:val="001A4DA0"/>
    <w:rsid w:val="001B1C28"/>
    <w:rsid w:val="001B1DB9"/>
    <w:rsid w:val="001B3124"/>
    <w:rsid w:val="001C34AF"/>
    <w:rsid w:val="001C5E80"/>
    <w:rsid w:val="001D4E83"/>
    <w:rsid w:val="001D630C"/>
    <w:rsid w:val="001E2BD2"/>
    <w:rsid w:val="001E7350"/>
    <w:rsid w:val="001E7F27"/>
    <w:rsid w:val="001F332A"/>
    <w:rsid w:val="001F3727"/>
    <w:rsid w:val="00200AF9"/>
    <w:rsid w:val="00205207"/>
    <w:rsid w:val="00205A94"/>
    <w:rsid w:val="00207B17"/>
    <w:rsid w:val="0021122E"/>
    <w:rsid w:val="00212AF8"/>
    <w:rsid w:val="00213CEE"/>
    <w:rsid w:val="002147C4"/>
    <w:rsid w:val="00216E51"/>
    <w:rsid w:val="002301ED"/>
    <w:rsid w:val="00230668"/>
    <w:rsid w:val="002334D5"/>
    <w:rsid w:val="0024025B"/>
    <w:rsid w:val="0024217A"/>
    <w:rsid w:val="00242617"/>
    <w:rsid w:val="00246D5A"/>
    <w:rsid w:val="00256EA9"/>
    <w:rsid w:val="0025739A"/>
    <w:rsid w:val="002615FA"/>
    <w:rsid w:val="00265A0A"/>
    <w:rsid w:val="0026739C"/>
    <w:rsid w:val="00272E4B"/>
    <w:rsid w:val="00272EF7"/>
    <w:rsid w:val="00275A9E"/>
    <w:rsid w:val="00277B6F"/>
    <w:rsid w:val="00281A64"/>
    <w:rsid w:val="00291688"/>
    <w:rsid w:val="00296931"/>
    <w:rsid w:val="002978E3"/>
    <w:rsid w:val="002A209C"/>
    <w:rsid w:val="002A3E01"/>
    <w:rsid w:val="002A4A0A"/>
    <w:rsid w:val="002A6EDF"/>
    <w:rsid w:val="002B0341"/>
    <w:rsid w:val="002B3C86"/>
    <w:rsid w:val="002B4B08"/>
    <w:rsid w:val="002C20A2"/>
    <w:rsid w:val="002D33A2"/>
    <w:rsid w:val="002D50A5"/>
    <w:rsid w:val="002D64E5"/>
    <w:rsid w:val="002E38EC"/>
    <w:rsid w:val="002E5B0A"/>
    <w:rsid w:val="002F40F0"/>
    <w:rsid w:val="00301B1B"/>
    <w:rsid w:val="003024A4"/>
    <w:rsid w:val="00302522"/>
    <w:rsid w:val="00304420"/>
    <w:rsid w:val="0030717F"/>
    <w:rsid w:val="003149A9"/>
    <w:rsid w:val="0031648B"/>
    <w:rsid w:val="00316AF9"/>
    <w:rsid w:val="003173AF"/>
    <w:rsid w:val="003238D9"/>
    <w:rsid w:val="00330D8C"/>
    <w:rsid w:val="00335372"/>
    <w:rsid w:val="00336516"/>
    <w:rsid w:val="00341BC5"/>
    <w:rsid w:val="00342053"/>
    <w:rsid w:val="00342F4D"/>
    <w:rsid w:val="0034500F"/>
    <w:rsid w:val="00346244"/>
    <w:rsid w:val="00352884"/>
    <w:rsid w:val="003533A2"/>
    <w:rsid w:val="003571B0"/>
    <w:rsid w:val="0037478E"/>
    <w:rsid w:val="00375056"/>
    <w:rsid w:val="003758C9"/>
    <w:rsid w:val="00376AC6"/>
    <w:rsid w:val="00377610"/>
    <w:rsid w:val="00377EA3"/>
    <w:rsid w:val="00382C6B"/>
    <w:rsid w:val="0038518B"/>
    <w:rsid w:val="003866E1"/>
    <w:rsid w:val="0038741E"/>
    <w:rsid w:val="00387500"/>
    <w:rsid w:val="00392649"/>
    <w:rsid w:val="003929DF"/>
    <w:rsid w:val="00397A46"/>
    <w:rsid w:val="003A5DD3"/>
    <w:rsid w:val="003A601E"/>
    <w:rsid w:val="003B6B50"/>
    <w:rsid w:val="003B73D9"/>
    <w:rsid w:val="003B7B2A"/>
    <w:rsid w:val="003C17E0"/>
    <w:rsid w:val="003C5FD0"/>
    <w:rsid w:val="003C7926"/>
    <w:rsid w:val="003D4750"/>
    <w:rsid w:val="003D53FE"/>
    <w:rsid w:val="003E1A67"/>
    <w:rsid w:val="003E5DF7"/>
    <w:rsid w:val="003F0C76"/>
    <w:rsid w:val="003F1460"/>
    <w:rsid w:val="003F4B80"/>
    <w:rsid w:val="003F58DF"/>
    <w:rsid w:val="004022B6"/>
    <w:rsid w:val="00403DDD"/>
    <w:rsid w:val="00405105"/>
    <w:rsid w:val="004111ED"/>
    <w:rsid w:val="00411AFE"/>
    <w:rsid w:val="00413436"/>
    <w:rsid w:val="00414E5E"/>
    <w:rsid w:val="00416C56"/>
    <w:rsid w:val="00422CA3"/>
    <w:rsid w:val="0042413F"/>
    <w:rsid w:val="00427CDE"/>
    <w:rsid w:val="004337DB"/>
    <w:rsid w:val="00433B3A"/>
    <w:rsid w:val="004347BF"/>
    <w:rsid w:val="0044263E"/>
    <w:rsid w:val="0045600C"/>
    <w:rsid w:val="0046368E"/>
    <w:rsid w:val="00464F9A"/>
    <w:rsid w:val="00472C5A"/>
    <w:rsid w:val="00473D2C"/>
    <w:rsid w:val="00473E43"/>
    <w:rsid w:val="00475D13"/>
    <w:rsid w:val="00475FBC"/>
    <w:rsid w:val="004833DB"/>
    <w:rsid w:val="00486C0F"/>
    <w:rsid w:val="0049105B"/>
    <w:rsid w:val="0049185B"/>
    <w:rsid w:val="00494547"/>
    <w:rsid w:val="004956A7"/>
    <w:rsid w:val="00495771"/>
    <w:rsid w:val="00495B24"/>
    <w:rsid w:val="00496C35"/>
    <w:rsid w:val="00497A56"/>
    <w:rsid w:val="004A1BF4"/>
    <w:rsid w:val="004B0835"/>
    <w:rsid w:val="004B6492"/>
    <w:rsid w:val="004B72D2"/>
    <w:rsid w:val="004B756C"/>
    <w:rsid w:val="004C00FB"/>
    <w:rsid w:val="004C1D23"/>
    <w:rsid w:val="004C3E0E"/>
    <w:rsid w:val="004C7AD5"/>
    <w:rsid w:val="004D003B"/>
    <w:rsid w:val="004D1088"/>
    <w:rsid w:val="004D70C9"/>
    <w:rsid w:val="004E1416"/>
    <w:rsid w:val="004E3B52"/>
    <w:rsid w:val="004E5226"/>
    <w:rsid w:val="004E7072"/>
    <w:rsid w:val="004F5357"/>
    <w:rsid w:val="004F6154"/>
    <w:rsid w:val="0050695E"/>
    <w:rsid w:val="00507CD1"/>
    <w:rsid w:val="00511920"/>
    <w:rsid w:val="0051676A"/>
    <w:rsid w:val="00521AE2"/>
    <w:rsid w:val="00527324"/>
    <w:rsid w:val="005273EF"/>
    <w:rsid w:val="00532165"/>
    <w:rsid w:val="005345A0"/>
    <w:rsid w:val="00537036"/>
    <w:rsid w:val="0053740F"/>
    <w:rsid w:val="00547CB3"/>
    <w:rsid w:val="00547F95"/>
    <w:rsid w:val="00554F42"/>
    <w:rsid w:val="00555519"/>
    <w:rsid w:val="00560163"/>
    <w:rsid w:val="00567DF4"/>
    <w:rsid w:val="00570BE9"/>
    <w:rsid w:val="00572C3C"/>
    <w:rsid w:val="00575B0C"/>
    <w:rsid w:val="00580258"/>
    <w:rsid w:val="00585524"/>
    <w:rsid w:val="0058704F"/>
    <w:rsid w:val="00591798"/>
    <w:rsid w:val="00593817"/>
    <w:rsid w:val="00595542"/>
    <w:rsid w:val="005A16C1"/>
    <w:rsid w:val="005A1EEE"/>
    <w:rsid w:val="005A735B"/>
    <w:rsid w:val="005B46FB"/>
    <w:rsid w:val="005B5300"/>
    <w:rsid w:val="005C1ADA"/>
    <w:rsid w:val="005C6AEF"/>
    <w:rsid w:val="005C6BCF"/>
    <w:rsid w:val="005D0C75"/>
    <w:rsid w:val="005D4312"/>
    <w:rsid w:val="005D47B9"/>
    <w:rsid w:val="005D6FDE"/>
    <w:rsid w:val="005D7FBD"/>
    <w:rsid w:val="005E3C00"/>
    <w:rsid w:val="005E4D03"/>
    <w:rsid w:val="005F0C5D"/>
    <w:rsid w:val="005F5981"/>
    <w:rsid w:val="005F6B21"/>
    <w:rsid w:val="006017D7"/>
    <w:rsid w:val="00611D99"/>
    <w:rsid w:val="00614EBB"/>
    <w:rsid w:val="00624392"/>
    <w:rsid w:val="00625F71"/>
    <w:rsid w:val="0062605A"/>
    <w:rsid w:val="006307CB"/>
    <w:rsid w:val="0063194E"/>
    <w:rsid w:val="00633C34"/>
    <w:rsid w:val="00635468"/>
    <w:rsid w:val="006400A2"/>
    <w:rsid w:val="00640342"/>
    <w:rsid w:val="00640DBD"/>
    <w:rsid w:val="00646BE7"/>
    <w:rsid w:val="00651B0F"/>
    <w:rsid w:val="00656440"/>
    <w:rsid w:val="006579EA"/>
    <w:rsid w:val="00657E45"/>
    <w:rsid w:val="006619C4"/>
    <w:rsid w:val="00663407"/>
    <w:rsid w:val="00663F73"/>
    <w:rsid w:val="00664522"/>
    <w:rsid w:val="00664B4B"/>
    <w:rsid w:val="006703EF"/>
    <w:rsid w:val="00670E8E"/>
    <w:rsid w:val="00673DD3"/>
    <w:rsid w:val="00676344"/>
    <w:rsid w:val="00681813"/>
    <w:rsid w:val="006825EB"/>
    <w:rsid w:val="00684ED9"/>
    <w:rsid w:val="00685F74"/>
    <w:rsid w:val="00686960"/>
    <w:rsid w:val="00686E08"/>
    <w:rsid w:val="006A072A"/>
    <w:rsid w:val="006A37D3"/>
    <w:rsid w:val="006B32A6"/>
    <w:rsid w:val="006B4078"/>
    <w:rsid w:val="006B4F3F"/>
    <w:rsid w:val="006B6870"/>
    <w:rsid w:val="006B73C8"/>
    <w:rsid w:val="006C04DB"/>
    <w:rsid w:val="006C22B9"/>
    <w:rsid w:val="006C334B"/>
    <w:rsid w:val="006C5252"/>
    <w:rsid w:val="006C5F4E"/>
    <w:rsid w:val="006C6DBE"/>
    <w:rsid w:val="006D14FC"/>
    <w:rsid w:val="006E2183"/>
    <w:rsid w:val="006E3E7C"/>
    <w:rsid w:val="006E67BD"/>
    <w:rsid w:val="006F18AF"/>
    <w:rsid w:val="006F21DC"/>
    <w:rsid w:val="0070231F"/>
    <w:rsid w:val="007029F5"/>
    <w:rsid w:val="00703229"/>
    <w:rsid w:val="00703B4C"/>
    <w:rsid w:val="00704114"/>
    <w:rsid w:val="0070745C"/>
    <w:rsid w:val="00711E9C"/>
    <w:rsid w:val="00712BEE"/>
    <w:rsid w:val="00713D8C"/>
    <w:rsid w:val="00717413"/>
    <w:rsid w:val="0071774B"/>
    <w:rsid w:val="00723BF8"/>
    <w:rsid w:val="00726CB0"/>
    <w:rsid w:val="007273BA"/>
    <w:rsid w:val="00732C40"/>
    <w:rsid w:val="00733149"/>
    <w:rsid w:val="00733B4E"/>
    <w:rsid w:val="00746D5B"/>
    <w:rsid w:val="007475FC"/>
    <w:rsid w:val="007564FA"/>
    <w:rsid w:val="00761715"/>
    <w:rsid w:val="007626C0"/>
    <w:rsid w:val="0076369C"/>
    <w:rsid w:val="00766BBB"/>
    <w:rsid w:val="00766E66"/>
    <w:rsid w:val="00771EC8"/>
    <w:rsid w:val="00772941"/>
    <w:rsid w:val="00773EEB"/>
    <w:rsid w:val="007743E2"/>
    <w:rsid w:val="0077584B"/>
    <w:rsid w:val="007802CF"/>
    <w:rsid w:val="0078126D"/>
    <w:rsid w:val="00782589"/>
    <w:rsid w:val="00783A48"/>
    <w:rsid w:val="0078597C"/>
    <w:rsid w:val="007869D3"/>
    <w:rsid w:val="00787543"/>
    <w:rsid w:val="00787B6F"/>
    <w:rsid w:val="0079185C"/>
    <w:rsid w:val="00792013"/>
    <w:rsid w:val="00792F73"/>
    <w:rsid w:val="00793CA9"/>
    <w:rsid w:val="00793D1A"/>
    <w:rsid w:val="0079476F"/>
    <w:rsid w:val="007959CD"/>
    <w:rsid w:val="0079746F"/>
    <w:rsid w:val="00797AEA"/>
    <w:rsid w:val="007A0542"/>
    <w:rsid w:val="007A054A"/>
    <w:rsid w:val="007A06D1"/>
    <w:rsid w:val="007A0FDB"/>
    <w:rsid w:val="007A2183"/>
    <w:rsid w:val="007A6110"/>
    <w:rsid w:val="007A65ED"/>
    <w:rsid w:val="007B3489"/>
    <w:rsid w:val="007B5B07"/>
    <w:rsid w:val="007B5EAE"/>
    <w:rsid w:val="007C1426"/>
    <w:rsid w:val="007C61DC"/>
    <w:rsid w:val="007C7027"/>
    <w:rsid w:val="007C7A8B"/>
    <w:rsid w:val="007D5C32"/>
    <w:rsid w:val="007D7EE9"/>
    <w:rsid w:val="007E2570"/>
    <w:rsid w:val="007E3768"/>
    <w:rsid w:val="007E688C"/>
    <w:rsid w:val="007E6D4F"/>
    <w:rsid w:val="007E6F8D"/>
    <w:rsid w:val="007E78B1"/>
    <w:rsid w:val="0080148B"/>
    <w:rsid w:val="0080167E"/>
    <w:rsid w:val="00807ECE"/>
    <w:rsid w:val="00810A02"/>
    <w:rsid w:val="0081452B"/>
    <w:rsid w:val="00821CE9"/>
    <w:rsid w:val="00821CF1"/>
    <w:rsid w:val="0082452F"/>
    <w:rsid w:val="00825514"/>
    <w:rsid w:val="008272F2"/>
    <w:rsid w:val="00830CDF"/>
    <w:rsid w:val="008349E2"/>
    <w:rsid w:val="00840A60"/>
    <w:rsid w:val="00844A09"/>
    <w:rsid w:val="00850617"/>
    <w:rsid w:val="00854590"/>
    <w:rsid w:val="00855A57"/>
    <w:rsid w:val="00857EED"/>
    <w:rsid w:val="008621F1"/>
    <w:rsid w:val="00864887"/>
    <w:rsid w:val="00864B63"/>
    <w:rsid w:val="00867C3B"/>
    <w:rsid w:val="00871518"/>
    <w:rsid w:val="00882C97"/>
    <w:rsid w:val="00883A3E"/>
    <w:rsid w:val="00883DA1"/>
    <w:rsid w:val="00884EBE"/>
    <w:rsid w:val="00893191"/>
    <w:rsid w:val="0089487D"/>
    <w:rsid w:val="00894C3E"/>
    <w:rsid w:val="00897612"/>
    <w:rsid w:val="008A307B"/>
    <w:rsid w:val="008A3B1B"/>
    <w:rsid w:val="008B1479"/>
    <w:rsid w:val="008B3276"/>
    <w:rsid w:val="008B66DA"/>
    <w:rsid w:val="008B72F8"/>
    <w:rsid w:val="008B79D2"/>
    <w:rsid w:val="008C1483"/>
    <w:rsid w:val="008C6965"/>
    <w:rsid w:val="008D66DC"/>
    <w:rsid w:val="008D677A"/>
    <w:rsid w:val="008E553D"/>
    <w:rsid w:val="008E7BBB"/>
    <w:rsid w:val="008F1C37"/>
    <w:rsid w:val="008F2F91"/>
    <w:rsid w:val="008F4805"/>
    <w:rsid w:val="008F6005"/>
    <w:rsid w:val="008F63D5"/>
    <w:rsid w:val="00900FA6"/>
    <w:rsid w:val="0090101A"/>
    <w:rsid w:val="009011D1"/>
    <w:rsid w:val="0090278B"/>
    <w:rsid w:val="00902DB3"/>
    <w:rsid w:val="00903F72"/>
    <w:rsid w:val="00905F56"/>
    <w:rsid w:val="00906C87"/>
    <w:rsid w:val="0091238F"/>
    <w:rsid w:val="00913D91"/>
    <w:rsid w:val="00914169"/>
    <w:rsid w:val="009232B9"/>
    <w:rsid w:val="00937546"/>
    <w:rsid w:val="00946D11"/>
    <w:rsid w:val="00947822"/>
    <w:rsid w:val="00954289"/>
    <w:rsid w:val="00956F1E"/>
    <w:rsid w:val="00961E39"/>
    <w:rsid w:val="009626DB"/>
    <w:rsid w:val="009640CC"/>
    <w:rsid w:val="00964994"/>
    <w:rsid w:val="009666DC"/>
    <w:rsid w:val="00971D56"/>
    <w:rsid w:val="009848B1"/>
    <w:rsid w:val="009854E1"/>
    <w:rsid w:val="00985E1C"/>
    <w:rsid w:val="009869C4"/>
    <w:rsid w:val="00987CFB"/>
    <w:rsid w:val="009939B3"/>
    <w:rsid w:val="00995703"/>
    <w:rsid w:val="009970CF"/>
    <w:rsid w:val="009A07FB"/>
    <w:rsid w:val="009A2616"/>
    <w:rsid w:val="009A4286"/>
    <w:rsid w:val="009A7217"/>
    <w:rsid w:val="009B5F16"/>
    <w:rsid w:val="009C135A"/>
    <w:rsid w:val="009C255D"/>
    <w:rsid w:val="009C3922"/>
    <w:rsid w:val="009C4CB0"/>
    <w:rsid w:val="009D327E"/>
    <w:rsid w:val="009D531A"/>
    <w:rsid w:val="009E18FB"/>
    <w:rsid w:val="009E23EE"/>
    <w:rsid w:val="009E442E"/>
    <w:rsid w:val="009F11F8"/>
    <w:rsid w:val="009F1DE7"/>
    <w:rsid w:val="009F297A"/>
    <w:rsid w:val="009F40C5"/>
    <w:rsid w:val="009F44EC"/>
    <w:rsid w:val="009F74D0"/>
    <w:rsid w:val="00A0554B"/>
    <w:rsid w:val="00A0756C"/>
    <w:rsid w:val="00A24BB6"/>
    <w:rsid w:val="00A252A5"/>
    <w:rsid w:val="00A270E2"/>
    <w:rsid w:val="00A3104F"/>
    <w:rsid w:val="00A319F3"/>
    <w:rsid w:val="00A31CBD"/>
    <w:rsid w:val="00A50200"/>
    <w:rsid w:val="00A5405D"/>
    <w:rsid w:val="00A65CB9"/>
    <w:rsid w:val="00A71E51"/>
    <w:rsid w:val="00A86318"/>
    <w:rsid w:val="00A924D7"/>
    <w:rsid w:val="00A92A0E"/>
    <w:rsid w:val="00A95DC9"/>
    <w:rsid w:val="00AA4C3C"/>
    <w:rsid w:val="00AA4FAA"/>
    <w:rsid w:val="00AA565F"/>
    <w:rsid w:val="00AB293B"/>
    <w:rsid w:val="00AB32D7"/>
    <w:rsid w:val="00AB5240"/>
    <w:rsid w:val="00AC18D7"/>
    <w:rsid w:val="00AC7D37"/>
    <w:rsid w:val="00AD0CD1"/>
    <w:rsid w:val="00AD1E98"/>
    <w:rsid w:val="00AD5068"/>
    <w:rsid w:val="00AD51F3"/>
    <w:rsid w:val="00AE02B5"/>
    <w:rsid w:val="00AE0A80"/>
    <w:rsid w:val="00AE3388"/>
    <w:rsid w:val="00AE4B11"/>
    <w:rsid w:val="00AE6B5E"/>
    <w:rsid w:val="00AF0324"/>
    <w:rsid w:val="00AF0D32"/>
    <w:rsid w:val="00AF3EF9"/>
    <w:rsid w:val="00AF5F22"/>
    <w:rsid w:val="00B03522"/>
    <w:rsid w:val="00B07729"/>
    <w:rsid w:val="00B13809"/>
    <w:rsid w:val="00B13FCF"/>
    <w:rsid w:val="00B17957"/>
    <w:rsid w:val="00B221D4"/>
    <w:rsid w:val="00B22402"/>
    <w:rsid w:val="00B30528"/>
    <w:rsid w:val="00B32483"/>
    <w:rsid w:val="00B355DA"/>
    <w:rsid w:val="00B364FE"/>
    <w:rsid w:val="00B36D7D"/>
    <w:rsid w:val="00B45757"/>
    <w:rsid w:val="00B515FC"/>
    <w:rsid w:val="00B5196C"/>
    <w:rsid w:val="00B55A45"/>
    <w:rsid w:val="00B61964"/>
    <w:rsid w:val="00B62844"/>
    <w:rsid w:val="00B62A3C"/>
    <w:rsid w:val="00B62F54"/>
    <w:rsid w:val="00B64BB8"/>
    <w:rsid w:val="00B73920"/>
    <w:rsid w:val="00B74C8D"/>
    <w:rsid w:val="00B75C83"/>
    <w:rsid w:val="00B80B90"/>
    <w:rsid w:val="00B8520C"/>
    <w:rsid w:val="00B85A53"/>
    <w:rsid w:val="00B8684D"/>
    <w:rsid w:val="00B904CC"/>
    <w:rsid w:val="00B90AF8"/>
    <w:rsid w:val="00B968D5"/>
    <w:rsid w:val="00BA115B"/>
    <w:rsid w:val="00BA6A39"/>
    <w:rsid w:val="00BB385B"/>
    <w:rsid w:val="00BB4215"/>
    <w:rsid w:val="00BB7670"/>
    <w:rsid w:val="00BC117B"/>
    <w:rsid w:val="00BC1880"/>
    <w:rsid w:val="00BC36B4"/>
    <w:rsid w:val="00BC3EF2"/>
    <w:rsid w:val="00BC5F59"/>
    <w:rsid w:val="00BC621E"/>
    <w:rsid w:val="00BD0DB4"/>
    <w:rsid w:val="00BD5DD0"/>
    <w:rsid w:val="00BE08A6"/>
    <w:rsid w:val="00BE0900"/>
    <w:rsid w:val="00BE289E"/>
    <w:rsid w:val="00BE5172"/>
    <w:rsid w:val="00BE527D"/>
    <w:rsid w:val="00BE7B00"/>
    <w:rsid w:val="00BF1105"/>
    <w:rsid w:val="00BF2C81"/>
    <w:rsid w:val="00BF4356"/>
    <w:rsid w:val="00BF7001"/>
    <w:rsid w:val="00C041BC"/>
    <w:rsid w:val="00C042C6"/>
    <w:rsid w:val="00C1707A"/>
    <w:rsid w:val="00C20279"/>
    <w:rsid w:val="00C213A0"/>
    <w:rsid w:val="00C22034"/>
    <w:rsid w:val="00C22456"/>
    <w:rsid w:val="00C25832"/>
    <w:rsid w:val="00C40D14"/>
    <w:rsid w:val="00C42940"/>
    <w:rsid w:val="00C46A2F"/>
    <w:rsid w:val="00C46C86"/>
    <w:rsid w:val="00C503C3"/>
    <w:rsid w:val="00C52362"/>
    <w:rsid w:val="00C55245"/>
    <w:rsid w:val="00C55667"/>
    <w:rsid w:val="00C57471"/>
    <w:rsid w:val="00C57DA0"/>
    <w:rsid w:val="00C616C8"/>
    <w:rsid w:val="00C6622A"/>
    <w:rsid w:val="00C66AB2"/>
    <w:rsid w:val="00C670E0"/>
    <w:rsid w:val="00C6726D"/>
    <w:rsid w:val="00C71D81"/>
    <w:rsid w:val="00C73754"/>
    <w:rsid w:val="00C8302B"/>
    <w:rsid w:val="00C91423"/>
    <w:rsid w:val="00C93314"/>
    <w:rsid w:val="00C93765"/>
    <w:rsid w:val="00CA27F0"/>
    <w:rsid w:val="00CA3D33"/>
    <w:rsid w:val="00CA3D3E"/>
    <w:rsid w:val="00CA5AA9"/>
    <w:rsid w:val="00CA5C3D"/>
    <w:rsid w:val="00CC248A"/>
    <w:rsid w:val="00CC275D"/>
    <w:rsid w:val="00CD2978"/>
    <w:rsid w:val="00CD2D33"/>
    <w:rsid w:val="00CE1AAF"/>
    <w:rsid w:val="00CE2F1B"/>
    <w:rsid w:val="00CE4555"/>
    <w:rsid w:val="00CE4F2B"/>
    <w:rsid w:val="00CE5A6F"/>
    <w:rsid w:val="00CF06D3"/>
    <w:rsid w:val="00CF0F4C"/>
    <w:rsid w:val="00CF3D34"/>
    <w:rsid w:val="00CF43BD"/>
    <w:rsid w:val="00CF4781"/>
    <w:rsid w:val="00CF6C9D"/>
    <w:rsid w:val="00CF72AE"/>
    <w:rsid w:val="00CF77B7"/>
    <w:rsid w:val="00D010B7"/>
    <w:rsid w:val="00D066BB"/>
    <w:rsid w:val="00D07C1F"/>
    <w:rsid w:val="00D10C0B"/>
    <w:rsid w:val="00D11AB5"/>
    <w:rsid w:val="00D26CF3"/>
    <w:rsid w:val="00D37777"/>
    <w:rsid w:val="00D43AE6"/>
    <w:rsid w:val="00D45D30"/>
    <w:rsid w:val="00D472C3"/>
    <w:rsid w:val="00D51868"/>
    <w:rsid w:val="00D524BB"/>
    <w:rsid w:val="00D52ECC"/>
    <w:rsid w:val="00D551FF"/>
    <w:rsid w:val="00D55B5D"/>
    <w:rsid w:val="00D57562"/>
    <w:rsid w:val="00D61142"/>
    <w:rsid w:val="00D65504"/>
    <w:rsid w:val="00D67079"/>
    <w:rsid w:val="00D67A5A"/>
    <w:rsid w:val="00D74654"/>
    <w:rsid w:val="00D75069"/>
    <w:rsid w:val="00D77171"/>
    <w:rsid w:val="00D7718B"/>
    <w:rsid w:val="00D7734A"/>
    <w:rsid w:val="00D822D3"/>
    <w:rsid w:val="00D82ED8"/>
    <w:rsid w:val="00D87709"/>
    <w:rsid w:val="00D902BE"/>
    <w:rsid w:val="00D90602"/>
    <w:rsid w:val="00D92A2C"/>
    <w:rsid w:val="00DA1641"/>
    <w:rsid w:val="00DA2963"/>
    <w:rsid w:val="00DA4CA3"/>
    <w:rsid w:val="00DB39CB"/>
    <w:rsid w:val="00DB4E4C"/>
    <w:rsid w:val="00DB675B"/>
    <w:rsid w:val="00DB67D8"/>
    <w:rsid w:val="00DC02B2"/>
    <w:rsid w:val="00DC2778"/>
    <w:rsid w:val="00DC39EE"/>
    <w:rsid w:val="00DC3A32"/>
    <w:rsid w:val="00DC4273"/>
    <w:rsid w:val="00DC679E"/>
    <w:rsid w:val="00DD17E9"/>
    <w:rsid w:val="00DD284E"/>
    <w:rsid w:val="00DD2B63"/>
    <w:rsid w:val="00DD2E99"/>
    <w:rsid w:val="00DD5DF8"/>
    <w:rsid w:val="00DE02E5"/>
    <w:rsid w:val="00DE3397"/>
    <w:rsid w:val="00DE389F"/>
    <w:rsid w:val="00DE4E86"/>
    <w:rsid w:val="00DE574F"/>
    <w:rsid w:val="00DE6497"/>
    <w:rsid w:val="00DE7AD3"/>
    <w:rsid w:val="00DF0E69"/>
    <w:rsid w:val="00DF1F87"/>
    <w:rsid w:val="00E00C2C"/>
    <w:rsid w:val="00E04139"/>
    <w:rsid w:val="00E049D4"/>
    <w:rsid w:val="00E07BCC"/>
    <w:rsid w:val="00E1296B"/>
    <w:rsid w:val="00E160E0"/>
    <w:rsid w:val="00E20600"/>
    <w:rsid w:val="00E2193D"/>
    <w:rsid w:val="00E24C5A"/>
    <w:rsid w:val="00E26D20"/>
    <w:rsid w:val="00E33993"/>
    <w:rsid w:val="00E34BC9"/>
    <w:rsid w:val="00E43166"/>
    <w:rsid w:val="00E43D31"/>
    <w:rsid w:val="00E540CB"/>
    <w:rsid w:val="00E546C8"/>
    <w:rsid w:val="00E562B2"/>
    <w:rsid w:val="00E56380"/>
    <w:rsid w:val="00E565EC"/>
    <w:rsid w:val="00E57898"/>
    <w:rsid w:val="00E61DF5"/>
    <w:rsid w:val="00E658E2"/>
    <w:rsid w:val="00E66794"/>
    <w:rsid w:val="00E7235A"/>
    <w:rsid w:val="00E76AB8"/>
    <w:rsid w:val="00E775FE"/>
    <w:rsid w:val="00E80FA6"/>
    <w:rsid w:val="00E83152"/>
    <w:rsid w:val="00E84D8C"/>
    <w:rsid w:val="00E85EEF"/>
    <w:rsid w:val="00E90FA0"/>
    <w:rsid w:val="00E92A3E"/>
    <w:rsid w:val="00EA0BD9"/>
    <w:rsid w:val="00EB20C5"/>
    <w:rsid w:val="00EB621F"/>
    <w:rsid w:val="00EB6E16"/>
    <w:rsid w:val="00EC0D6C"/>
    <w:rsid w:val="00ED3C96"/>
    <w:rsid w:val="00ED4E1C"/>
    <w:rsid w:val="00ED6AA1"/>
    <w:rsid w:val="00ED7E7F"/>
    <w:rsid w:val="00EE03A9"/>
    <w:rsid w:val="00EE17AE"/>
    <w:rsid w:val="00EE377F"/>
    <w:rsid w:val="00EE636E"/>
    <w:rsid w:val="00EE7730"/>
    <w:rsid w:val="00EF01CD"/>
    <w:rsid w:val="00EF7DC9"/>
    <w:rsid w:val="00F036BD"/>
    <w:rsid w:val="00F047FE"/>
    <w:rsid w:val="00F066CD"/>
    <w:rsid w:val="00F076E2"/>
    <w:rsid w:val="00F10FCE"/>
    <w:rsid w:val="00F110C2"/>
    <w:rsid w:val="00F13FD8"/>
    <w:rsid w:val="00F16F9D"/>
    <w:rsid w:val="00F200BB"/>
    <w:rsid w:val="00F2616F"/>
    <w:rsid w:val="00F3381A"/>
    <w:rsid w:val="00F33FD1"/>
    <w:rsid w:val="00F34161"/>
    <w:rsid w:val="00F403DC"/>
    <w:rsid w:val="00F404E4"/>
    <w:rsid w:val="00F4339C"/>
    <w:rsid w:val="00F46024"/>
    <w:rsid w:val="00F5142B"/>
    <w:rsid w:val="00F52101"/>
    <w:rsid w:val="00F55223"/>
    <w:rsid w:val="00F60436"/>
    <w:rsid w:val="00F63A7D"/>
    <w:rsid w:val="00F641B2"/>
    <w:rsid w:val="00F714C4"/>
    <w:rsid w:val="00F73439"/>
    <w:rsid w:val="00F77AB1"/>
    <w:rsid w:val="00F77E79"/>
    <w:rsid w:val="00F80FBE"/>
    <w:rsid w:val="00F8173E"/>
    <w:rsid w:val="00F81A8E"/>
    <w:rsid w:val="00F820A8"/>
    <w:rsid w:val="00F85B1A"/>
    <w:rsid w:val="00F85F6E"/>
    <w:rsid w:val="00FA152F"/>
    <w:rsid w:val="00FA1FF7"/>
    <w:rsid w:val="00FA5DF3"/>
    <w:rsid w:val="00FA6B2A"/>
    <w:rsid w:val="00FB3123"/>
    <w:rsid w:val="00FB35BD"/>
    <w:rsid w:val="00FB5CF0"/>
    <w:rsid w:val="00FD2012"/>
    <w:rsid w:val="00FD520B"/>
    <w:rsid w:val="00FD7D7C"/>
    <w:rsid w:val="00FE1081"/>
    <w:rsid w:val="00FE473A"/>
    <w:rsid w:val="00FE5B3C"/>
    <w:rsid w:val="00FE621A"/>
    <w:rsid w:val="00FE6D14"/>
    <w:rsid w:val="00FF75DD"/>
    <w:rsid w:val="00FF77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C"/>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uiPriority w:val="99"/>
    <w:rsid w:val="002A209C"/>
    <w:rPr>
      <w:sz w:val="20"/>
      <w:szCs w:val="20"/>
    </w:rPr>
  </w:style>
  <w:style w:type="character" w:customStyle="1" w:styleId="CommentTextChar">
    <w:name w:val="Comment Text Char"/>
    <w:basedOn w:val="DefaultParagraphFont"/>
    <w:link w:val="CommentText"/>
    <w:uiPriority w:val="99"/>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8C"/>
    <w:rPr>
      <w:rFonts w:ascii="Verdana" w:hAnsi="Verdana"/>
      <w:sz w:val="18"/>
      <w:szCs w:val="24"/>
    </w:rPr>
  </w:style>
  <w:style w:type="paragraph" w:styleId="Heading1">
    <w:name w:val="heading 1"/>
    <w:basedOn w:val="Normal"/>
    <w:next w:val="Normal"/>
    <w:link w:val="Heading1Char"/>
    <w:qFormat/>
    <w:rsid w:val="00E66794"/>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semiHidden/>
    <w:unhideWhenUsed/>
    <w:qFormat/>
    <w:rsid w:val="007032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73D2C"/>
    <w:pPr>
      <w:ind w:left="720"/>
      <w:contextualSpacing/>
    </w:pPr>
  </w:style>
  <w:style w:type="paragraph" w:styleId="BalloonText">
    <w:name w:val="Balloon Text"/>
    <w:basedOn w:val="Normal"/>
    <w:link w:val="BalloonTextChar"/>
    <w:rsid w:val="00C42940"/>
    <w:rPr>
      <w:rFonts w:ascii="Tahoma" w:hAnsi="Tahoma" w:cs="Tahoma"/>
      <w:sz w:val="16"/>
      <w:szCs w:val="16"/>
    </w:rPr>
  </w:style>
  <w:style w:type="character" w:customStyle="1" w:styleId="BalloonTextChar">
    <w:name w:val="Balloon Text Char"/>
    <w:basedOn w:val="DefaultParagraphFont"/>
    <w:link w:val="BalloonText"/>
    <w:rsid w:val="00C42940"/>
    <w:rPr>
      <w:rFonts w:ascii="Tahoma" w:hAnsi="Tahoma" w:cs="Tahoma"/>
      <w:sz w:val="16"/>
      <w:szCs w:val="16"/>
    </w:rPr>
  </w:style>
  <w:style w:type="character" w:styleId="CommentReference">
    <w:name w:val="annotation reference"/>
    <w:basedOn w:val="DefaultParagraphFont"/>
    <w:uiPriority w:val="99"/>
    <w:rsid w:val="002A209C"/>
    <w:rPr>
      <w:sz w:val="16"/>
      <w:szCs w:val="16"/>
    </w:rPr>
  </w:style>
  <w:style w:type="paragraph" w:styleId="CommentText">
    <w:name w:val="annotation text"/>
    <w:basedOn w:val="Normal"/>
    <w:link w:val="CommentTextChar"/>
    <w:uiPriority w:val="99"/>
    <w:rsid w:val="002A209C"/>
    <w:rPr>
      <w:sz w:val="20"/>
      <w:szCs w:val="20"/>
    </w:rPr>
  </w:style>
  <w:style w:type="character" w:customStyle="1" w:styleId="CommentTextChar">
    <w:name w:val="Comment Text Char"/>
    <w:basedOn w:val="DefaultParagraphFont"/>
    <w:link w:val="CommentText"/>
    <w:uiPriority w:val="99"/>
    <w:rsid w:val="002A209C"/>
    <w:rPr>
      <w:rFonts w:ascii="Verdana" w:hAnsi="Verdana"/>
    </w:rPr>
  </w:style>
  <w:style w:type="paragraph" w:styleId="CommentSubject">
    <w:name w:val="annotation subject"/>
    <w:basedOn w:val="CommentText"/>
    <w:next w:val="CommentText"/>
    <w:link w:val="CommentSubjectChar"/>
    <w:rsid w:val="002A209C"/>
    <w:rPr>
      <w:b/>
      <w:bCs/>
    </w:rPr>
  </w:style>
  <w:style w:type="character" w:customStyle="1" w:styleId="CommentSubjectChar">
    <w:name w:val="Comment Subject Char"/>
    <w:basedOn w:val="CommentTextChar"/>
    <w:link w:val="CommentSubject"/>
    <w:rsid w:val="002A209C"/>
    <w:rPr>
      <w:rFonts w:ascii="Verdana" w:hAnsi="Verdana"/>
      <w:b/>
      <w:bCs/>
    </w:rPr>
  </w:style>
  <w:style w:type="paragraph" w:styleId="FootnoteText">
    <w:name w:val="footnote text"/>
    <w:basedOn w:val="Normal"/>
    <w:link w:val="FootnoteTextChar"/>
    <w:uiPriority w:val="99"/>
    <w:rsid w:val="0003349A"/>
    <w:rPr>
      <w:sz w:val="20"/>
      <w:szCs w:val="20"/>
    </w:rPr>
  </w:style>
  <w:style w:type="character" w:customStyle="1" w:styleId="FootnoteTextChar">
    <w:name w:val="Footnote Text Char"/>
    <w:basedOn w:val="DefaultParagraphFont"/>
    <w:link w:val="FootnoteText"/>
    <w:uiPriority w:val="99"/>
    <w:rsid w:val="0003349A"/>
    <w:rPr>
      <w:rFonts w:ascii="Verdana" w:hAnsi="Verdana"/>
    </w:rPr>
  </w:style>
  <w:style w:type="character" w:styleId="FootnoteReference">
    <w:name w:val="footnote reference"/>
    <w:basedOn w:val="DefaultParagraphFont"/>
    <w:uiPriority w:val="99"/>
    <w:rsid w:val="0003349A"/>
    <w:rPr>
      <w:vertAlign w:val="superscript"/>
    </w:rPr>
  </w:style>
  <w:style w:type="character" w:styleId="Hyperlink">
    <w:name w:val="Hyperlink"/>
    <w:basedOn w:val="DefaultParagraphFont"/>
    <w:uiPriority w:val="99"/>
    <w:unhideWhenUsed/>
    <w:rsid w:val="00002A7C"/>
    <w:rPr>
      <w:color w:val="0000FF" w:themeColor="hyperlink"/>
      <w:u w:val="single"/>
    </w:rPr>
  </w:style>
  <w:style w:type="paragraph" w:styleId="Footer">
    <w:name w:val="footer"/>
    <w:basedOn w:val="Normal"/>
    <w:link w:val="FooterChar"/>
    <w:uiPriority w:val="99"/>
    <w:rsid w:val="00137DB1"/>
    <w:pPr>
      <w:widowControl w:val="0"/>
      <w:tabs>
        <w:tab w:val="center" w:pos="4820"/>
        <w:tab w:val="center" w:pos="7371"/>
        <w:tab w:val="right" w:pos="9639"/>
      </w:tabs>
    </w:pPr>
    <w:rPr>
      <w:rFonts w:ascii="Times New Roman" w:hAnsi="Times New Roman"/>
      <w:sz w:val="24"/>
      <w:szCs w:val="20"/>
      <w:lang w:val="en-GB" w:eastAsia="fr-BE"/>
    </w:rPr>
  </w:style>
  <w:style w:type="character" w:customStyle="1" w:styleId="FooterChar">
    <w:name w:val="Footer Char"/>
    <w:basedOn w:val="DefaultParagraphFont"/>
    <w:link w:val="Footer"/>
    <w:uiPriority w:val="99"/>
    <w:rsid w:val="00137DB1"/>
    <w:rPr>
      <w:sz w:val="24"/>
      <w:lang w:val="en-GB" w:eastAsia="fr-BE"/>
    </w:rPr>
  </w:style>
  <w:style w:type="paragraph" w:customStyle="1" w:styleId="CarcterCarcterCharCarcterCarcterCharCarcterCarcterCharCharCarcterCarcter">
    <w:name w:val="Carácter Carácter Char Carácter Carácter Char Carácter Carácter Char Char Carácter Carácter"/>
    <w:basedOn w:val="Normal"/>
    <w:rsid w:val="00137DB1"/>
    <w:rPr>
      <w:rFonts w:ascii="Times New Roman" w:hAnsi="Times New Roman"/>
      <w:sz w:val="24"/>
      <w:lang w:val="pl-PL" w:eastAsia="pl-PL"/>
    </w:rPr>
  </w:style>
  <w:style w:type="paragraph" w:styleId="NoSpacing">
    <w:name w:val="No Spacing"/>
    <w:uiPriority w:val="1"/>
    <w:qFormat/>
    <w:rsid w:val="006579EA"/>
    <w:rPr>
      <w:rFonts w:ascii="Verdana" w:hAnsi="Verdana"/>
      <w:sz w:val="18"/>
      <w:szCs w:val="24"/>
    </w:rPr>
  </w:style>
  <w:style w:type="character" w:customStyle="1" w:styleId="Heading1Char">
    <w:name w:val="Heading 1 Char"/>
    <w:basedOn w:val="DefaultParagraphFont"/>
    <w:link w:val="Heading1"/>
    <w:rsid w:val="00090C6A"/>
    <w:rPr>
      <w:rFonts w:ascii="Arial" w:eastAsia="MS Mincho" w:hAnsi="Arial" w:cs="Arial"/>
      <w:b/>
      <w:bCs/>
      <w:kern w:val="32"/>
      <w:sz w:val="32"/>
      <w:szCs w:val="32"/>
    </w:rPr>
  </w:style>
  <w:style w:type="character" w:customStyle="1" w:styleId="Heading2Char">
    <w:name w:val="Heading 2 Char"/>
    <w:basedOn w:val="DefaultParagraphFont"/>
    <w:link w:val="Heading2"/>
    <w:semiHidden/>
    <w:rsid w:val="007032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5F5981"/>
    <w:rPr>
      <w:rFonts w:ascii="Verdana" w:hAnsi="Verdana"/>
      <w:sz w:val="18"/>
      <w:szCs w:val="24"/>
    </w:rPr>
  </w:style>
  <w:style w:type="paragraph" w:customStyle="1" w:styleId="DashEqual1">
    <w:name w:val="Dash Equal 1"/>
    <w:basedOn w:val="Normal"/>
    <w:rsid w:val="005F5981"/>
    <w:pPr>
      <w:numPr>
        <w:numId w:val="5"/>
      </w:numPr>
      <w:outlineLvl w:val="0"/>
    </w:pPr>
    <w:rPr>
      <w:rFonts w:ascii="Times New Roman" w:hAnsi="Times New Roman"/>
      <w:sz w:val="24"/>
      <w:lang w:val="en-GB" w:eastAsia="en-US"/>
    </w:rPr>
  </w:style>
  <w:style w:type="paragraph" w:styleId="Header">
    <w:name w:val="header"/>
    <w:basedOn w:val="Normal"/>
    <w:link w:val="HeaderChar"/>
    <w:unhideWhenUsed/>
    <w:rsid w:val="00494547"/>
    <w:pPr>
      <w:tabs>
        <w:tab w:val="center" w:pos="4513"/>
        <w:tab w:val="right" w:pos="9026"/>
      </w:tabs>
    </w:pPr>
  </w:style>
  <w:style w:type="character" w:customStyle="1" w:styleId="HeaderChar">
    <w:name w:val="Header Char"/>
    <w:basedOn w:val="DefaultParagraphFont"/>
    <w:link w:val="Header"/>
    <w:rsid w:val="00494547"/>
    <w:rPr>
      <w:rFonts w:ascii="Verdana" w:hAnsi="Verdana"/>
      <w:sz w:val="18"/>
      <w:szCs w:val="24"/>
    </w:rPr>
  </w:style>
  <w:style w:type="paragraph" w:customStyle="1" w:styleId="Default">
    <w:name w:val="Default"/>
    <w:rsid w:val="00A5405D"/>
    <w:pPr>
      <w:autoSpaceDE w:val="0"/>
      <w:autoSpaceDN w:val="0"/>
      <w:adjustRightInd w:val="0"/>
    </w:pPr>
    <w:rPr>
      <w:rFonts w:ascii="AOHGO P+ Univers" w:eastAsiaTheme="minorHAnsi" w:hAnsi="AOHGO P+ Univers" w:cs="AOHGO P+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833">
      <w:bodyDiv w:val="1"/>
      <w:marLeft w:val="0"/>
      <w:marRight w:val="0"/>
      <w:marTop w:val="0"/>
      <w:marBottom w:val="0"/>
      <w:divBdr>
        <w:top w:val="none" w:sz="0" w:space="0" w:color="auto"/>
        <w:left w:val="none" w:sz="0" w:space="0" w:color="auto"/>
        <w:bottom w:val="none" w:sz="0" w:space="0" w:color="auto"/>
        <w:right w:val="none" w:sz="0" w:space="0" w:color="auto"/>
      </w:divBdr>
    </w:div>
    <w:div w:id="16128625">
      <w:bodyDiv w:val="1"/>
      <w:marLeft w:val="0"/>
      <w:marRight w:val="0"/>
      <w:marTop w:val="0"/>
      <w:marBottom w:val="0"/>
      <w:divBdr>
        <w:top w:val="none" w:sz="0" w:space="0" w:color="auto"/>
        <w:left w:val="none" w:sz="0" w:space="0" w:color="auto"/>
        <w:bottom w:val="none" w:sz="0" w:space="0" w:color="auto"/>
        <w:right w:val="none" w:sz="0" w:space="0" w:color="auto"/>
      </w:divBdr>
    </w:div>
    <w:div w:id="23409977">
      <w:bodyDiv w:val="1"/>
      <w:marLeft w:val="0"/>
      <w:marRight w:val="0"/>
      <w:marTop w:val="0"/>
      <w:marBottom w:val="0"/>
      <w:divBdr>
        <w:top w:val="none" w:sz="0" w:space="0" w:color="auto"/>
        <w:left w:val="none" w:sz="0" w:space="0" w:color="auto"/>
        <w:bottom w:val="none" w:sz="0" w:space="0" w:color="auto"/>
        <w:right w:val="none" w:sz="0" w:space="0" w:color="auto"/>
      </w:divBdr>
    </w:div>
    <w:div w:id="47382572">
      <w:bodyDiv w:val="1"/>
      <w:marLeft w:val="0"/>
      <w:marRight w:val="0"/>
      <w:marTop w:val="0"/>
      <w:marBottom w:val="0"/>
      <w:divBdr>
        <w:top w:val="none" w:sz="0" w:space="0" w:color="auto"/>
        <w:left w:val="none" w:sz="0" w:space="0" w:color="auto"/>
        <w:bottom w:val="none" w:sz="0" w:space="0" w:color="auto"/>
        <w:right w:val="none" w:sz="0" w:space="0" w:color="auto"/>
      </w:divBdr>
    </w:div>
    <w:div w:id="52395309">
      <w:bodyDiv w:val="1"/>
      <w:marLeft w:val="0"/>
      <w:marRight w:val="0"/>
      <w:marTop w:val="0"/>
      <w:marBottom w:val="0"/>
      <w:divBdr>
        <w:top w:val="none" w:sz="0" w:space="0" w:color="auto"/>
        <w:left w:val="none" w:sz="0" w:space="0" w:color="auto"/>
        <w:bottom w:val="none" w:sz="0" w:space="0" w:color="auto"/>
        <w:right w:val="none" w:sz="0" w:space="0" w:color="auto"/>
      </w:divBdr>
    </w:div>
    <w:div w:id="72629369">
      <w:bodyDiv w:val="1"/>
      <w:marLeft w:val="0"/>
      <w:marRight w:val="0"/>
      <w:marTop w:val="0"/>
      <w:marBottom w:val="0"/>
      <w:divBdr>
        <w:top w:val="none" w:sz="0" w:space="0" w:color="auto"/>
        <w:left w:val="none" w:sz="0" w:space="0" w:color="auto"/>
        <w:bottom w:val="none" w:sz="0" w:space="0" w:color="auto"/>
        <w:right w:val="none" w:sz="0" w:space="0" w:color="auto"/>
      </w:divBdr>
    </w:div>
    <w:div w:id="77487812">
      <w:bodyDiv w:val="1"/>
      <w:marLeft w:val="0"/>
      <w:marRight w:val="0"/>
      <w:marTop w:val="0"/>
      <w:marBottom w:val="0"/>
      <w:divBdr>
        <w:top w:val="none" w:sz="0" w:space="0" w:color="auto"/>
        <w:left w:val="none" w:sz="0" w:space="0" w:color="auto"/>
        <w:bottom w:val="none" w:sz="0" w:space="0" w:color="auto"/>
        <w:right w:val="none" w:sz="0" w:space="0" w:color="auto"/>
      </w:divBdr>
    </w:div>
    <w:div w:id="79833322">
      <w:bodyDiv w:val="1"/>
      <w:marLeft w:val="0"/>
      <w:marRight w:val="0"/>
      <w:marTop w:val="0"/>
      <w:marBottom w:val="0"/>
      <w:divBdr>
        <w:top w:val="none" w:sz="0" w:space="0" w:color="auto"/>
        <w:left w:val="none" w:sz="0" w:space="0" w:color="auto"/>
        <w:bottom w:val="none" w:sz="0" w:space="0" w:color="auto"/>
        <w:right w:val="none" w:sz="0" w:space="0" w:color="auto"/>
      </w:divBdr>
    </w:div>
    <w:div w:id="96216621">
      <w:bodyDiv w:val="1"/>
      <w:marLeft w:val="0"/>
      <w:marRight w:val="0"/>
      <w:marTop w:val="0"/>
      <w:marBottom w:val="0"/>
      <w:divBdr>
        <w:top w:val="none" w:sz="0" w:space="0" w:color="auto"/>
        <w:left w:val="none" w:sz="0" w:space="0" w:color="auto"/>
        <w:bottom w:val="none" w:sz="0" w:space="0" w:color="auto"/>
        <w:right w:val="none" w:sz="0" w:space="0" w:color="auto"/>
      </w:divBdr>
    </w:div>
    <w:div w:id="97724753">
      <w:bodyDiv w:val="1"/>
      <w:marLeft w:val="0"/>
      <w:marRight w:val="0"/>
      <w:marTop w:val="0"/>
      <w:marBottom w:val="0"/>
      <w:divBdr>
        <w:top w:val="none" w:sz="0" w:space="0" w:color="auto"/>
        <w:left w:val="none" w:sz="0" w:space="0" w:color="auto"/>
        <w:bottom w:val="none" w:sz="0" w:space="0" w:color="auto"/>
        <w:right w:val="none" w:sz="0" w:space="0" w:color="auto"/>
      </w:divBdr>
    </w:div>
    <w:div w:id="101581877">
      <w:bodyDiv w:val="1"/>
      <w:marLeft w:val="0"/>
      <w:marRight w:val="0"/>
      <w:marTop w:val="0"/>
      <w:marBottom w:val="0"/>
      <w:divBdr>
        <w:top w:val="none" w:sz="0" w:space="0" w:color="auto"/>
        <w:left w:val="none" w:sz="0" w:space="0" w:color="auto"/>
        <w:bottom w:val="none" w:sz="0" w:space="0" w:color="auto"/>
        <w:right w:val="none" w:sz="0" w:space="0" w:color="auto"/>
      </w:divBdr>
    </w:div>
    <w:div w:id="104152716">
      <w:bodyDiv w:val="1"/>
      <w:marLeft w:val="0"/>
      <w:marRight w:val="0"/>
      <w:marTop w:val="0"/>
      <w:marBottom w:val="0"/>
      <w:divBdr>
        <w:top w:val="none" w:sz="0" w:space="0" w:color="auto"/>
        <w:left w:val="none" w:sz="0" w:space="0" w:color="auto"/>
        <w:bottom w:val="none" w:sz="0" w:space="0" w:color="auto"/>
        <w:right w:val="none" w:sz="0" w:space="0" w:color="auto"/>
      </w:divBdr>
    </w:div>
    <w:div w:id="144201769">
      <w:bodyDiv w:val="1"/>
      <w:marLeft w:val="0"/>
      <w:marRight w:val="0"/>
      <w:marTop w:val="0"/>
      <w:marBottom w:val="0"/>
      <w:divBdr>
        <w:top w:val="none" w:sz="0" w:space="0" w:color="auto"/>
        <w:left w:val="none" w:sz="0" w:space="0" w:color="auto"/>
        <w:bottom w:val="none" w:sz="0" w:space="0" w:color="auto"/>
        <w:right w:val="none" w:sz="0" w:space="0" w:color="auto"/>
      </w:divBdr>
    </w:div>
    <w:div w:id="144902061">
      <w:bodyDiv w:val="1"/>
      <w:marLeft w:val="0"/>
      <w:marRight w:val="0"/>
      <w:marTop w:val="0"/>
      <w:marBottom w:val="0"/>
      <w:divBdr>
        <w:top w:val="none" w:sz="0" w:space="0" w:color="auto"/>
        <w:left w:val="none" w:sz="0" w:space="0" w:color="auto"/>
        <w:bottom w:val="none" w:sz="0" w:space="0" w:color="auto"/>
        <w:right w:val="none" w:sz="0" w:space="0" w:color="auto"/>
      </w:divBdr>
    </w:div>
    <w:div w:id="147674488">
      <w:bodyDiv w:val="1"/>
      <w:marLeft w:val="0"/>
      <w:marRight w:val="0"/>
      <w:marTop w:val="0"/>
      <w:marBottom w:val="0"/>
      <w:divBdr>
        <w:top w:val="none" w:sz="0" w:space="0" w:color="auto"/>
        <w:left w:val="none" w:sz="0" w:space="0" w:color="auto"/>
        <w:bottom w:val="none" w:sz="0" w:space="0" w:color="auto"/>
        <w:right w:val="none" w:sz="0" w:space="0" w:color="auto"/>
      </w:divBdr>
    </w:div>
    <w:div w:id="147747928">
      <w:bodyDiv w:val="1"/>
      <w:marLeft w:val="0"/>
      <w:marRight w:val="0"/>
      <w:marTop w:val="0"/>
      <w:marBottom w:val="0"/>
      <w:divBdr>
        <w:top w:val="none" w:sz="0" w:space="0" w:color="auto"/>
        <w:left w:val="none" w:sz="0" w:space="0" w:color="auto"/>
        <w:bottom w:val="none" w:sz="0" w:space="0" w:color="auto"/>
        <w:right w:val="none" w:sz="0" w:space="0" w:color="auto"/>
      </w:divBdr>
    </w:div>
    <w:div w:id="167791984">
      <w:bodyDiv w:val="1"/>
      <w:marLeft w:val="0"/>
      <w:marRight w:val="0"/>
      <w:marTop w:val="0"/>
      <w:marBottom w:val="0"/>
      <w:divBdr>
        <w:top w:val="none" w:sz="0" w:space="0" w:color="auto"/>
        <w:left w:val="none" w:sz="0" w:space="0" w:color="auto"/>
        <w:bottom w:val="none" w:sz="0" w:space="0" w:color="auto"/>
        <w:right w:val="none" w:sz="0" w:space="0" w:color="auto"/>
      </w:divBdr>
    </w:div>
    <w:div w:id="176584260">
      <w:bodyDiv w:val="1"/>
      <w:marLeft w:val="0"/>
      <w:marRight w:val="0"/>
      <w:marTop w:val="0"/>
      <w:marBottom w:val="0"/>
      <w:divBdr>
        <w:top w:val="none" w:sz="0" w:space="0" w:color="auto"/>
        <w:left w:val="none" w:sz="0" w:space="0" w:color="auto"/>
        <w:bottom w:val="none" w:sz="0" w:space="0" w:color="auto"/>
        <w:right w:val="none" w:sz="0" w:space="0" w:color="auto"/>
      </w:divBdr>
    </w:div>
    <w:div w:id="182086548">
      <w:bodyDiv w:val="1"/>
      <w:marLeft w:val="0"/>
      <w:marRight w:val="0"/>
      <w:marTop w:val="0"/>
      <w:marBottom w:val="0"/>
      <w:divBdr>
        <w:top w:val="none" w:sz="0" w:space="0" w:color="auto"/>
        <w:left w:val="none" w:sz="0" w:space="0" w:color="auto"/>
        <w:bottom w:val="none" w:sz="0" w:space="0" w:color="auto"/>
        <w:right w:val="none" w:sz="0" w:space="0" w:color="auto"/>
      </w:divBdr>
      <w:divsChild>
        <w:div w:id="1398095163">
          <w:marLeft w:val="0"/>
          <w:marRight w:val="0"/>
          <w:marTop w:val="0"/>
          <w:marBottom w:val="0"/>
          <w:divBdr>
            <w:top w:val="none" w:sz="0" w:space="0" w:color="auto"/>
            <w:left w:val="none" w:sz="0" w:space="0" w:color="auto"/>
            <w:bottom w:val="none" w:sz="0" w:space="0" w:color="auto"/>
            <w:right w:val="none" w:sz="0" w:space="0" w:color="auto"/>
          </w:divBdr>
          <w:divsChild>
            <w:div w:id="322392796">
              <w:marLeft w:val="0"/>
              <w:marRight w:val="0"/>
              <w:marTop w:val="0"/>
              <w:marBottom w:val="0"/>
              <w:divBdr>
                <w:top w:val="none" w:sz="0" w:space="0" w:color="auto"/>
                <w:left w:val="none" w:sz="0" w:space="0" w:color="auto"/>
                <w:bottom w:val="none" w:sz="0" w:space="0" w:color="auto"/>
                <w:right w:val="none" w:sz="0" w:space="0" w:color="auto"/>
              </w:divBdr>
              <w:divsChild>
                <w:div w:id="1880168603">
                  <w:marLeft w:val="0"/>
                  <w:marRight w:val="0"/>
                  <w:marTop w:val="0"/>
                  <w:marBottom w:val="0"/>
                  <w:divBdr>
                    <w:top w:val="none" w:sz="0" w:space="0" w:color="auto"/>
                    <w:left w:val="none" w:sz="0" w:space="0" w:color="auto"/>
                    <w:bottom w:val="none" w:sz="0" w:space="0" w:color="auto"/>
                    <w:right w:val="none" w:sz="0" w:space="0" w:color="auto"/>
                  </w:divBdr>
                  <w:divsChild>
                    <w:div w:id="1508640344">
                      <w:marLeft w:val="0"/>
                      <w:marRight w:val="0"/>
                      <w:marTop w:val="0"/>
                      <w:marBottom w:val="0"/>
                      <w:divBdr>
                        <w:top w:val="none" w:sz="0" w:space="0" w:color="auto"/>
                        <w:left w:val="none" w:sz="0" w:space="0" w:color="auto"/>
                        <w:bottom w:val="none" w:sz="0" w:space="0" w:color="auto"/>
                        <w:right w:val="none" w:sz="0" w:space="0" w:color="auto"/>
                      </w:divBdr>
                      <w:divsChild>
                        <w:div w:id="344209724">
                          <w:marLeft w:val="0"/>
                          <w:marRight w:val="0"/>
                          <w:marTop w:val="0"/>
                          <w:marBottom w:val="0"/>
                          <w:divBdr>
                            <w:top w:val="none" w:sz="0" w:space="0" w:color="auto"/>
                            <w:left w:val="none" w:sz="0" w:space="0" w:color="auto"/>
                            <w:bottom w:val="none" w:sz="0" w:space="0" w:color="auto"/>
                            <w:right w:val="none" w:sz="0" w:space="0" w:color="auto"/>
                          </w:divBdr>
                          <w:divsChild>
                            <w:div w:id="1476727116">
                              <w:marLeft w:val="0"/>
                              <w:marRight w:val="0"/>
                              <w:marTop w:val="0"/>
                              <w:marBottom w:val="0"/>
                              <w:divBdr>
                                <w:top w:val="none" w:sz="0" w:space="0" w:color="auto"/>
                                <w:left w:val="none" w:sz="0" w:space="0" w:color="auto"/>
                                <w:bottom w:val="none" w:sz="0" w:space="0" w:color="auto"/>
                                <w:right w:val="none" w:sz="0" w:space="0" w:color="auto"/>
                              </w:divBdr>
                              <w:divsChild>
                                <w:div w:id="771555347">
                                  <w:marLeft w:val="0"/>
                                  <w:marRight w:val="0"/>
                                  <w:marTop w:val="0"/>
                                  <w:marBottom w:val="0"/>
                                  <w:divBdr>
                                    <w:top w:val="none" w:sz="0" w:space="0" w:color="auto"/>
                                    <w:left w:val="none" w:sz="0" w:space="0" w:color="auto"/>
                                    <w:bottom w:val="none" w:sz="0" w:space="0" w:color="auto"/>
                                    <w:right w:val="none" w:sz="0" w:space="0" w:color="auto"/>
                                  </w:divBdr>
                                  <w:divsChild>
                                    <w:div w:id="1470903044">
                                      <w:marLeft w:val="60"/>
                                      <w:marRight w:val="0"/>
                                      <w:marTop w:val="0"/>
                                      <w:marBottom w:val="0"/>
                                      <w:divBdr>
                                        <w:top w:val="none" w:sz="0" w:space="0" w:color="auto"/>
                                        <w:left w:val="none" w:sz="0" w:space="0" w:color="auto"/>
                                        <w:bottom w:val="none" w:sz="0" w:space="0" w:color="auto"/>
                                        <w:right w:val="none" w:sz="0" w:space="0" w:color="auto"/>
                                      </w:divBdr>
                                      <w:divsChild>
                                        <w:div w:id="53626570">
                                          <w:marLeft w:val="0"/>
                                          <w:marRight w:val="0"/>
                                          <w:marTop w:val="0"/>
                                          <w:marBottom w:val="0"/>
                                          <w:divBdr>
                                            <w:top w:val="none" w:sz="0" w:space="0" w:color="auto"/>
                                            <w:left w:val="none" w:sz="0" w:space="0" w:color="auto"/>
                                            <w:bottom w:val="none" w:sz="0" w:space="0" w:color="auto"/>
                                            <w:right w:val="none" w:sz="0" w:space="0" w:color="auto"/>
                                          </w:divBdr>
                                          <w:divsChild>
                                            <w:div w:id="1537044998">
                                              <w:marLeft w:val="0"/>
                                              <w:marRight w:val="0"/>
                                              <w:marTop w:val="0"/>
                                              <w:marBottom w:val="120"/>
                                              <w:divBdr>
                                                <w:top w:val="single" w:sz="6" w:space="0" w:color="F5F5F5"/>
                                                <w:left w:val="single" w:sz="6" w:space="0" w:color="F5F5F5"/>
                                                <w:bottom w:val="single" w:sz="6" w:space="0" w:color="F5F5F5"/>
                                                <w:right w:val="single" w:sz="6" w:space="0" w:color="F5F5F5"/>
                                              </w:divBdr>
                                              <w:divsChild>
                                                <w:div w:id="1378580160">
                                                  <w:marLeft w:val="0"/>
                                                  <w:marRight w:val="0"/>
                                                  <w:marTop w:val="0"/>
                                                  <w:marBottom w:val="0"/>
                                                  <w:divBdr>
                                                    <w:top w:val="none" w:sz="0" w:space="0" w:color="auto"/>
                                                    <w:left w:val="none" w:sz="0" w:space="0" w:color="auto"/>
                                                    <w:bottom w:val="none" w:sz="0" w:space="0" w:color="auto"/>
                                                    <w:right w:val="none" w:sz="0" w:space="0" w:color="auto"/>
                                                  </w:divBdr>
                                                  <w:divsChild>
                                                    <w:div w:id="468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7123">
      <w:bodyDiv w:val="1"/>
      <w:marLeft w:val="0"/>
      <w:marRight w:val="0"/>
      <w:marTop w:val="0"/>
      <w:marBottom w:val="0"/>
      <w:divBdr>
        <w:top w:val="none" w:sz="0" w:space="0" w:color="auto"/>
        <w:left w:val="none" w:sz="0" w:space="0" w:color="auto"/>
        <w:bottom w:val="none" w:sz="0" w:space="0" w:color="auto"/>
        <w:right w:val="none" w:sz="0" w:space="0" w:color="auto"/>
      </w:divBdr>
    </w:div>
    <w:div w:id="215052030">
      <w:bodyDiv w:val="1"/>
      <w:marLeft w:val="0"/>
      <w:marRight w:val="0"/>
      <w:marTop w:val="0"/>
      <w:marBottom w:val="0"/>
      <w:divBdr>
        <w:top w:val="none" w:sz="0" w:space="0" w:color="auto"/>
        <w:left w:val="none" w:sz="0" w:space="0" w:color="auto"/>
        <w:bottom w:val="none" w:sz="0" w:space="0" w:color="auto"/>
        <w:right w:val="none" w:sz="0" w:space="0" w:color="auto"/>
      </w:divBdr>
    </w:div>
    <w:div w:id="223640682">
      <w:bodyDiv w:val="1"/>
      <w:marLeft w:val="0"/>
      <w:marRight w:val="0"/>
      <w:marTop w:val="0"/>
      <w:marBottom w:val="0"/>
      <w:divBdr>
        <w:top w:val="none" w:sz="0" w:space="0" w:color="auto"/>
        <w:left w:val="none" w:sz="0" w:space="0" w:color="auto"/>
        <w:bottom w:val="none" w:sz="0" w:space="0" w:color="auto"/>
        <w:right w:val="none" w:sz="0" w:space="0" w:color="auto"/>
      </w:divBdr>
    </w:div>
    <w:div w:id="244800193">
      <w:bodyDiv w:val="1"/>
      <w:marLeft w:val="0"/>
      <w:marRight w:val="0"/>
      <w:marTop w:val="0"/>
      <w:marBottom w:val="0"/>
      <w:divBdr>
        <w:top w:val="none" w:sz="0" w:space="0" w:color="auto"/>
        <w:left w:val="none" w:sz="0" w:space="0" w:color="auto"/>
        <w:bottom w:val="none" w:sz="0" w:space="0" w:color="auto"/>
        <w:right w:val="none" w:sz="0" w:space="0" w:color="auto"/>
      </w:divBdr>
    </w:div>
    <w:div w:id="262804190">
      <w:bodyDiv w:val="1"/>
      <w:marLeft w:val="0"/>
      <w:marRight w:val="0"/>
      <w:marTop w:val="0"/>
      <w:marBottom w:val="0"/>
      <w:divBdr>
        <w:top w:val="none" w:sz="0" w:space="0" w:color="auto"/>
        <w:left w:val="none" w:sz="0" w:space="0" w:color="auto"/>
        <w:bottom w:val="none" w:sz="0" w:space="0" w:color="auto"/>
        <w:right w:val="none" w:sz="0" w:space="0" w:color="auto"/>
      </w:divBdr>
    </w:div>
    <w:div w:id="263341322">
      <w:bodyDiv w:val="1"/>
      <w:marLeft w:val="0"/>
      <w:marRight w:val="0"/>
      <w:marTop w:val="0"/>
      <w:marBottom w:val="0"/>
      <w:divBdr>
        <w:top w:val="none" w:sz="0" w:space="0" w:color="auto"/>
        <w:left w:val="none" w:sz="0" w:space="0" w:color="auto"/>
        <w:bottom w:val="none" w:sz="0" w:space="0" w:color="auto"/>
        <w:right w:val="none" w:sz="0" w:space="0" w:color="auto"/>
      </w:divBdr>
    </w:div>
    <w:div w:id="263542666">
      <w:bodyDiv w:val="1"/>
      <w:marLeft w:val="0"/>
      <w:marRight w:val="0"/>
      <w:marTop w:val="0"/>
      <w:marBottom w:val="0"/>
      <w:divBdr>
        <w:top w:val="none" w:sz="0" w:space="0" w:color="auto"/>
        <w:left w:val="none" w:sz="0" w:space="0" w:color="auto"/>
        <w:bottom w:val="none" w:sz="0" w:space="0" w:color="auto"/>
        <w:right w:val="none" w:sz="0" w:space="0" w:color="auto"/>
      </w:divBdr>
    </w:div>
    <w:div w:id="270675340">
      <w:bodyDiv w:val="1"/>
      <w:marLeft w:val="0"/>
      <w:marRight w:val="0"/>
      <w:marTop w:val="0"/>
      <w:marBottom w:val="0"/>
      <w:divBdr>
        <w:top w:val="none" w:sz="0" w:space="0" w:color="auto"/>
        <w:left w:val="none" w:sz="0" w:space="0" w:color="auto"/>
        <w:bottom w:val="none" w:sz="0" w:space="0" w:color="auto"/>
        <w:right w:val="none" w:sz="0" w:space="0" w:color="auto"/>
      </w:divBdr>
    </w:div>
    <w:div w:id="290674958">
      <w:bodyDiv w:val="1"/>
      <w:marLeft w:val="0"/>
      <w:marRight w:val="0"/>
      <w:marTop w:val="0"/>
      <w:marBottom w:val="0"/>
      <w:divBdr>
        <w:top w:val="none" w:sz="0" w:space="0" w:color="auto"/>
        <w:left w:val="none" w:sz="0" w:space="0" w:color="auto"/>
        <w:bottom w:val="none" w:sz="0" w:space="0" w:color="auto"/>
        <w:right w:val="none" w:sz="0" w:space="0" w:color="auto"/>
      </w:divBdr>
    </w:div>
    <w:div w:id="296882084">
      <w:bodyDiv w:val="1"/>
      <w:marLeft w:val="0"/>
      <w:marRight w:val="0"/>
      <w:marTop w:val="0"/>
      <w:marBottom w:val="0"/>
      <w:divBdr>
        <w:top w:val="none" w:sz="0" w:space="0" w:color="auto"/>
        <w:left w:val="none" w:sz="0" w:space="0" w:color="auto"/>
        <w:bottom w:val="none" w:sz="0" w:space="0" w:color="auto"/>
        <w:right w:val="none" w:sz="0" w:space="0" w:color="auto"/>
      </w:divBdr>
    </w:div>
    <w:div w:id="353046161">
      <w:bodyDiv w:val="1"/>
      <w:marLeft w:val="0"/>
      <w:marRight w:val="0"/>
      <w:marTop w:val="0"/>
      <w:marBottom w:val="0"/>
      <w:divBdr>
        <w:top w:val="none" w:sz="0" w:space="0" w:color="auto"/>
        <w:left w:val="none" w:sz="0" w:space="0" w:color="auto"/>
        <w:bottom w:val="none" w:sz="0" w:space="0" w:color="auto"/>
        <w:right w:val="none" w:sz="0" w:space="0" w:color="auto"/>
      </w:divBdr>
    </w:div>
    <w:div w:id="363017868">
      <w:bodyDiv w:val="1"/>
      <w:marLeft w:val="0"/>
      <w:marRight w:val="0"/>
      <w:marTop w:val="0"/>
      <w:marBottom w:val="0"/>
      <w:divBdr>
        <w:top w:val="none" w:sz="0" w:space="0" w:color="auto"/>
        <w:left w:val="none" w:sz="0" w:space="0" w:color="auto"/>
        <w:bottom w:val="none" w:sz="0" w:space="0" w:color="auto"/>
        <w:right w:val="none" w:sz="0" w:space="0" w:color="auto"/>
      </w:divBdr>
    </w:div>
    <w:div w:id="364523546">
      <w:bodyDiv w:val="1"/>
      <w:marLeft w:val="0"/>
      <w:marRight w:val="0"/>
      <w:marTop w:val="0"/>
      <w:marBottom w:val="0"/>
      <w:divBdr>
        <w:top w:val="none" w:sz="0" w:space="0" w:color="auto"/>
        <w:left w:val="none" w:sz="0" w:space="0" w:color="auto"/>
        <w:bottom w:val="none" w:sz="0" w:space="0" w:color="auto"/>
        <w:right w:val="none" w:sz="0" w:space="0" w:color="auto"/>
      </w:divBdr>
    </w:div>
    <w:div w:id="377704159">
      <w:bodyDiv w:val="1"/>
      <w:marLeft w:val="0"/>
      <w:marRight w:val="0"/>
      <w:marTop w:val="0"/>
      <w:marBottom w:val="0"/>
      <w:divBdr>
        <w:top w:val="none" w:sz="0" w:space="0" w:color="auto"/>
        <w:left w:val="none" w:sz="0" w:space="0" w:color="auto"/>
        <w:bottom w:val="none" w:sz="0" w:space="0" w:color="auto"/>
        <w:right w:val="none" w:sz="0" w:space="0" w:color="auto"/>
      </w:divBdr>
    </w:div>
    <w:div w:id="380057409">
      <w:bodyDiv w:val="1"/>
      <w:marLeft w:val="0"/>
      <w:marRight w:val="0"/>
      <w:marTop w:val="0"/>
      <w:marBottom w:val="0"/>
      <w:divBdr>
        <w:top w:val="none" w:sz="0" w:space="0" w:color="auto"/>
        <w:left w:val="none" w:sz="0" w:space="0" w:color="auto"/>
        <w:bottom w:val="none" w:sz="0" w:space="0" w:color="auto"/>
        <w:right w:val="none" w:sz="0" w:space="0" w:color="auto"/>
      </w:divBdr>
    </w:div>
    <w:div w:id="405225859">
      <w:bodyDiv w:val="1"/>
      <w:marLeft w:val="0"/>
      <w:marRight w:val="0"/>
      <w:marTop w:val="0"/>
      <w:marBottom w:val="0"/>
      <w:divBdr>
        <w:top w:val="none" w:sz="0" w:space="0" w:color="auto"/>
        <w:left w:val="none" w:sz="0" w:space="0" w:color="auto"/>
        <w:bottom w:val="none" w:sz="0" w:space="0" w:color="auto"/>
        <w:right w:val="none" w:sz="0" w:space="0" w:color="auto"/>
      </w:divBdr>
    </w:div>
    <w:div w:id="409740417">
      <w:bodyDiv w:val="1"/>
      <w:marLeft w:val="0"/>
      <w:marRight w:val="0"/>
      <w:marTop w:val="0"/>
      <w:marBottom w:val="0"/>
      <w:divBdr>
        <w:top w:val="none" w:sz="0" w:space="0" w:color="auto"/>
        <w:left w:val="none" w:sz="0" w:space="0" w:color="auto"/>
        <w:bottom w:val="none" w:sz="0" w:space="0" w:color="auto"/>
        <w:right w:val="none" w:sz="0" w:space="0" w:color="auto"/>
      </w:divBdr>
    </w:div>
    <w:div w:id="412438903">
      <w:bodyDiv w:val="1"/>
      <w:marLeft w:val="0"/>
      <w:marRight w:val="0"/>
      <w:marTop w:val="0"/>
      <w:marBottom w:val="0"/>
      <w:divBdr>
        <w:top w:val="none" w:sz="0" w:space="0" w:color="auto"/>
        <w:left w:val="none" w:sz="0" w:space="0" w:color="auto"/>
        <w:bottom w:val="none" w:sz="0" w:space="0" w:color="auto"/>
        <w:right w:val="none" w:sz="0" w:space="0" w:color="auto"/>
      </w:divBdr>
    </w:div>
    <w:div w:id="420954433">
      <w:bodyDiv w:val="1"/>
      <w:marLeft w:val="0"/>
      <w:marRight w:val="0"/>
      <w:marTop w:val="0"/>
      <w:marBottom w:val="0"/>
      <w:divBdr>
        <w:top w:val="none" w:sz="0" w:space="0" w:color="auto"/>
        <w:left w:val="none" w:sz="0" w:space="0" w:color="auto"/>
        <w:bottom w:val="none" w:sz="0" w:space="0" w:color="auto"/>
        <w:right w:val="none" w:sz="0" w:space="0" w:color="auto"/>
      </w:divBdr>
    </w:div>
    <w:div w:id="459567839">
      <w:bodyDiv w:val="1"/>
      <w:marLeft w:val="0"/>
      <w:marRight w:val="0"/>
      <w:marTop w:val="0"/>
      <w:marBottom w:val="0"/>
      <w:divBdr>
        <w:top w:val="none" w:sz="0" w:space="0" w:color="auto"/>
        <w:left w:val="none" w:sz="0" w:space="0" w:color="auto"/>
        <w:bottom w:val="none" w:sz="0" w:space="0" w:color="auto"/>
        <w:right w:val="none" w:sz="0" w:space="0" w:color="auto"/>
      </w:divBdr>
    </w:div>
    <w:div w:id="467818618">
      <w:bodyDiv w:val="1"/>
      <w:marLeft w:val="0"/>
      <w:marRight w:val="0"/>
      <w:marTop w:val="0"/>
      <w:marBottom w:val="0"/>
      <w:divBdr>
        <w:top w:val="none" w:sz="0" w:space="0" w:color="auto"/>
        <w:left w:val="none" w:sz="0" w:space="0" w:color="auto"/>
        <w:bottom w:val="none" w:sz="0" w:space="0" w:color="auto"/>
        <w:right w:val="none" w:sz="0" w:space="0" w:color="auto"/>
      </w:divBdr>
    </w:div>
    <w:div w:id="476069304">
      <w:bodyDiv w:val="1"/>
      <w:marLeft w:val="0"/>
      <w:marRight w:val="0"/>
      <w:marTop w:val="0"/>
      <w:marBottom w:val="0"/>
      <w:divBdr>
        <w:top w:val="none" w:sz="0" w:space="0" w:color="auto"/>
        <w:left w:val="none" w:sz="0" w:space="0" w:color="auto"/>
        <w:bottom w:val="none" w:sz="0" w:space="0" w:color="auto"/>
        <w:right w:val="none" w:sz="0" w:space="0" w:color="auto"/>
      </w:divBdr>
    </w:div>
    <w:div w:id="498469418">
      <w:bodyDiv w:val="1"/>
      <w:marLeft w:val="0"/>
      <w:marRight w:val="0"/>
      <w:marTop w:val="0"/>
      <w:marBottom w:val="0"/>
      <w:divBdr>
        <w:top w:val="none" w:sz="0" w:space="0" w:color="auto"/>
        <w:left w:val="none" w:sz="0" w:space="0" w:color="auto"/>
        <w:bottom w:val="none" w:sz="0" w:space="0" w:color="auto"/>
        <w:right w:val="none" w:sz="0" w:space="0" w:color="auto"/>
      </w:divBdr>
    </w:div>
    <w:div w:id="500390552">
      <w:bodyDiv w:val="1"/>
      <w:marLeft w:val="0"/>
      <w:marRight w:val="0"/>
      <w:marTop w:val="0"/>
      <w:marBottom w:val="0"/>
      <w:divBdr>
        <w:top w:val="none" w:sz="0" w:space="0" w:color="auto"/>
        <w:left w:val="none" w:sz="0" w:space="0" w:color="auto"/>
        <w:bottom w:val="none" w:sz="0" w:space="0" w:color="auto"/>
        <w:right w:val="none" w:sz="0" w:space="0" w:color="auto"/>
      </w:divBdr>
    </w:div>
    <w:div w:id="504977461">
      <w:bodyDiv w:val="1"/>
      <w:marLeft w:val="0"/>
      <w:marRight w:val="0"/>
      <w:marTop w:val="0"/>
      <w:marBottom w:val="0"/>
      <w:divBdr>
        <w:top w:val="none" w:sz="0" w:space="0" w:color="auto"/>
        <w:left w:val="none" w:sz="0" w:space="0" w:color="auto"/>
        <w:bottom w:val="none" w:sz="0" w:space="0" w:color="auto"/>
        <w:right w:val="none" w:sz="0" w:space="0" w:color="auto"/>
      </w:divBdr>
    </w:div>
    <w:div w:id="506024293">
      <w:bodyDiv w:val="1"/>
      <w:marLeft w:val="0"/>
      <w:marRight w:val="0"/>
      <w:marTop w:val="0"/>
      <w:marBottom w:val="0"/>
      <w:divBdr>
        <w:top w:val="none" w:sz="0" w:space="0" w:color="auto"/>
        <w:left w:val="none" w:sz="0" w:space="0" w:color="auto"/>
        <w:bottom w:val="none" w:sz="0" w:space="0" w:color="auto"/>
        <w:right w:val="none" w:sz="0" w:space="0" w:color="auto"/>
      </w:divBdr>
    </w:div>
    <w:div w:id="508183493">
      <w:bodyDiv w:val="1"/>
      <w:marLeft w:val="0"/>
      <w:marRight w:val="0"/>
      <w:marTop w:val="0"/>
      <w:marBottom w:val="0"/>
      <w:divBdr>
        <w:top w:val="none" w:sz="0" w:space="0" w:color="auto"/>
        <w:left w:val="none" w:sz="0" w:space="0" w:color="auto"/>
        <w:bottom w:val="none" w:sz="0" w:space="0" w:color="auto"/>
        <w:right w:val="none" w:sz="0" w:space="0" w:color="auto"/>
      </w:divBdr>
    </w:div>
    <w:div w:id="517813505">
      <w:bodyDiv w:val="1"/>
      <w:marLeft w:val="0"/>
      <w:marRight w:val="0"/>
      <w:marTop w:val="0"/>
      <w:marBottom w:val="0"/>
      <w:divBdr>
        <w:top w:val="none" w:sz="0" w:space="0" w:color="auto"/>
        <w:left w:val="none" w:sz="0" w:space="0" w:color="auto"/>
        <w:bottom w:val="none" w:sz="0" w:space="0" w:color="auto"/>
        <w:right w:val="none" w:sz="0" w:space="0" w:color="auto"/>
      </w:divBdr>
    </w:div>
    <w:div w:id="541140978">
      <w:bodyDiv w:val="1"/>
      <w:marLeft w:val="0"/>
      <w:marRight w:val="0"/>
      <w:marTop w:val="0"/>
      <w:marBottom w:val="0"/>
      <w:divBdr>
        <w:top w:val="none" w:sz="0" w:space="0" w:color="auto"/>
        <w:left w:val="none" w:sz="0" w:space="0" w:color="auto"/>
        <w:bottom w:val="none" w:sz="0" w:space="0" w:color="auto"/>
        <w:right w:val="none" w:sz="0" w:space="0" w:color="auto"/>
      </w:divBdr>
    </w:div>
    <w:div w:id="561063857">
      <w:bodyDiv w:val="1"/>
      <w:marLeft w:val="0"/>
      <w:marRight w:val="0"/>
      <w:marTop w:val="0"/>
      <w:marBottom w:val="0"/>
      <w:divBdr>
        <w:top w:val="none" w:sz="0" w:space="0" w:color="auto"/>
        <w:left w:val="none" w:sz="0" w:space="0" w:color="auto"/>
        <w:bottom w:val="none" w:sz="0" w:space="0" w:color="auto"/>
        <w:right w:val="none" w:sz="0" w:space="0" w:color="auto"/>
      </w:divBdr>
    </w:div>
    <w:div w:id="564143077">
      <w:bodyDiv w:val="1"/>
      <w:marLeft w:val="0"/>
      <w:marRight w:val="0"/>
      <w:marTop w:val="0"/>
      <w:marBottom w:val="0"/>
      <w:divBdr>
        <w:top w:val="none" w:sz="0" w:space="0" w:color="auto"/>
        <w:left w:val="none" w:sz="0" w:space="0" w:color="auto"/>
        <w:bottom w:val="none" w:sz="0" w:space="0" w:color="auto"/>
        <w:right w:val="none" w:sz="0" w:space="0" w:color="auto"/>
      </w:divBdr>
    </w:div>
    <w:div w:id="568270217">
      <w:bodyDiv w:val="1"/>
      <w:marLeft w:val="0"/>
      <w:marRight w:val="0"/>
      <w:marTop w:val="0"/>
      <w:marBottom w:val="0"/>
      <w:divBdr>
        <w:top w:val="none" w:sz="0" w:space="0" w:color="auto"/>
        <w:left w:val="none" w:sz="0" w:space="0" w:color="auto"/>
        <w:bottom w:val="none" w:sz="0" w:space="0" w:color="auto"/>
        <w:right w:val="none" w:sz="0" w:space="0" w:color="auto"/>
      </w:divBdr>
    </w:div>
    <w:div w:id="574555729">
      <w:bodyDiv w:val="1"/>
      <w:marLeft w:val="0"/>
      <w:marRight w:val="0"/>
      <w:marTop w:val="0"/>
      <w:marBottom w:val="0"/>
      <w:divBdr>
        <w:top w:val="none" w:sz="0" w:space="0" w:color="auto"/>
        <w:left w:val="none" w:sz="0" w:space="0" w:color="auto"/>
        <w:bottom w:val="none" w:sz="0" w:space="0" w:color="auto"/>
        <w:right w:val="none" w:sz="0" w:space="0" w:color="auto"/>
      </w:divBdr>
    </w:div>
    <w:div w:id="587427415">
      <w:bodyDiv w:val="1"/>
      <w:marLeft w:val="0"/>
      <w:marRight w:val="0"/>
      <w:marTop w:val="0"/>
      <w:marBottom w:val="0"/>
      <w:divBdr>
        <w:top w:val="none" w:sz="0" w:space="0" w:color="auto"/>
        <w:left w:val="none" w:sz="0" w:space="0" w:color="auto"/>
        <w:bottom w:val="none" w:sz="0" w:space="0" w:color="auto"/>
        <w:right w:val="none" w:sz="0" w:space="0" w:color="auto"/>
      </w:divBdr>
    </w:div>
    <w:div w:id="642196127">
      <w:bodyDiv w:val="1"/>
      <w:marLeft w:val="0"/>
      <w:marRight w:val="0"/>
      <w:marTop w:val="0"/>
      <w:marBottom w:val="0"/>
      <w:divBdr>
        <w:top w:val="none" w:sz="0" w:space="0" w:color="auto"/>
        <w:left w:val="none" w:sz="0" w:space="0" w:color="auto"/>
        <w:bottom w:val="none" w:sz="0" w:space="0" w:color="auto"/>
        <w:right w:val="none" w:sz="0" w:space="0" w:color="auto"/>
      </w:divBdr>
      <w:divsChild>
        <w:div w:id="479930171">
          <w:marLeft w:val="0"/>
          <w:marRight w:val="0"/>
          <w:marTop w:val="0"/>
          <w:marBottom w:val="0"/>
          <w:divBdr>
            <w:top w:val="none" w:sz="0" w:space="0" w:color="auto"/>
            <w:left w:val="none" w:sz="0" w:space="0" w:color="auto"/>
            <w:bottom w:val="none" w:sz="0" w:space="0" w:color="auto"/>
            <w:right w:val="none" w:sz="0" w:space="0" w:color="auto"/>
          </w:divBdr>
          <w:divsChild>
            <w:div w:id="1177429516">
              <w:marLeft w:val="0"/>
              <w:marRight w:val="0"/>
              <w:marTop w:val="0"/>
              <w:marBottom w:val="0"/>
              <w:divBdr>
                <w:top w:val="none" w:sz="0" w:space="0" w:color="auto"/>
                <w:left w:val="none" w:sz="0" w:space="0" w:color="auto"/>
                <w:bottom w:val="none" w:sz="0" w:space="0" w:color="auto"/>
                <w:right w:val="none" w:sz="0" w:space="0" w:color="auto"/>
              </w:divBdr>
              <w:divsChild>
                <w:div w:id="1441947273">
                  <w:marLeft w:val="0"/>
                  <w:marRight w:val="0"/>
                  <w:marTop w:val="0"/>
                  <w:marBottom w:val="0"/>
                  <w:divBdr>
                    <w:top w:val="none" w:sz="0" w:space="0" w:color="auto"/>
                    <w:left w:val="none" w:sz="0" w:space="0" w:color="auto"/>
                    <w:bottom w:val="none" w:sz="0" w:space="0" w:color="auto"/>
                    <w:right w:val="none" w:sz="0" w:space="0" w:color="auto"/>
                  </w:divBdr>
                  <w:divsChild>
                    <w:div w:id="260333770">
                      <w:marLeft w:val="0"/>
                      <w:marRight w:val="0"/>
                      <w:marTop w:val="0"/>
                      <w:marBottom w:val="0"/>
                      <w:divBdr>
                        <w:top w:val="none" w:sz="0" w:space="0" w:color="auto"/>
                        <w:left w:val="none" w:sz="0" w:space="0" w:color="auto"/>
                        <w:bottom w:val="none" w:sz="0" w:space="0" w:color="auto"/>
                        <w:right w:val="none" w:sz="0" w:space="0" w:color="auto"/>
                      </w:divBdr>
                      <w:divsChild>
                        <w:div w:id="554511730">
                          <w:marLeft w:val="0"/>
                          <w:marRight w:val="0"/>
                          <w:marTop w:val="0"/>
                          <w:marBottom w:val="0"/>
                          <w:divBdr>
                            <w:top w:val="none" w:sz="0" w:space="0" w:color="auto"/>
                            <w:left w:val="none" w:sz="0" w:space="0" w:color="auto"/>
                            <w:bottom w:val="none" w:sz="0" w:space="0" w:color="auto"/>
                            <w:right w:val="single" w:sz="6" w:space="10" w:color="E5E5E5"/>
                          </w:divBdr>
                          <w:divsChild>
                            <w:div w:id="10453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8601">
      <w:bodyDiv w:val="1"/>
      <w:marLeft w:val="0"/>
      <w:marRight w:val="0"/>
      <w:marTop w:val="0"/>
      <w:marBottom w:val="0"/>
      <w:divBdr>
        <w:top w:val="none" w:sz="0" w:space="0" w:color="auto"/>
        <w:left w:val="none" w:sz="0" w:space="0" w:color="auto"/>
        <w:bottom w:val="none" w:sz="0" w:space="0" w:color="auto"/>
        <w:right w:val="none" w:sz="0" w:space="0" w:color="auto"/>
      </w:divBdr>
    </w:div>
    <w:div w:id="655303459">
      <w:bodyDiv w:val="1"/>
      <w:marLeft w:val="0"/>
      <w:marRight w:val="0"/>
      <w:marTop w:val="0"/>
      <w:marBottom w:val="0"/>
      <w:divBdr>
        <w:top w:val="none" w:sz="0" w:space="0" w:color="auto"/>
        <w:left w:val="none" w:sz="0" w:space="0" w:color="auto"/>
        <w:bottom w:val="none" w:sz="0" w:space="0" w:color="auto"/>
        <w:right w:val="none" w:sz="0" w:space="0" w:color="auto"/>
      </w:divBdr>
    </w:div>
    <w:div w:id="662315981">
      <w:bodyDiv w:val="1"/>
      <w:marLeft w:val="0"/>
      <w:marRight w:val="0"/>
      <w:marTop w:val="0"/>
      <w:marBottom w:val="0"/>
      <w:divBdr>
        <w:top w:val="none" w:sz="0" w:space="0" w:color="auto"/>
        <w:left w:val="none" w:sz="0" w:space="0" w:color="auto"/>
        <w:bottom w:val="none" w:sz="0" w:space="0" w:color="auto"/>
        <w:right w:val="none" w:sz="0" w:space="0" w:color="auto"/>
      </w:divBdr>
    </w:div>
    <w:div w:id="676730510">
      <w:bodyDiv w:val="1"/>
      <w:marLeft w:val="0"/>
      <w:marRight w:val="0"/>
      <w:marTop w:val="0"/>
      <w:marBottom w:val="0"/>
      <w:divBdr>
        <w:top w:val="none" w:sz="0" w:space="0" w:color="auto"/>
        <w:left w:val="none" w:sz="0" w:space="0" w:color="auto"/>
        <w:bottom w:val="none" w:sz="0" w:space="0" w:color="auto"/>
        <w:right w:val="none" w:sz="0" w:space="0" w:color="auto"/>
      </w:divBdr>
    </w:div>
    <w:div w:id="687758801">
      <w:bodyDiv w:val="1"/>
      <w:marLeft w:val="0"/>
      <w:marRight w:val="0"/>
      <w:marTop w:val="0"/>
      <w:marBottom w:val="0"/>
      <w:divBdr>
        <w:top w:val="none" w:sz="0" w:space="0" w:color="auto"/>
        <w:left w:val="none" w:sz="0" w:space="0" w:color="auto"/>
        <w:bottom w:val="none" w:sz="0" w:space="0" w:color="auto"/>
        <w:right w:val="none" w:sz="0" w:space="0" w:color="auto"/>
      </w:divBdr>
    </w:div>
    <w:div w:id="700668157">
      <w:bodyDiv w:val="1"/>
      <w:marLeft w:val="0"/>
      <w:marRight w:val="0"/>
      <w:marTop w:val="0"/>
      <w:marBottom w:val="0"/>
      <w:divBdr>
        <w:top w:val="none" w:sz="0" w:space="0" w:color="auto"/>
        <w:left w:val="none" w:sz="0" w:space="0" w:color="auto"/>
        <w:bottom w:val="none" w:sz="0" w:space="0" w:color="auto"/>
        <w:right w:val="none" w:sz="0" w:space="0" w:color="auto"/>
      </w:divBdr>
    </w:div>
    <w:div w:id="701243514">
      <w:bodyDiv w:val="1"/>
      <w:marLeft w:val="0"/>
      <w:marRight w:val="0"/>
      <w:marTop w:val="0"/>
      <w:marBottom w:val="0"/>
      <w:divBdr>
        <w:top w:val="none" w:sz="0" w:space="0" w:color="auto"/>
        <w:left w:val="none" w:sz="0" w:space="0" w:color="auto"/>
        <w:bottom w:val="none" w:sz="0" w:space="0" w:color="auto"/>
        <w:right w:val="none" w:sz="0" w:space="0" w:color="auto"/>
      </w:divBdr>
    </w:div>
    <w:div w:id="705133855">
      <w:bodyDiv w:val="1"/>
      <w:marLeft w:val="0"/>
      <w:marRight w:val="0"/>
      <w:marTop w:val="0"/>
      <w:marBottom w:val="0"/>
      <w:divBdr>
        <w:top w:val="none" w:sz="0" w:space="0" w:color="auto"/>
        <w:left w:val="none" w:sz="0" w:space="0" w:color="auto"/>
        <w:bottom w:val="none" w:sz="0" w:space="0" w:color="auto"/>
        <w:right w:val="none" w:sz="0" w:space="0" w:color="auto"/>
      </w:divBdr>
      <w:divsChild>
        <w:div w:id="919021715">
          <w:marLeft w:val="0"/>
          <w:marRight w:val="0"/>
          <w:marTop w:val="0"/>
          <w:marBottom w:val="0"/>
          <w:divBdr>
            <w:top w:val="none" w:sz="0" w:space="0" w:color="auto"/>
            <w:left w:val="none" w:sz="0" w:space="0" w:color="auto"/>
            <w:bottom w:val="none" w:sz="0" w:space="0" w:color="auto"/>
            <w:right w:val="none" w:sz="0" w:space="0" w:color="auto"/>
          </w:divBdr>
          <w:divsChild>
            <w:div w:id="970399864">
              <w:marLeft w:val="0"/>
              <w:marRight w:val="0"/>
              <w:marTop w:val="0"/>
              <w:marBottom w:val="0"/>
              <w:divBdr>
                <w:top w:val="none" w:sz="0" w:space="0" w:color="auto"/>
                <w:left w:val="none" w:sz="0" w:space="0" w:color="auto"/>
                <w:bottom w:val="none" w:sz="0" w:space="0" w:color="auto"/>
                <w:right w:val="none" w:sz="0" w:space="0" w:color="auto"/>
              </w:divBdr>
              <w:divsChild>
                <w:div w:id="1546793735">
                  <w:marLeft w:val="0"/>
                  <w:marRight w:val="0"/>
                  <w:marTop w:val="0"/>
                  <w:marBottom w:val="0"/>
                  <w:divBdr>
                    <w:top w:val="none" w:sz="0" w:space="0" w:color="auto"/>
                    <w:left w:val="none" w:sz="0" w:space="0" w:color="auto"/>
                    <w:bottom w:val="none" w:sz="0" w:space="0" w:color="auto"/>
                    <w:right w:val="none" w:sz="0" w:space="0" w:color="auto"/>
                  </w:divBdr>
                  <w:divsChild>
                    <w:div w:id="1193376302">
                      <w:marLeft w:val="0"/>
                      <w:marRight w:val="0"/>
                      <w:marTop w:val="0"/>
                      <w:marBottom w:val="0"/>
                      <w:divBdr>
                        <w:top w:val="none" w:sz="0" w:space="0" w:color="auto"/>
                        <w:left w:val="none" w:sz="0" w:space="0" w:color="auto"/>
                        <w:bottom w:val="none" w:sz="0" w:space="0" w:color="auto"/>
                        <w:right w:val="none" w:sz="0" w:space="0" w:color="auto"/>
                      </w:divBdr>
                      <w:divsChild>
                        <w:div w:id="1725907841">
                          <w:marLeft w:val="0"/>
                          <w:marRight w:val="0"/>
                          <w:marTop w:val="0"/>
                          <w:marBottom w:val="0"/>
                          <w:divBdr>
                            <w:top w:val="none" w:sz="0" w:space="0" w:color="auto"/>
                            <w:left w:val="none" w:sz="0" w:space="0" w:color="auto"/>
                            <w:bottom w:val="none" w:sz="0" w:space="0" w:color="auto"/>
                            <w:right w:val="single" w:sz="6" w:space="10" w:color="E5E5E5"/>
                          </w:divBdr>
                          <w:divsChild>
                            <w:div w:id="7222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5008">
      <w:bodyDiv w:val="1"/>
      <w:marLeft w:val="0"/>
      <w:marRight w:val="0"/>
      <w:marTop w:val="0"/>
      <w:marBottom w:val="0"/>
      <w:divBdr>
        <w:top w:val="none" w:sz="0" w:space="0" w:color="auto"/>
        <w:left w:val="none" w:sz="0" w:space="0" w:color="auto"/>
        <w:bottom w:val="none" w:sz="0" w:space="0" w:color="auto"/>
        <w:right w:val="none" w:sz="0" w:space="0" w:color="auto"/>
      </w:divBdr>
    </w:div>
    <w:div w:id="723991086">
      <w:bodyDiv w:val="1"/>
      <w:marLeft w:val="0"/>
      <w:marRight w:val="0"/>
      <w:marTop w:val="0"/>
      <w:marBottom w:val="0"/>
      <w:divBdr>
        <w:top w:val="none" w:sz="0" w:space="0" w:color="auto"/>
        <w:left w:val="none" w:sz="0" w:space="0" w:color="auto"/>
        <w:bottom w:val="none" w:sz="0" w:space="0" w:color="auto"/>
        <w:right w:val="none" w:sz="0" w:space="0" w:color="auto"/>
      </w:divBdr>
    </w:div>
    <w:div w:id="733427441">
      <w:bodyDiv w:val="1"/>
      <w:marLeft w:val="0"/>
      <w:marRight w:val="0"/>
      <w:marTop w:val="0"/>
      <w:marBottom w:val="0"/>
      <w:divBdr>
        <w:top w:val="none" w:sz="0" w:space="0" w:color="auto"/>
        <w:left w:val="none" w:sz="0" w:space="0" w:color="auto"/>
        <w:bottom w:val="none" w:sz="0" w:space="0" w:color="auto"/>
        <w:right w:val="none" w:sz="0" w:space="0" w:color="auto"/>
      </w:divBdr>
    </w:div>
    <w:div w:id="746003902">
      <w:bodyDiv w:val="1"/>
      <w:marLeft w:val="0"/>
      <w:marRight w:val="0"/>
      <w:marTop w:val="0"/>
      <w:marBottom w:val="0"/>
      <w:divBdr>
        <w:top w:val="none" w:sz="0" w:space="0" w:color="auto"/>
        <w:left w:val="none" w:sz="0" w:space="0" w:color="auto"/>
        <w:bottom w:val="none" w:sz="0" w:space="0" w:color="auto"/>
        <w:right w:val="none" w:sz="0" w:space="0" w:color="auto"/>
      </w:divBdr>
    </w:div>
    <w:div w:id="747073807">
      <w:bodyDiv w:val="1"/>
      <w:marLeft w:val="0"/>
      <w:marRight w:val="0"/>
      <w:marTop w:val="0"/>
      <w:marBottom w:val="0"/>
      <w:divBdr>
        <w:top w:val="none" w:sz="0" w:space="0" w:color="auto"/>
        <w:left w:val="none" w:sz="0" w:space="0" w:color="auto"/>
        <w:bottom w:val="none" w:sz="0" w:space="0" w:color="auto"/>
        <w:right w:val="none" w:sz="0" w:space="0" w:color="auto"/>
      </w:divBdr>
    </w:div>
    <w:div w:id="765075056">
      <w:bodyDiv w:val="1"/>
      <w:marLeft w:val="0"/>
      <w:marRight w:val="0"/>
      <w:marTop w:val="0"/>
      <w:marBottom w:val="0"/>
      <w:divBdr>
        <w:top w:val="none" w:sz="0" w:space="0" w:color="auto"/>
        <w:left w:val="none" w:sz="0" w:space="0" w:color="auto"/>
        <w:bottom w:val="none" w:sz="0" w:space="0" w:color="auto"/>
        <w:right w:val="none" w:sz="0" w:space="0" w:color="auto"/>
      </w:divBdr>
    </w:div>
    <w:div w:id="820316093">
      <w:bodyDiv w:val="1"/>
      <w:marLeft w:val="0"/>
      <w:marRight w:val="0"/>
      <w:marTop w:val="0"/>
      <w:marBottom w:val="0"/>
      <w:divBdr>
        <w:top w:val="none" w:sz="0" w:space="0" w:color="auto"/>
        <w:left w:val="none" w:sz="0" w:space="0" w:color="auto"/>
        <w:bottom w:val="none" w:sz="0" w:space="0" w:color="auto"/>
        <w:right w:val="none" w:sz="0" w:space="0" w:color="auto"/>
      </w:divBdr>
    </w:div>
    <w:div w:id="831019791">
      <w:bodyDiv w:val="1"/>
      <w:marLeft w:val="0"/>
      <w:marRight w:val="0"/>
      <w:marTop w:val="0"/>
      <w:marBottom w:val="0"/>
      <w:divBdr>
        <w:top w:val="none" w:sz="0" w:space="0" w:color="auto"/>
        <w:left w:val="none" w:sz="0" w:space="0" w:color="auto"/>
        <w:bottom w:val="none" w:sz="0" w:space="0" w:color="auto"/>
        <w:right w:val="none" w:sz="0" w:space="0" w:color="auto"/>
      </w:divBdr>
    </w:div>
    <w:div w:id="849415395">
      <w:bodyDiv w:val="1"/>
      <w:marLeft w:val="0"/>
      <w:marRight w:val="0"/>
      <w:marTop w:val="0"/>
      <w:marBottom w:val="0"/>
      <w:divBdr>
        <w:top w:val="none" w:sz="0" w:space="0" w:color="auto"/>
        <w:left w:val="none" w:sz="0" w:space="0" w:color="auto"/>
        <w:bottom w:val="none" w:sz="0" w:space="0" w:color="auto"/>
        <w:right w:val="none" w:sz="0" w:space="0" w:color="auto"/>
      </w:divBdr>
    </w:div>
    <w:div w:id="851992139">
      <w:bodyDiv w:val="1"/>
      <w:marLeft w:val="0"/>
      <w:marRight w:val="0"/>
      <w:marTop w:val="0"/>
      <w:marBottom w:val="0"/>
      <w:divBdr>
        <w:top w:val="none" w:sz="0" w:space="0" w:color="auto"/>
        <w:left w:val="none" w:sz="0" w:space="0" w:color="auto"/>
        <w:bottom w:val="none" w:sz="0" w:space="0" w:color="auto"/>
        <w:right w:val="none" w:sz="0" w:space="0" w:color="auto"/>
      </w:divBdr>
    </w:div>
    <w:div w:id="862013368">
      <w:bodyDiv w:val="1"/>
      <w:marLeft w:val="0"/>
      <w:marRight w:val="0"/>
      <w:marTop w:val="0"/>
      <w:marBottom w:val="0"/>
      <w:divBdr>
        <w:top w:val="none" w:sz="0" w:space="0" w:color="auto"/>
        <w:left w:val="none" w:sz="0" w:space="0" w:color="auto"/>
        <w:bottom w:val="none" w:sz="0" w:space="0" w:color="auto"/>
        <w:right w:val="none" w:sz="0" w:space="0" w:color="auto"/>
      </w:divBdr>
    </w:div>
    <w:div w:id="872115149">
      <w:bodyDiv w:val="1"/>
      <w:marLeft w:val="0"/>
      <w:marRight w:val="0"/>
      <w:marTop w:val="0"/>
      <w:marBottom w:val="0"/>
      <w:divBdr>
        <w:top w:val="none" w:sz="0" w:space="0" w:color="auto"/>
        <w:left w:val="none" w:sz="0" w:space="0" w:color="auto"/>
        <w:bottom w:val="none" w:sz="0" w:space="0" w:color="auto"/>
        <w:right w:val="none" w:sz="0" w:space="0" w:color="auto"/>
      </w:divBdr>
    </w:div>
    <w:div w:id="905602305">
      <w:bodyDiv w:val="1"/>
      <w:marLeft w:val="0"/>
      <w:marRight w:val="0"/>
      <w:marTop w:val="0"/>
      <w:marBottom w:val="0"/>
      <w:divBdr>
        <w:top w:val="none" w:sz="0" w:space="0" w:color="auto"/>
        <w:left w:val="none" w:sz="0" w:space="0" w:color="auto"/>
        <w:bottom w:val="none" w:sz="0" w:space="0" w:color="auto"/>
        <w:right w:val="none" w:sz="0" w:space="0" w:color="auto"/>
      </w:divBdr>
    </w:div>
    <w:div w:id="911282190">
      <w:bodyDiv w:val="1"/>
      <w:marLeft w:val="0"/>
      <w:marRight w:val="0"/>
      <w:marTop w:val="0"/>
      <w:marBottom w:val="0"/>
      <w:divBdr>
        <w:top w:val="none" w:sz="0" w:space="0" w:color="auto"/>
        <w:left w:val="none" w:sz="0" w:space="0" w:color="auto"/>
        <w:bottom w:val="none" w:sz="0" w:space="0" w:color="auto"/>
        <w:right w:val="none" w:sz="0" w:space="0" w:color="auto"/>
      </w:divBdr>
    </w:div>
    <w:div w:id="921138325">
      <w:bodyDiv w:val="1"/>
      <w:marLeft w:val="0"/>
      <w:marRight w:val="0"/>
      <w:marTop w:val="0"/>
      <w:marBottom w:val="0"/>
      <w:divBdr>
        <w:top w:val="none" w:sz="0" w:space="0" w:color="auto"/>
        <w:left w:val="none" w:sz="0" w:space="0" w:color="auto"/>
        <w:bottom w:val="none" w:sz="0" w:space="0" w:color="auto"/>
        <w:right w:val="none" w:sz="0" w:space="0" w:color="auto"/>
      </w:divBdr>
    </w:div>
    <w:div w:id="922563759">
      <w:bodyDiv w:val="1"/>
      <w:marLeft w:val="0"/>
      <w:marRight w:val="0"/>
      <w:marTop w:val="0"/>
      <w:marBottom w:val="0"/>
      <w:divBdr>
        <w:top w:val="none" w:sz="0" w:space="0" w:color="auto"/>
        <w:left w:val="none" w:sz="0" w:space="0" w:color="auto"/>
        <w:bottom w:val="none" w:sz="0" w:space="0" w:color="auto"/>
        <w:right w:val="none" w:sz="0" w:space="0" w:color="auto"/>
      </w:divBdr>
    </w:div>
    <w:div w:id="922684271">
      <w:bodyDiv w:val="1"/>
      <w:marLeft w:val="0"/>
      <w:marRight w:val="0"/>
      <w:marTop w:val="0"/>
      <w:marBottom w:val="0"/>
      <w:divBdr>
        <w:top w:val="none" w:sz="0" w:space="0" w:color="auto"/>
        <w:left w:val="none" w:sz="0" w:space="0" w:color="auto"/>
        <w:bottom w:val="none" w:sz="0" w:space="0" w:color="auto"/>
        <w:right w:val="none" w:sz="0" w:space="0" w:color="auto"/>
      </w:divBdr>
    </w:div>
    <w:div w:id="937248048">
      <w:bodyDiv w:val="1"/>
      <w:marLeft w:val="0"/>
      <w:marRight w:val="0"/>
      <w:marTop w:val="0"/>
      <w:marBottom w:val="0"/>
      <w:divBdr>
        <w:top w:val="none" w:sz="0" w:space="0" w:color="auto"/>
        <w:left w:val="none" w:sz="0" w:space="0" w:color="auto"/>
        <w:bottom w:val="none" w:sz="0" w:space="0" w:color="auto"/>
        <w:right w:val="none" w:sz="0" w:space="0" w:color="auto"/>
      </w:divBdr>
    </w:div>
    <w:div w:id="974914176">
      <w:bodyDiv w:val="1"/>
      <w:marLeft w:val="0"/>
      <w:marRight w:val="0"/>
      <w:marTop w:val="0"/>
      <w:marBottom w:val="0"/>
      <w:divBdr>
        <w:top w:val="none" w:sz="0" w:space="0" w:color="auto"/>
        <w:left w:val="none" w:sz="0" w:space="0" w:color="auto"/>
        <w:bottom w:val="none" w:sz="0" w:space="0" w:color="auto"/>
        <w:right w:val="none" w:sz="0" w:space="0" w:color="auto"/>
      </w:divBdr>
    </w:div>
    <w:div w:id="995383097">
      <w:bodyDiv w:val="1"/>
      <w:marLeft w:val="0"/>
      <w:marRight w:val="0"/>
      <w:marTop w:val="0"/>
      <w:marBottom w:val="0"/>
      <w:divBdr>
        <w:top w:val="none" w:sz="0" w:space="0" w:color="auto"/>
        <w:left w:val="none" w:sz="0" w:space="0" w:color="auto"/>
        <w:bottom w:val="none" w:sz="0" w:space="0" w:color="auto"/>
        <w:right w:val="none" w:sz="0" w:space="0" w:color="auto"/>
      </w:divBdr>
    </w:div>
    <w:div w:id="1040205607">
      <w:bodyDiv w:val="1"/>
      <w:marLeft w:val="0"/>
      <w:marRight w:val="0"/>
      <w:marTop w:val="0"/>
      <w:marBottom w:val="0"/>
      <w:divBdr>
        <w:top w:val="none" w:sz="0" w:space="0" w:color="auto"/>
        <w:left w:val="none" w:sz="0" w:space="0" w:color="auto"/>
        <w:bottom w:val="none" w:sz="0" w:space="0" w:color="auto"/>
        <w:right w:val="none" w:sz="0" w:space="0" w:color="auto"/>
      </w:divBdr>
    </w:div>
    <w:div w:id="1044713666">
      <w:bodyDiv w:val="1"/>
      <w:marLeft w:val="0"/>
      <w:marRight w:val="0"/>
      <w:marTop w:val="0"/>
      <w:marBottom w:val="0"/>
      <w:divBdr>
        <w:top w:val="none" w:sz="0" w:space="0" w:color="auto"/>
        <w:left w:val="none" w:sz="0" w:space="0" w:color="auto"/>
        <w:bottom w:val="none" w:sz="0" w:space="0" w:color="auto"/>
        <w:right w:val="none" w:sz="0" w:space="0" w:color="auto"/>
      </w:divBdr>
    </w:div>
    <w:div w:id="1047216772">
      <w:bodyDiv w:val="1"/>
      <w:marLeft w:val="0"/>
      <w:marRight w:val="0"/>
      <w:marTop w:val="0"/>
      <w:marBottom w:val="0"/>
      <w:divBdr>
        <w:top w:val="none" w:sz="0" w:space="0" w:color="auto"/>
        <w:left w:val="none" w:sz="0" w:space="0" w:color="auto"/>
        <w:bottom w:val="none" w:sz="0" w:space="0" w:color="auto"/>
        <w:right w:val="none" w:sz="0" w:space="0" w:color="auto"/>
      </w:divBdr>
    </w:div>
    <w:div w:id="1048182797">
      <w:bodyDiv w:val="1"/>
      <w:marLeft w:val="0"/>
      <w:marRight w:val="0"/>
      <w:marTop w:val="0"/>
      <w:marBottom w:val="0"/>
      <w:divBdr>
        <w:top w:val="none" w:sz="0" w:space="0" w:color="auto"/>
        <w:left w:val="none" w:sz="0" w:space="0" w:color="auto"/>
        <w:bottom w:val="none" w:sz="0" w:space="0" w:color="auto"/>
        <w:right w:val="none" w:sz="0" w:space="0" w:color="auto"/>
      </w:divBdr>
    </w:div>
    <w:div w:id="1062101129">
      <w:bodyDiv w:val="1"/>
      <w:marLeft w:val="0"/>
      <w:marRight w:val="0"/>
      <w:marTop w:val="0"/>
      <w:marBottom w:val="0"/>
      <w:divBdr>
        <w:top w:val="none" w:sz="0" w:space="0" w:color="auto"/>
        <w:left w:val="none" w:sz="0" w:space="0" w:color="auto"/>
        <w:bottom w:val="none" w:sz="0" w:space="0" w:color="auto"/>
        <w:right w:val="none" w:sz="0" w:space="0" w:color="auto"/>
      </w:divBdr>
    </w:div>
    <w:div w:id="1068383670">
      <w:bodyDiv w:val="1"/>
      <w:marLeft w:val="0"/>
      <w:marRight w:val="0"/>
      <w:marTop w:val="0"/>
      <w:marBottom w:val="0"/>
      <w:divBdr>
        <w:top w:val="none" w:sz="0" w:space="0" w:color="auto"/>
        <w:left w:val="none" w:sz="0" w:space="0" w:color="auto"/>
        <w:bottom w:val="none" w:sz="0" w:space="0" w:color="auto"/>
        <w:right w:val="none" w:sz="0" w:space="0" w:color="auto"/>
      </w:divBdr>
    </w:div>
    <w:div w:id="1101756068">
      <w:bodyDiv w:val="1"/>
      <w:marLeft w:val="0"/>
      <w:marRight w:val="0"/>
      <w:marTop w:val="0"/>
      <w:marBottom w:val="0"/>
      <w:divBdr>
        <w:top w:val="none" w:sz="0" w:space="0" w:color="auto"/>
        <w:left w:val="none" w:sz="0" w:space="0" w:color="auto"/>
        <w:bottom w:val="none" w:sz="0" w:space="0" w:color="auto"/>
        <w:right w:val="none" w:sz="0" w:space="0" w:color="auto"/>
      </w:divBdr>
    </w:div>
    <w:div w:id="1109935308">
      <w:bodyDiv w:val="1"/>
      <w:marLeft w:val="0"/>
      <w:marRight w:val="0"/>
      <w:marTop w:val="0"/>
      <w:marBottom w:val="0"/>
      <w:divBdr>
        <w:top w:val="none" w:sz="0" w:space="0" w:color="auto"/>
        <w:left w:val="none" w:sz="0" w:space="0" w:color="auto"/>
        <w:bottom w:val="none" w:sz="0" w:space="0" w:color="auto"/>
        <w:right w:val="none" w:sz="0" w:space="0" w:color="auto"/>
      </w:divBdr>
    </w:div>
    <w:div w:id="1119374808">
      <w:bodyDiv w:val="1"/>
      <w:marLeft w:val="0"/>
      <w:marRight w:val="0"/>
      <w:marTop w:val="0"/>
      <w:marBottom w:val="0"/>
      <w:divBdr>
        <w:top w:val="none" w:sz="0" w:space="0" w:color="auto"/>
        <w:left w:val="none" w:sz="0" w:space="0" w:color="auto"/>
        <w:bottom w:val="none" w:sz="0" w:space="0" w:color="auto"/>
        <w:right w:val="none" w:sz="0" w:space="0" w:color="auto"/>
      </w:divBdr>
    </w:div>
    <w:div w:id="1143616109">
      <w:bodyDiv w:val="1"/>
      <w:marLeft w:val="0"/>
      <w:marRight w:val="0"/>
      <w:marTop w:val="0"/>
      <w:marBottom w:val="0"/>
      <w:divBdr>
        <w:top w:val="none" w:sz="0" w:space="0" w:color="auto"/>
        <w:left w:val="none" w:sz="0" w:space="0" w:color="auto"/>
        <w:bottom w:val="none" w:sz="0" w:space="0" w:color="auto"/>
        <w:right w:val="none" w:sz="0" w:space="0" w:color="auto"/>
      </w:divBdr>
    </w:div>
    <w:div w:id="1168056396">
      <w:bodyDiv w:val="1"/>
      <w:marLeft w:val="0"/>
      <w:marRight w:val="0"/>
      <w:marTop w:val="0"/>
      <w:marBottom w:val="0"/>
      <w:divBdr>
        <w:top w:val="none" w:sz="0" w:space="0" w:color="auto"/>
        <w:left w:val="none" w:sz="0" w:space="0" w:color="auto"/>
        <w:bottom w:val="none" w:sz="0" w:space="0" w:color="auto"/>
        <w:right w:val="none" w:sz="0" w:space="0" w:color="auto"/>
      </w:divBdr>
    </w:div>
    <w:div w:id="1201942141">
      <w:bodyDiv w:val="1"/>
      <w:marLeft w:val="0"/>
      <w:marRight w:val="0"/>
      <w:marTop w:val="0"/>
      <w:marBottom w:val="0"/>
      <w:divBdr>
        <w:top w:val="none" w:sz="0" w:space="0" w:color="auto"/>
        <w:left w:val="none" w:sz="0" w:space="0" w:color="auto"/>
        <w:bottom w:val="none" w:sz="0" w:space="0" w:color="auto"/>
        <w:right w:val="none" w:sz="0" w:space="0" w:color="auto"/>
      </w:divBdr>
    </w:div>
    <w:div w:id="1213417793">
      <w:bodyDiv w:val="1"/>
      <w:marLeft w:val="0"/>
      <w:marRight w:val="0"/>
      <w:marTop w:val="0"/>
      <w:marBottom w:val="0"/>
      <w:divBdr>
        <w:top w:val="none" w:sz="0" w:space="0" w:color="auto"/>
        <w:left w:val="none" w:sz="0" w:space="0" w:color="auto"/>
        <w:bottom w:val="none" w:sz="0" w:space="0" w:color="auto"/>
        <w:right w:val="none" w:sz="0" w:space="0" w:color="auto"/>
      </w:divBdr>
    </w:div>
    <w:div w:id="1231035035">
      <w:bodyDiv w:val="1"/>
      <w:marLeft w:val="0"/>
      <w:marRight w:val="0"/>
      <w:marTop w:val="0"/>
      <w:marBottom w:val="0"/>
      <w:divBdr>
        <w:top w:val="none" w:sz="0" w:space="0" w:color="auto"/>
        <w:left w:val="none" w:sz="0" w:space="0" w:color="auto"/>
        <w:bottom w:val="none" w:sz="0" w:space="0" w:color="auto"/>
        <w:right w:val="none" w:sz="0" w:space="0" w:color="auto"/>
      </w:divBdr>
    </w:div>
    <w:div w:id="1243490197">
      <w:bodyDiv w:val="1"/>
      <w:marLeft w:val="0"/>
      <w:marRight w:val="0"/>
      <w:marTop w:val="0"/>
      <w:marBottom w:val="0"/>
      <w:divBdr>
        <w:top w:val="none" w:sz="0" w:space="0" w:color="auto"/>
        <w:left w:val="none" w:sz="0" w:space="0" w:color="auto"/>
        <w:bottom w:val="none" w:sz="0" w:space="0" w:color="auto"/>
        <w:right w:val="none" w:sz="0" w:space="0" w:color="auto"/>
      </w:divBdr>
    </w:div>
    <w:div w:id="1254508365">
      <w:bodyDiv w:val="1"/>
      <w:marLeft w:val="0"/>
      <w:marRight w:val="0"/>
      <w:marTop w:val="0"/>
      <w:marBottom w:val="0"/>
      <w:divBdr>
        <w:top w:val="none" w:sz="0" w:space="0" w:color="auto"/>
        <w:left w:val="none" w:sz="0" w:space="0" w:color="auto"/>
        <w:bottom w:val="none" w:sz="0" w:space="0" w:color="auto"/>
        <w:right w:val="none" w:sz="0" w:space="0" w:color="auto"/>
      </w:divBdr>
    </w:div>
    <w:div w:id="1273633337">
      <w:bodyDiv w:val="1"/>
      <w:marLeft w:val="0"/>
      <w:marRight w:val="0"/>
      <w:marTop w:val="0"/>
      <w:marBottom w:val="0"/>
      <w:divBdr>
        <w:top w:val="none" w:sz="0" w:space="0" w:color="auto"/>
        <w:left w:val="none" w:sz="0" w:space="0" w:color="auto"/>
        <w:bottom w:val="none" w:sz="0" w:space="0" w:color="auto"/>
        <w:right w:val="none" w:sz="0" w:space="0" w:color="auto"/>
      </w:divBdr>
    </w:div>
    <w:div w:id="1274291466">
      <w:bodyDiv w:val="1"/>
      <w:marLeft w:val="0"/>
      <w:marRight w:val="0"/>
      <w:marTop w:val="0"/>
      <w:marBottom w:val="0"/>
      <w:divBdr>
        <w:top w:val="none" w:sz="0" w:space="0" w:color="auto"/>
        <w:left w:val="none" w:sz="0" w:space="0" w:color="auto"/>
        <w:bottom w:val="none" w:sz="0" w:space="0" w:color="auto"/>
        <w:right w:val="none" w:sz="0" w:space="0" w:color="auto"/>
      </w:divBdr>
    </w:div>
    <w:div w:id="1278097556">
      <w:bodyDiv w:val="1"/>
      <w:marLeft w:val="0"/>
      <w:marRight w:val="0"/>
      <w:marTop w:val="0"/>
      <w:marBottom w:val="0"/>
      <w:divBdr>
        <w:top w:val="none" w:sz="0" w:space="0" w:color="auto"/>
        <w:left w:val="none" w:sz="0" w:space="0" w:color="auto"/>
        <w:bottom w:val="none" w:sz="0" w:space="0" w:color="auto"/>
        <w:right w:val="none" w:sz="0" w:space="0" w:color="auto"/>
      </w:divBdr>
    </w:div>
    <w:div w:id="1282760090">
      <w:bodyDiv w:val="1"/>
      <w:marLeft w:val="0"/>
      <w:marRight w:val="0"/>
      <w:marTop w:val="0"/>
      <w:marBottom w:val="0"/>
      <w:divBdr>
        <w:top w:val="none" w:sz="0" w:space="0" w:color="auto"/>
        <w:left w:val="none" w:sz="0" w:space="0" w:color="auto"/>
        <w:bottom w:val="none" w:sz="0" w:space="0" w:color="auto"/>
        <w:right w:val="none" w:sz="0" w:space="0" w:color="auto"/>
      </w:divBdr>
    </w:div>
    <w:div w:id="1283026995">
      <w:bodyDiv w:val="1"/>
      <w:marLeft w:val="0"/>
      <w:marRight w:val="0"/>
      <w:marTop w:val="0"/>
      <w:marBottom w:val="0"/>
      <w:divBdr>
        <w:top w:val="none" w:sz="0" w:space="0" w:color="auto"/>
        <w:left w:val="none" w:sz="0" w:space="0" w:color="auto"/>
        <w:bottom w:val="none" w:sz="0" w:space="0" w:color="auto"/>
        <w:right w:val="none" w:sz="0" w:space="0" w:color="auto"/>
      </w:divBdr>
    </w:div>
    <w:div w:id="1292443559">
      <w:bodyDiv w:val="1"/>
      <w:marLeft w:val="0"/>
      <w:marRight w:val="0"/>
      <w:marTop w:val="0"/>
      <w:marBottom w:val="0"/>
      <w:divBdr>
        <w:top w:val="none" w:sz="0" w:space="0" w:color="auto"/>
        <w:left w:val="none" w:sz="0" w:space="0" w:color="auto"/>
        <w:bottom w:val="none" w:sz="0" w:space="0" w:color="auto"/>
        <w:right w:val="none" w:sz="0" w:space="0" w:color="auto"/>
      </w:divBdr>
    </w:div>
    <w:div w:id="1303270545">
      <w:bodyDiv w:val="1"/>
      <w:marLeft w:val="0"/>
      <w:marRight w:val="0"/>
      <w:marTop w:val="0"/>
      <w:marBottom w:val="0"/>
      <w:divBdr>
        <w:top w:val="none" w:sz="0" w:space="0" w:color="auto"/>
        <w:left w:val="none" w:sz="0" w:space="0" w:color="auto"/>
        <w:bottom w:val="none" w:sz="0" w:space="0" w:color="auto"/>
        <w:right w:val="none" w:sz="0" w:space="0" w:color="auto"/>
      </w:divBdr>
    </w:div>
    <w:div w:id="1308048016">
      <w:bodyDiv w:val="1"/>
      <w:marLeft w:val="0"/>
      <w:marRight w:val="0"/>
      <w:marTop w:val="0"/>
      <w:marBottom w:val="0"/>
      <w:divBdr>
        <w:top w:val="none" w:sz="0" w:space="0" w:color="auto"/>
        <w:left w:val="none" w:sz="0" w:space="0" w:color="auto"/>
        <w:bottom w:val="none" w:sz="0" w:space="0" w:color="auto"/>
        <w:right w:val="none" w:sz="0" w:space="0" w:color="auto"/>
      </w:divBdr>
    </w:div>
    <w:div w:id="1311666103">
      <w:bodyDiv w:val="1"/>
      <w:marLeft w:val="0"/>
      <w:marRight w:val="0"/>
      <w:marTop w:val="0"/>
      <w:marBottom w:val="0"/>
      <w:divBdr>
        <w:top w:val="none" w:sz="0" w:space="0" w:color="auto"/>
        <w:left w:val="none" w:sz="0" w:space="0" w:color="auto"/>
        <w:bottom w:val="none" w:sz="0" w:space="0" w:color="auto"/>
        <w:right w:val="none" w:sz="0" w:space="0" w:color="auto"/>
      </w:divBdr>
    </w:div>
    <w:div w:id="1313018954">
      <w:bodyDiv w:val="1"/>
      <w:marLeft w:val="0"/>
      <w:marRight w:val="0"/>
      <w:marTop w:val="0"/>
      <w:marBottom w:val="0"/>
      <w:divBdr>
        <w:top w:val="none" w:sz="0" w:space="0" w:color="auto"/>
        <w:left w:val="none" w:sz="0" w:space="0" w:color="auto"/>
        <w:bottom w:val="none" w:sz="0" w:space="0" w:color="auto"/>
        <w:right w:val="none" w:sz="0" w:space="0" w:color="auto"/>
      </w:divBdr>
    </w:div>
    <w:div w:id="1313874805">
      <w:bodyDiv w:val="1"/>
      <w:marLeft w:val="0"/>
      <w:marRight w:val="0"/>
      <w:marTop w:val="0"/>
      <w:marBottom w:val="0"/>
      <w:divBdr>
        <w:top w:val="none" w:sz="0" w:space="0" w:color="auto"/>
        <w:left w:val="none" w:sz="0" w:space="0" w:color="auto"/>
        <w:bottom w:val="none" w:sz="0" w:space="0" w:color="auto"/>
        <w:right w:val="none" w:sz="0" w:space="0" w:color="auto"/>
      </w:divBdr>
    </w:div>
    <w:div w:id="1347320094">
      <w:bodyDiv w:val="1"/>
      <w:marLeft w:val="0"/>
      <w:marRight w:val="0"/>
      <w:marTop w:val="0"/>
      <w:marBottom w:val="0"/>
      <w:divBdr>
        <w:top w:val="none" w:sz="0" w:space="0" w:color="auto"/>
        <w:left w:val="none" w:sz="0" w:space="0" w:color="auto"/>
        <w:bottom w:val="none" w:sz="0" w:space="0" w:color="auto"/>
        <w:right w:val="none" w:sz="0" w:space="0" w:color="auto"/>
      </w:divBdr>
    </w:div>
    <w:div w:id="1351297406">
      <w:bodyDiv w:val="1"/>
      <w:marLeft w:val="0"/>
      <w:marRight w:val="0"/>
      <w:marTop w:val="0"/>
      <w:marBottom w:val="0"/>
      <w:divBdr>
        <w:top w:val="none" w:sz="0" w:space="0" w:color="auto"/>
        <w:left w:val="none" w:sz="0" w:space="0" w:color="auto"/>
        <w:bottom w:val="none" w:sz="0" w:space="0" w:color="auto"/>
        <w:right w:val="none" w:sz="0" w:space="0" w:color="auto"/>
      </w:divBdr>
    </w:div>
    <w:div w:id="1360736027">
      <w:bodyDiv w:val="1"/>
      <w:marLeft w:val="0"/>
      <w:marRight w:val="0"/>
      <w:marTop w:val="0"/>
      <w:marBottom w:val="0"/>
      <w:divBdr>
        <w:top w:val="none" w:sz="0" w:space="0" w:color="auto"/>
        <w:left w:val="none" w:sz="0" w:space="0" w:color="auto"/>
        <w:bottom w:val="none" w:sz="0" w:space="0" w:color="auto"/>
        <w:right w:val="none" w:sz="0" w:space="0" w:color="auto"/>
      </w:divBdr>
    </w:div>
    <w:div w:id="1368676487">
      <w:bodyDiv w:val="1"/>
      <w:marLeft w:val="0"/>
      <w:marRight w:val="0"/>
      <w:marTop w:val="0"/>
      <w:marBottom w:val="0"/>
      <w:divBdr>
        <w:top w:val="none" w:sz="0" w:space="0" w:color="auto"/>
        <w:left w:val="none" w:sz="0" w:space="0" w:color="auto"/>
        <w:bottom w:val="none" w:sz="0" w:space="0" w:color="auto"/>
        <w:right w:val="none" w:sz="0" w:space="0" w:color="auto"/>
      </w:divBdr>
    </w:div>
    <w:div w:id="1375614994">
      <w:bodyDiv w:val="1"/>
      <w:marLeft w:val="0"/>
      <w:marRight w:val="0"/>
      <w:marTop w:val="0"/>
      <w:marBottom w:val="0"/>
      <w:divBdr>
        <w:top w:val="none" w:sz="0" w:space="0" w:color="auto"/>
        <w:left w:val="none" w:sz="0" w:space="0" w:color="auto"/>
        <w:bottom w:val="none" w:sz="0" w:space="0" w:color="auto"/>
        <w:right w:val="none" w:sz="0" w:space="0" w:color="auto"/>
      </w:divBdr>
    </w:div>
    <w:div w:id="1389300220">
      <w:bodyDiv w:val="1"/>
      <w:marLeft w:val="0"/>
      <w:marRight w:val="0"/>
      <w:marTop w:val="0"/>
      <w:marBottom w:val="0"/>
      <w:divBdr>
        <w:top w:val="none" w:sz="0" w:space="0" w:color="auto"/>
        <w:left w:val="none" w:sz="0" w:space="0" w:color="auto"/>
        <w:bottom w:val="none" w:sz="0" w:space="0" w:color="auto"/>
        <w:right w:val="none" w:sz="0" w:space="0" w:color="auto"/>
      </w:divBdr>
    </w:div>
    <w:div w:id="1404986394">
      <w:bodyDiv w:val="1"/>
      <w:marLeft w:val="0"/>
      <w:marRight w:val="0"/>
      <w:marTop w:val="0"/>
      <w:marBottom w:val="0"/>
      <w:divBdr>
        <w:top w:val="none" w:sz="0" w:space="0" w:color="auto"/>
        <w:left w:val="none" w:sz="0" w:space="0" w:color="auto"/>
        <w:bottom w:val="none" w:sz="0" w:space="0" w:color="auto"/>
        <w:right w:val="none" w:sz="0" w:space="0" w:color="auto"/>
      </w:divBdr>
    </w:div>
    <w:div w:id="1425762689">
      <w:bodyDiv w:val="1"/>
      <w:marLeft w:val="0"/>
      <w:marRight w:val="0"/>
      <w:marTop w:val="0"/>
      <w:marBottom w:val="0"/>
      <w:divBdr>
        <w:top w:val="none" w:sz="0" w:space="0" w:color="auto"/>
        <w:left w:val="none" w:sz="0" w:space="0" w:color="auto"/>
        <w:bottom w:val="none" w:sz="0" w:space="0" w:color="auto"/>
        <w:right w:val="none" w:sz="0" w:space="0" w:color="auto"/>
      </w:divBdr>
    </w:div>
    <w:div w:id="1458454773">
      <w:bodyDiv w:val="1"/>
      <w:marLeft w:val="0"/>
      <w:marRight w:val="0"/>
      <w:marTop w:val="0"/>
      <w:marBottom w:val="0"/>
      <w:divBdr>
        <w:top w:val="none" w:sz="0" w:space="0" w:color="auto"/>
        <w:left w:val="none" w:sz="0" w:space="0" w:color="auto"/>
        <w:bottom w:val="none" w:sz="0" w:space="0" w:color="auto"/>
        <w:right w:val="none" w:sz="0" w:space="0" w:color="auto"/>
      </w:divBdr>
    </w:div>
    <w:div w:id="1459109854">
      <w:bodyDiv w:val="1"/>
      <w:marLeft w:val="0"/>
      <w:marRight w:val="0"/>
      <w:marTop w:val="0"/>
      <w:marBottom w:val="0"/>
      <w:divBdr>
        <w:top w:val="none" w:sz="0" w:space="0" w:color="auto"/>
        <w:left w:val="none" w:sz="0" w:space="0" w:color="auto"/>
        <w:bottom w:val="none" w:sz="0" w:space="0" w:color="auto"/>
        <w:right w:val="none" w:sz="0" w:space="0" w:color="auto"/>
      </w:divBdr>
    </w:div>
    <w:div w:id="1471433488">
      <w:bodyDiv w:val="1"/>
      <w:marLeft w:val="0"/>
      <w:marRight w:val="0"/>
      <w:marTop w:val="0"/>
      <w:marBottom w:val="0"/>
      <w:divBdr>
        <w:top w:val="none" w:sz="0" w:space="0" w:color="auto"/>
        <w:left w:val="none" w:sz="0" w:space="0" w:color="auto"/>
        <w:bottom w:val="none" w:sz="0" w:space="0" w:color="auto"/>
        <w:right w:val="none" w:sz="0" w:space="0" w:color="auto"/>
      </w:divBdr>
    </w:div>
    <w:div w:id="1475951924">
      <w:bodyDiv w:val="1"/>
      <w:marLeft w:val="0"/>
      <w:marRight w:val="0"/>
      <w:marTop w:val="0"/>
      <w:marBottom w:val="0"/>
      <w:divBdr>
        <w:top w:val="none" w:sz="0" w:space="0" w:color="auto"/>
        <w:left w:val="none" w:sz="0" w:space="0" w:color="auto"/>
        <w:bottom w:val="none" w:sz="0" w:space="0" w:color="auto"/>
        <w:right w:val="none" w:sz="0" w:space="0" w:color="auto"/>
      </w:divBdr>
    </w:div>
    <w:div w:id="1476098979">
      <w:bodyDiv w:val="1"/>
      <w:marLeft w:val="0"/>
      <w:marRight w:val="0"/>
      <w:marTop w:val="0"/>
      <w:marBottom w:val="0"/>
      <w:divBdr>
        <w:top w:val="none" w:sz="0" w:space="0" w:color="auto"/>
        <w:left w:val="none" w:sz="0" w:space="0" w:color="auto"/>
        <w:bottom w:val="none" w:sz="0" w:space="0" w:color="auto"/>
        <w:right w:val="none" w:sz="0" w:space="0" w:color="auto"/>
      </w:divBdr>
    </w:div>
    <w:div w:id="1512718628">
      <w:bodyDiv w:val="1"/>
      <w:marLeft w:val="0"/>
      <w:marRight w:val="0"/>
      <w:marTop w:val="0"/>
      <w:marBottom w:val="0"/>
      <w:divBdr>
        <w:top w:val="none" w:sz="0" w:space="0" w:color="auto"/>
        <w:left w:val="none" w:sz="0" w:space="0" w:color="auto"/>
        <w:bottom w:val="none" w:sz="0" w:space="0" w:color="auto"/>
        <w:right w:val="none" w:sz="0" w:space="0" w:color="auto"/>
      </w:divBdr>
      <w:divsChild>
        <w:div w:id="852300854">
          <w:marLeft w:val="0"/>
          <w:marRight w:val="0"/>
          <w:marTop w:val="0"/>
          <w:marBottom w:val="0"/>
          <w:divBdr>
            <w:top w:val="none" w:sz="0" w:space="0" w:color="auto"/>
            <w:left w:val="none" w:sz="0" w:space="0" w:color="auto"/>
            <w:bottom w:val="none" w:sz="0" w:space="0" w:color="auto"/>
            <w:right w:val="none" w:sz="0" w:space="0" w:color="auto"/>
          </w:divBdr>
          <w:divsChild>
            <w:div w:id="1731611244">
              <w:marLeft w:val="0"/>
              <w:marRight w:val="0"/>
              <w:marTop w:val="0"/>
              <w:marBottom w:val="0"/>
              <w:divBdr>
                <w:top w:val="none" w:sz="0" w:space="0" w:color="auto"/>
                <w:left w:val="none" w:sz="0" w:space="0" w:color="auto"/>
                <w:bottom w:val="none" w:sz="0" w:space="0" w:color="auto"/>
                <w:right w:val="none" w:sz="0" w:space="0" w:color="auto"/>
              </w:divBdr>
              <w:divsChild>
                <w:div w:id="188110743">
                  <w:marLeft w:val="0"/>
                  <w:marRight w:val="0"/>
                  <w:marTop w:val="0"/>
                  <w:marBottom w:val="0"/>
                  <w:divBdr>
                    <w:top w:val="none" w:sz="0" w:space="0" w:color="auto"/>
                    <w:left w:val="none" w:sz="0" w:space="0" w:color="auto"/>
                    <w:bottom w:val="none" w:sz="0" w:space="0" w:color="auto"/>
                    <w:right w:val="none" w:sz="0" w:space="0" w:color="auto"/>
                  </w:divBdr>
                  <w:divsChild>
                    <w:div w:id="637149383">
                      <w:marLeft w:val="0"/>
                      <w:marRight w:val="0"/>
                      <w:marTop w:val="0"/>
                      <w:marBottom w:val="0"/>
                      <w:divBdr>
                        <w:top w:val="none" w:sz="0" w:space="0" w:color="auto"/>
                        <w:left w:val="none" w:sz="0" w:space="0" w:color="auto"/>
                        <w:bottom w:val="none" w:sz="0" w:space="0" w:color="auto"/>
                        <w:right w:val="none" w:sz="0" w:space="0" w:color="auto"/>
                      </w:divBdr>
                      <w:divsChild>
                        <w:div w:id="401372179">
                          <w:marLeft w:val="0"/>
                          <w:marRight w:val="0"/>
                          <w:marTop w:val="0"/>
                          <w:marBottom w:val="0"/>
                          <w:divBdr>
                            <w:top w:val="none" w:sz="0" w:space="0" w:color="auto"/>
                            <w:left w:val="none" w:sz="0" w:space="0" w:color="auto"/>
                            <w:bottom w:val="none" w:sz="0" w:space="0" w:color="auto"/>
                            <w:right w:val="none" w:sz="0" w:space="0" w:color="auto"/>
                          </w:divBdr>
                          <w:divsChild>
                            <w:div w:id="1888295011">
                              <w:marLeft w:val="0"/>
                              <w:marRight w:val="0"/>
                              <w:marTop w:val="0"/>
                              <w:marBottom w:val="0"/>
                              <w:divBdr>
                                <w:top w:val="none" w:sz="0" w:space="0" w:color="auto"/>
                                <w:left w:val="none" w:sz="0" w:space="0" w:color="auto"/>
                                <w:bottom w:val="none" w:sz="0" w:space="0" w:color="auto"/>
                                <w:right w:val="none" w:sz="0" w:space="0" w:color="auto"/>
                              </w:divBdr>
                              <w:divsChild>
                                <w:div w:id="1996908621">
                                  <w:marLeft w:val="0"/>
                                  <w:marRight w:val="0"/>
                                  <w:marTop w:val="0"/>
                                  <w:marBottom w:val="0"/>
                                  <w:divBdr>
                                    <w:top w:val="none" w:sz="0" w:space="0" w:color="auto"/>
                                    <w:left w:val="none" w:sz="0" w:space="0" w:color="auto"/>
                                    <w:bottom w:val="none" w:sz="0" w:space="0" w:color="auto"/>
                                    <w:right w:val="none" w:sz="0" w:space="0" w:color="auto"/>
                                  </w:divBdr>
                                  <w:divsChild>
                                    <w:div w:id="359205054">
                                      <w:marLeft w:val="60"/>
                                      <w:marRight w:val="0"/>
                                      <w:marTop w:val="0"/>
                                      <w:marBottom w:val="0"/>
                                      <w:divBdr>
                                        <w:top w:val="none" w:sz="0" w:space="0" w:color="auto"/>
                                        <w:left w:val="none" w:sz="0" w:space="0" w:color="auto"/>
                                        <w:bottom w:val="none" w:sz="0" w:space="0" w:color="auto"/>
                                        <w:right w:val="none" w:sz="0" w:space="0" w:color="auto"/>
                                      </w:divBdr>
                                      <w:divsChild>
                                        <w:div w:id="735665943">
                                          <w:marLeft w:val="0"/>
                                          <w:marRight w:val="0"/>
                                          <w:marTop w:val="0"/>
                                          <w:marBottom w:val="0"/>
                                          <w:divBdr>
                                            <w:top w:val="none" w:sz="0" w:space="0" w:color="auto"/>
                                            <w:left w:val="none" w:sz="0" w:space="0" w:color="auto"/>
                                            <w:bottom w:val="none" w:sz="0" w:space="0" w:color="auto"/>
                                            <w:right w:val="none" w:sz="0" w:space="0" w:color="auto"/>
                                          </w:divBdr>
                                          <w:divsChild>
                                            <w:div w:id="1639914706">
                                              <w:marLeft w:val="0"/>
                                              <w:marRight w:val="0"/>
                                              <w:marTop w:val="0"/>
                                              <w:marBottom w:val="120"/>
                                              <w:divBdr>
                                                <w:top w:val="single" w:sz="6" w:space="0" w:color="F5F5F5"/>
                                                <w:left w:val="single" w:sz="6" w:space="0" w:color="F5F5F5"/>
                                                <w:bottom w:val="single" w:sz="6" w:space="0" w:color="F5F5F5"/>
                                                <w:right w:val="single" w:sz="6" w:space="0" w:color="F5F5F5"/>
                                              </w:divBdr>
                                              <w:divsChild>
                                                <w:div w:id="2108647934">
                                                  <w:marLeft w:val="0"/>
                                                  <w:marRight w:val="0"/>
                                                  <w:marTop w:val="0"/>
                                                  <w:marBottom w:val="0"/>
                                                  <w:divBdr>
                                                    <w:top w:val="none" w:sz="0" w:space="0" w:color="auto"/>
                                                    <w:left w:val="none" w:sz="0" w:space="0" w:color="auto"/>
                                                    <w:bottom w:val="none" w:sz="0" w:space="0" w:color="auto"/>
                                                    <w:right w:val="none" w:sz="0" w:space="0" w:color="auto"/>
                                                  </w:divBdr>
                                                  <w:divsChild>
                                                    <w:div w:id="14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781394">
      <w:bodyDiv w:val="1"/>
      <w:marLeft w:val="0"/>
      <w:marRight w:val="0"/>
      <w:marTop w:val="0"/>
      <w:marBottom w:val="0"/>
      <w:divBdr>
        <w:top w:val="none" w:sz="0" w:space="0" w:color="auto"/>
        <w:left w:val="none" w:sz="0" w:space="0" w:color="auto"/>
        <w:bottom w:val="none" w:sz="0" w:space="0" w:color="auto"/>
        <w:right w:val="none" w:sz="0" w:space="0" w:color="auto"/>
      </w:divBdr>
    </w:div>
    <w:div w:id="1534802859">
      <w:bodyDiv w:val="1"/>
      <w:marLeft w:val="0"/>
      <w:marRight w:val="0"/>
      <w:marTop w:val="0"/>
      <w:marBottom w:val="0"/>
      <w:divBdr>
        <w:top w:val="none" w:sz="0" w:space="0" w:color="auto"/>
        <w:left w:val="none" w:sz="0" w:space="0" w:color="auto"/>
        <w:bottom w:val="none" w:sz="0" w:space="0" w:color="auto"/>
        <w:right w:val="none" w:sz="0" w:space="0" w:color="auto"/>
      </w:divBdr>
    </w:div>
    <w:div w:id="1542865255">
      <w:bodyDiv w:val="1"/>
      <w:marLeft w:val="0"/>
      <w:marRight w:val="0"/>
      <w:marTop w:val="0"/>
      <w:marBottom w:val="0"/>
      <w:divBdr>
        <w:top w:val="none" w:sz="0" w:space="0" w:color="auto"/>
        <w:left w:val="none" w:sz="0" w:space="0" w:color="auto"/>
        <w:bottom w:val="none" w:sz="0" w:space="0" w:color="auto"/>
        <w:right w:val="none" w:sz="0" w:space="0" w:color="auto"/>
      </w:divBdr>
      <w:divsChild>
        <w:div w:id="245261905">
          <w:marLeft w:val="0"/>
          <w:marRight w:val="0"/>
          <w:marTop w:val="0"/>
          <w:marBottom w:val="0"/>
          <w:divBdr>
            <w:top w:val="none" w:sz="0" w:space="0" w:color="auto"/>
            <w:left w:val="none" w:sz="0" w:space="0" w:color="auto"/>
            <w:bottom w:val="none" w:sz="0" w:space="0" w:color="auto"/>
            <w:right w:val="none" w:sz="0" w:space="0" w:color="auto"/>
          </w:divBdr>
          <w:divsChild>
            <w:div w:id="1457984200">
              <w:marLeft w:val="0"/>
              <w:marRight w:val="0"/>
              <w:marTop w:val="0"/>
              <w:marBottom w:val="0"/>
              <w:divBdr>
                <w:top w:val="none" w:sz="0" w:space="0" w:color="auto"/>
                <w:left w:val="none" w:sz="0" w:space="0" w:color="auto"/>
                <w:bottom w:val="none" w:sz="0" w:space="0" w:color="auto"/>
                <w:right w:val="none" w:sz="0" w:space="0" w:color="auto"/>
              </w:divBdr>
              <w:divsChild>
                <w:div w:id="1432240044">
                  <w:marLeft w:val="0"/>
                  <w:marRight w:val="0"/>
                  <w:marTop w:val="0"/>
                  <w:marBottom w:val="0"/>
                  <w:divBdr>
                    <w:top w:val="none" w:sz="0" w:space="0" w:color="auto"/>
                    <w:left w:val="none" w:sz="0" w:space="0" w:color="auto"/>
                    <w:bottom w:val="none" w:sz="0" w:space="0" w:color="auto"/>
                    <w:right w:val="none" w:sz="0" w:space="0" w:color="auto"/>
                  </w:divBdr>
                  <w:divsChild>
                    <w:div w:id="1544058086">
                      <w:marLeft w:val="0"/>
                      <w:marRight w:val="0"/>
                      <w:marTop w:val="0"/>
                      <w:marBottom w:val="0"/>
                      <w:divBdr>
                        <w:top w:val="none" w:sz="0" w:space="0" w:color="auto"/>
                        <w:left w:val="none" w:sz="0" w:space="0" w:color="auto"/>
                        <w:bottom w:val="none" w:sz="0" w:space="0" w:color="auto"/>
                        <w:right w:val="none" w:sz="0" w:space="0" w:color="auto"/>
                      </w:divBdr>
                      <w:divsChild>
                        <w:div w:id="2014674722">
                          <w:marLeft w:val="0"/>
                          <w:marRight w:val="0"/>
                          <w:marTop w:val="0"/>
                          <w:marBottom w:val="0"/>
                          <w:divBdr>
                            <w:top w:val="none" w:sz="0" w:space="0" w:color="auto"/>
                            <w:left w:val="none" w:sz="0" w:space="0" w:color="auto"/>
                            <w:bottom w:val="none" w:sz="0" w:space="0" w:color="auto"/>
                            <w:right w:val="single" w:sz="6" w:space="10" w:color="E5E5E5"/>
                          </w:divBdr>
                          <w:divsChild>
                            <w:div w:id="2035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59741">
      <w:bodyDiv w:val="1"/>
      <w:marLeft w:val="0"/>
      <w:marRight w:val="0"/>
      <w:marTop w:val="0"/>
      <w:marBottom w:val="0"/>
      <w:divBdr>
        <w:top w:val="none" w:sz="0" w:space="0" w:color="auto"/>
        <w:left w:val="none" w:sz="0" w:space="0" w:color="auto"/>
        <w:bottom w:val="none" w:sz="0" w:space="0" w:color="auto"/>
        <w:right w:val="none" w:sz="0" w:space="0" w:color="auto"/>
      </w:divBdr>
    </w:div>
    <w:div w:id="1570727744">
      <w:bodyDiv w:val="1"/>
      <w:marLeft w:val="0"/>
      <w:marRight w:val="0"/>
      <w:marTop w:val="0"/>
      <w:marBottom w:val="0"/>
      <w:divBdr>
        <w:top w:val="none" w:sz="0" w:space="0" w:color="auto"/>
        <w:left w:val="none" w:sz="0" w:space="0" w:color="auto"/>
        <w:bottom w:val="none" w:sz="0" w:space="0" w:color="auto"/>
        <w:right w:val="none" w:sz="0" w:space="0" w:color="auto"/>
      </w:divBdr>
    </w:div>
    <w:div w:id="1571111989">
      <w:bodyDiv w:val="1"/>
      <w:marLeft w:val="0"/>
      <w:marRight w:val="0"/>
      <w:marTop w:val="0"/>
      <w:marBottom w:val="0"/>
      <w:divBdr>
        <w:top w:val="none" w:sz="0" w:space="0" w:color="auto"/>
        <w:left w:val="none" w:sz="0" w:space="0" w:color="auto"/>
        <w:bottom w:val="none" w:sz="0" w:space="0" w:color="auto"/>
        <w:right w:val="none" w:sz="0" w:space="0" w:color="auto"/>
      </w:divBdr>
    </w:div>
    <w:div w:id="1586761716">
      <w:bodyDiv w:val="1"/>
      <w:marLeft w:val="0"/>
      <w:marRight w:val="0"/>
      <w:marTop w:val="0"/>
      <w:marBottom w:val="0"/>
      <w:divBdr>
        <w:top w:val="none" w:sz="0" w:space="0" w:color="auto"/>
        <w:left w:val="none" w:sz="0" w:space="0" w:color="auto"/>
        <w:bottom w:val="none" w:sz="0" w:space="0" w:color="auto"/>
        <w:right w:val="none" w:sz="0" w:space="0" w:color="auto"/>
      </w:divBdr>
    </w:div>
    <w:div w:id="1597052665">
      <w:bodyDiv w:val="1"/>
      <w:marLeft w:val="0"/>
      <w:marRight w:val="0"/>
      <w:marTop w:val="0"/>
      <w:marBottom w:val="0"/>
      <w:divBdr>
        <w:top w:val="none" w:sz="0" w:space="0" w:color="auto"/>
        <w:left w:val="none" w:sz="0" w:space="0" w:color="auto"/>
        <w:bottom w:val="none" w:sz="0" w:space="0" w:color="auto"/>
        <w:right w:val="none" w:sz="0" w:space="0" w:color="auto"/>
      </w:divBdr>
    </w:div>
    <w:div w:id="1603877176">
      <w:bodyDiv w:val="1"/>
      <w:marLeft w:val="0"/>
      <w:marRight w:val="0"/>
      <w:marTop w:val="0"/>
      <w:marBottom w:val="0"/>
      <w:divBdr>
        <w:top w:val="none" w:sz="0" w:space="0" w:color="auto"/>
        <w:left w:val="none" w:sz="0" w:space="0" w:color="auto"/>
        <w:bottom w:val="none" w:sz="0" w:space="0" w:color="auto"/>
        <w:right w:val="none" w:sz="0" w:space="0" w:color="auto"/>
      </w:divBdr>
    </w:div>
    <w:div w:id="1609772808">
      <w:bodyDiv w:val="1"/>
      <w:marLeft w:val="0"/>
      <w:marRight w:val="0"/>
      <w:marTop w:val="0"/>
      <w:marBottom w:val="0"/>
      <w:divBdr>
        <w:top w:val="none" w:sz="0" w:space="0" w:color="auto"/>
        <w:left w:val="none" w:sz="0" w:space="0" w:color="auto"/>
        <w:bottom w:val="none" w:sz="0" w:space="0" w:color="auto"/>
        <w:right w:val="none" w:sz="0" w:space="0" w:color="auto"/>
      </w:divBdr>
    </w:div>
    <w:div w:id="1621184895">
      <w:bodyDiv w:val="1"/>
      <w:marLeft w:val="0"/>
      <w:marRight w:val="0"/>
      <w:marTop w:val="0"/>
      <w:marBottom w:val="0"/>
      <w:divBdr>
        <w:top w:val="none" w:sz="0" w:space="0" w:color="auto"/>
        <w:left w:val="none" w:sz="0" w:space="0" w:color="auto"/>
        <w:bottom w:val="none" w:sz="0" w:space="0" w:color="auto"/>
        <w:right w:val="none" w:sz="0" w:space="0" w:color="auto"/>
      </w:divBdr>
    </w:div>
    <w:div w:id="1622221384">
      <w:bodyDiv w:val="1"/>
      <w:marLeft w:val="0"/>
      <w:marRight w:val="0"/>
      <w:marTop w:val="0"/>
      <w:marBottom w:val="0"/>
      <w:divBdr>
        <w:top w:val="none" w:sz="0" w:space="0" w:color="auto"/>
        <w:left w:val="none" w:sz="0" w:space="0" w:color="auto"/>
        <w:bottom w:val="none" w:sz="0" w:space="0" w:color="auto"/>
        <w:right w:val="none" w:sz="0" w:space="0" w:color="auto"/>
      </w:divBdr>
    </w:div>
    <w:div w:id="1632705070">
      <w:bodyDiv w:val="1"/>
      <w:marLeft w:val="0"/>
      <w:marRight w:val="0"/>
      <w:marTop w:val="0"/>
      <w:marBottom w:val="0"/>
      <w:divBdr>
        <w:top w:val="none" w:sz="0" w:space="0" w:color="auto"/>
        <w:left w:val="none" w:sz="0" w:space="0" w:color="auto"/>
        <w:bottom w:val="none" w:sz="0" w:space="0" w:color="auto"/>
        <w:right w:val="none" w:sz="0" w:space="0" w:color="auto"/>
      </w:divBdr>
    </w:div>
    <w:div w:id="1669022102">
      <w:bodyDiv w:val="1"/>
      <w:marLeft w:val="0"/>
      <w:marRight w:val="0"/>
      <w:marTop w:val="0"/>
      <w:marBottom w:val="0"/>
      <w:divBdr>
        <w:top w:val="none" w:sz="0" w:space="0" w:color="auto"/>
        <w:left w:val="none" w:sz="0" w:space="0" w:color="auto"/>
        <w:bottom w:val="none" w:sz="0" w:space="0" w:color="auto"/>
        <w:right w:val="none" w:sz="0" w:space="0" w:color="auto"/>
      </w:divBdr>
    </w:div>
    <w:div w:id="1683435976">
      <w:bodyDiv w:val="1"/>
      <w:marLeft w:val="0"/>
      <w:marRight w:val="0"/>
      <w:marTop w:val="0"/>
      <w:marBottom w:val="0"/>
      <w:divBdr>
        <w:top w:val="none" w:sz="0" w:space="0" w:color="auto"/>
        <w:left w:val="none" w:sz="0" w:space="0" w:color="auto"/>
        <w:bottom w:val="none" w:sz="0" w:space="0" w:color="auto"/>
        <w:right w:val="none" w:sz="0" w:space="0" w:color="auto"/>
      </w:divBdr>
    </w:div>
    <w:div w:id="1692486036">
      <w:bodyDiv w:val="1"/>
      <w:marLeft w:val="0"/>
      <w:marRight w:val="0"/>
      <w:marTop w:val="0"/>
      <w:marBottom w:val="0"/>
      <w:divBdr>
        <w:top w:val="none" w:sz="0" w:space="0" w:color="auto"/>
        <w:left w:val="none" w:sz="0" w:space="0" w:color="auto"/>
        <w:bottom w:val="none" w:sz="0" w:space="0" w:color="auto"/>
        <w:right w:val="none" w:sz="0" w:space="0" w:color="auto"/>
      </w:divBdr>
    </w:div>
    <w:div w:id="1694768313">
      <w:bodyDiv w:val="1"/>
      <w:marLeft w:val="0"/>
      <w:marRight w:val="0"/>
      <w:marTop w:val="0"/>
      <w:marBottom w:val="0"/>
      <w:divBdr>
        <w:top w:val="none" w:sz="0" w:space="0" w:color="auto"/>
        <w:left w:val="none" w:sz="0" w:space="0" w:color="auto"/>
        <w:bottom w:val="none" w:sz="0" w:space="0" w:color="auto"/>
        <w:right w:val="none" w:sz="0" w:space="0" w:color="auto"/>
      </w:divBdr>
    </w:div>
    <w:div w:id="1705473916">
      <w:bodyDiv w:val="1"/>
      <w:marLeft w:val="0"/>
      <w:marRight w:val="0"/>
      <w:marTop w:val="0"/>
      <w:marBottom w:val="0"/>
      <w:divBdr>
        <w:top w:val="none" w:sz="0" w:space="0" w:color="auto"/>
        <w:left w:val="none" w:sz="0" w:space="0" w:color="auto"/>
        <w:bottom w:val="none" w:sz="0" w:space="0" w:color="auto"/>
        <w:right w:val="none" w:sz="0" w:space="0" w:color="auto"/>
      </w:divBdr>
    </w:div>
    <w:div w:id="1721706125">
      <w:bodyDiv w:val="1"/>
      <w:marLeft w:val="0"/>
      <w:marRight w:val="0"/>
      <w:marTop w:val="0"/>
      <w:marBottom w:val="0"/>
      <w:divBdr>
        <w:top w:val="none" w:sz="0" w:space="0" w:color="auto"/>
        <w:left w:val="none" w:sz="0" w:space="0" w:color="auto"/>
        <w:bottom w:val="none" w:sz="0" w:space="0" w:color="auto"/>
        <w:right w:val="none" w:sz="0" w:space="0" w:color="auto"/>
      </w:divBdr>
    </w:div>
    <w:div w:id="1722366287">
      <w:bodyDiv w:val="1"/>
      <w:marLeft w:val="0"/>
      <w:marRight w:val="0"/>
      <w:marTop w:val="0"/>
      <w:marBottom w:val="0"/>
      <w:divBdr>
        <w:top w:val="none" w:sz="0" w:space="0" w:color="auto"/>
        <w:left w:val="none" w:sz="0" w:space="0" w:color="auto"/>
        <w:bottom w:val="none" w:sz="0" w:space="0" w:color="auto"/>
        <w:right w:val="none" w:sz="0" w:space="0" w:color="auto"/>
      </w:divBdr>
    </w:div>
    <w:div w:id="1735009931">
      <w:bodyDiv w:val="1"/>
      <w:marLeft w:val="0"/>
      <w:marRight w:val="0"/>
      <w:marTop w:val="0"/>
      <w:marBottom w:val="0"/>
      <w:divBdr>
        <w:top w:val="none" w:sz="0" w:space="0" w:color="auto"/>
        <w:left w:val="none" w:sz="0" w:space="0" w:color="auto"/>
        <w:bottom w:val="none" w:sz="0" w:space="0" w:color="auto"/>
        <w:right w:val="none" w:sz="0" w:space="0" w:color="auto"/>
      </w:divBdr>
    </w:div>
    <w:div w:id="1735548005">
      <w:bodyDiv w:val="1"/>
      <w:marLeft w:val="0"/>
      <w:marRight w:val="0"/>
      <w:marTop w:val="0"/>
      <w:marBottom w:val="0"/>
      <w:divBdr>
        <w:top w:val="none" w:sz="0" w:space="0" w:color="auto"/>
        <w:left w:val="none" w:sz="0" w:space="0" w:color="auto"/>
        <w:bottom w:val="none" w:sz="0" w:space="0" w:color="auto"/>
        <w:right w:val="none" w:sz="0" w:space="0" w:color="auto"/>
      </w:divBdr>
    </w:div>
    <w:div w:id="1756586448">
      <w:bodyDiv w:val="1"/>
      <w:marLeft w:val="0"/>
      <w:marRight w:val="0"/>
      <w:marTop w:val="0"/>
      <w:marBottom w:val="0"/>
      <w:divBdr>
        <w:top w:val="none" w:sz="0" w:space="0" w:color="auto"/>
        <w:left w:val="none" w:sz="0" w:space="0" w:color="auto"/>
        <w:bottom w:val="none" w:sz="0" w:space="0" w:color="auto"/>
        <w:right w:val="none" w:sz="0" w:space="0" w:color="auto"/>
      </w:divBdr>
    </w:div>
    <w:div w:id="1763530539">
      <w:bodyDiv w:val="1"/>
      <w:marLeft w:val="0"/>
      <w:marRight w:val="0"/>
      <w:marTop w:val="0"/>
      <w:marBottom w:val="0"/>
      <w:divBdr>
        <w:top w:val="none" w:sz="0" w:space="0" w:color="auto"/>
        <w:left w:val="none" w:sz="0" w:space="0" w:color="auto"/>
        <w:bottom w:val="none" w:sz="0" w:space="0" w:color="auto"/>
        <w:right w:val="none" w:sz="0" w:space="0" w:color="auto"/>
      </w:divBdr>
    </w:div>
    <w:div w:id="1794790025">
      <w:bodyDiv w:val="1"/>
      <w:marLeft w:val="0"/>
      <w:marRight w:val="0"/>
      <w:marTop w:val="0"/>
      <w:marBottom w:val="0"/>
      <w:divBdr>
        <w:top w:val="none" w:sz="0" w:space="0" w:color="auto"/>
        <w:left w:val="none" w:sz="0" w:space="0" w:color="auto"/>
        <w:bottom w:val="none" w:sz="0" w:space="0" w:color="auto"/>
        <w:right w:val="none" w:sz="0" w:space="0" w:color="auto"/>
      </w:divBdr>
    </w:div>
    <w:div w:id="1805150152">
      <w:bodyDiv w:val="1"/>
      <w:marLeft w:val="0"/>
      <w:marRight w:val="0"/>
      <w:marTop w:val="0"/>
      <w:marBottom w:val="0"/>
      <w:divBdr>
        <w:top w:val="none" w:sz="0" w:space="0" w:color="auto"/>
        <w:left w:val="none" w:sz="0" w:space="0" w:color="auto"/>
        <w:bottom w:val="none" w:sz="0" w:space="0" w:color="auto"/>
        <w:right w:val="none" w:sz="0" w:space="0" w:color="auto"/>
      </w:divBdr>
    </w:div>
    <w:div w:id="1840387328">
      <w:bodyDiv w:val="1"/>
      <w:marLeft w:val="0"/>
      <w:marRight w:val="0"/>
      <w:marTop w:val="0"/>
      <w:marBottom w:val="0"/>
      <w:divBdr>
        <w:top w:val="none" w:sz="0" w:space="0" w:color="auto"/>
        <w:left w:val="none" w:sz="0" w:space="0" w:color="auto"/>
        <w:bottom w:val="none" w:sz="0" w:space="0" w:color="auto"/>
        <w:right w:val="none" w:sz="0" w:space="0" w:color="auto"/>
      </w:divBdr>
    </w:div>
    <w:div w:id="1842501722">
      <w:bodyDiv w:val="1"/>
      <w:marLeft w:val="0"/>
      <w:marRight w:val="0"/>
      <w:marTop w:val="0"/>
      <w:marBottom w:val="0"/>
      <w:divBdr>
        <w:top w:val="none" w:sz="0" w:space="0" w:color="auto"/>
        <w:left w:val="none" w:sz="0" w:space="0" w:color="auto"/>
        <w:bottom w:val="none" w:sz="0" w:space="0" w:color="auto"/>
        <w:right w:val="none" w:sz="0" w:space="0" w:color="auto"/>
      </w:divBdr>
    </w:div>
    <w:div w:id="1857230297">
      <w:bodyDiv w:val="1"/>
      <w:marLeft w:val="0"/>
      <w:marRight w:val="0"/>
      <w:marTop w:val="0"/>
      <w:marBottom w:val="0"/>
      <w:divBdr>
        <w:top w:val="none" w:sz="0" w:space="0" w:color="auto"/>
        <w:left w:val="none" w:sz="0" w:space="0" w:color="auto"/>
        <w:bottom w:val="none" w:sz="0" w:space="0" w:color="auto"/>
        <w:right w:val="none" w:sz="0" w:space="0" w:color="auto"/>
      </w:divBdr>
    </w:div>
    <w:div w:id="1912809422">
      <w:bodyDiv w:val="1"/>
      <w:marLeft w:val="0"/>
      <w:marRight w:val="0"/>
      <w:marTop w:val="0"/>
      <w:marBottom w:val="0"/>
      <w:divBdr>
        <w:top w:val="none" w:sz="0" w:space="0" w:color="auto"/>
        <w:left w:val="none" w:sz="0" w:space="0" w:color="auto"/>
        <w:bottom w:val="none" w:sz="0" w:space="0" w:color="auto"/>
        <w:right w:val="none" w:sz="0" w:space="0" w:color="auto"/>
      </w:divBdr>
    </w:div>
    <w:div w:id="1915815258">
      <w:bodyDiv w:val="1"/>
      <w:marLeft w:val="0"/>
      <w:marRight w:val="0"/>
      <w:marTop w:val="0"/>
      <w:marBottom w:val="0"/>
      <w:divBdr>
        <w:top w:val="none" w:sz="0" w:space="0" w:color="auto"/>
        <w:left w:val="none" w:sz="0" w:space="0" w:color="auto"/>
        <w:bottom w:val="none" w:sz="0" w:space="0" w:color="auto"/>
        <w:right w:val="none" w:sz="0" w:space="0" w:color="auto"/>
      </w:divBdr>
    </w:div>
    <w:div w:id="1921527427">
      <w:bodyDiv w:val="1"/>
      <w:marLeft w:val="0"/>
      <w:marRight w:val="0"/>
      <w:marTop w:val="0"/>
      <w:marBottom w:val="0"/>
      <w:divBdr>
        <w:top w:val="none" w:sz="0" w:space="0" w:color="auto"/>
        <w:left w:val="none" w:sz="0" w:space="0" w:color="auto"/>
        <w:bottom w:val="none" w:sz="0" w:space="0" w:color="auto"/>
        <w:right w:val="none" w:sz="0" w:space="0" w:color="auto"/>
      </w:divBdr>
    </w:div>
    <w:div w:id="1929918526">
      <w:bodyDiv w:val="1"/>
      <w:marLeft w:val="0"/>
      <w:marRight w:val="0"/>
      <w:marTop w:val="0"/>
      <w:marBottom w:val="0"/>
      <w:divBdr>
        <w:top w:val="none" w:sz="0" w:space="0" w:color="auto"/>
        <w:left w:val="none" w:sz="0" w:space="0" w:color="auto"/>
        <w:bottom w:val="none" w:sz="0" w:space="0" w:color="auto"/>
        <w:right w:val="none" w:sz="0" w:space="0" w:color="auto"/>
      </w:divBdr>
    </w:div>
    <w:div w:id="1930890293">
      <w:bodyDiv w:val="1"/>
      <w:marLeft w:val="0"/>
      <w:marRight w:val="0"/>
      <w:marTop w:val="0"/>
      <w:marBottom w:val="0"/>
      <w:divBdr>
        <w:top w:val="none" w:sz="0" w:space="0" w:color="auto"/>
        <w:left w:val="none" w:sz="0" w:space="0" w:color="auto"/>
        <w:bottom w:val="none" w:sz="0" w:space="0" w:color="auto"/>
        <w:right w:val="none" w:sz="0" w:space="0" w:color="auto"/>
      </w:divBdr>
    </w:div>
    <w:div w:id="1936205938">
      <w:bodyDiv w:val="1"/>
      <w:marLeft w:val="0"/>
      <w:marRight w:val="0"/>
      <w:marTop w:val="0"/>
      <w:marBottom w:val="0"/>
      <w:divBdr>
        <w:top w:val="none" w:sz="0" w:space="0" w:color="auto"/>
        <w:left w:val="none" w:sz="0" w:space="0" w:color="auto"/>
        <w:bottom w:val="none" w:sz="0" w:space="0" w:color="auto"/>
        <w:right w:val="none" w:sz="0" w:space="0" w:color="auto"/>
      </w:divBdr>
    </w:div>
    <w:div w:id="1975401791">
      <w:bodyDiv w:val="1"/>
      <w:marLeft w:val="0"/>
      <w:marRight w:val="0"/>
      <w:marTop w:val="0"/>
      <w:marBottom w:val="0"/>
      <w:divBdr>
        <w:top w:val="none" w:sz="0" w:space="0" w:color="auto"/>
        <w:left w:val="none" w:sz="0" w:space="0" w:color="auto"/>
        <w:bottom w:val="none" w:sz="0" w:space="0" w:color="auto"/>
        <w:right w:val="none" w:sz="0" w:space="0" w:color="auto"/>
      </w:divBdr>
    </w:div>
    <w:div w:id="2009550924">
      <w:bodyDiv w:val="1"/>
      <w:marLeft w:val="0"/>
      <w:marRight w:val="0"/>
      <w:marTop w:val="0"/>
      <w:marBottom w:val="0"/>
      <w:divBdr>
        <w:top w:val="none" w:sz="0" w:space="0" w:color="auto"/>
        <w:left w:val="none" w:sz="0" w:space="0" w:color="auto"/>
        <w:bottom w:val="none" w:sz="0" w:space="0" w:color="auto"/>
        <w:right w:val="none" w:sz="0" w:space="0" w:color="auto"/>
      </w:divBdr>
    </w:div>
    <w:div w:id="2026209110">
      <w:bodyDiv w:val="1"/>
      <w:marLeft w:val="0"/>
      <w:marRight w:val="0"/>
      <w:marTop w:val="0"/>
      <w:marBottom w:val="0"/>
      <w:divBdr>
        <w:top w:val="none" w:sz="0" w:space="0" w:color="auto"/>
        <w:left w:val="none" w:sz="0" w:space="0" w:color="auto"/>
        <w:bottom w:val="none" w:sz="0" w:space="0" w:color="auto"/>
        <w:right w:val="none" w:sz="0" w:space="0" w:color="auto"/>
      </w:divBdr>
    </w:div>
    <w:div w:id="2031174706">
      <w:bodyDiv w:val="1"/>
      <w:marLeft w:val="0"/>
      <w:marRight w:val="0"/>
      <w:marTop w:val="0"/>
      <w:marBottom w:val="0"/>
      <w:divBdr>
        <w:top w:val="none" w:sz="0" w:space="0" w:color="auto"/>
        <w:left w:val="none" w:sz="0" w:space="0" w:color="auto"/>
        <w:bottom w:val="none" w:sz="0" w:space="0" w:color="auto"/>
        <w:right w:val="none" w:sz="0" w:space="0" w:color="auto"/>
      </w:divBdr>
    </w:div>
    <w:div w:id="2047291835">
      <w:bodyDiv w:val="1"/>
      <w:marLeft w:val="0"/>
      <w:marRight w:val="0"/>
      <w:marTop w:val="0"/>
      <w:marBottom w:val="0"/>
      <w:divBdr>
        <w:top w:val="none" w:sz="0" w:space="0" w:color="auto"/>
        <w:left w:val="none" w:sz="0" w:space="0" w:color="auto"/>
        <w:bottom w:val="none" w:sz="0" w:space="0" w:color="auto"/>
        <w:right w:val="none" w:sz="0" w:space="0" w:color="auto"/>
      </w:divBdr>
    </w:div>
    <w:div w:id="2047412734">
      <w:bodyDiv w:val="1"/>
      <w:marLeft w:val="0"/>
      <w:marRight w:val="0"/>
      <w:marTop w:val="0"/>
      <w:marBottom w:val="0"/>
      <w:divBdr>
        <w:top w:val="none" w:sz="0" w:space="0" w:color="auto"/>
        <w:left w:val="none" w:sz="0" w:space="0" w:color="auto"/>
        <w:bottom w:val="none" w:sz="0" w:space="0" w:color="auto"/>
        <w:right w:val="none" w:sz="0" w:space="0" w:color="auto"/>
      </w:divBdr>
    </w:div>
    <w:div w:id="2047946998">
      <w:bodyDiv w:val="1"/>
      <w:marLeft w:val="0"/>
      <w:marRight w:val="0"/>
      <w:marTop w:val="0"/>
      <w:marBottom w:val="0"/>
      <w:divBdr>
        <w:top w:val="none" w:sz="0" w:space="0" w:color="auto"/>
        <w:left w:val="none" w:sz="0" w:space="0" w:color="auto"/>
        <w:bottom w:val="none" w:sz="0" w:space="0" w:color="auto"/>
        <w:right w:val="none" w:sz="0" w:space="0" w:color="auto"/>
      </w:divBdr>
    </w:div>
    <w:div w:id="2048947279">
      <w:bodyDiv w:val="1"/>
      <w:marLeft w:val="0"/>
      <w:marRight w:val="0"/>
      <w:marTop w:val="0"/>
      <w:marBottom w:val="0"/>
      <w:divBdr>
        <w:top w:val="none" w:sz="0" w:space="0" w:color="auto"/>
        <w:left w:val="none" w:sz="0" w:space="0" w:color="auto"/>
        <w:bottom w:val="none" w:sz="0" w:space="0" w:color="auto"/>
        <w:right w:val="none" w:sz="0" w:space="0" w:color="auto"/>
      </w:divBdr>
    </w:div>
    <w:div w:id="2050523080">
      <w:bodyDiv w:val="1"/>
      <w:marLeft w:val="0"/>
      <w:marRight w:val="0"/>
      <w:marTop w:val="0"/>
      <w:marBottom w:val="0"/>
      <w:divBdr>
        <w:top w:val="none" w:sz="0" w:space="0" w:color="auto"/>
        <w:left w:val="none" w:sz="0" w:space="0" w:color="auto"/>
        <w:bottom w:val="none" w:sz="0" w:space="0" w:color="auto"/>
        <w:right w:val="none" w:sz="0" w:space="0" w:color="auto"/>
      </w:divBdr>
    </w:div>
    <w:div w:id="2050640393">
      <w:bodyDiv w:val="1"/>
      <w:marLeft w:val="0"/>
      <w:marRight w:val="0"/>
      <w:marTop w:val="0"/>
      <w:marBottom w:val="0"/>
      <w:divBdr>
        <w:top w:val="none" w:sz="0" w:space="0" w:color="auto"/>
        <w:left w:val="none" w:sz="0" w:space="0" w:color="auto"/>
        <w:bottom w:val="none" w:sz="0" w:space="0" w:color="auto"/>
        <w:right w:val="none" w:sz="0" w:space="0" w:color="auto"/>
      </w:divBdr>
    </w:div>
    <w:div w:id="2071493696">
      <w:bodyDiv w:val="1"/>
      <w:marLeft w:val="0"/>
      <w:marRight w:val="0"/>
      <w:marTop w:val="0"/>
      <w:marBottom w:val="0"/>
      <w:divBdr>
        <w:top w:val="none" w:sz="0" w:space="0" w:color="auto"/>
        <w:left w:val="none" w:sz="0" w:space="0" w:color="auto"/>
        <w:bottom w:val="none" w:sz="0" w:space="0" w:color="auto"/>
        <w:right w:val="none" w:sz="0" w:space="0" w:color="auto"/>
      </w:divBdr>
    </w:div>
    <w:div w:id="2073649458">
      <w:bodyDiv w:val="1"/>
      <w:marLeft w:val="0"/>
      <w:marRight w:val="0"/>
      <w:marTop w:val="0"/>
      <w:marBottom w:val="0"/>
      <w:divBdr>
        <w:top w:val="none" w:sz="0" w:space="0" w:color="auto"/>
        <w:left w:val="none" w:sz="0" w:space="0" w:color="auto"/>
        <w:bottom w:val="none" w:sz="0" w:space="0" w:color="auto"/>
        <w:right w:val="none" w:sz="0" w:space="0" w:color="auto"/>
      </w:divBdr>
    </w:div>
    <w:div w:id="2129741545">
      <w:bodyDiv w:val="1"/>
      <w:marLeft w:val="0"/>
      <w:marRight w:val="0"/>
      <w:marTop w:val="0"/>
      <w:marBottom w:val="0"/>
      <w:divBdr>
        <w:top w:val="none" w:sz="0" w:space="0" w:color="auto"/>
        <w:left w:val="none" w:sz="0" w:space="0" w:color="auto"/>
        <w:bottom w:val="none" w:sz="0" w:space="0" w:color="auto"/>
        <w:right w:val="none" w:sz="0" w:space="0" w:color="auto"/>
      </w:divBdr>
    </w:div>
    <w:div w:id="2133328575">
      <w:bodyDiv w:val="1"/>
      <w:marLeft w:val="0"/>
      <w:marRight w:val="0"/>
      <w:marTop w:val="0"/>
      <w:marBottom w:val="0"/>
      <w:divBdr>
        <w:top w:val="none" w:sz="0" w:space="0" w:color="auto"/>
        <w:left w:val="none" w:sz="0" w:space="0" w:color="auto"/>
        <w:bottom w:val="none" w:sz="0" w:space="0" w:color="auto"/>
        <w:right w:val="none" w:sz="0" w:space="0" w:color="auto"/>
      </w:divBdr>
    </w:div>
    <w:div w:id="2137139941">
      <w:bodyDiv w:val="1"/>
      <w:marLeft w:val="0"/>
      <w:marRight w:val="0"/>
      <w:marTop w:val="0"/>
      <w:marBottom w:val="0"/>
      <w:divBdr>
        <w:top w:val="none" w:sz="0" w:space="0" w:color="auto"/>
        <w:left w:val="none" w:sz="0" w:space="0" w:color="auto"/>
        <w:bottom w:val="none" w:sz="0" w:space="0" w:color="auto"/>
        <w:right w:val="none" w:sz="0" w:space="0" w:color="auto"/>
      </w:divBdr>
    </w:div>
    <w:div w:id="21414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1/relationships/people" Target="peop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4084</ap:Words>
  <ap:Characters>22467</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Geannoteerde agenda van de bijeenkomst van het</vt:lpstr>
    </vt:vector>
  </ap:TitlesOfParts>
  <ap:LinksUpToDate>false</ap:LinksUpToDate>
  <ap:CharactersWithSpaces>26499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2013-11-27T10:45:00.0000000Z</lastPrinted>
  <dcterms:created xsi:type="dcterms:W3CDTF">2016-10-05T14:39:00.0000000Z</dcterms:created>
  <dcterms:modified xsi:type="dcterms:W3CDTF">2016-10-05T14:39:00.0000000Z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0x010100C8B746AB0CC01B469E0AE8D036DE61C2</vt:lpwstr>
  </property>
</Properties>
</file>