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0C" w:rsidP="003A5B0C" w:rsidRDefault="003A5B0C">
      <w:r>
        <w:rPr>
          <w:b/>
        </w:rPr>
        <w:t>INITIATIEF RONDETAFELGESPREK / HOORZITTING</w:t>
      </w:r>
    </w:p>
    <w:p w:rsidR="003A5B0C" w:rsidP="003A5B0C" w:rsidRDefault="003A5B0C"/>
    <w:tbl>
      <w:tblPr>
        <w:tblW w:w="15856" w:type="dxa"/>
        <w:tblLook w:val="01E0" w:firstRow="1" w:lastRow="1" w:firstColumn="1" w:lastColumn="1" w:noHBand="0" w:noVBand="0"/>
      </w:tblPr>
      <w:tblGrid>
        <w:gridCol w:w="2690"/>
        <w:gridCol w:w="6878"/>
        <w:gridCol w:w="6288"/>
      </w:tblGrid>
      <w:tr w:rsidR="003A5B0C" w:rsidTr="003A5B0C">
        <w:tc>
          <w:tcPr>
            <w:tcW w:w="9039" w:type="dxa"/>
            <w:gridSpan w:val="2"/>
            <w:hideMark/>
          </w:tcPr>
          <w:p w:rsidR="003A5B0C" w:rsidP="003A5B0C" w:rsidRDefault="003A5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 xml:space="preserve">Initiatiefnemer: </w:t>
            </w:r>
            <w:r>
              <w:rPr>
                <w:rFonts w:cs="Arial"/>
                <w:b/>
                <w:iCs/>
                <w:szCs w:val="22"/>
              </w:rPr>
              <w:br/>
            </w:r>
            <w:r>
              <w:rPr>
                <w:rFonts w:cs="Arial"/>
                <w:iCs/>
                <w:szCs w:val="22"/>
              </w:rPr>
              <w:t>Elbert Dijkgraaf (SGP)</w:t>
            </w: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  <w:hideMark/>
          </w:tcPr>
          <w:p w:rsidR="003A5B0C" w:rsidRDefault="003A5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Rondetafelgesprek of hoorzitting?</w:t>
            </w:r>
            <w:r>
              <w:rPr>
                <w:rFonts w:cs="Arial"/>
                <w:b/>
                <w:iCs/>
                <w:szCs w:val="22"/>
              </w:rPr>
              <w:br/>
            </w:r>
            <w:r>
              <w:rPr>
                <w:rFonts w:cs="Arial"/>
                <w:iCs/>
                <w:szCs w:val="22"/>
              </w:rPr>
              <w:t>Rondetafelgesprek</w:t>
            </w: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  <w:hideMark/>
          </w:tcPr>
          <w:p w:rsidR="003A5B0C" w:rsidRDefault="003A5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Openbaar of besloten?</w:t>
            </w:r>
            <w:r>
              <w:rPr>
                <w:rFonts w:cs="Arial"/>
                <w:b/>
                <w:iCs/>
                <w:szCs w:val="22"/>
              </w:rPr>
              <w:br/>
            </w:r>
            <w:r>
              <w:rPr>
                <w:rFonts w:cs="Arial"/>
                <w:iCs/>
                <w:szCs w:val="22"/>
              </w:rPr>
              <w:t>Openbaar</w:t>
            </w: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  <w:hideMark/>
          </w:tcPr>
          <w:p w:rsidR="003A5B0C" w:rsidP="003A5B0C" w:rsidRDefault="003A5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Onderwerp</w:t>
            </w:r>
            <w:proofErr w:type="gramStart"/>
            <w:r>
              <w:rPr>
                <w:rFonts w:cs="Arial"/>
                <w:b/>
                <w:iCs/>
                <w:szCs w:val="22"/>
              </w:rPr>
              <w:t>:</w:t>
            </w:r>
            <w:r>
              <w:rPr>
                <w:rFonts w:cs="Arial"/>
                <w:b/>
                <w:iCs/>
                <w:szCs w:val="22"/>
              </w:rPr>
              <w:br/>
            </w:r>
            <w:r>
              <w:rPr>
                <w:rFonts w:cs="Arial"/>
                <w:iCs/>
                <w:szCs w:val="22"/>
              </w:rPr>
              <w:t>Wetsvoorstel</w:t>
            </w:r>
            <w:proofErr w:type="gramEnd"/>
            <w:r>
              <w:rPr>
                <w:rFonts w:cs="Arial"/>
                <w:iCs/>
                <w:szCs w:val="22"/>
              </w:rPr>
              <w:t xml:space="preserve"> fosfaatrechten</w:t>
            </w: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bookmarkStart w:name="_GoBack" w:id="0"/>
            <w:r>
              <w:rPr>
                <w:rFonts w:cs="Arial"/>
                <w:b/>
                <w:iCs/>
                <w:szCs w:val="22"/>
              </w:rPr>
              <w:t>Deelvragen en doel</w:t>
            </w:r>
            <w:proofErr w:type="gramStart"/>
            <w:r>
              <w:rPr>
                <w:rFonts w:cs="Arial"/>
                <w:b/>
                <w:iCs/>
                <w:szCs w:val="22"/>
              </w:rPr>
              <w:t>:</w:t>
            </w:r>
            <w:r>
              <w:rPr>
                <w:rFonts w:cs="Arial"/>
                <w:b/>
                <w:iCs/>
                <w:szCs w:val="22"/>
              </w:rPr>
              <w:br/>
            </w:r>
            <w:r>
              <w:rPr>
                <w:rFonts w:cs="Arial"/>
                <w:iCs/>
                <w:szCs w:val="22"/>
              </w:rPr>
              <w:t>Meer</w:t>
            </w:r>
            <w:proofErr w:type="gramEnd"/>
            <w:r>
              <w:rPr>
                <w:rFonts w:cs="Arial"/>
                <w:iCs/>
                <w:szCs w:val="22"/>
              </w:rPr>
              <w:t xml:space="preserve"> inzicht krijgen in nut en noodzaak van fosfaatrechten, omvang en soort knelgevallen en de juridische houdbaarheid </w:t>
            </w:r>
          </w:p>
          <w:p w:rsidRPr="003A5B0C" w:rsidR="003A5B0C" w:rsidP="003A5B0C" w:rsidRDefault="003A5B0C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3A5B0C">
              <w:rPr>
                <w:rFonts w:cs="Arial"/>
                <w:iCs/>
                <w:szCs w:val="22"/>
              </w:rPr>
              <w:t>Op welke wijze dragen fosfaatrechten bij aan het verbeteren van de waterkwaliteit?</w:t>
            </w:r>
          </w:p>
          <w:p w:rsidRPr="003A5B0C" w:rsidR="003A5B0C" w:rsidP="003A5B0C" w:rsidRDefault="003A5B0C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3A5B0C">
              <w:rPr>
                <w:rFonts w:cs="Arial"/>
                <w:iCs/>
                <w:szCs w:val="22"/>
              </w:rPr>
              <w:t>Welke open einden heeft het wetsvoorstel? Hoe moet daarmee worden omgegaan?</w:t>
            </w:r>
          </w:p>
          <w:p w:rsidRPr="003A5B0C" w:rsidR="003A5B0C" w:rsidP="003A5B0C" w:rsidRDefault="003A5B0C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3A5B0C">
              <w:rPr>
                <w:rFonts w:cs="Arial"/>
                <w:iCs/>
                <w:szCs w:val="22"/>
              </w:rPr>
              <w:t>Welke bedrijven komen in de problemen?</w:t>
            </w:r>
          </w:p>
          <w:p w:rsidRPr="003A5B0C" w:rsidR="003A5B0C" w:rsidP="003A5B0C" w:rsidRDefault="003A5B0C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3A5B0C">
              <w:rPr>
                <w:rFonts w:cs="Arial"/>
                <w:iCs/>
                <w:szCs w:val="22"/>
              </w:rPr>
              <w:t>In hoeverre komt het wetsvoorstel tegemoet aan de kritiek van Raad van State? Wat zijn de juridische haken en ogen?</w:t>
            </w:r>
          </w:p>
          <w:p w:rsidR="003A5B0C" w:rsidRDefault="003A5B0C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="003A5B0C" w:rsidP="006575F2" w:rsidRDefault="003A5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Termijn plaatsvinden</w:t>
            </w:r>
            <w:proofErr w:type="gramStart"/>
            <w:r>
              <w:rPr>
                <w:rFonts w:cs="Arial"/>
                <w:b/>
                <w:iCs/>
                <w:szCs w:val="22"/>
              </w:rPr>
              <w:t>:</w:t>
            </w:r>
            <w:r>
              <w:rPr>
                <w:rFonts w:cs="Arial"/>
                <w:b/>
                <w:iCs/>
                <w:szCs w:val="22"/>
              </w:rPr>
              <w:br/>
            </w:r>
            <w:r w:rsidR="006575F2">
              <w:rPr>
                <w:rFonts w:cs="Arial"/>
                <w:iCs/>
                <w:szCs w:val="22"/>
              </w:rPr>
              <w:t>Na</w:t>
            </w:r>
            <w:proofErr w:type="gramEnd"/>
            <w:r w:rsidR="006575F2">
              <w:rPr>
                <w:rFonts w:cs="Arial"/>
                <w:iCs/>
                <w:szCs w:val="22"/>
              </w:rPr>
              <w:t xml:space="preserve"> ommekomst van de reactie van de staatssecretaris op de schriftelijke inbreng vanuit de Kamer. Op deze wijze kan in het rondetafelgesprek meer focus aangebracht worden. </w:t>
            </w: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bookmarkEnd w:id="0"/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rPr>
          <w:gridAfter w:val="1"/>
          <w:wAfter w:w="6817" w:type="dxa"/>
        </w:trPr>
        <w:tc>
          <w:tcPr>
            <w:tcW w:w="1809" w:type="dxa"/>
            <w:hideMark/>
          </w:tcPr>
          <w:p w:rsidR="003A5B0C" w:rsidRDefault="003A5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7230" w:type="dxa"/>
          </w:tcPr>
          <w:p w:rsidR="0058334B" w:rsidP="0058334B" w:rsidRDefault="0058334B">
            <w:pPr>
              <w:pStyle w:val="Lijstalinea"/>
              <w:numPr>
                <w:ilvl w:val="3"/>
                <w:numId w:val="1"/>
              </w:numPr>
              <w:ind w:hanging="4719"/>
              <w:rPr>
                <w:rFonts w:cs="Arial"/>
                <w:iCs/>
                <w:szCs w:val="22"/>
              </w:rPr>
            </w:pPr>
          </w:p>
          <w:p w:rsidRPr="0058334B" w:rsidR="0058334B" w:rsidP="0058334B" w:rsidRDefault="0058334B">
            <w:pPr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1.</w:t>
            </w:r>
            <w:r w:rsidRPr="0058334B">
              <w:rPr>
                <w:rFonts w:cs="Arial"/>
                <w:iCs/>
                <w:szCs w:val="22"/>
              </w:rPr>
              <w:t xml:space="preserve">Knelgevallen </w:t>
            </w:r>
          </w:p>
          <w:p w:rsidRPr="0058334B" w:rsidR="003A5B0C" w:rsidP="0058334B" w:rsidRDefault="0058334B">
            <w:pPr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2.</w:t>
            </w:r>
            <w:r w:rsidRPr="0058334B">
              <w:rPr>
                <w:rFonts w:cs="Arial"/>
                <w:iCs/>
                <w:szCs w:val="22"/>
              </w:rPr>
              <w:t>Bedrijfsleven en maatschappelijke organisaties</w:t>
            </w:r>
          </w:p>
          <w:p w:rsidR="003A5B0C" w:rsidRDefault="0058334B">
            <w:pPr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3.Juristen/wetenschappers</w:t>
            </w:r>
          </w:p>
          <w:p w:rsidR="003A5B0C" w:rsidRDefault="003A5B0C">
            <w:pPr>
              <w:rPr>
                <w:rFonts w:cs="Arial"/>
                <w:iCs/>
                <w:szCs w:val="22"/>
              </w:rPr>
            </w:pPr>
          </w:p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(Het aangegeven van de eventuele blokken is voldoende. </w:t>
            </w:r>
            <w:proofErr w:type="gramStart"/>
            <w:r>
              <w:rPr>
                <w:rFonts w:cs="Arial"/>
                <w:b/>
                <w:szCs w:val="22"/>
              </w:rPr>
              <w:t xml:space="preserve">Het is niet nodig om suggesties voor namen van genodigden hier al in te invullen. </w:t>
            </w:r>
            <w:proofErr w:type="gramEnd"/>
            <w:r>
              <w:rPr>
                <w:rFonts w:cs="Arial"/>
                <w:b/>
                <w:szCs w:val="22"/>
              </w:rPr>
              <w:t xml:space="preserve">Nadat de commissie heeft ingestemd met het voorstel tot het houden van een rondetafelgesprek/hoorzitting, zal via een </w:t>
            </w:r>
            <w:proofErr w:type="gramStart"/>
            <w:r>
              <w:rPr>
                <w:rFonts w:cs="Arial"/>
                <w:b/>
                <w:szCs w:val="22"/>
              </w:rPr>
              <w:t>separate</w:t>
            </w:r>
            <w:proofErr w:type="gramEnd"/>
            <w:r>
              <w:rPr>
                <w:rFonts w:cs="Arial"/>
                <w:b/>
                <w:szCs w:val="22"/>
              </w:rPr>
              <w:t xml:space="preserve"> emailprocedure de fracties worden verzocht om suggesties voor genodigden aan te leveren)</w:t>
            </w:r>
          </w:p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="003A5B0C" w:rsidP="0058334B" w:rsidRDefault="003A5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Maximaal aantal genodigden (per blok): </w:t>
            </w:r>
            <w:r w:rsidR="0058334B">
              <w:rPr>
                <w:rFonts w:cs="Arial"/>
                <w:szCs w:val="22"/>
              </w:rPr>
              <w:t>5</w:t>
            </w: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Tijdsduur per blok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1 uur </w:t>
            </w:r>
          </w:p>
          <w:p w:rsidR="003A5B0C" w:rsidRDefault="003A5B0C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="003A5B0C" w:rsidRDefault="003A5B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Gebruik van een wetenschappelijke netwerkverkenning? (duurt in de regel 1 à 2 weken)?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Ja</w:t>
            </w: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="003A5B0C" w:rsidTr="003A5B0C">
        <w:tc>
          <w:tcPr>
            <w:tcW w:w="9039" w:type="dxa"/>
            <w:gridSpan w:val="2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</w:tcPr>
          <w:p w:rsidR="003A5B0C" w:rsidRDefault="003A5B0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="00A653A3" w:rsidRDefault="00A653A3"/>
    <w:sectPr w:rsidR="00A653A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FF3"/>
    <w:multiLevelType w:val="hybridMultilevel"/>
    <w:tmpl w:val="6D26E3B4"/>
    <w:lvl w:ilvl="0" w:tplc="292011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0C"/>
    <w:rsid w:val="003A5B0C"/>
    <w:rsid w:val="00433D6E"/>
    <w:rsid w:val="00467E9F"/>
    <w:rsid w:val="0058334B"/>
    <w:rsid w:val="006575F2"/>
    <w:rsid w:val="00A6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A5B0C"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5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A5B0C"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1308</ap:Characters>
  <ap:DocSecurity>4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2016-09-12T12:54:00.0000000Z</dcterms:created>
  <dcterms:modified xsi:type="dcterms:W3CDTF">2016-09-12T12:54:00.0000000Z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0x010100871CAC2B0DA9D7488117A7E085B5662F</vt:lpwstr>
  </property>
</Properties>
</file>