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356B7" w:rsidR="004B41F7" w:rsidP="00B356B7" w:rsidRDefault="004B41F7">
      <w:pPr>
        <w:pStyle w:val="Huisstijl-Datumenbetreft"/>
        <w:rPr>
          <w:szCs w:val="18"/>
        </w:rPr>
      </w:pPr>
      <w:bookmarkStart w:name="_GoBack" w:id="0"/>
      <w:bookmarkEnd w:id="0"/>
      <w:r w:rsidRPr="00B356B7">
        <w:rPr>
          <w:szCs w:val="18"/>
        </w:rPr>
        <w:t xml:space="preserve">Bijlage </w:t>
      </w:r>
      <w:r w:rsidRPr="00B356B7" w:rsidR="0041305C">
        <w:rPr>
          <w:szCs w:val="18"/>
        </w:rPr>
        <w:t>1</w:t>
      </w:r>
      <w:r w:rsidRPr="00B356B7">
        <w:rPr>
          <w:szCs w:val="18"/>
        </w:rPr>
        <w:t xml:space="preserve">: </w:t>
      </w:r>
      <w:r w:rsidRPr="00B356B7" w:rsidR="004B31BF">
        <w:rPr>
          <w:szCs w:val="18"/>
        </w:rPr>
        <w:t xml:space="preserve">Stand van zaken beheersing van het Programma ERTMS en beantwoording van vragen over VGR4 ERTMS (Kenmerk </w:t>
      </w:r>
      <w:r w:rsidRPr="00B356B7">
        <w:rPr>
          <w:szCs w:val="18"/>
        </w:rPr>
        <w:t>33652-42/2016D17765</w:t>
      </w:r>
      <w:r w:rsidRPr="00B356B7" w:rsidR="004B31BF">
        <w:rPr>
          <w:szCs w:val="18"/>
        </w:rPr>
        <w:t>).</w:t>
      </w:r>
    </w:p>
    <w:p w:rsidR="004B41F7" w:rsidP="004B41F7" w:rsidRDefault="004B41F7">
      <w:pPr>
        <w:pStyle w:val="Huisstijl-Referentiegegevens"/>
        <w:spacing w:line="240" w:lineRule="exact"/>
        <w:rPr>
          <w:sz w:val="18"/>
          <w:szCs w:val="18"/>
        </w:rPr>
      </w:pPr>
    </w:p>
    <w:tbl>
      <w:tblPr>
        <w:tblStyle w:val="TableGrid"/>
        <w:tblW w:w="5000" w:type="pct"/>
        <w:tblLook w:val="04A0" w:firstRow="1" w:lastRow="0" w:firstColumn="1" w:lastColumn="0" w:noHBand="0" w:noVBand="1"/>
      </w:tblPr>
      <w:tblGrid>
        <w:gridCol w:w="3522"/>
        <w:gridCol w:w="3561"/>
        <w:gridCol w:w="2205"/>
      </w:tblGrid>
      <w:tr w:rsidRPr="004112FD" w:rsidR="004B41F7" w:rsidTr="004B41F7">
        <w:tc>
          <w:tcPr>
            <w:tcW w:w="1896" w:type="pct"/>
          </w:tcPr>
          <w:p w:rsidRPr="004112FD" w:rsidR="004B41F7" w:rsidP="007732B2" w:rsidRDefault="004B41F7">
            <w:pPr>
              <w:pStyle w:val="NoSpacing"/>
              <w:spacing w:line="240" w:lineRule="exact"/>
              <w:rPr>
                <w:rFonts w:ascii="Verdana" w:hAnsi="Verdana"/>
                <w:b/>
                <w:sz w:val="16"/>
                <w:szCs w:val="16"/>
              </w:rPr>
            </w:pPr>
            <w:r w:rsidRPr="004112FD">
              <w:rPr>
                <w:rFonts w:ascii="Verdana" w:hAnsi="Verdana"/>
                <w:b/>
                <w:sz w:val="16"/>
                <w:szCs w:val="16"/>
              </w:rPr>
              <w:t>Aanbeveling</w:t>
            </w:r>
            <w:r>
              <w:rPr>
                <w:rFonts w:ascii="Verdana" w:hAnsi="Verdana"/>
                <w:b/>
                <w:sz w:val="16"/>
                <w:szCs w:val="16"/>
              </w:rPr>
              <w:t>en ADR</w:t>
            </w:r>
          </w:p>
        </w:tc>
        <w:tc>
          <w:tcPr>
            <w:tcW w:w="1917" w:type="pct"/>
          </w:tcPr>
          <w:p w:rsidRPr="004112FD" w:rsidR="004B41F7" w:rsidP="007732B2" w:rsidRDefault="004B41F7">
            <w:pPr>
              <w:pStyle w:val="NoSpacing"/>
              <w:spacing w:line="240" w:lineRule="exact"/>
              <w:rPr>
                <w:rFonts w:ascii="Verdana" w:hAnsi="Verdana"/>
                <w:b/>
                <w:sz w:val="16"/>
                <w:szCs w:val="16"/>
              </w:rPr>
            </w:pPr>
            <w:r w:rsidRPr="004112FD">
              <w:rPr>
                <w:rFonts w:ascii="Verdana" w:hAnsi="Verdana"/>
                <w:b/>
                <w:sz w:val="16"/>
                <w:szCs w:val="16"/>
              </w:rPr>
              <w:t>Maatregel programma</w:t>
            </w:r>
          </w:p>
        </w:tc>
        <w:tc>
          <w:tcPr>
            <w:tcW w:w="1187" w:type="pct"/>
          </w:tcPr>
          <w:p w:rsidRPr="004112FD" w:rsidR="004B41F7" w:rsidP="007732B2" w:rsidRDefault="004B41F7">
            <w:pPr>
              <w:pStyle w:val="NoSpacing"/>
              <w:spacing w:line="240" w:lineRule="exact"/>
              <w:rPr>
                <w:rFonts w:ascii="Verdana" w:hAnsi="Verdana"/>
                <w:b/>
                <w:sz w:val="16"/>
                <w:szCs w:val="16"/>
              </w:rPr>
            </w:pPr>
            <w:r w:rsidRPr="004112FD">
              <w:rPr>
                <w:rFonts w:ascii="Verdana" w:hAnsi="Verdana"/>
                <w:b/>
                <w:sz w:val="16"/>
                <w:szCs w:val="16"/>
              </w:rPr>
              <w:t>Einddatum</w:t>
            </w:r>
          </w:p>
        </w:tc>
      </w:tr>
      <w:tr w:rsidRPr="00B904AD" w:rsidR="004B41F7" w:rsidTr="004B41F7">
        <w:tc>
          <w:tcPr>
            <w:tcW w:w="1896" w:type="pct"/>
          </w:tcPr>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Transitie van het programma:</w:t>
            </w: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 xml:space="preserve">Geen specifieke aanbevelingen, wel een aantal aandachtspunten meegeven, te weten: </w:t>
            </w:r>
          </w:p>
          <w:p w:rsidRPr="00B904AD" w:rsidR="004B41F7" w:rsidP="004B41F7" w:rsidRDefault="004B41F7">
            <w:pPr>
              <w:pStyle w:val="NoSpacing"/>
              <w:numPr>
                <w:ilvl w:val="0"/>
                <w:numId w:val="1"/>
              </w:numPr>
              <w:spacing w:line="240" w:lineRule="exact"/>
              <w:rPr>
                <w:rFonts w:ascii="Verdana" w:hAnsi="Verdana"/>
                <w:sz w:val="16"/>
                <w:szCs w:val="16"/>
              </w:rPr>
            </w:pPr>
            <w:r w:rsidRPr="00B904AD">
              <w:rPr>
                <w:rFonts w:ascii="Verdana" w:hAnsi="Verdana"/>
                <w:sz w:val="16"/>
                <w:szCs w:val="16"/>
              </w:rPr>
              <w:t>het overdragen van kennis aan nieuwe medewerkers</w:t>
            </w:r>
            <w:r>
              <w:rPr>
                <w:rFonts w:ascii="Verdana" w:hAnsi="Verdana"/>
                <w:sz w:val="16"/>
                <w:szCs w:val="16"/>
              </w:rPr>
              <w:t>;</w:t>
            </w:r>
          </w:p>
          <w:p w:rsidRPr="00B904AD" w:rsidR="004B41F7" w:rsidP="004B41F7" w:rsidRDefault="004B41F7">
            <w:pPr>
              <w:pStyle w:val="NoSpacing"/>
              <w:numPr>
                <w:ilvl w:val="0"/>
                <w:numId w:val="1"/>
              </w:numPr>
              <w:spacing w:line="240" w:lineRule="exact"/>
              <w:rPr>
                <w:rFonts w:ascii="Verdana" w:hAnsi="Verdana"/>
                <w:sz w:val="16"/>
                <w:szCs w:val="16"/>
              </w:rPr>
            </w:pPr>
            <w:r w:rsidRPr="00B904AD">
              <w:rPr>
                <w:rFonts w:ascii="Verdana" w:hAnsi="Verdana"/>
                <w:sz w:val="16"/>
                <w:szCs w:val="16"/>
              </w:rPr>
              <w:t xml:space="preserve">de tijdige en kwalitatief goede invulling van functies in de aangepaste organisatie. </w:t>
            </w:r>
          </w:p>
        </w:tc>
        <w:tc>
          <w:tcPr>
            <w:tcW w:w="1917" w:type="pct"/>
          </w:tcPr>
          <w:p w:rsidR="004B41F7" w:rsidP="007732B2" w:rsidRDefault="004B41F7">
            <w:pPr>
              <w:pStyle w:val="NoSpacing"/>
              <w:spacing w:line="240" w:lineRule="exact"/>
              <w:rPr>
                <w:rFonts w:ascii="Verdana" w:hAnsi="Verdana"/>
                <w:sz w:val="16"/>
                <w:szCs w:val="16"/>
              </w:rPr>
            </w:pP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Als onderdeel van de Transitie en recovery zijn workshops gehouden over de nieuwe werkwijze, de inhoud en cultuur. Periodiek wordt aandacht besteed aan zowel de inhoudelijke ontwikkelingen als programma organisatorische aspecten.</w:t>
            </w:r>
          </w:p>
        </w:tc>
        <w:tc>
          <w:tcPr>
            <w:tcW w:w="1187" w:type="pct"/>
          </w:tcPr>
          <w:p w:rsidR="004B41F7" w:rsidP="007732B2" w:rsidRDefault="004B41F7">
            <w:pPr>
              <w:pStyle w:val="NoSpacing"/>
              <w:spacing w:line="240" w:lineRule="exact"/>
              <w:rPr>
                <w:rFonts w:ascii="Verdana" w:hAnsi="Verdana"/>
                <w:sz w:val="16"/>
                <w:szCs w:val="16"/>
              </w:rPr>
            </w:pPr>
          </w:p>
          <w:p w:rsidRPr="00B904AD" w:rsidR="004B41F7" w:rsidP="007732B2" w:rsidRDefault="004B41F7">
            <w:pPr>
              <w:pStyle w:val="NoSpacing"/>
              <w:spacing w:line="240" w:lineRule="exact"/>
              <w:rPr>
                <w:rFonts w:ascii="Verdana" w:hAnsi="Verdana"/>
                <w:sz w:val="16"/>
                <w:szCs w:val="16"/>
              </w:rPr>
            </w:pPr>
            <w:r>
              <w:rPr>
                <w:rFonts w:ascii="Verdana" w:hAnsi="Verdana"/>
                <w:sz w:val="16"/>
                <w:szCs w:val="16"/>
              </w:rPr>
              <w:t>Workshops over</w:t>
            </w:r>
            <w:r w:rsidRPr="00B904AD">
              <w:rPr>
                <w:rFonts w:ascii="Verdana" w:hAnsi="Verdana"/>
                <w:sz w:val="16"/>
                <w:szCs w:val="16"/>
              </w:rPr>
              <w:t xml:space="preserve"> de nieuwe werkwijze dienen te zijn afgerond voor het einde van de recovery. </w:t>
            </w: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De overige aspecten blijven aandacht vergen van het MT</w:t>
            </w:r>
            <w:r>
              <w:rPr>
                <w:rFonts w:ascii="Verdana" w:hAnsi="Verdana"/>
                <w:sz w:val="16"/>
                <w:szCs w:val="16"/>
              </w:rPr>
              <w:t>.</w:t>
            </w:r>
          </w:p>
        </w:tc>
      </w:tr>
      <w:tr w:rsidRPr="00B904AD" w:rsidR="004B41F7" w:rsidTr="004B41F7">
        <w:tc>
          <w:tcPr>
            <w:tcW w:w="1896" w:type="pct"/>
          </w:tcPr>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 xml:space="preserve">Scope: </w:t>
            </w: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Geen specifieke aanbevelingen geformuleerd</w:t>
            </w:r>
            <w:r>
              <w:rPr>
                <w:rFonts w:ascii="Verdana" w:hAnsi="Verdana"/>
                <w:sz w:val="16"/>
                <w:szCs w:val="16"/>
              </w:rPr>
              <w:t>.</w:t>
            </w:r>
          </w:p>
        </w:tc>
        <w:tc>
          <w:tcPr>
            <w:tcW w:w="1917" w:type="pct"/>
          </w:tcPr>
          <w:p w:rsidR="004B41F7" w:rsidP="007732B2" w:rsidRDefault="004B41F7">
            <w:pPr>
              <w:pStyle w:val="NoSpacing"/>
              <w:spacing w:line="240" w:lineRule="exact"/>
              <w:rPr>
                <w:rFonts w:ascii="Verdana" w:hAnsi="Verdana"/>
                <w:sz w:val="16"/>
                <w:szCs w:val="16"/>
              </w:rPr>
            </w:pP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N</w:t>
            </w:r>
            <w:r>
              <w:rPr>
                <w:rFonts w:ascii="Verdana" w:hAnsi="Verdana"/>
                <w:sz w:val="16"/>
                <w:szCs w:val="16"/>
              </w:rPr>
              <w:t>.</w:t>
            </w:r>
            <w:r w:rsidRPr="00B904AD">
              <w:rPr>
                <w:rFonts w:ascii="Verdana" w:hAnsi="Verdana"/>
                <w:sz w:val="16"/>
                <w:szCs w:val="16"/>
              </w:rPr>
              <w:t>v</w:t>
            </w:r>
            <w:r>
              <w:rPr>
                <w:rFonts w:ascii="Verdana" w:hAnsi="Verdana"/>
                <w:sz w:val="16"/>
                <w:szCs w:val="16"/>
              </w:rPr>
              <w:t>.</w:t>
            </w:r>
            <w:r w:rsidRPr="00B904AD">
              <w:rPr>
                <w:rFonts w:ascii="Verdana" w:hAnsi="Verdana"/>
                <w:sz w:val="16"/>
                <w:szCs w:val="16"/>
              </w:rPr>
              <w:t>t</w:t>
            </w:r>
            <w:r>
              <w:rPr>
                <w:rFonts w:ascii="Verdana" w:hAnsi="Verdana"/>
                <w:sz w:val="16"/>
                <w:szCs w:val="16"/>
              </w:rPr>
              <w:t>.</w:t>
            </w:r>
          </w:p>
        </w:tc>
        <w:tc>
          <w:tcPr>
            <w:tcW w:w="1187" w:type="pct"/>
          </w:tcPr>
          <w:p w:rsidR="004B41F7" w:rsidP="007732B2" w:rsidRDefault="004B41F7">
            <w:pPr>
              <w:pStyle w:val="NoSpacing"/>
              <w:spacing w:line="240" w:lineRule="exact"/>
              <w:rPr>
                <w:rFonts w:ascii="Verdana" w:hAnsi="Verdana"/>
                <w:sz w:val="16"/>
                <w:szCs w:val="16"/>
              </w:rPr>
            </w:pP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N</w:t>
            </w:r>
            <w:r>
              <w:rPr>
                <w:rFonts w:ascii="Verdana" w:hAnsi="Verdana"/>
                <w:sz w:val="16"/>
                <w:szCs w:val="16"/>
              </w:rPr>
              <w:t>.v.</w:t>
            </w:r>
            <w:r w:rsidRPr="00B904AD">
              <w:rPr>
                <w:rFonts w:ascii="Verdana" w:hAnsi="Verdana"/>
                <w:sz w:val="16"/>
                <w:szCs w:val="16"/>
              </w:rPr>
              <w:t>t</w:t>
            </w:r>
            <w:r>
              <w:rPr>
                <w:rFonts w:ascii="Verdana" w:hAnsi="Verdana"/>
                <w:sz w:val="16"/>
                <w:szCs w:val="16"/>
              </w:rPr>
              <w:t>.</w:t>
            </w:r>
          </w:p>
        </w:tc>
      </w:tr>
      <w:tr w:rsidRPr="00B904AD" w:rsidR="004B41F7" w:rsidTr="004B41F7">
        <w:tc>
          <w:tcPr>
            <w:tcW w:w="1896" w:type="pct"/>
          </w:tcPr>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Planning:</w:t>
            </w:r>
          </w:p>
          <w:p w:rsidRPr="00B904AD" w:rsidR="004B41F7" w:rsidP="007732B2" w:rsidRDefault="004B41F7">
            <w:pPr>
              <w:pStyle w:val="NoSpacing"/>
              <w:spacing w:line="240" w:lineRule="exact"/>
              <w:rPr>
                <w:rFonts w:ascii="Verdana" w:hAnsi="Verdana" w:cs="Verdana"/>
                <w:sz w:val="16"/>
                <w:szCs w:val="16"/>
              </w:rPr>
            </w:pPr>
            <w:r w:rsidRPr="00B904AD">
              <w:rPr>
                <w:rFonts w:ascii="Verdana" w:hAnsi="Verdana" w:cs="Verdana"/>
                <w:sz w:val="16"/>
                <w:szCs w:val="16"/>
              </w:rPr>
              <w:t>Er is een processchema met betrekking tot het planningsproces. Dit processchema kan worden aangevuld met een beknopte beschrijving van:</w:t>
            </w:r>
          </w:p>
          <w:p w:rsidRPr="00B904AD" w:rsidR="004B41F7" w:rsidP="004B41F7" w:rsidRDefault="004B41F7">
            <w:pPr>
              <w:pStyle w:val="NoSpacing"/>
              <w:numPr>
                <w:ilvl w:val="0"/>
                <w:numId w:val="1"/>
              </w:numPr>
              <w:spacing w:line="240" w:lineRule="exact"/>
              <w:rPr>
                <w:rFonts w:ascii="Verdana" w:hAnsi="Verdana" w:cs="Verdana"/>
                <w:sz w:val="16"/>
                <w:szCs w:val="16"/>
              </w:rPr>
            </w:pPr>
            <w:r w:rsidRPr="00B904AD">
              <w:rPr>
                <w:rFonts w:ascii="Verdana" w:hAnsi="Verdana" w:cs="Verdana"/>
                <w:sz w:val="16"/>
                <w:szCs w:val="16"/>
              </w:rPr>
              <w:t>De functionarissen die betrokken zijn bij het planningsproces en de rol die zij daarbij vervullen.</w:t>
            </w:r>
          </w:p>
          <w:p w:rsidRPr="00B904AD" w:rsidR="004B41F7" w:rsidP="004B41F7" w:rsidRDefault="004B41F7">
            <w:pPr>
              <w:pStyle w:val="NoSpacing"/>
              <w:numPr>
                <w:ilvl w:val="0"/>
                <w:numId w:val="1"/>
              </w:numPr>
              <w:spacing w:line="240" w:lineRule="exact"/>
              <w:rPr>
                <w:rFonts w:ascii="Verdana" w:hAnsi="Verdana" w:cs="Verdana"/>
                <w:sz w:val="16"/>
                <w:szCs w:val="16"/>
              </w:rPr>
            </w:pPr>
            <w:r w:rsidRPr="00B904AD">
              <w:rPr>
                <w:rFonts w:ascii="Verdana" w:hAnsi="Verdana" w:cs="Verdana"/>
                <w:sz w:val="16"/>
                <w:szCs w:val="16"/>
              </w:rPr>
              <w:t>Hoe voorgestelde wijzigingen op de planning en de informatie over de voortgang worden aangeleverd en welke formats hierbij gehanteerd worden.</w:t>
            </w:r>
          </w:p>
          <w:p w:rsidRPr="00B904AD" w:rsidR="004B41F7" w:rsidP="004B41F7" w:rsidRDefault="004B41F7">
            <w:pPr>
              <w:pStyle w:val="NoSpacing"/>
              <w:numPr>
                <w:ilvl w:val="0"/>
                <w:numId w:val="1"/>
              </w:numPr>
              <w:spacing w:line="240" w:lineRule="exact"/>
              <w:rPr>
                <w:rFonts w:ascii="Verdana" w:hAnsi="Verdana" w:cs="Verdana"/>
                <w:sz w:val="16"/>
                <w:szCs w:val="16"/>
              </w:rPr>
            </w:pPr>
            <w:r w:rsidRPr="00B904AD">
              <w:rPr>
                <w:rFonts w:ascii="Verdana" w:hAnsi="Verdana" w:cs="Verdana"/>
                <w:sz w:val="16"/>
                <w:szCs w:val="16"/>
              </w:rPr>
              <w:t>De kwaliteitsborging die rond de planning plaatsvindt.</w:t>
            </w:r>
          </w:p>
          <w:p w:rsidRPr="00B904AD" w:rsidR="004B41F7" w:rsidP="004B41F7" w:rsidRDefault="004B41F7">
            <w:pPr>
              <w:pStyle w:val="NoSpacing"/>
              <w:numPr>
                <w:ilvl w:val="0"/>
                <w:numId w:val="1"/>
              </w:numPr>
              <w:spacing w:line="240" w:lineRule="exact"/>
              <w:rPr>
                <w:rFonts w:ascii="Verdana" w:hAnsi="Verdana" w:cs="Verdana"/>
                <w:sz w:val="16"/>
                <w:szCs w:val="16"/>
              </w:rPr>
            </w:pPr>
            <w:r w:rsidRPr="00B904AD">
              <w:rPr>
                <w:rFonts w:ascii="Verdana" w:hAnsi="Verdana" w:cs="Verdana"/>
                <w:sz w:val="16"/>
                <w:szCs w:val="16"/>
              </w:rPr>
              <w:t>De relatie en de afstemming met de andere beheersgebieden (scope, geld</w:t>
            </w:r>
            <w:r>
              <w:rPr>
                <w:rFonts w:ascii="Verdana" w:hAnsi="Verdana" w:cs="Verdana"/>
                <w:sz w:val="16"/>
                <w:szCs w:val="16"/>
              </w:rPr>
              <w:t xml:space="preserve"> </w:t>
            </w:r>
            <w:r w:rsidRPr="00B904AD">
              <w:rPr>
                <w:rFonts w:ascii="Verdana" w:hAnsi="Verdana" w:cs="Verdana"/>
                <w:sz w:val="16"/>
                <w:szCs w:val="16"/>
              </w:rPr>
              <w:t>en risico’s).</w:t>
            </w:r>
          </w:p>
        </w:tc>
        <w:tc>
          <w:tcPr>
            <w:tcW w:w="1917" w:type="pct"/>
          </w:tcPr>
          <w:p w:rsidR="004B41F7" w:rsidP="007732B2" w:rsidRDefault="004B41F7">
            <w:pPr>
              <w:pStyle w:val="NoSpacing"/>
              <w:spacing w:line="240" w:lineRule="exact"/>
              <w:rPr>
                <w:rFonts w:ascii="Verdana" w:hAnsi="Verdana"/>
                <w:sz w:val="16"/>
                <w:szCs w:val="16"/>
              </w:rPr>
            </w:pP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 xml:space="preserve">In het kader van het Programma Kwaliteitssysteem (PKS) is een standaard ontwikkeld voor de wijze waarop procedures dienen te worden beschreven en welke gegevens de procedure beschrijving dient te bevatten. Alle aspecten uit de aanbeveling zijn daarin opgenomen. </w:t>
            </w:r>
          </w:p>
          <w:p w:rsidRPr="00B904AD" w:rsidR="004B41F7" w:rsidP="007732B2" w:rsidRDefault="004B41F7">
            <w:pPr>
              <w:pStyle w:val="NoSpacing"/>
              <w:spacing w:line="240" w:lineRule="exact"/>
              <w:rPr>
                <w:rFonts w:ascii="Verdana" w:hAnsi="Verdana"/>
                <w:sz w:val="16"/>
                <w:szCs w:val="16"/>
              </w:rPr>
            </w:pP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In het programmaplan is aangegeven welke procedures opgenomen worden. Het planningsproces is één van die procedures</w:t>
            </w:r>
            <w:r>
              <w:rPr>
                <w:rFonts w:ascii="Verdana" w:hAnsi="Verdana"/>
                <w:sz w:val="16"/>
                <w:szCs w:val="16"/>
              </w:rPr>
              <w:t>.</w:t>
            </w:r>
          </w:p>
        </w:tc>
        <w:tc>
          <w:tcPr>
            <w:tcW w:w="1187" w:type="pct"/>
          </w:tcPr>
          <w:p w:rsidR="004B41F7" w:rsidP="007732B2" w:rsidRDefault="004B41F7">
            <w:pPr>
              <w:pStyle w:val="NoSpacing"/>
              <w:spacing w:line="240" w:lineRule="exact"/>
              <w:rPr>
                <w:rFonts w:ascii="Verdana" w:hAnsi="Verdana"/>
                <w:sz w:val="16"/>
                <w:szCs w:val="16"/>
              </w:rPr>
            </w:pP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 xml:space="preserve">De afronding van het PKS is in het </w:t>
            </w:r>
            <w:r>
              <w:rPr>
                <w:rFonts w:ascii="Verdana" w:hAnsi="Verdana"/>
                <w:sz w:val="16"/>
                <w:szCs w:val="16"/>
              </w:rPr>
              <w:t xml:space="preserve">najaar van </w:t>
            </w:r>
            <w:r w:rsidRPr="00B904AD">
              <w:rPr>
                <w:rFonts w:ascii="Verdana" w:hAnsi="Verdana"/>
                <w:sz w:val="16"/>
                <w:szCs w:val="16"/>
              </w:rPr>
              <w:t xml:space="preserve">2016 voorzien. </w:t>
            </w:r>
          </w:p>
        </w:tc>
      </w:tr>
      <w:tr w:rsidRPr="00B904AD" w:rsidR="004B41F7" w:rsidTr="004B41F7">
        <w:tc>
          <w:tcPr>
            <w:tcW w:w="1896" w:type="pct"/>
          </w:tcPr>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Risicomanagement:</w:t>
            </w:r>
          </w:p>
          <w:p w:rsidR="004B41F7" w:rsidP="007732B2" w:rsidRDefault="004B41F7">
            <w:pPr>
              <w:pStyle w:val="NoSpacing"/>
              <w:spacing w:line="240" w:lineRule="exact"/>
              <w:rPr>
                <w:rFonts w:ascii="Verdana" w:hAnsi="Verdana" w:cs="Verdana"/>
                <w:sz w:val="16"/>
                <w:szCs w:val="16"/>
              </w:rPr>
            </w:pPr>
            <w:r w:rsidRPr="00B904AD">
              <w:rPr>
                <w:rFonts w:ascii="Verdana" w:hAnsi="Verdana" w:cs="Verdana"/>
                <w:sz w:val="16"/>
                <w:szCs w:val="16"/>
              </w:rPr>
              <w:t>Voor het integraal beheren van de risico’s is de risicomanager afhankelijk van informatie die door de werkstromen wordt aangeleverd. Een goede kwantitatieve en kwalitatieve invulling van de bemensing van het risicomanagement binnen de werkstromen verdient nog de aandacht.</w:t>
            </w:r>
          </w:p>
          <w:p w:rsidRPr="00B904AD" w:rsidR="004B41F7" w:rsidP="007732B2" w:rsidRDefault="004B41F7">
            <w:pPr>
              <w:pStyle w:val="NoSpacing"/>
              <w:spacing w:line="240" w:lineRule="exact"/>
              <w:rPr>
                <w:rFonts w:ascii="Verdana" w:hAnsi="Verdana" w:cs="Verdana"/>
                <w:sz w:val="16"/>
                <w:szCs w:val="16"/>
              </w:rPr>
            </w:pPr>
          </w:p>
        </w:tc>
        <w:tc>
          <w:tcPr>
            <w:tcW w:w="1917" w:type="pct"/>
          </w:tcPr>
          <w:p w:rsidR="004B41F7" w:rsidP="007732B2" w:rsidRDefault="004B41F7">
            <w:pPr>
              <w:pStyle w:val="NoSpacing"/>
              <w:spacing w:line="240" w:lineRule="exact"/>
              <w:rPr>
                <w:rFonts w:ascii="Verdana" w:hAnsi="Verdana"/>
                <w:sz w:val="16"/>
                <w:szCs w:val="16"/>
              </w:rPr>
            </w:pP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 xml:space="preserve">Tijdens de transitie en recoveryfase zijn nieuwe risicomanagers ter ondersteuning van de werkstromen aangetrokken. De vacatures zijn nagenoeg allemaal ingevuld. </w:t>
            </w:r>
          </w:p>
        </w:tc>
        <w:tc>
          <w:tcPr>
            <w:tcW w:w="1187" w:type="pct"/>
          </w:tcPr>
          <w:p w:rsidR="004B41F7" w:rsidP="007732B2" w:rsidRDefault="004B41F7">
            <w:pPr>
              <w:pStyle w:val="NoSpacing"/>
              <w:spacing w:line="240" w:lineRule="exact"/>
              <w:rPr>
                <w:rFonts w:ascii="Verdana" w:hAnsi="Verdana"/>
                <w:sz w:val="16"/>
                <w:szCs w:val="16"/>
              </w:rPr>
            </w:pP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Einde recovery</w:t>
            </w:r>
            <w:r>
              <w:rPr>
                <w:rFonts w:ascii="Verdana" w:hAnsi="Verdana"/>
                <w:sz w:val="16"/>
                <w:szCs w:val="16"/>
              </w:rPr>
              <w:t xml:space="preserve"> (najaar 2016).</w:t>
            </w:r>
          </w:p>
        </w:tc>
      </w:tr>
      <w:tr w:rsidRPr="00B904AD" w:rsidR="004B41F7" w:rsidTr="004B41F7">
        <w:tc>
          <w:tcPr>
            <w:tcW w:w="1896" w:type="pct"/>
          </w:tcPr>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Kwaliteitsmanagement:</w:t>
            </w:r>
          </w:p>
          <w:p w:rsidRPr="00B904AD" w:rsidR="004B41F7" w:rsidP="007732B2" w:rsidRDefault="004B41F7">
            <w:pPr>
              <w:pStyle w:val="NoSpacing"/>
              <w:spacing w:line="240" w:lineRule="exact"/>
              <w:rPr>
                <w:rFonts w:ascii="Verdana" w:hAnsi="Verdana" w:cs="Verdana"/>
                <w:sz w:val="16"/>
                <w:szCs w:val="16"/>
              </w:rPr>
            </w:pPr>
            <w:r w:rsidRPr="00B904AD">
              <w:rPr>
                <w:rFonts w:ascii="Verdana" w:hAnsi="Verdana" w:cs="Verdana"/>
                <w:sz w:val="16"/>
                <w:szCs w:val="16"/>
              </w:rPr>
              <w:t>Van belang is dat kwaliteitsmanagement expliciet belegd en bemenst is en blijft in de werkstromen en programmabreed, alsmede dat de betreffende procedures goed zijn uitgewerkt en geïmplementeerd. Ook moeten verantwoordelijkheden duidelijk worden vastgelegd, bijvoorbeeld in een geactualiseerde RASCI-tabel.</w:t>
            </w:r>
          </w:p>
        </w:tc>
        <w:tc>
          <w:tcPr>
            <w:tcW w:w="1917" w:type="pct"/>
          </w:tcPr>
          <w:p w:rsidR="004B41F7" w:rsidP="007732B2" w:rsidRDefault="004B41F7">
            <w:pPr>
              <w:pStyle w:val="NoSpacing"/>
              <w:spacing w:line="240" w:lineRule="exact"/>
              <w:rPr>
                <w:rFonts w:ascii="Verdana" w:hAnsi="Verdana"/>
                <w:sz w:val="16"/>
                <w:szCs w:val="16"/>
              </w:rPr>
            </w:pP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 xml:space="preserve">Er is een Programma Kwaliteitsysteem opgezet voor het Programma ERTMS. Dit bevat het programmaplan, procedures en formats. </w:t>
            </w:r>
          </w:p>
        </w:tc>
        <w:tc>
          <w:tcPr>
            <w:tcW w:w="1187" w:type="pct"/>
          </w:tcPr>
          <w:p w:rsidR="004B41F7" w:rsidP="007732B2" w:rsidRDefault="004B41F7">
            <w:pPr>
              <w:pStyle w:val="NoSpacing"/>
              <w:spacing w:line="240" w:lineRule="exact"/>
              <w:rPr>
                <w:rFonts w:ascii="Verdana" w:hAnsi="Verdana"/>
                <w:sz w:val="16"/>
                <w:szCs w:val="16"/>
              </w:rPr>
            </w:pP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 xml:space="preserve">De afronding van het PKS is in </w:t>
            </w:r>
            <w:r>
              <w:rPr>
                <w:rFonts w:ascii="Verdana" w:hAnsi="Verdana"/>
                <w:sz w:val="16"/>
                <w:szCs w:val="16"/>
              </w:rPr>
              <w:t xml:space="preserve">het najaar 2016 van </w:t>
            </w:r>
            <w:r w:rsidRPr="00B904AD">
              <w:rPr>
                <w:rFonts w:ascii="Verdana" w:hAnsi="Verdana"/>
                <w:sz w:val="16"/>
                <w:szCs w:val="16"/>
              </w:rPr>
              <w:t>voorzien.</w:t>
            </w:r>
          </w:p>
        </w:tc>
      </w:tr>
      <w:tr w:rsidRPr="00B904AD" w:rsidR="004B41F7" w:rsidTr="004B41F7">
        <w:tc>
          <w:tcPr>
            <w:tcW w:w="1896" w:type="pct"/>
          </w:tcPr>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 xml:space="preserve">Configuratiemanagement: </w:t>
            </w: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Geen aanbevelingen gedaan over dit onderwerp</w:t>
            </w:r>
          </w:p>
        </w:tc>
        <w:tc>
          <w:tcPr>
            <w:tcW w:w="1917" w:type="pct"/>
          </w:tcPr>
          <w:p w:rsidR="004B41F7" w:rsidP="007732B2" w:rsidRDefault="004B41F7">
            <w:pPr>
              <w:pStyle w:val="NoSpacing"/>
              <w:spacing w:line="240" w:lineRule="exact"/>
              <w:rPr>
                <w:rFonts w:ascii="Verdana" w:hAnsi="Verdana"/>
                <w:sz w:val="16"/>
                <w:szCs w:val="16"/>
              </w:rPr>
            </w:pP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N</w:t>
            </w:r>
            <w:r>
              <w:rPr>
                <w:rFonts w:ascii="Verdana" w:hAnsi="Verdana"/>
                <w:sz w:val="16"/>
                <w:szCs w:val="16"/>
              </w:rPr>
              <w:t>.</w:t>
            </w:r>
            <w:r w:rsidRPr="00B904AD">
              <w:rPr>
                <w:rFonts w:ascii="Verdana" w:hAnsi="Verdana"/>
                <w:sz w:val="16"/>
                <w:szCs w:val="16"/>
              </w:rPr>
              <w:t>v</w:t>
            </w:r>
            <w:r>
              <w:rPr>
                <w:rFonts w:ascii="Verdana" w:hAnsi="Verdana"/>
                <w:sz w:val="16"/>
                <w:szCs w:val="16"/>
              </w:rPr>
              <w:t>.</w:t>
            </w:r>
            <w:r w:rsidRPr="00B904AD">
              <w:rPr>
                <w:rFonts w:ascii="Verdana" w:hAnsi="Verdana"/>
                <w:sz w:val="16"/>
                <w:szCs w:val="16"/>
              </w:rPr>
              <w:t>t</w:t>
            </w:r>
          </w:p>
        </w:tc>
        <w:tc>
          <w:tcPr>
            <w:tcW w:w="1187" w:type="pct"/>
          </w:tcPr>
          <w:p w:rsidR="004B41F7" w:rsidP="007732B2" w:rsidRDefault="004B41F7">
            <w:pPr>
              <w:pStyle w:val="NoSpacing"/>
              <w:spacing w:line="240" w:lineRule="exact"/>
              <w:rPr>
                <w:rFonts w:ascii="Verdana" w:hAnsi="Verdana"/>
                <w:sz w:val="16"/>
                <w:szCs w:val="16"/>
              </w:rPr>
            </w:pPr>
          </w:p>
          <w:p w:rsidRPr="00B904AD" w:rsidR="004B41F7" w:rsidP="007732B2" w:rsidRDefault="004B41F7">
            <w:pPr>
              <w:pStyle w:val="NoSpacing"/>
              <w:spacing w:line="240" w:lineRule="exact"/>
              <w:rPr>
                <w:rFonts w:ascii="Verdana" w:hAnsi="Verdana"/>
                <w:sz w:val="16"/>
                <w:szCs w:val="16"/>
              </w:rPr>
            </w:pPr>
            <w:r>
              <w:rPr>
                <w:rFonts w:ascii="Verdana" w:hAnsi="Verdana"/>
                <w:sz w:val="16"/>
                <w:szCs w:val="16"/>
              </w:rPr>
              <w:t>N.</w:t>
            </w:r>
            <w:r w:rsidRPr="00B904AD">
              <w:rPr>
                <w:rFonts w:ascii="Verdana" w:hAnsi="Verdana"/>
                <w:sz w:val="16"/>
                <w:szCs w:val="16"/>
              </w:rPr>
              <w:t>v</w:t>
            </w:r>
            <w:r>
              <w:rPr>
                <w:rFonts w:ascii="Verdana" w:hAnsi="Verdana"/>
                <w:sz w:val="16"/>
                <w:szCs w:val="16"/>
              </w:rPr>
              <w:t>.</w:t>
            </w:r>
            <w:r w:rsidRPr="00B904AD">
              <w:rPr>
                <w:rFonts w:ascii="Verdana" w:hAnsi="Verdana"/>
                <w:sz w:val="16"/>
                <w:szCs w:val="16"/>
              </w:rPr>
              <w:t>t</w:t>
            </w:r>
            <w:r>
              <w:rPr>
                <w:rFonts w:ascii="Verdana" w:hAnsi="Verdana"/>
                <w:sz w:val="16"/>
                <w:szCs w:val="16"/>
              </w:rPr>
              <w:t>.</w:t>
            </w:r>
          </w:p>
        </w:tc>
      </w:tr>
      <w:tr w:rsidRPr="00B904AD" w:rsidR="004B41F7" w:rsidTr="004B41F7">
        <w:tc>
          <w:tcPr>
            <w:tcW w:w="1896" w:type="pct"/>
          </w:tcPr>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lastRenderedPageBreak/>
              <w:t>Onafhankelijke SI-functie:</w:t>
            </w:r>
          </w:p>
          <w:p w:rsidRPr="00B904AD" w:rsidR="004B41F7" w:rsidP="007732B2" w:rsidRDefault="004B41F7">
            <w:pPr>
              <w:pStyle w:val="NoSpacing"/>
              <w:spacing w:line="240" w:lineRule="exact"/>
              <w:rPr>
                <w:rFonts w:ascii="Verdana" w:hAnsi="Verdana" w:cs="Verdana"/>
                <w:sz w:val="16"/>
                <w:szCs w:val="16"/>
              </w:rPr>
            </w:pPr>
            <w:r w:rsidRPr="00B904AD">
              <w:rPr>
                <w:rFonts w:ascii="Verdana" w:hAnsi="Verdana" w:cs="Verdana"/>
                <w:sz w:val="16"/>
                <w:szCs w:val="16"/>
              </w:rPr>
              <w:t>Nu de onafhankelijke SI-functie compleet is, verdient het aanbeveling om maandelijks met een beknopte rapportage te komen. In deze beknopte maandrapportage kan worden aangegeven:</w:t>
            </w:r>
          </w:p>
          <w:p w:rsidRPr="00B904AD" w:rsidR="004B41F7" w:rsidP="004B41F7" w:rsidRDefault="004B41F7">
            <w:pPr>
              <w:pStyle w:val="NoSpacing"/>
              <w:numPr>
                <w:ilvl w:val="0"/>
                <w:numId w:val="1"/>
              </w:numPr>
              <w:spacing w:line="240" w:lineRule="exact"/>
              <w:rPr>
                <w:rFonts w:ascii="Verdana" w:hAnsi="Verdana" w:cs="Verdana"/>
                <w:sz w:val="16"/>
                <w:szCs w:val="16"/>
              </w:rPr>
            </w:pPr>
            <w:r w:rsidRPr="00B904AD">
              <w:rPr>
                <w:rFonts w:ascii="Verdana" w:hAnsi="Verdana" w:cs="Verdana"/>
                <w:sz w:val="16"/>
                <w:szCs w:val="16"/>
              </w:rPr>
              <w:t>Welke activiteiten uitgevoerd zijn, welke (concept) deelproducten beoordeeld zijn.</w:t>
            </w:r>
          </w:p>
          <w:p w:rsidRPr="00B904AD" w:rsidR="004B41F7" w:rsidP="004B41F7" w:rsidRDefault="004B41F7">
            <w:pPr>
              <w:pStyle w:val="NoSpacing"/>
              <w:numPr>
                <w:ilvl w:val="0"/>
                <w:numId w:val="1"/>
              </w:numPr>
              <w:spacing w:line="240" w:lineRule="exact"/>
              <w:rPr>
                <w:rFonts w:ascii="Verdana" w:hAnsi="Verdana" w:cs="Verdana"/>
                <w:sz w:val="16"/>
                <w:szCs w:val="16"/>
              </w:rPr>
            </w:pPr>
            <w:r w:rsidRPr="00B904AD">
              <w:rPr>
                <w:rFonts w:ascii="Verdana" w:hAnsi="Verdana" w:cs="Verdana"/>
                <w:sz w:val="16"/>
                <w:szCs w:val="16"/>
              </w:rPr>
              <w:t>Wat de belangrijkste bevindingen zijn vanuit de SI-functie voor de drie onderdelen: SI, CIO en ECF vanuit die beoordeling.</w:t>
            </w:r>
          </w:p>
          <w:p w:rsidRPr="00B904AD" w:rsidR="004B41F7" w:rsidP="004B41F7" w:rsidRDefault="004B41F7">
            <w:pPr>
              <w:pStyle w:val="NoSpacing"/>
              <w:numPr>
                <w:ilvl w:val="0"/>
                <w:numId w:val="1"/>
              </w:numPr>
              <w:spacing w:line="240" w:lineRule="exact"/>
              <w:rPr>
                <w:rFonts w:ascii="Verdana" w:hAnsi="Verdana"/>
                <w:sz w:val="16"/>
                <w:szCs w:val="16"/>
              </w:rPr>
            </w:pPr>
            <w:r w:rsidRPr="00B904AD">
              <w:rPr>
                <w:rFonts w:ascii="Verdana" w:hAnsi="Verdana" w:cs="Verdana"/>
                <w:sz w:val="16"/>
                <w:szCs w:val="16"/>
              </w:rPr>
              <w:t>Welke activiteiten zijn voorzien voor de komende maand.</w:t>
            </w:r>
          </w:p>
        </w:tc>
        <w:tc>
          <w:tcPr>
            <w:tcW w:w="1917" w:type="pct"/>
          </w:tcPr>
          <w:p w:rsidR="004B41F7" w:rsidP="007732B2" w:rsidRDefault="004B41F7">
            <w:pPr>
              <w:pStyle w:val="NoSpacing"/>
              <w:spacing w:line="240" w:lineRule="exact"/>
              <w:rPr>
                <w:rFonts w:ascii="Verdana" w:hAnsi="Verdana"/>
                <w:sz w:val="16"/>
                <w:szCs w:val="16"/>
              </w:rPr>
            </w:pP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De SI maakt maandelijks een overzicht van alle producten die onafhankelijk zijn getoetst (zowel door SI, CIO en ECF) met daarbij de belangrijkste bevindingen. Ook wordt opgenomen welke producten, gezien de planning, voorzien zijn om in de komende maand getoetst te worden.</w:t>
            </w:r>
          </w:p>
        </w:tc>
        <w:tc>
          <w:tcPr>
            <w:tcW w:w="1187" w:type="pct"/>
          </w:tcPr>
          <w:p w:rsidR="004B41F7" w:rsidP="007732B2" w:rsidRDefault="004B41F7">
            <w:pPr>
              <w:pStyle w:val="NoSpacing"/>
              <w:spacing w:line="240" w:lineRule="exact"/>
              <w:rPr>
                <w:rFonts w:ascii="Verdana" w:hAnsi="Verdana"/>
                <w:sz w:val="16"/>
                <w:szCs w:val="16"/>
              </w:rPr>
            </w:pP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Einde recovery</w:t>
            </w:r>
            <w:r>
              <w:rPr>
                <w:rFonts w:ascii="Verdana" w:hAnsi="Verdana"/>
                <w:sz w:val="16"/>
                <w:szCs w:val="16"/>
              </w:rPr>
              <w:t xml:space="preserve"> (najaar 2016)</w:t>
            </w:r>
            <w:r w:rsidRPr="00B904AD">
              <w:rPr>
                <w:rFonts w:ascii="Verdana" w:hAnsi="Verdana"/>
                <w:sz w:val="16"/>
                <w:szCs w:val="16"/>
              </w:rPr>
              <w:t>.</w:t>
            </w:r>
          </w:p>
        </w:tc>
      </w:tr>
      <w:tr w:rsidRPr="00B904AD" w:rsidR="004B41F7" w:rsidTr="004B41F7">
        <w:tc>
          <w:tcPr>
            <w:tcW w:w="1896" w:type="pct"/>
          </w:tcPr>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Documentmanagement:</w:t>
            </w: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Geen aanbevelingen gedaan</w:t>
            </w:r>
          </w:p>
        </w:tc>
        <w:tc>
          <w:tcPr>
            <w:tcW w:w="1917" w:type="pct"/>
          </w:tcPr>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N</w:t>
            </w:r>
            <w:r>
              <w:rPr>
                <w:rFonts w:ascii="Verdana" w:hAnsi="Verdana"/>
                <w:sz w:val="16"/>
                <w:szCs w:val="16"/>
              </w:rPr>
              <w:t>.</w:t>
            </w:r>
            <w:r w:rsidRPr="00B904AD">
              <w:rPr>
                <w:rFonts w:ascii="Verdana" w:hAnsi="Verdana"/>
                <w:sz w:val="16"/>
                <w:szCs w:val="16"/>
              </w:rPr>
              <w:t>v</w:t>
            </w:r>
            <w:r>
              <w:rPr>
                <w:rFonts w:ascii="Verdana" w:hAnsi="Verdana"/>
                <w:sz w:val="16"/>
                <w:szCs w:val="16"/>
              </w:rPr>
              <w:t>.</w:t>
            </w:r>
            <w:r w:rsidRPr="00B904AD">
              <w:rPr>
                <w:rFonts w:ascii="Verdana" w:hAnsi="Verdana"/>
                <w:sz w:val="16"/>
                <w:szCs w:val="16"/>
              </w:rPr>
              <w:t>t</w:t>
            </w:r>
            <w:r>
              <w:rPr>
                <w:rFonts w:ascii="Verdana" w:hAnsi="Verdana"/>
                <w:sz w:val="16"/>
                <w:szCs w:val="16"/>
              </w:rPr>
              <w:t>.</w:t>
            </w:r>
          </w:p>
        </w:tc>
        <w:tc>
          <w:tcPr>
            <w:tcW w:w="1187" w:type="pct"/>
          </w:tcPr>
          <w:p w:rsidRPr="00B904AD" w:rsidR="004B41F7" w:rsidP="007732B2" w:rsidRDefault="004B41F7">
            <w:pPr>
              <w:pStyle w:val="NoSpacing"/>
              <w:spacing w:line="240" w:lineRule="exact"/>
              <w:rPr>
                <w:rFonts w:ascii="Verdana" w:hAnsi="Verdana"/>
                <w:sz w:val="16"/>
                <w:szCs w:val="16"/>
              </w:rPr>
            </w:pPr>
            <w:r>
              <w:rPr>
                <w:rFonts w:ascii="Verdana" w:hAnsi="Verdana"/>
                <w:sz w:val="16"/>
                <w:szCs w:val="16"/>
              </w:rPr>
              <w:t>N.</w:t>
            </w:r>
            <w:r w:rsidRPr="00B904AD">
              <w:rPr>
                <w:rFonts w:ascii="Verdana" w:hAnsi="Verdana"/>
                <w:sz w:val="16"/>
                <w:szCs w:val="16"/>
              </w:rPr>
              <w:t>v</w:t>
            </w:r>
            <w:r>
              <w:rPr>
                <w:rFonts w:ascii="Verdana" w:hAnsi="Verdana"/>
                <w:sz w:val="16"/>
                <w:szCs w:val="16"/>
              </w:rPr>
              <w:t>.</w:t>
            </w:r>
            <w:r w:rsidRPr="00B904AD">
              <w:rPr>
                <w:rFonts w:ascii="Verdana" w:hAnsi="Verdana"/>
                <w:sz w:val="16"/>
                <w:szCs w:val="16"/>
              </w:rPr>
              <w:t>t</w:t>
            </w:r>
            <w:r>
              <w:rPr>
                <w:rFonts w:ascii="Verdana" w:hAnsi="Verdana"/>
                <w:sz w:val="16"/>
                <w:szCs w:val="16"/>
              </w:rPr>
              <w:t>.</w:t>
            </w:r>
          </w:p>
        </w:tc>
      </w:tr>
      <w:tr w:rsidRPr="00B904AD" w:rsidR="004B41F7" w:rsidTr="004B41F7">
        <w:tc>
          <w:tcPr>
            <w:tcW w:w="1896" w:type="pct"/>
          </w:tcPr>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Bevindingen inzake de VGR:</w:t>
            </w:r>
          </w:p>
          <w:p w:rsidRPr="00B904AD" w:rsidR="004B41F7" w:rsidP="007732B2" w:rsidRDefault="004B41F7">
            <w:pPr>
              <w:pStyle w:val="NoSpacing"/>
              <w:spacing w:line="240" w:lineRule="exact"/>
              <w:rPr>
                <w:rFonts w:ascii="Verdana" w:hAnsi="Verdana" w:cs="Verdana"/>
                <w:sz w:val="16"/>
                <w:szCs w:val="16"/>
              </w:rPr>
            </w:pPr>
            <w:r w:rsidRPr="00B904AD">
              <w:rPr>
                <w:rFonts w:ascii="Verdana" w:hAnsi="Verdana" w:cs="Verdana"/>
                <w:sz w:val="16"/>
                <w:szCs w:val="16"/>
              </w:rPr>
              <w:t>Voor een snel inzicht in de risico’s die sterk gestegen of gedaald zijn, zou het goed zijn om de betreffende stijging of daling ook in paragraaf 3.6 toe te lichten</w:t>
            </w:r>
            <w:r>
              <w:rPr>
                <w:rFonts w:ascii="Verdana" w:hAnsi="Verdana" w:cs="Verdana"/>
                <w:sz w:val="16"/>
                <w:szCs w:val="16"/>
              </w:rPr>
              <w:t>.</w:t>
            </w:r>
          </w:p>
          <w:p w:rsidRPr="00B904AD" w:rsidR="004B41F7" w:rsidP="007732B2" w:rsidRDefault="004B41F7">
            <w:pPr>
              <w:pStyle w:val="NoSpacing"/>
              <w:spacing w:line="240" w:lineRule="exact"/>
              <w:rPr>
                <w:rFonts w:ascii="Verdana" w:hAnsi="Verdana" w:cs="Verdana"/>
                <w:sz w:val="16"/>
                <w:szCs w:val="16"/>
              </w:rPr>
            </w:pPr>
            <w:r w:rsidRPr="00B904AD">
              <w:rPr>
                <w:rFonts w:ascii="Verdana" w:hAnsi="Verdana" w:cs="Verdana"/>
                <w:sz w:val="16"/>
                <w:szCs w:val="16"/>
              </w:rPr>
              <w:t>De informatiewaarde van bijlage 4 kan toenemen door steeds expliciet over de voortgang van de uitvoering van de beheersmaatregelen te rapporteren.</w:t>
            </w:r>
          </w:p>
        </w:tc>
        <w:tc>
          <w:tcPr>
            <w:tcW w:w="1917" w:type="pct"/>
          </w:tcPr>
          <w:p w:rsidR="004B41F7" w:rsidP="007732B2" w:rsidRDefault="004B41F7">
            <w:pPr>
              <w:pStyle w:val="NoSpacing"/>
              <w:spacing w:line="240" w:lineRule="exact"/>
              <w:rPr>
                <w:rFonts w:ascii="Verdana" w:hAnsi="Verdana"/>
                <w:sz w:val="16"/>
                <w:szCs w:val="16"/>
              </w:rPr>
            </w:pP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 xml:space="preserve">Naar aanleiding van deze aanbeveling en het verzoek van de Griffie zal het format van de VGR worden aangepast. </w:t>
            </w:r>
          </w:p>
        </w:tc>
        <w:tc>
          <w:tcPr>
            <w:tcW w:w="1187" w:type="pct"/>
          </w:tcPr>
          <w:p w:rsidR="004B41F7" w:rsidP="007732B2" w:rsidRDefault="004B41F7">
            <w:pPr>
              <w:pStyle w:val="NoSpacing"/>
              <w:spacing w:line="240" w:lineRule="exact"/>
              <w:rPr>
                <w:rFonts w:ascii="Verdana" w:hAnsi="Verdana"/>
                <w:sz w:val="16"/>
                <w:szCs w:val="16"/>
              </w:rPr>
            </w:pP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VGR 5</w:t>
            </w:r>
            <w:r>
              <w:rPr>
                <w:rFonts w:ascii="Verdana" w:hAnsi="Verdana"/>
                <w:sz w:val="16"/>
                <w:szCs w:val="16"/>
              </w:rPr>
              <w:t xml:space="preserve"> (september 2016)</w:t>
            </w:r>
          </w:p>
        </w:tc>
      </w:tr>
      <w:tr w:rsidRPr="00B904AD" w:rsidR="004B41F7" w:rsidTr="004B41F7">
        <w:tc>
          <w:tcPr>
            <w:tcW w:w="1896" w:type="pct"/>
          </w:tcPr>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Afkeurend oordeel</w:t>
            </w:r>
          </w:p>
        </w:tc>
        <w:tc>
          <w:tcPr>
            <w:tcW w:w="1917" w:type="pct"/>
          </w:tcPr>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 xml:space="preserve">Ten aanzien van het afkeurend oordeel worden er geen specifieke aanbevelingen gedaan. </w:t>
            </w:r>
          </w:p>
          <w:p w:rsidRPr="00B904AD" w:rsidR="004B41F7" w:rsidP="007732B2" w:rsidRDefault="004B41F7">
            <w:pPr>
              <w:pStyle w:val="NoSpacing"/>
              <w:spacing w:line="240" w:lineRule="exact"/>
              <w:rPr>
                <w:rFonts w:ascii="Verdana" w:hAnsi="Verdana"/>
                <w:sz w:val="16"/>
                <w:szCs w:val="16"/>
              </w:rPr>
            </w:pP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 xml:space="preserve">Zowel het Programma ERTMS als het Ministerie treffen echter wel maatregelen om de geconstateerde onrechtmatigheden onder controle te brengen. Het programma heeft een inkooploket ingericht zodat er een uniforme aanpak van inkoop en prestatieverklaringen gevolgd wordt. Dit bureau is verantwoordelijk voor het tijdig volgen van het juiste inkoopproces, en de prestatieverklaringen.  </w:t>
            </w:r>
          </w:p>
          <w:p w:rsidRPr="00B904AD" w:rsidR="004B41F7" w:rsidP="007732B2" w:rsidRDefault="004B41F7">
            <w:pPr>
              <w:pStyle w:val="NoSpacing"/>
              <w:spacing w:line="240" w:lineRule="exact"/>
              <w:rPr>
                <w:rFonts w:ascii="Verdana" w:hAnsi="Verdana"/>
                <w:sz w:val="16"/>
                <w:szCs w:val="16"/>
              </w:rPr>
            </w:pPr>
          </w:p>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 xml:space="preserve">Daarnaast worden ook binnen het Ministerie verbeteringen bij de inkoopafdeling doorgevoerd om fouten in de inkoop, en daarmee een afkeurend oordeel te voorkomen. </w:t>
            </w:r>
          </w:p>
        </w:tc>
        <w:tc>
          <w:tcPr>
            <w:tcW w:w="1187" w:type="pct"/>
          </w:tcPr>
          <w:p w:rsidRPr="00B904AD" w:rsidR="004B41F7" w:rsidP="007732B2" w:rsidRDefault="004B41F7">
            <w:pPr>
              <w:pStyle w:val="NoSpacing"/>
              <w:spacing w:line="240" w:lineRule="exact"/>
              <w:rPr>
                <w:rFonts w:ascii="Verdana" w:hAnsi="Verdana"/>
                <w:sz w:val="16"/>
                <w:szCs w:val="16"/>
              </w:rPr>
            </w:pPr>
            <w:r w:rsidRPr="00B904AD">
              <w:rPr>
                <w:rFonts w:ascii="Verdana" w:hAnsi="Verdana"/>
                <w:sz w:val="16"/>
                <w:szCs w:val="16"/>
              </w:rPr>
              <w:t>Het inkooploket is ingericht, de procedures en documenten zijn beschreven. In het derde kwartaal zal dit volledig operationeel zijn.</w:t>
            </w:r>
          </w:p>
        </w:tc>
      </w:tr>
    </w:tbl>
    <w:p w:rsidRPr="004B41F7" w:rsidR="004B41F7" w:rsidP="004B41F7" w:rsidRDefault="004B41F7">
      <w:pPr>
        <w:pStyle w:val="Huisstijl-Referentiegegevens"/>
        <w:spacing w:line="240" w:lineRule="exact"/>
        <w:rPr>
          <w:sz w:val="18"/>
          <w:szCs w:val="18"/>
        </w:rPr>
      </w:pPr>
    </w:p>
    <w:sectPr w:rsidRPr="004B41F7" w:rsidR="004B41F7" w:rsidSect="00A17C6E">
      <w:head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05C" w:rsidRDefault="0041305C" w:rsidP="0041305C">
      <w:pPr>
        <w:spacing w:after="0" w:line="240" w:lineRule="auto"/>
      </w:pPr>
      <w:r>
        <w:separator/>
      </w:r>
    </w:p>
  </w:endnote>
  <w:endnote w:type="continuationSeparator" w:id="0">
    <w:p w:rsidR="0041305C" w:rsidRDefault="0041305C" w:rsidP="00413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2EFF" w:usb1="D200FDFF" w:usb2="0A042029" w:usb3="00000000" w:csb0="8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05C" w:rsidRDefault="0041305C" w:rsidP="0041305C">
      <w:pPr>
        <w:spacing w:after="0" w:line="240" w:lineRule="auto"/>
      </w:pPr>
      <w:r>
        <w:separator/>
      </w:r>
    </w:p>
  </w:footnote>
  <w:footnote w:type="continuationSeparator" w:id="0">
    <w:p w:rsidR="0041305C" w:rsidRDefault="0041305C" w:rsidP="00413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05C" w:rsidRPr="0041305C" w:rsidRDefault="0041305C" w:rsidP="0041305C">
    <w:pPr>
      <w:pStyle w:val="Header"/>
      <w:jc w:val="right"/>
      <w:rPr>
        <w:rFonts w:ascii="Verdana" w:hAnsi="Verdana"/>
        <w:sz w:val="18"/>
        <w:szCs w:val="18"/>
      </w:rPr>
    </w:pPr>
    <w:r w:rsidRPr="0041305C">
      <w:rPr>
        <w:rFonts w:ascii="Verdana" w:hAnsi="Verdana"/>
        <w:sz w:val="18"/>
        <w:szCs w:val="18"/>
      </w:rPr>
      <w:t>Bijlage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828AF"/>
    <w:multiLevelType w:val="hybridMultilevel"/>
    <w:tmpl w:val="A7EEDF64"/>
    <w:lvl w:ilvl="0" w:tplc="E01C2F72">
      <w:start w:val="1"/>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41F7"/>
    <w:rsid w:val="00042257"/>
    <w:rsid w:val="00044308"/>
    <w:rsid w:val="002213B9"/>
    <w:rsid w:val="002D523F"/>
    <w:rsid w:val="0041305C"/>
    <w:rsid w:val="004B31BF"/>
    <w:rsid w:val="004B41F7"/>
    <w:rsid w:val="007D4BAE"/>
    <w:rsid w:val="00A17C6E"/>
    <w:rsid w:val="00A55D57"/>
    <w:rsid w:val="00B356B7"/>
    <w:rsid w:val="00C60B4B"/>
    <w:rsid w:val="00F22CDC"/>
    <w:rsid w:val="00FA3CFE"/>
    <w:rsid w:val="00FB64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eferentiegegevens">
    <w:name w:val="Huisstijl - Referentiegegevens"/>
    <w:basedOn w:val="Normal"/>
    <w:rsid w:val="004B41F7"/>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rPr>
  </w:style>
  <w:style w:type="paragraph" w:customStyle="1" w:styleId="Heading">
    <w:name w:val="Heading"/>
    <w:basedOn w:val="Normal"/>
    <w:next w:val="Normal"/>
    <w:rsid w:val="004B41F7"/>
    <w:pPr>
      <w:keepNext/>
      <w:widowControl w:val="0"/>
      <w:suppressAutoHyphens/>
      <w:autoSpaceDN w:val="0"/>
      <w:spacing w:before="240" w:after="120" w:line="240" w:lineRule="exact"/>
      <w:textAlignment w:val="baseline"/>
    </w:pPr>
    <w:rPr>
      <w:rFonts w:ascii="Arial" w:eastAsia="DejaVu Sans" w:hAnsi="Arial" w:cs="Lohit Hindi"/>
      <w:kern w:val="3"/>
      <w:sz w:val="28"/>
      <w:szCs w:val="28"/>
      <w:lang w:eastAsia="zh-CN" w:bidi="hi-IN"/>
    </w:rPr>
  </w:style>
  <w:style w:type="paragraph" w:styleId="NoSpacing">
    <w:name w:val="No Spacing"/>
    <w:uiPriority w:val="1"/>
    <w:qFormat/>
    <w:rsid w:val="004B41F7"/>
    <w:pPr>
      <w:spacing w:after="0" w:line="240" w:lineRule="auto"/>
    </w:pPr>
  </w:style>
  <w:style w:type="table" w:styleId="TableGrid">
    <w:name w:val="Table Grid"/>
    <w:basedOn w:val="TableNormal"/>
    <w:uiPriority w:val="59"/>
    <w:rsid w:val="004B41F7"/>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Datumenbetreft">
    <w:name w:val="Huisstijl - Datum en betreft"/>
    <w:basedOn w:val="Normal"/>
    <w:rsid w:val="004B31BF"/>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styleId="Header">
    <w:name w:val="header"/>
    <w:basedOn w:val="Normal"/>
    <w:link w:val="HeaderChar"/>
    <w:uiPriority w:val="99"/>
    <w:semiHidden/>
    <w:unhideWhenUsed/>
    <w:rsid w:val="0041305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1305C"/>
  </w:style>
  <w:style w:type="paragraph" w:styleId="Footer">
    <w:name w:val="footer"/>
    <w:basedOn w:val="Normal"/>
    <w:link w:val="FooterChar"/>
    <w:uiPriority w:val="99"/>
    <w:semiHidden/>
    <w:unhideWhenUsed/>
    <w:rsid w:val="0041305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13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90834">
      <w:bodyDiv w:val="1"/>
      <w:marLeft w:val="0"/>
      <w:marRight w:val="0"/>
      <w:marTop w:val="0"/>
      <w:marBottom w:val="0"/>
      <w:divBdr>
        <w:top w:val="none" w:sz="0" w:space="0" w:color="auto"/>
        <w:left w:val="none" w:sz="0" w:space="0" w:color="auto"/>
        <w:bottom w:val="none" w:sz="0" w:space="0" w:color="auto"/>
        <w:right w:val="none" w:sz="0" w:space="0" w:color="auto"/>
      </w:divBdr>
    </w:div>
    <w:div w:id="18865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776</ap:Words>
  <ap:Characters>4271</ap:Characters>
  <ap:DocSecurity>0</ap:DocSecurity>
  <ap:Lines>35</ap:Lines>
  <ap:Paragraphs>10</ap:Paragraphs>
  <ap:ScaleCrop>false</ap:ScaleCrop>
  <ap:LinksUpToDate>false</ap:LinksUpToDate>
  <ap:CharactersWithSpaces>5037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2016-07-06T14:50:00.0000000Z</dcterms:created>
  <dcterms:modified xsi:type="dcterms:W3CDTF">2016-07-06T14:50:00.0000000Z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0x010100A1AFF3FEC7D6644E8107C861B348DF44</vt:lpwstr>
  </property>
</Properties>
</file>