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W06.15.0465/III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29 januari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4477C" w:rsidRDefault="002F6FE9">
              <w:r>
                <w:t>Bij Kabinetsmissive van 23 december 2015, no.2015002308, heeft Uwe Majesteit, op voordracht van de Minister van Financiën, bij de Afdeling advisering van de Raad van State ter overweging aanhangig gemaakt het voorstel van wet tot wijziging van de Wet op het financieel toezicht ter implementatie van richtlijn nr. 2014/92/EU van het Europees Parlement en de Raad van 23 juli 2014 betreffende de vergelijkbaarheid van de in verband met betaalrekeningen aangerekende vergoedingen, het overstappen naar een andere betaalrekening en de toegang tot betaalrekeningen met basisfuncties (PbEU 2014, L 257) (Implementatiewet toegang basisbetaalrekening), met memorie van toelichting.</w:t>
              </w:r>
            </w:p>
          </w:sdtContent>
        </w:sdt>
        <w:p w:rsidRPr="00831363" w:rsidR="00CE4655" w:rsidP="003C7608" w:rsidRDefault="00CE4655"/>
        <w:sdt>
          <w:sdtPr>
            <w:alias w:val="VrijeTekst1"/>
            <w:tag w:val="VrijeTekst1"/>
            <w:id w:val="-437221631"/>
            <w:lock w:val="sdtLocked"/>
          </w:sdtPr>
          <w:sdtEndPr/>
          <w:sdtContent>
            <w:p w:rsidR="00B051C4" w:rsidP="00DB3499" w:rsidRDefault="002F6FE9">
              <w:r>
                <w:t xml:space="preserve">Het voorstel strekt tot wijziging van de Wet op het financieel toezicht (Wft) in verband met de </w:t>
              </w:r>
              <w:proofErr w:type="gramStart"/>
              <w:r>
                <w:t>implementatie</w:t>
              </w:r>
              <w:proofErr w:type="gramEnd"/>
              <w:r>
                <w:t xml:space="preserve"> van richtlijn nr. 2014/92/EU (de richtlijn).</w:t>
              </w:r>
              <w:r>
                <w:rPr>
                  <w:rStyle w:val="Voetnootmarkering"/>
                </w:rPr>
                <w:footnoteReference w:id="1"/>
              </w:r>
            </w:p>
            <w:p w:rsidR="00774701" w:rsidP="00DB3499" w:rsidRDefault="002F6FE9">
              <w:r>
                <w:t xml:space="preserve">  </w:t>
              </w:r>
            </w:p>
            <w:p w:rsidR="00973CAD" w:rsidP="00DB3499" w:rsidRDefault="002F6FE9">
              <w:r w:rsidRPr="00973CAD">
                <w:t xml:space="preserve">De Afdeling advisering van de Raad van State adviseert het voorstel aan de Tweede Kamer te zenden, maar </w:t>
              </w:r>
              <w:r>
                <w:t xml:space="preserve">acht aanvulling </w:t>
              </w:r>
              <w:r w:rsidRPr="00973CAD">
                <w:t>van het voorstel aangewezen</w:t>
              </w:r>
              <w:r>
                <w:t xml:space="preserve">, omdat de </w:t>
              </w:r>
              <w:proofErr w:type="gramStart"/>
              <w:r>
                <w:t>implementatie</w:t>
              </w:r>
              <w:proofErr w:type="gramEnd"/>
              <w:r>
                <w:t xml:space="preserve"> op onderdelen niet volledig is</w:t>
              </w:r>
              <w:r w:rsidRPr="00973CAD">
                <w:t>.</w:t>
              </w:r>
            </w:p>
            <w:p w:rsidR="006E7A3E" w:rsidP="00DB3499" w:rsidRDefault="0021041B"/>
            <w:p w:rsidRPr="00DB3499" w:rsidR="00DB3499" w:rsidP="00DB3499" w:rsidRDefault="002F6FE9">
              <w:pPr>
                <w:rPr>
                  <w:u w:val="single"/>
                </w:rPr>
              </w:pPr>
              <w:r>
                <w:t>1.</w:t>
              </w:r>
              <w:r>
                <w:tab/>
                <w:t xml:space="preserve"> </w:t>
              </w:r>
              <w:r>
                <w:rPr>
                  <w:u w:val="single"/>
                </w:rPr>
                <w:t>Vergelijkingswebsite</w:t>
              </w:r>
            </w:p>
            <w:p w:rsidR="00DB3499" w:rsidP="00DB3499" w:rsidRDefault="0021041B"/>
            <w:p w:rsidR="00DB3499" w:rsidP="00DB3499" w:rsidRDefault="002F6FE9">
              <w:r>
                <w:t xml:space="preserve">Artikel 7 van de richtlijn verplicht de lidstaten te verzekeren dat consumenten toegang hebben tot </w:t>
              </w:r>
              <w:proofErr w:type="gramStart"/>
              <w:r>
                <w:t>ten minste</w:t>
              </w:r>
              <w:proofErr w:type="gramEnd"/>
              <w:r>
                <w:t xml:space="preserve"> één vergelijkingswebsite waarmee die consumenten de vergoedingen voor diensten van betalingsdienstaanbieders kunnen vergelijken. Vergelijkingswebsites kunnen volgens dit artikel door private ondernemers of door overheidsinstanties worden beheerd. Dit artikel stelt ook een aantal voorwaarden waaraan deze websites moeten voldoen, zoals gelijke behandeling van betalingsdienstaanbieders in de zoekresultaten, het hanteren van objectieve vergelijkingscriteria, het vermelden wie de eigenaren van die vergelijkingswebsites zijn en het bieden van een doeltreffende procedure om onjuiste informatie over gepubliceerde vergoedingen te melden. </w:t>
              </w:r>
            </w:p>
            <w:p w:rsidR="00973CAD" w:rsidP="00DB3499" w:rsidRDefault="0021041B"/>
            <w:p w:rsidR="00DB3499" w:rsidP="00DB3499" w:rsidRDefault="002F6FE9">
              <w:r>
                <w:t>Volgens de toelichting zal de vormgeving van deze website en het beheer ervan nader worden uitgewerkt, maar vergt dit geen wijziging van de Wft omdat het “feitelijk handelen” betreft.</w:t>
              </w:r>
              <w:r>
                <w:rPr>
                  <w:rStyle w:val="Voetnootmarkering"/>
                </w:rPr>
                <w:footnoteReference w:id="2"/>
              </w:r>
            </w:p>
            <w:p w:rsidR="00DB3499" w:rsidP="00DB3499" w:rsidRDefault="0021041B"/>
            <w:p w:rsidR="00973CAD" w:rsidP="00DB3499" w:rsidRDefault="002F6FE9">
              <w:r>
                <w:t xml:space="preserve">De Afdeling merkt op dat de in artikel 7 van de richtlijn gestelde voorwaarden waaraan vergelijkingswebsites in de zin van de richtlijn dienen te voldoen, zonder </w:t>
              </w:r>
              <w:proofErr w:type="gramStart"/>
              <w:r>
                <w:t>implementatie</w:t>
              </w:r>
              <w:proofErr w:type="gramEnd"/>
              <w:r>
                <w:t xml:space="preserve"> niet automatisch in de Nederlandse rechtsorde kunnen worden gehandhaafd.</w:t>
              </w:r>
              <w:r>
                <w:rPr>
                  <w:rStyle w:val="Voetnootmarkering"/>
                </w:rPr>
                <w:footnoteReference w:id="3"/>
              </w:r>
              <w:r>
                <w:t xml:space="preserve"> Dat is te meer van belang omdat de richtlijn in artikel 21 voorschrijft dat bevoegde autoriteiten moeten worden aangewezen die moeten beschikken over de nodige toezichts- en handhavingsbevoegdheden. Voorts schrijft artikel 26 van de richtlijn voor dat de lidstaten regels vaststellen voor sancties op overtredingen van de geïmplementeerde richtlijnbepalingen. </w:t>
              </w:r>
              <w:r w:rsidRPr="0005442E">
                <w:t>Deze bepalingen hebben voor zover het gaat om vergelijkingswebsites geen feitelijke betekenis als artikel 7 niet is geïmplementeerd.</w:t>
              </w:r>
            </w:p>
            <w:p w:rsidR="00F36C88" w:rsidP="00FF035E" w:rsidRDefault="0021041B"/>
            <w:p w:rsidR="00F36C88" w:rsidP="00FF035E" w:rsidRDefault="002F6FE9">
              <w:r>
                <w:t xml:space="preserve">Gelet op het vorenstaande adviseert de Afdeling alsnog te voorzien in implementatie van artikel 7 van de richtlijn. </w:t>
              </w:r>
            </w:p>
            <w:p w:rsidR="00F36C88" w:rsidP="00FF035E" w:rsidRDefault="0021041B"/>
            <w:p w:rsidR="006E7A3E" w:rsidP="00FF035E" w:rsidRDefault="002F6FE9">
              <w:r>
                <w:t>2.</w:t>
              </w:r>
              <w:r>
                <w:tab/>
              </w:r>
              <w:r>
                <w:rPr>
                  <w:u w:val="single"/>
                </w:rPr>
                <w:t>T</w:t>
              </w:r>
              <w:r w:rsidRPr="006E7A3E">
                <w:rPr>
                  <w:u w:val="single"/>
                </w:rPr>
                <w:t>oegang tot betaalrekeningen</w:t>
              </w:r>
            </w:p>
            <w:p w:rsidR="006E7A3E" w:rsidP="00FF035E" w:rsidRDefault="0021041B"/>
            <w:p w:rsidR="006E7A3E" w:rsidP="00FF035E" w:rsidRDefault="002F6FE9">
              <w:r>
                <w:t>Een belangrijk element van de richtlijn is dat alle consumenten die legaal op het grondgebied van de EU verblijven toegang moeten hebben tot een basisbetaalrekening (artikelen 15 en 16 van de richtlijn). Aan die toegang worden verschillende eisen gesteld. In het bijzonder wijst de Afdeling erop, dat niet enkel internetbetaalrekeningen beschikbaar mogen zijn als basisbetaalrekening, dat bij de toegang niet mag worden gediscrimineerd op basis van nationaliteit, woonplaats en de gronden van artikel 21 van het Handvest van de grondrechten van de Europese Unie,</w:t>
              </w:r>
              <w:r>
                <w:rPr>
                  <w:rStyle w:val="Voetnootmarkering"/>
                </w:rPr>
                <w:footnoteReference w:id="4"/>
              </w:r>
              <w:r>
                <w:t xml:space="preserve"> en dat een basisbetaalrekening ook beschikbaar moet zijn voor consumenten zonder vast adres. </w:t>
              </w:r>
            </w:p>
            <w:p w:rsidR="00CC75E0" w:rsidP="00FF035E" w:rsidRDefault="002F6FE9">
              <w:r>
                <w:t>In de voorgestelde paragraaf 4.3.1.8 Wft heeft op vorengenoemde punten geen uitdrukkelijke implementatie plaatsgevonden. De toelichting vermeldt slechts dat wat betreft het verbod op discriminatie op basis van nationaliteit wordt uitgegaan van de Algemene wet gelijke behandeling.</w:t>
              </w:r>
              <w:r>
                <w:rPr>
                  <w:rStyle w:val="Voetnootmarkering"/>
                </w:rPr>
                <w:footnoteReference w:id="5"/>
              </w:r>
              <w:r>
                <w:t xml:space="preserve"> Naar het oordeel van de Afdeling zijn daarmee de genoemde bepalingen </w:t>
              </w:r>
              <w:r w:rsidRPr="0005442E">
                <w:t>niet volledig geïmplementeerd</w:t>
              </w:r>
              <w:r>
                <w:t xml:space="preserve">. </w:t>
              </w:r>
            </w:p>
            <w:p w:rsidR="00CC75E0" w:rsidP="00FF035E" w:rsidRDefault="0021041B"/>
            <w:p w:rsidR="0031089B" w:rsidP="00FF035E" w:rsidRDefault="002F6FE9">
              <w:r>
                <w:t xml:space="preserve">De Afdeling adviseert het voorstel in het bijzonder op vorengenoemde punten aan te vullen zodat de volledige implementatie van de artikelen 15 en 16 van de richtlijn wordt verzekerd.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5B1DB4" w:rsidP="00891BB0" w:rsidRDefault="002F6FE9">
              <w:r>
                <w:t>3.</w:t>
              </w:r>
              <w:r>
                <w:tab/>
              </w:r>
              <w:r w:rsidRPr="005F7A2B">
                <w:t>De Afdeling verwijst naar de bij dit advies behorende redactionele bijlage.</w:t>
              </w:r>
            </w:p>
            <w:p w:rsidR="005B1DB4" w:rsidP="00891BB0" w:rsidRDefault="005B1DB4"/>
            <w:p w:rsidR="005B1DB4" w:rsidP="00891BB0" w:rsidRDefault="005B1DB4"/>
            <w:p w:rsidR="005B1DB4" w:rsidP="00891BB0" w:rsidRDefault="005B1DB4"/>
            <w:p w:rsidR="005B1DB4" w:rsidP="00891BB0" w:rsidRDefault="005B1DB4"/>
            <w:p w:rsidR="0021041B" w:rsidP="00891BB0" w:rsidRDefault="0021041B"/>
            <w:p w:rsidR="0021041B" w:rsidP="00891BB0" w:rsidRDefault="0021041B">
              <w:bookmarkStart w:name="_GoBack" w:id="0"/>
              <w:bookmarkEnd w:id="0"/>
            </w:p>
            <w:p w:rsidR="007212F1" w:rsidP="00891BB0" w:rsidRDefault="0021041B"/>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4477C" w:rsidRDefault="002F6FE9">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W06.15.0465</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1B5504" w:rsidP="00DA7ABE" w:rsidRDefault="002F6FE9">
              <w:pPr>
                <w:numPr>
                  <w:ilvl w:val="0"/>
                  <w:numId w:val="3"/>
                </w:numPr>
              </w:pPr>
              <w:r>
                <w:t>De tekst van artikel 4:71g, tweede lid, onder d, afstemmen op de toelichting(onder “Specifiek bijkomende gevallen”); in het artikel wordt van “twee jaar” gesproken en in de toelichting van “een jaar”.</w:t>
              </w:r>
            </w:p>
            <w:p w:rsidR="00DA7ABE" w:rsidP="00DA7ABE" w:rsidRDefault="002F6FE9">
              <w:pPr>
                <w:numPr>
                  <w:ilvl w:val="0"/>
                  <w:numId w:val="3"/>
                </w:numPr>
              </w:pPr>
              <w:r w:rsidRPr="00DA7ABE">
                <w:t>In artikel 4:71g, tweede lid, onder e, Wft “het vierde lid” vervangen door: het derde lid</w:t>
              </w:r>
              <w:r>
                <w:t>.</w:t>
              </w:r>
            </w:p>
            <w:p w:rsidR="00E70C71" w:rsidP="002D6ED2" w:rsidRDefault="002F6FE9">
              <w:pPr>
                <w:numPr>
                  <w:ilvl w:val="0"/>
                  <w:numId w:val="3"/>
                </w:numPr>
              </w:pPr>
              <w:r>
                <w:t xml:space="preserve">In artikel 4:71i, eerste lid, onder f, Wft, gelet op artikel 19, tweede lid, onder a, van de richtlijn, na “de basisbetaalrekening” </w:t>
              </w:r>
              <w:proofErr w:type="gramStart"/>
              <w:r>
                <w:t>invoegen</w:t>
              </w:r>
              <w:proofErr w:type="gramEnd"/>
              <w:r>
                <w:t xml:space="preserve">: opzettelijk.  </w:t>
              </w:r>
            </w:p>
          </w:sdtContent>
        </w:sdt>
        <w:p w:rsidR="00C50D4F" w:rsidP="005841EA" w:rsidRDefault="0021041B">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2F6FE9" w:rsidP="005B3E03">
      <w:r>
        <w:separator/>
      </w:r>
    </w:p>
    <w:p w:rsidR="002D0ACF" w:rsidRDefault="0021041B"/>
  </w:endnote>
  <w:endnote w:type="continuationSeparator" w:id="0">
    <w:p w:rsidR="00847094" w:rsidRDefault="002F6FE9" w:rsidP="005B3E03">
      <w:r>
        <w:continuationSeparator/>
      </w:r>
    </w:p>
    <w:p w:rsidR="002D0ACF" w:rsidRDefault="00210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2F6FE9" w:rsidP="005B3E03">
      <w:r>
        <w:separator/>
      </w:r>
    </w:p>
    <w:p w:rsidR="002D0ACF" w:rsidRDefault="0021041B"/>
  </w:footnote>
  <w:footnote w:type="continuationSeparator" w:id="0">
    <w:p w:rsidR="00847094" w:rsidRDefault="002F6FE9" w:rsidP="005B3E03">
      <w:r>
        <w:continuationSeparator/>
      </w:r>
    </w:p>
    <w:p w:rsidR="002D0ACF" w:rsidRDefault="0021041B"/>
  </w:footnote>
  <w:footnote w:id="1">
    <w:p w:rsidR="00966E4B" w:rsidRDefault="002F6FE9">
      <w:pPr>
        <w:pStyle w:val="Voetnoottekst"/>
      </w:pPr>
      <w:r>
        <w:rPr>
          <w:rStyle w:val="Voetnootmarkering"/>
        </w:rPr>
        <w:footnoteRef/>
      </w:r>
      <w:r>
        <w:t xml:space="preserve">  </w:t>
      </w:r>
      <w:r>
        <w:tab/>
        <w:t>R</w:t>
      </w:r>
      <w:r w:rsidRPr="00966E4B">
        <w:t>ichtlijn nr. 2014/92/EU van het Europees Parlement en de Raad van 23 juli 2014 betreffende de vergelijkbaarheid van de in verband met betaalrekeningen aangerekende vergoedingen, het overstappen naar een andere betaalrekening en de toegang tot betaalrekeningen met basisfuncties (PbEU 2014, L 257)</w:t>
      </w:r>
      <w:r>
        <w:t xml:space="preserve">. </w:t>
      </w:r>
    </w:p>
  </w:footnote>
  <w:footnote w:id="2">
    <w:p w:rsidR="0059733F" w:rsidRDefault="002F6FE9" w:rsidP="0059733F">
      <w:pPr>
        <w:pStyle w:val="Voetnoottekst"/>
      </w:pPr>
      <w:r>
        <w:rPr>
          <w:rStyle w:val="Voetnootmarkering"/>
        </w:rPr>
        <w:footnoteRef/>
      </w:r>
      <w:r>
        <w:t xml:space="preserve">  </w:t>
      </w:r>
      <w:r>
        <w:tab/>
        <w:t>Paragraaf 2.</w:t>
      </w:r>
    </w:p>
  </w:footnote>
  <w:footnote w:id="3">
    <w:p w:rsidR="00934953" w:rsidRDefault="002F6FE9">
      <w:pPr>
        <w:pStyle w:val="Voetnoottekst"/>
      </w:pPr>
      <w:r>
        <w:rPr>
          <w:rStyle w:val="Voetnootmarkering"/>
        </w:rPr>
        <w:footnoteRef/>
      </w:r>
      <w:r>
        <w:t xml:space="preserve">  </w:t>
      </w:r>
      <w:r>
        <w:tab/>
        <w:t xml:space="preserve">Bij beheer door een overheidsinstantie ontstaat de vraag op basis van welke publiekrechtelijke titel de desbetreffende instantie opereert (en in verband daarmee overheidsmiddelen inzet). </w:t>
      </w:r>
    </w:p>
  </w:footnote>
  <w:footnote w:id="4">
    <w:p w:rsidR="00774701" w:rsidRDefault="002F6FE9">
      <w:pPr>
        <w:pStyle w:val="Voetnoottekst"/>
      </w:pPr>
      <w:r>
        <w:rPr>
          <w:rStyle w:val="Voetnootmarkering"/>
        </w:rPr>
        <w:footnoteRef/>
      </w:r>
      <w:r>
        <w:t xml:space="preserve">  </w:t>
      </w:r>
      <w:r>
        <w:tab/>
        <w:t xml:space="preserve">Dit betekent ook dat consumenten in beginsel een rekening bij een bank in een andere lidstaat moeten kunnen openen. </w:t>
      </w:r>
    </w:p>
  </w:footnote>
  <w:footnote w:id="5">
    <w:p w:rsidR="00B051C4" w:rsidRDefault="002F6FE9" w:rsidP="00B051C4">
      <w:pPr>
        <w:pStyle w:val="Voetnoottekst"/>
      </w:pPr>
      <w:r>
        <w:rPr>
          <w:rStyle w:val="Voetnootmarkering"/>
        </w:rPr>
        <w:footnoteRef/>
      </w:r>
      <w:r>
        <w:t xml:space="preserve">  </w:t>
      </w:r>
      <w:r>
        <w:tab/>
        <w:t xml:space="preserve">Paragraaf 2, “Non-discriminatie”.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B1DB4">
      <w:rPr>
        <w:rStyle w:val="Paginanummer"/>
        <w:noProof/>
      </w:rPr>
      <w:t>3</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1041B">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1041B">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F53"/>
    <w:multiLevelType w:val="hybridMultilevel"/>
    <w:tmpl w:val="E34435B0"/>
    <w:lvl w:ilvl="0" w:tplc="8CF4CEEA">
      <w:start w:val="1"/>
      <w:numFmt w:val="bullet"/>
      <w:lvlText w:val="–"/>
      <w:lvlJc w:val="left"/>
      <w:pPr>
        <w:ind w:left="720" w:hanging="360"/>
      </w:pPr>
      <w:rPr>
        <w:rFonts w:ascii="Univers" w:hAnsi="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4C75B3"/>
    <w:multiLevelType w:val="hybridMultilevel"/>
    <w:tmpl w:val="FA6207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1041B"/>
    <w:rsid w:val="002276F4"/>
    <w:rsid w:val="002B7D8A"/>
    <w:rsid w:val="002F16D1"/>
    <w:rsid w:val="002F6FE9"/>
    <w:rsid w:val="0031280A"/>
    <w:rsid w:val="00365EF8"/>
    <w:rsid w:val="003706AD"/>
    <w:rsid w:val="0037367E"/>
    <w:rsid w:val="003C7608"/>
    <w:rsid w:val="00411DBC"/>
    <w:rsid w:val="00554D49"/>
    <w:rsid w:val="005841EA"/>
    <w:rsid w:val="005B1DB4"/>
    <w:rsid w:val="005E41CC"/>
    <w:rsid w:val="00635836"/>
    <w:rsid w:val="00636D17"/>
    <w:rsid w:val="0064477C"/>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DB34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DB3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783</ap:Words>
  <ap:Characters>4309</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2016-01-29T12:15:00.0000000Z</lastPrinted>
  <dcterms:created xsi:type="dcterms:W3CDTF">2013-05-08T08:42:00.0000000Z</dcterms:created>
  <dcterms:modified xsi:type="dcterms:W3CDTF">2016-01-29T12:16:00.0000000Z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0x0101002D5A5495A0A35A4DBC2D3EA8EDD52436</vt:lpwstr>
  </property>
</Properties>
</file>