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WithEffects.xml" ContentType="application/vnd.ms-word.stylesWithEffec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B5299E" w:rsidR="00034877" w:rsidP="00245F25" w:rsidRDefault="00B5299E">
      <w:pPr>
        <w:rPr>
          <w:b/>
          <w:i/>
          <w:lang w:eastAsia="zh-CN" w:bidi="hi-IN"/>
        </w:rPr>
      </w:pPr>
      <w:r>
        <w:rPr>
          <w:b/>
          <w:i/>
          <w:lang w:eastAsia="zh-CN" w:bidi="hi-IN"/>
        </w:rPr>
        <w:t>Inventarisatie ervaringen boetestelsel 2009-201</w:t>
      </w:r>
      <w:r w:rsidR="00042EF4">
        <w:rPr>
          <w:b/>
          <w:i/>
          <w:lang w:eastAsia="zh-CN" w:bidi="hi-IN"/>
        </w:rPr>
        <w:t>5</w:t>
      </w:r>
    </w:p>
    <w:p w:rsidRPr="007A171A" w:rsidR="00034877" w:rsidP="00245F25" w:rsidRDefault="00034877">
      <w:pPr>
        <w:rPr>
          <w:lang w:eastAsia="zh-CN" w:bidi="hi-IN"/>
        </w:rPr>
      </w:pPr>
    </w:p>
    <w:p w:rsidRPr="007A171A" w:rsidR="00524A1A" w:rsidP="00245F25" w:rsidRDefault="00034877">
      <w:pPr>
        <w:rPr>
          <w:lang w:eastAsia="zh-CN" w:bidi="hi-IN"/>
        </w:rPr>
      </w:pPr>
      <w:r w:rsidRPr="007A171A">
        <w:rPr>
          <w:lang w:eastAsia="zh-CN" w:bidi="hi-IN"/>
        </w:rPr>
        <w:t xml:space="preserve">Op </w:t>
      </w:r>
      <w:r w:rsidRPr="007A171A" w:rsidR="00651A63">
        <w:rPr>
          <w:lang w:eastAsia="zh-CN" w:bidi="hi-IN"/>
        </w:rPr>
        <w:t>1 augustus</w:t>
      </w:r>
      <w:r w:rsidRPr="007A171A">
        <w:rPr>
          <w:lang w:eastAsia="zh-CN" w:bidi="hi-IN"/>
        </w:rPr>
        <w:t xml:space="preserve"> 2009 is het boetesysteem van de Wet </w:t>
      </w:r>
      <w:r w:rsidR="00144FF0">
        <w:rPr>
          <w:lang w:eastAsia="zh-CN" w:bidi="hi-IN"/>
        </w:rPr>
        <w:t xml:space="preserve">op het </w:t>
      </w:r>
      <w:r w:rsidRPr="007A171A">
        <w:rPr>
          <w:lang w:eastAsia="zh-CN" w:bidi="hi-IN"/>
        </w:rPr>
        <w:t>financieel toezicht (</w:t>
      </w:r>
      <w:proofErr w:type="spellStart"/>
      <w:r w:rsidRPr="007A171A">
        <w:rPr>
          <w:lang w:eastAsia="zh-CN" w:bidi="hi-IN"/>
        </w:rPr>
        <w:t>Wft</w:t>
      </w:r>
      <w:proofErr w:type="spellEnd"/>
      <w:r w:rsidRPr="007A171A">
        <w:rPr>
          <w:lang w:eastAsia="zh-CN" w:bidi="hi-IN"/>
        </w:rPr>
        <w:t>) veranderd.</w:t>
      </w:r>
      <w:r w:rsidRPr="007A171A">
        <w:rPr>
          <w:rStyle w:val="Voetnootmarkering"/>
          <w:lang w:eastAsia="zh-CN" w:bidi="hi-IN"/>
        </w:rPr>
        <w:footnoteReference w:id="1"/>
      </w:r>
      <w:r w:rsidRPr="007A171A">
        <w:rPr>
          <w:lang w:eastAsia="zh-CN" w:bidi="hi-IN"/>
        </w:rPr>
        <w:t xml:space="preserve"> </w:t>
      </w:r>
      <w:r w:rsidR="00B5299E">
        <w:rPr>
          <w:lang w:eastAsia="zh-CN" w:bidi="hi-IN"/>
        </w:rPr>
        <w:t xml:space="preserve">De </w:t>
      </w:r>
      <w:r w:rsidR="009C2632">
        <w:rPr>
          <w:lang w:eastAsia="zh-CN" w:bidi="hi-IN"/>
        </w:rPr>
        <w:t xml:space="preserve">praktijkervaringen </w:t>
      </w:r>
      <w:r w:rsidRPr="007A171A">
        <w:rPr>
          <w:lang w:eastAsia="zh-CN" w:bidi="hi-IN"/>
        </w:rPr>
        <w:t>met deze boetewetgeving</w:t>
      </w:r>
      <w:r w:rsidR="00B34D33">
        <w:rPr>
          <w:lang w:eastAsia="zh-CN" w:bidi="hi-IN"/>
        </w:rPr>
        <w:t xml:space="preserve"> </w:t>
      </w:r>
      <w:r w:rsidR="00B5299E">
        <w:rPr>
          <w:lang w:eastAsia="zh-CN" w:bidi="hi-IN"/>
        </w:rPr>
        <w:t xml:space="preserve">zijn </w:t>
      </w:r>
      <w:r w:rsidR="009C2632">
        <w:rPr>
          <w:lang w:eastAsia="zh-CN" w:bidi="hi-IN"/>
        </w:rPr>
        <w:t>geïnventariseerd.</w:t>
      </w:r>
      <w:r w:rsidR="00B34D33">
        <w:rPr>
          <w:lang w:eastAsia="zh-CN" w:bidi="hi-IN"/>
        </w:rPr>
        <w:t xml:space="preserve"> De resultaten vindt u hier.</w:t>
      </w:r>
      <w:r w:rsidR="009C2632">
        <w:rPr>
          <w:lang w:eastAsia="zh-CN" w:bidi="hi-IN"/>
        </w:rPr>
        <w:t xml:space="preserve"> </w:t>
      </w:r>
      <w:r w:rsidRPr="007A171A" w:rsidR="00524A1A">
        <w:rPr>
          <w:lang w:eastAsia="zh-CN" w:bidi="hi-IN"/>
        </w:rPr>
        <w:t xml:space="preserve">Na een korte </w:t>
      </w:r>
      <w:r w:rsidR="00381023">
        <w:rPr>
          <w:lang w:eastAsia="zh-CN" w:bidi="hi-IN"/>
        </w:rPr>
        <w:t xml:space="preserve">weergave </w:t>
      </w:r>
      <w:r w:rsidRPr="007A171A" w:rsidR="00524A1A">
        <w:rPr>
          <w:lang w:eastAsia="zh-CN" w:bidi="hi-IN"/>
        </w:rPr>
        <w:t xml:space="preserve">van de belangrijkste wijzigingen </w:t>
      </w:r>
      <w:r w:rsidR="00381023">
        <w:rPr>
          <w:lang w:eastAsia="zh-CN" w:bidi="hi-IN"/>
        </w:rPr>
        <w:t xml:space="preserve">van </w:t>
      </w:r>
      <w:r w:rsidRPr="007A171A" w:rsidR="00524A1A">
        <w:rPr>
          <w:lang w:eastAsia="zh-CN" w:bidi="hi-IN"/>
        </w:rPr>
        <w:t>het boetestelsel en de achtergrond hiervan worden de ervaringen van de financiële toezichthouders met de wijzigingen besproken.</w:t>
      </w:r>
    </w:p>
    <w:p w:rsidRPr="007A171A" w:rsidR="00034877" w:rsidP="00245F25" w:rsidRDefault="00034877">
      <w:pPr>
        <w:rPr>
          <w:lang w:eastAsia="zh-CN" w:bidi="hi-IN"/>
        </w:rPr>
      </w:pPr>
    </w:p>
    <w:p w:rsidRPr="007A171A" w:rsidR="00034877" w:rsidP="00245F25" w:rsidRDefault="00524A1A">
      <w:pPr>
        <w:rPr>
          <w:b/>
          <w:lang w:eastAsia="zh-CN" w:bidi="hi-IN"/>
        </w:rPr>
      </w:pPr>
      <w:r w:rsidRPr="007A171A">
        <w:rPr>
          <w:b/>
          <w:lang w:eastAsia="zh-CN" w:bidi="hi-IN"/>
        </w:rPr>
        <w:t>1. W</w:t>
      </w:r>
      <w:r w:rsidRPr="007A171A" w:rsidR="00034877">
        <w:rPr>
          <w:b/>
          <w:lang w:eastAsia="zh-CN" w:bidi="hi-IN"/>
        </w:rPr>
        <w:t>ijzigingen</w:t>
      </w:r>
      <w:r w:rsidRPr="007A171A">
        <w:rPr>
          <w:b/>
          <w:lang w:eastAsia="zh-CN" w:bidi="hi-IN"/>
        </w:rPr>
        <w:t xml:space="preserve"> boetewetgeving</w:t>
      </w:r>
    </w:p>
    <w:p w:rsidRPr="007A171A" w:rsidR="00034877" w:rsidP="00245F25" w:rsidRDefault="00034877">
      <w:pPr>
        <w:rPr>
          <w:lang w:eastAsia="zh-CN" w:bidi="hi-IN"/>
        </w:rPr>
      </w:pPr>
    </w:p>
    <w:p w:rsidRPr="007A171A" w:rsidR="00034877" w:rsidP="00245F25" w:rsidRDefault="00F648B1">
      <w:pPr>
        <w:rPr>
          <w:i/>
          <w:lang w:eastAsia="zh-CN" w:bidi="hi-IN"/>
        </w:rPr>
      </w:pPr>
      <w:r w:rsidRPr="007A171A">
        <w:rPr>
          <w:i/>
          <w:lang w:eastAsia="zh-CN" w:bidi="hi-IN"/>
        </w:rPr>
        <w:t>B</w:t>
      </w:r>
      <w:r w:rsidRPr="007A171A" w:rsidR="00034877">
        <w:rPr>
          <w:i/>
          <w:lang w:eastAsia="zh-CN" w:bidi="hi-IN"/>
        </w:rPr>
        <w:t>oetesysteem tot 1 augustus 2009</w:t>
      </w:r>
    </w:p>
    <w:p w:rsidRPr="007A171A" w:rsidR="00034877" w:rsidP="00245F25" w:rsidRDefault="00034877">
      <w:pPr>
        <w:rPr>
          <w:lang w:eastAsia="zh-CN" w:bidi="hi-IN"/>
        </w:rPr>
      </w:pPr>
    </w:p>
    <w:p w:rsidRPr="007A171A" w:rsidR="00034877" w:rsidP="00245F25" w:rsidRDefault="00034877">
      <w:pPr>
        <w:rPr>
          <w:lang w:eastAsia="zh-CN" w:bidi="hi-IN"/>
        </w:rPr>
      </w:pPr>
      <w:r w:rsidRPr="007A171A">
        <w:rPr>
          <w:lang w:eastAsia="zh-CN" w:bidi="hi-IN"/>
        </w:rPr>
        <w:t>De belangrijkste kenmerken van het boetesysteem tot 1 augustus 2009 waren:</w:t>
      </w:r>
    </w:p>
    <w:p w:rsidRPr="007A171A" w:rsidR="00034877" w:rsidP="00245F25" w:rsidRDefault="00381023">
      <w:pPr>
        <w:pStyle w:val="Lijstalinea"/>
        <w:numPr>
          <w:ilvl w:val="0"/>
          <w:numId w:val="17"/>
        </w:numPr>
        <w:ind w:left="284" w:hanging="284"/>
        <w:rPr>
          <w:lang w:eastAsia="zh-CN" w:bidi="hi-IN"/>
        </w:rPr>
      </w:pPr>
      <w:r>
        <w:rPr>
          <w:lang w:eastAsia="zh-CN" w:bidi="hi-IN"/>
        </w:rPr>
        <w:t xml:space="preserve">een wettelijk </w:t>
      </w:r>
      <w:r w:rsidRPr="007A171A" w:rsidR="00034877">
        <w:rPr>
          <w:lang w:eastAsia="zh-CN" w:bidi="hi-IN"/>
        </w:rPr>
        <w:t>maximum</w:t>
      </w:r>
      <w:r w:rsidR="00B5299E">
        <w:rPr>
          <w:lang w:eastAsia="zh-CN" w:bidi="hi-IN"/>
        </w:rPr>
        <w:t>boete</w:t>
      </w:r>
      <w:r w:rsidRPr="007A171A" w:rsidR="00034877">
        <w:rPr>
          <w:lang w:eastAsia="zh-CN" w:bidi="hi-IN"/>
        </w:rPr>
        <w:t>bedrag van € 900.000;</w:t>
      </w:r>
    </w:p>
    <w:p w:rsidRPr="007A171A" w:rsidR="00034877" w:rsidP="00245F25" w:rsidRDefault="00381023">
      <w:pPr>
        <w:pStyle w:val="Lijstalinea"/>
        <w:numPr>
          <w:ilvl w:val="0"/>
          <w:numId w:val="17"/>
        </w:numPr>
        <w:ind w:left="284" w:hanging="284"/>
        <w:rPr>
          <w:lang w:eastAsia="zh-CN" w:bidi="hi-IN"/>
        </w:rPr>
      </w:pPr>
      <w:r>
        <w:rPr>
          <w:lang w:eastAsia="zh-CN" w:bidi="hi-IN"/>
        </w:rPr>
        <w:t>een</w:t>
      </w:r>
      <w:r w:rsidR="00B34D33">
        <w:rPr>
          <w:lang w:eastAsia="zh-CN" w:bidi="hi-IN"/>
        </w:rPr>
        <w:t xml:space="preserve"> indeling van overtredingen in vijf</w:t>
      </w:r>
      <w:r>
        <w:rPr>
          <w:lang w:eastAsia="zh-CN" w:bidi="hi-IN"/>
        </w:rPr>
        <w:t xml:space="preserve"> boetecategorieën </w:t>
      </w:r>
      <w:r w:rsidRPr="007A171A" w:rsidR="00034877">
        <w:rPr>
          <w:lang w:eastAsia="zh-CN" w:bidi="hi-IN"/>
        </w:rPr>
        <w:t>in het Besluit boetes Wft</w:t>
      </w:r>
      <w:r w:rsidRPr="007A171A" w:rsidR="00034877">
        <w:rPr>
          <w:rStyle w:val="Voetnootmarkering"/>
          <w:lang w:eastAsia="zh-CN" w:bidi="hi-IN"/>
        </w:rPr>
        <w:footnoteReference w:id="2"/>
      </w:r>
      <w:r w:rsidRPr="007A171A" w:rsidR="00034877">
        <w:rPr>
          <w:lang w:eastAsia="zh-CN" w:bidi="hi-IN"/>
        </w:rPr>
        <w:t>;</w:t>
      </w:r>
    </w:p>
    <w:p w:rsidRPr="007A171A" w:rsidR="00034877" w:rsidP="00245F25" w:rsidRDefault="00381023">
      <w:pPr>
        <w:pStyle w:val="Lijstalinea"/>
        <w:numPr>
          <w:ilvl w:val="0"/>
          <w:numId w:val="17"/>
        </w:numPr>
        <w:ind w:left="284" w:hanging="284"/>
        <w:rPr>
          <w:lang w:eastAsia="zh-CN" w:bidi="hi-IN"/>
        </w:rPr>
      </w:pPr>
      <w:r>
        <w:rPr>
          <w:lang w:eastAsia="zh-CN" w:bidi="hi-IN"/>
        </w:rPr>
        <w:t xml:space="preserve">per </w:t>
      </w:r>
      <w:r w:rsidRPr="007A171A" w:rsidR="00034877">
        <w:rPr>
          <w:lang w:eastAsia="zh-CN" w:bidi="hi-IN"/>
        </w:rPr>
        <w:t xml:space="preserve">categorie </w:t>
      </w:r>
      <w:r>
        <w:rPr>
          <w:lang w:eastAsia="zh-CN" w:bidi="hi-IN"/>
        </w:rPr>
        <w:t>een boete</w:t>
      </w:r>
      <w:r w:rsidRPr="007A171A" w:rsidR="00034877">
        <w:rPr>
          <w:lang w:eastAsia="zh-CN" w:bidi="hi-IN"/>
        </w:rPr>
        <w:t>bedrag</w:t>
      </w:r>
      <w:r w:rsidR="00144FF0">
        <w:rPr>
          <w:lang w:eastAsia="zh-CN" w:bidi="hi-IN"/>
        </w:rPr>
        <w:t>;</w:t>
      </w:r>
      <w:r w:rsidRPr="007A171A" w:rsidR="00034877">
        <w:rPr>
          <w:lang w:eastAsia="zh-CN" w:bidi="hi-IN"/>
        </w:rPr>
        <w:t xml:space="preserve"> van € 600,- voor categorie 1 </w:t>
      </w:r>
      <w:r w:rsidRPr="007A171A" w:rsidR="00651A63">
        <w:rPr>
          <w:lang w:eastAsia="zh-CN" w:bidi="hi-IN"/>
        </w:rPr>
        <w:t>tot € 96.000,- voor categorie 5;</w:t>
      </w:r>
    </w:p>
    <w:p w:rsidRPr="007A171A" w:rsidR="00034877" w:rsidP="00245F25" w:rsidRDefault="00DA1987">
      <w:pPr>
        <w:pStyle w:val="Lijstalinea"/>
        <w:numPr>
          <w:ilvl w:val="0"/>
          <w:numId w:val="17"/>
        </w:numPr>
        <w:ind w:left="284" w:hanging="284"/>
        <w:rPr>
          <w:lang w:eastAsia="zh-CN" w:bidi="hi-IN"/>
        </w:rPr>
      </w:pPr>
      <w:r>
        <w:rPr>
          <w:lang w:eastAsia="zh-CN" w:bidi="hi-IN"/>
        </w:rPr>
        <w:t xml:space="preserve">een </w:t>
      </w:r>
      <w:r w:rsidRPr="007A171A" w:rsidR="00034877">
        <w:rPr>
          <w:lang w:eastAsia="zh-CN" w:bidi="hi-IN"/>
        </w:rPr>
        <w:t>vermenigvuldig</w:t>
      </w:r>
      <w:r>
        <w:rPr>
          <w:lang w:eastAsia="zh-CN" w:bidi="hi-IN"/>
        </w:rPr>
        <w:t>ing</w:t>
      </w:r>
      <w:r w:rsidRPr="007A171A" w:rsidR="00034877">
        <w:rPr>
          <w:lang w:eastAsia="zh-CN" w:bidi="hi-IN"/>
        </w:rPr>
        <w:t xml:space="preserve"> </w:t>
      </w:r>
      <w:r w:rsidR="00B34D33">
        <w:rPr>
          <w:lang w:eastAsia="zh-CN" w:bidi="hi-IN"/>
        </w:rPr>
        <w:t xml:space="preserve">van die bedragen </w:t>
      </w:r>
      <w:r w:rsidRPr="007A171A" w:rsidR="00034877">
        <w:rPr>
          <w:lang w:eastAsia="zh-CN" w:bidi="hi-IN"/>
        </w:rPr>
        <w:t xml:space="preserve">met een factor 1 tot 5 afhankelijk van de draagkracht van de overtreder. De toepasselijke factor werd bepaald aan de hand van een maatstaf per type onderneming. </w:t>
      </w:r>
    </w:p>
    <w:p w:rsidRPr="007A171A" w:rsidR="00034877" w:rsidP="00245F25" w:rsidRDefault="00034877">
      <w:pPr>
        <w:rPr>
          <w:lang w:eastAsia="zh-CN" w:bidi="hi-IN"/>
        </w:rPr>
      </w:pPr>
    </w:p>
    <w:p w:rsidRPr="007A171A" w:rsidR="00034877" w:rsidP="00245F25" w:rsidRDefault="00DA1987">
      <w:pPr>
        <w:rPr>
          <w:lang w:eastAsia="zh-CN" w:bidi="hi-IN"/>
        </w:rPr>
      </w:pPr>
      <w:r>
        <w:rPr>
          <w:lang w:eastAsia="zh-CN" w:bidi="hi-IN"/>
        </w:rPr>
        <w:t xml:space="preserve">Door </w:t>
      </w:r>
      <w:r w:rsidRPr="007A171A" w:rsidR="00034877">
        <w:rPr>
          <w:lang w:eastAsia="zh-CN" w:bidi="hi-IN"/>
        </w:rPr>
        <w:t>de</w:t>
      </w:r>
      <w:r>
        <w:rPr>
          <w:lang w:eastAsia="zh-CN" w:bidi="hi-IN"/>
        </w:rPr>
        <w:t>ze</w:t>
      </w:r>
      <w:r w:rsidRPr="007A171A" w:rsidR="00034877">
        <w:rPr>
          <w:lang w:eastAsia="zh-CN" w:bidi="hi-IN"/>
        </w:rPr>
        <w:t xml:space="preserve"> systematiek kon </w:t>
      </w:r>
      <w:r>
        <w:rPr>
          <w:lang w:eastAsia="zh-CN" w:bidi="hi-IN"/>
        </w:rPr>
        <w:t xml:space="preserve">een boete van maximaal </w:t>
      </w:r>
      <w:r w:rsidRPr="007A171A">
        <w:rPr>
          <w:lang w:eastAsia="zh-CN" w:bidi="hi-IN"/>
        </w:rPr>
        <w:t>€</w:t>
      </w:r>
      <w:r w:rsidRPr="007A171A">
        <w:t>480.000,- (vijf maal € 96.000</w:t>
      </w:r>
      <w:r w:rsidR="00144FF0">
        <w:t>,-</w:t>
      </w:r>
      <w:r w:rsidRPr="007A171A">
        <w:t>)</w:t>
      </w:r>
      <w:r>
        <w:t xml:space="preserve"> worden opgelegd in plaats van </w:t>
      </w:r>
      <w:r w:rsidRPr="007A171A" w:rsidR="00034877">
        <w:rPr>
          <w:lang w:eastAsia="zh-CN" w:bidi="hi-IN"/>
        </w:rPr>
        <w:t xml:space="preserve">het wettelijk maximumbedrag </w:t>
      </w:r>
      <w:r>
        <w:rPr>
          <w:lang w:eastAsia="zh-CN" w:bidi="hi-IN"/>
        </w:rPr>
        <w:t xml:space="preserve">van </w:t>
      </w:r>
      <w:r w:rsidRPr="007A171A" w:rsidR="00144FF0">
        <w:rPr>
          <w:lang w:eastAsia="zh-CN" w:bidi="hi-IN"/>
        </w:rPr>
        <w:t>€</w:t>
      </w:r>
      <w:r w:rsidR="00144FF0">
        <w:rPr>
          <w:lang w:eastAsia="zh-CN" w:bidi="hi-IN"/>
        </w:rPr>
        <w:t xml:space="preserve"> </w:t>
      </w:r>
      <w:r>
        <w:rPr>
          <w:lang w:eastAsia="zh-CN" w:bidi="hi-IN"/>
        </w:rPr>
        <w:t>900.000</w:t>
      </w:r>
      <w:r w:rsidR="00144FF0">
        <w:rPr>
          <w:lang w:eastAsia="zh-CN" w:bidi="hi-IN"/>
        </w:rPr>
        <w:t>,-</w:t>
      </w:r>
      <w:r>
        <w:rPr>
          <w:lang w:eastAsia="zh-CN" w:bidi="hi-IN"/>
        </w:rPr>
        <w:t>. D</w:t>
      </w:r>
      <w:r w:rsidRPr="007A171A" w:rsidR="00034877">
        <w:rPr>
          <w:lang w:eastAsia="zh-CN" w:bidi="hi-IN"/>
        </w:rPr>
        <w:t xml:space="preserve">e hoogte van de boete </w:t>
      </w:r>
      <w:r>
        <w:rPr>
          <w:lang w:eastAsia="zh-CN" w:bidi="hi-IN"/>
        </w:rPr>
        <w:t xml:space="preserve">werd </w:t>
      </w:r>
      <w:r w:rsidR="00E610C6">
        <w:rPr>
          <w:lang w:eastAsia="zh-CN" w:bidi="hi-IN"/>
        </w:rPr>
        <w:t xml:space="preserve">daarbij </w:t>
      </w:r>
      <w:r w:rsidRPr="007A171A" w:rsidR="00651A63">
        <w:rPr>
          <w:lang w:eastAsia="zh-CN" w:bidi="hi-IN"/>
        </w:rPr>
        <w:t>alleen</w:t>
      </w:r>
      <w:r w:rsidRPr="007A171A" w:rsidR="00034877">
        <w:rPr>
          <w:lang w:eastAsia="zh-CN" w:bidi="hi-IN"/>
        </w:rPr>
        <w:t xml:space="preserve"> gebaseerd op de overtreden norm en de omvang van de onderneming, zonder dat rekening kon worden gehouden met andere omstandigheden</w:t>
      </w:r>
      <w:r w:rsidRPr="007A171A" w:rsidR="00651A63">
        <w:rPr>
          <w:lang w:eastAsia="zh-CN" w:bidi="hi-IN"/>
        </w:rPr>
        <w:t xml:space="preserve"> z</w:t>
      </w:r>
      <w:r w:rsidRPr="007A171A" w:rsidR="00034877">
        <w:rPr>
          <w:lang w:eastAsia="zh-CN" w:bidi="hi-IN"/>
        </w:rPr>
        <w:t xml:space="preserve">oals recidive of een verhoogde mate van verwijtbaarheid van de overtreder. </w:t>
      </w:r>
    </w:p>
    <w:p w:rsidRPr="007A171A" w:rsidR="00034877" w:rsidP="00245F25" w:rsidRDefault="00034877">
      <w:pPr>
        <w:rPr>
          <w:b/>
          <w:lang w:eastAsia="zh-CN" w:bidi="hi-IN"/>
        </w:rPr>
      </w:pPr>
    </w:p>
    <w:p w:rsidRPr="007A171A" w:rsidR="00034877" w:rsidP="00245F25" w:rsidRDefault="00F648B1">
      <w:pPr>
        <w:rPr>
          <w:i/>
          <w:lang w:eastAsia="zh-CN" w:bidi="hi-IN"/>
        </w:rPr>
      </w:pPr>
      <w:r w:rsidRPr="007A171A">
        <w:rPr>
          <w:i/>
          <w:lang w:eastAsia="zh-CN" w:bidi="hi-IN"/>
        </w:rPr>
        <w:t>W</w:t>
      </w:r>
      <w:r w:rsidRPr="007A171A" w:rsidR="00034877">
        <w:rPr>
          <w:i/>
          <w:lang w:eastAsia="zh-CN" w:bidi="hi-IN"/>
        </w:rPr>
        <w:t>ijzigingen per 1 augustus 2009</w:t>
      </w:r>
    </w:p>
    <w:p w:rsidRPr="007A171A" w:rsidR="00034877" w:rsidP="00245F25" w:rsidRDefault="00034877">
      <w:pPr>
        <w:rPr>
          <w:lang w:eastAsia="zh-CN" w:bidi="hi-IN"/>
        </w:rPr>
      </w:pPr>
    </w:p>
    <w:p w:rsidRPr="007A171A" w:rsidR="00034877" w:rsidP="00245F25" w:rsidRDefault="00034877">
      <w:pPr>
        <w:rPr>
          <w:lang w:eastAsia="zh-CN" w:bidi="hi-IN"/>
        </w:rPr>
      </w:pPr>
      <w:r w:rsidRPr="007A171A">
        <w:rPr>
          <w:lang w:eastAsia="zh-CN" w:bidi="hi-IN"/>
        </w:rPr>
        <w:t xml:space="preserve">Met de inwerkingtreding van de Wet wijziging boetestelsel financiële wetgeving (de </w:t>
      </w:r>
      <w:r w:rsidRPr="007A171A" w:rsidR="00651A63">
        <w:rPr>
          <w:lang w:eastAsia="zh-CN" w:bidi="hi-IN"/>
        </w:rPr>
        <w:t>zogeheten</w:t>
      </w:r>
      <w:r w:rsidRPr="007A171A">
        <w:rPr>
          <w:lang w:eastAsia="zh-CN" w:bidi="hi-IN"/>
        </w:rPr>
        <w:t xml:space="preserve"> Boetewet) zijn per 1 augustus 2009 de </w:t>
      </w:r>
      <w:r w:rsidR="00144FF0">
        <w:rPr>
          <w:lang w:eastAsia="zh-CN" w:bidi="hi-IN"/>
        </w:rPr>
        <w:t xml:space="preserve">onderstaande </w:t>
      </w:r>
      <w:r w:rsidRPr="007A171A">
        <w:rPr>
          <w:lang w:eastAsia="zh-CN" w:bidi="hi-IN"/>
        </w:rPr>
        <w:t>wijzigingen doorgevoerd.</w:t>
      </w:r>
    </w:p>
    <w:p w:rsidRPr="007A171A" w:rsidR="00034877" w:rsidP="00245F25" w:rsidRDefault="00034877">
      <w:pPr>
        <w:rPr>
          <w:lang w:eastAsia="zh-CN" w:bidi="hi-IN"/>
        </w:rPr>
      </w:pPr>
    </w:p>
    <w:p w:rsidRPr="007A171A" w:rsidR="00034877" w:rsidP="00245F25" w:rsidRDefault="00034877">
      <w:pPr>
        <w:pStyle w:val="Lijstalinea"/>
        <w:numPr>
          <w:ilvl w:val="0"/>
          <w:numId w:val="18"/>
        </w:numPr>
        <w:ind w:left="284" w:hanging="284"/>
        <w:rPr>
          <w:lang w:eastAsia="zh-CN" w:bidi="hi-IN"/>
        </w:rPr>
      </w:pPr>
      <w:r w:rsidRPr="007A171A">
        <w:rPr>
          <w:lang w:eastAsia="zh-CN" w:bidi="hi-IN"/>
        </w:rPr>
        <w:t>Verhoging boetemaximum</w:t>
      </w:r>
    </w:p>
    <w:p w:rsidR="00B5299E" w:rsidP="00B5299E" w:rsidRDefault="00034877">
      <w:pPr>
        <w:rPr>
          <w:lang w:eastAsia="zh-CN" w:bidi="hi-IN"/>
        </w:rPr>
      </w:pPr>
      <w:r w:rsidRPr="007A171A">
        <w:rPr>
          <w:lang w:eastAsia="zh-CN" w:bidi="hi-IN"/>
        </w:rPr>
        <w:t>Het aantal boetecategorieën is teruggebracht van 5 naar 3 en per categorie is een nieuw maximumbedrag vastgesteld:</w:t>
      </w:r>
    </w:p>
    <w:p w:rsidR="00B5299E" w:rsidP="00B5299E" w:rsidRDefault="00215385">
      <w:pPr>
        <w:pStyle w:val="Lijstalinea"/>
        <w:numPr>
          <w:ilvl w:val="0"/>
          <w:numId w:val="23"/>
        </w:numPr>
        <w:rPr>
          <w:lang w:eastAsia="zh-CN" w:bidi="hi-IN"/>
        </w:rPr>
      </w:pPr>
      <w:r>
        <w:rPr>
          <w:lang w:eastAsia="zh-CN" w:bidi="hi-IN"/>
        </w:rPr>
        <w:t xml:space="preserve">categorie 1: </w:t>
      </w:r>
      <w:r w:rsidRPr="007A171A" w:rsidR="00034877">
        <w:rPr>
          <w:lang w:eastAsia="zh-CN" w:bidi="hi-IN"/>
        </w:rPr>
        <w:t xml:space="preserve">€ 10.000,- </w:t>
      </w:r>
    </w:p>
    <w:p w:rsidR="00B5299E" w:rsidP="00B5299E" w:rsidRDefault="00215385">
      <w:pPr>
        <w:pStyle w:val="Lijstalinea"/>
        <w:numPr>
          <w:ilvl w:val="0"/>
          <w:numId w:val="23"/>
        </w:numPr>
        <w:rPr>
          <w:lang w:eastAsia="zh-CN" w:bidi="hi-IN"/>
        </w:rPr>
      </w:pPr>
      <w:r>
        <w:rPr>
          <w:lang w:eastAsia="zh-CN" w:bidi="hi-IN"/>
        </w:rPr>
        <w:t xml:space="preserve">categorie 2: </w:t>
      </w:r>
      <w:r w:rsidRPr="007A171A" w:rsidR="00034877">
        <w:rPr>
          <w:lang w:eastAsia="zh-CN" w:bidi="hi-IN"/>
        </w:rPr>
        <w:t>€</w:t>
      </w:r>
      <w:r w:rsidRPr="007A171A" w:rsidR="00D95671">
        <w:rPr>
          <w:lang w:eastAsia="zh-CN" w:bidi="hi-IN"/>
        </w:rPr>
        <w:t xml:space="preserve"> </w:t>
      </w:r>
      <w:r w:rsidRPr="007A171A" w:rsidR="00D95671">
        <w:t xml:space="preserve">1 miljoen </w:t>
      </w:r>
    </w:p>
    <w:p w:rsidRPr="007A171A" w:rsidR="00034877" w:rsidP="00B5299E" w:rsidRDefault="00215385">
      <w:pPr>
        <w:pStyle w:val="Lijstalinea"/>
        <w:numPr>
          <w:ilvl w:val="0"/>
          <w:numId w:val="23"/>
        </w:numPr>
        <w:rPr>
          <w:lang w:eastAsia="zh-CN" w:bidi="hi-IN"/>
        </w:rPr>
      </w:pPr>
      <w:r>
        <w:t xml:space="preserve">categorie 3: </w:t>
      </w:r>
      <w:r w:rsidRPr="007A171A" w:rsidR="00D95671">
        <w:t xml:space="preserve">€ </w:t>
      </w:r>
      <w:r w:rsidRPr="007A171A" w:rsidR="00034877">
        <w:t>4 miljoen.</w:t>
      </w:r>
    </w:p>
    <w:p w:rsidRPr="007A171A" w:rsidR="00034877" w:rsidP="00245F25" w:rsidRDefault="00034877">
      <w:pPr>
        <w:ind w:left="284"/>
        <w:rPr>
          <w:lang w:eastAsia="zh-CN" w:bidi="hi-IN"/>
        </w:rPr>
      </w:pPr>
    </w:p>
    <w:p w:rsidRPr="007A171A" w:rsidR="00034877" w:rsidP="00245F25" w:rsidRDefault="00034877">
      <w:pPr>
        <w:pStyle w:val="Lijstalinea"/>
        <w:numPr>
          <w:ilvl w:val="0"/>
          <w:numId w:val="18"/>
        </w:numPr>
        <w:ind w:left="284" w:hanging="284"/>
        <w:rPr>
          <w:lang w:eastAsia="zh-CN" w:bidi="hi-IN"/>
        </w:rPr>
      </w:pPr>
      <w:r w:rsidRPr="007A171A">
        <w:rPr>
          <w:lang w:eastAsia="zh-CN" w:bidi="hi-IN"/>
        </w:rPr>
        <w:t>Invoering flexibel boetestelsel</w:t>
      </w:r>
    </w:p>
    <w:p w:rsidRPr="007A171A" w:rsidR="00034877" w:rsidP="00245F25" w:rsidRDefault="00034877">
      <w:pPr>
        <w:pStyle w:val="Lijstalinea"/>
        <w:numPr>
          <w:ilvl w:val="0"/>
          <w:numId w:val="19"/>
        </w:numPr>
        <w:ind w:left="284" w:hanging="284"/>
        <w:rPr>
          <w:lang w:eastAsia="zh-CN" w:bidi="hi-IN"/>
        </w:rPr>
      </w:pPr>
      <w:r w:rsidRPr="007A171A">
        <w:rPr>
          <w:lang w:eastAsia="zh-CN" w:bidi="hi-IN"/>
        </w:rPr>
        <w:t xml:space="preserve">Voor lichte overtredingen in categorie 1 geldt als uitgangspunt een vast bedrag van € 10.000,-. </w:t>
      </w:r>
      <w:r w:rsidR="00215385">
        <w:rPr>
          <w:lang w:eastAsia="zh-CN" w:bidi="hi-IN"/>
        </w:rPr>
        <w:t>Hierd</w:t>
      </w:r>
      <w:r w:rsidRPr="007A171A">
        <w:rPr>
          <w:lang w:eastAsia="zh-CN" w:bidi="hi-IN"/>
        </w:rPr>
        <w:t>oor blijft het voordeel van eenvoud en efficiëntie behouden.</w:t>
      </w:r>
    </w:p>
    <w:p w:rsidRPr="007A171A" w:rsidR="00034877" w:rsidP="00245F25" w:rsidRDefault="00034877">
      <w:pPr>
        <w:pStyle w:val="Lijstalinea"/>
        <w:numPr>
          <w:ilvl w:val="0"/>
          <w:numId w:val="19"/>
        </w:numPr>
        <w:ind w:left="284" w:hanging="284"/>
        <w:rPr>
          <w:lang w:eastAsia="zh-CN" w:bidi="hi-IN"/>
        </w:rPr>
      </w:pPr>
      <w:r w:rsidRPr="007A171A">
        <w:rPr>
          <w:lang w:eastAsia="zh-CN" w:bidi="hi-IN"/>
        </w:rPr>
        <w:t xml:space="preserve">Voor zwaardere overtredingen </w:t>
      </w:r>
      <w:r w:rsidRPr="007A171A" w:rsidR="00651A63">
        <w:rPr>
          <w:lang w:eastAsia="zh-CN" w:bidi="hi-IN"/>
        </w:rPr>
        <w:t>in</w:t>
      </w:r>
      <w:r w:rsidRPr="007A171A">
        <w:rPr>
          <w:lang w:eastAsia="zh-CN" w:bidi="hi-IN"/>
        </w:rPr>
        <w:t xml:space="preserve"> categorie 2 en 3 bedraagt het basisbedrag de helft van het maximumbedrag.</w:t>
      </w:r>
    </w:p>
    <w:p w:rsidRPr="00AE4C53" w:rsidR="00034877" w:rsidP="00245F25" w:rsidRDefault="00034877">
      <w:pPr>
        <w:pStyle w:val="Lijstalinea"/>
        <w:numPr>
          <w:ilvl w:val="0"/>
          <w:numId w:val="19"/>
        </w:numPr>
        <w:ind w:left="284" w:hanging="284"/>
        <w:rPr>
          <w:lang w:eastAsia="zh-CN" w:bidi="hi-IN"/>
        </w:rPr>
      </w:pPr>
      <w:r w:rsidRPr="007A171A">
        <w:rPr>
          <w:lang w:eastAsia="zh-CN" w:bidi="hi-IN"/>
        </w:rPr>
        <w:t>Bij het vaststellen van de boete van categorie 2 of 3 nemen de toezichthouders op grond van het Besluit bestuurlijke boetes financiële sector</w:t>
      </w:r>
      <w:r w:rsidRPr="007A171A">
        <w:rPr>
          <w:rStyle w:val="Voetnootmarkering"/>
          <w:lang w:eastAsia="zh-CN" w:bidi="hi-IN"/>
        </w:rPr>
        <w:footnoteReference w:id="3"/>
      </w:r>
      <w:r w:rsidRPr="007A171A">
        <w:rPr>
          <w:lang w:eastAsia="zh-CN" w:bidi="hi-IN"/>
        </w:rPr>
        <w:t xml:space="preserve"> het basisbedrag tot </w:t>
      </w:r>
      <w:r w:rsidRPr="00AE4C53">
        <w:rPr>
          <w:lang w:eastAsia="zh-CN" w:bidi="hi-IN"/>
        </w:rPr>
        <w:t>uitgangspunt.</w:t>
      </w:r>
    </w:p>
    <w:p w:rsidRPr="00AE4C53" w:rsidR="00524A1A" w:rsidP="00AE4C53" w:rsidRDefault="00034877">
      <w:pPr>
        <w:pStyle w:val="Lijstalinea"/>
        <w:numPr>
          <w:ilvl w:val="0"/>
          <w:numId w:val="19"/>
        </w:numPr>
        <w:ind w:left="284" w:hanging="284"/>
        <w:rPr>
          <w:lang w:eastAsia="zh-CN" w:bidi="hi-IN"/>
        </w:rPr>
      </w:pPr>
      <w:r w:rsidRPr="00AE4C53">
        <w:rPr>
          <w:lang w:eastAsia="zh-CN" w:bidi="hi-IN"/>
        </w:rPr>
        <w:t>Dit bedrag wordt vervolgens verhoogd of verlaagd (</w:t>
      </w:r>
      <w:r w:rsidRPr="00AE4C53" w:rsidR="00651A63">
        <w:rPr>
          <w:lang w:eastAsia="zh-CN" w:bidi="hi-IN"/>
        </w:rPr>
        <w:t xml:space="preserve">in beide gevallen </w:t>
      </w:r>
      <w:r w:rsidRPr="00AE4C53">
        <w:rPr>
          <w:lang w:eastAsia="zh-CN" w:bidi="hi-IN"/>
        </w:rPr>
        <w:t xml:space="preserve">met maximaal 50%) in verband met de ernst en de duur van de overtreding of de </w:t>
      </w:r>
      <w:r w:rsidRPr="00AE4C53" w:rsidR="00651A63">
        <w:rPr>
          <w:lang w:eastAsia="zh-CN" w:bidi="hi-IN"/>
        </w:rPr>
        <w:t xml:space="preserve">mate van </w:t>
      </w:r>
      <w:r w:rsidRPr="00AE4C53" w:rsidR="00AE4C53">
        <w:rPr>
          <w:lang w:eastAsia="zh-CN" w:bidi="hi-IN"/>
        </w:rPr>
        <w:t>verwijtbaarheid</w:t>
      </w:r>
      <w:r w:rsidRPr="00AE4C53" w:rsidR="00524A1A">
        <w:rPr>
          <w:lang w:eastAsia="zh-CN" w:bidi="hi-IN"/>
        </w:rPr>
        <w:t>.</w:t>
      </w:r>
      <w:r w:rsidRPr="00AE4C53" w:rsidR="00524A1A">
        <w:rPr>
          <w:rStyle w:val="Voetnootmarkering"/>
          <w:lang w:eastAsia="zh-CN" w:bidi="hi-IN"/>
        </w:rPr>
        <w:footnoteReference w:id="4"/>
      </w:r>
    </w:p>
    <w:p w:rsidRPr="00AE4C53" w:rsidR="00034877" w:rsidP="00245F25" w:rsidRDefault="00034877">
      <w:pPr>
        <w:pStyle w:val="Lijstalinea"/>
        <w:numPr>
          <w:ilvl w:val="0"/>
          <w:numId w:val="19"/>
        </w:numPr>
        <w:ind w:left="284" w:hanging="284"/>
        <w:rPr>
          <w:lang w:eastAsia="zh-CN" w:bidi="hi-IN"/>
        </w:rPr>
      </w:pPr>
      <w:r w:rsidRPr="00AE4C53">
        <w:rPr>
          <w:lang w:eastAsia="zh-CN" w:bidi="hi-IN"/>
        </w:rPr>
        <w:t>Als sprake is van recidive wordt het boetebedrag verdubbeld.</w:t>
      </w:r>
    </w:p>
    <w:p w:rsidR="00AE4C53" w:rsidP="00AE4C53" w:rsidRDefault="00034877">
      <w:pPr>
        <w:pStyle w:val="Lijstalinea"/>
        <w:numPr>
          <w:ilvl w:val="0"/>
          <w:numId w:val="19"/>
        </w:numPr>
        <w:ind w:left="284" w:hanging="284"/>
        <w:rPr>
          <w:lang w:eastAsia="zh-CN" w:bidi="hi-IN"/>
        </w:rPr>
      </w:pPr>
      <w:r w:rsidRPr="00AE4C53">
        <w:rPr>
          <w:lang w:eastAsia="zh-CN" w:bidi="hi-IN"/>
        </w:rPr>
        <w:t>Voor alle boetes geldt dat het boetebedrag (tot slot) kan worden gematigd (tot € 0,-) op</w:t>
      </w:r>
      <w:r w:rsidRPr="007A171A">
        <w:rPr>
          <w:lang w:eastAsia="zh-CN" w:bidi="hi-IN"/>
        </w:rPr>
        <w:t xml:space="preserve"> grond van </w:t>
      </w:r>
      <w:r w:rsidR="00853827">
        <w:rPr>
          <w:lang w:eastAsia="zh-CN" w:bidi="hi-IN"/>
        </w:rPr>
        <w:t>evenredigheid of beperkte</w:t>
      </w:r>
      <w:r w:rsidRPr="007A171A">
        <w:rPr>
          <w:lang w:eastAsia="zh-CN" w:bidi="hi-IN"/>
        </w:rPr>
        <w:t xml:space="preserve"> draagkracht.</w:t>
      </w:r>
    </w:p>
    <w:p w:rsidRPr="007A171A" w:rsidR="00AE4C53" w:rsidP="00AE4C53" w:rsidRDefault="00AE4C53">
      <w:pPr>
        <w:rPr>
          <w:lang w:eastAsia="zh-CN" w:bidi="hi-IN"/>
        </w:rPr>
      </w:pPr>
    </w:p>
    <w:p w:rsidRPr="007A171A" w:rsidR="00034877" w:rsidP="00245F25" w:rsidRDefault="00034877">
      <w:pPr>
        <w:pStyle w:val="Lijstalinea"/>
        <w:numPr>
          <w:ilvl w:val="0"/>
          <w:numId w:val="18"/>
        </w:numPr>
        <w:ind w:left="284" w:hanging="284"/>
        <w:rPr>
          <w:lang w:eastAsia="zh-CN" w:bidi="hi-IN"/>
        </w:rPr>
      </w:pPr>
      <w:r w:rsidRPr="007A171A">
        <w:rPr>
          <w:lang w:eastAsia="zh-CN" w:bidi="hi-IN"/>
        </w:rPr>
        <w:t>Invoering voordeel</w:t>
      </w:r>
      <w:r w:rsidRPr="007A171A" w:rsidR="00574A6C">
        <w:rPr>
          <w:lang w:eastAsia="zh-CN" w:bidi="hi-IN"/>
        </w:rPr>
        <w:t>gerelateerde boete</w:t>
      </w:r>
    </w:p>
    <w:p w:rsidRPr="007A171A" w:rsidR="00034877" w:rsidP="00B5299E" w:rsidRDefault="00034877">
      <w:pPr>
        <w:rPr>
          <w:lang w:eastAsia="zh-CN" w:bidi="hi-IN"/>
        </w:rPr>
      </w:pPr>
      <w:r w:rsidRPr="007A171A">
        <w:rPr>
          <w:lang w:eastAsia="zh-CN" w:bidi="hi-IN"/>
        </w:rPr>
        <w:t xml:space="preserve">Als alternatief voor de berekening van de boete op grond van de categorie-indeling, is met de Boetewet de mogelijkheid geïntroduceerd een boete op te leggen </w:t>
      </w:r>
      <w:r w:rsidRPr="007A171A" w:rsidR="00574A6C">
        <w:rPr>
          <w:lang w:eastAsia="zh-CN" w:bidi="hi-IN"/>
        </w:rPr>
        <w:t>ter hoogte van of gerelateerd aan</w:t>
      </w:r>
      <w:r w:rsidRPr="007A171A">
        <w:rPr>
          <w:lang w:eastAsia="zh-CN" w:bidi="hi-IN"/>
        </w:rPr>
        <w:t xml:space="preserve"> </w:t>
      </w:r>
      <w:r w:rsidRPr="007A171A">
        <w:rPr>
          <w:lang w:eastAsia="zh-CN" w:bidi="hi-IN"/>
        </w:rPr>
        <w:lastRenderedPageBreak/>
        <w:t>het voordeel dat met de overtreding is behaald</w:t>
      </w:r>
      <w:r w:rsidRPr="007A171A" w:rsidR="00EC1C6A">
        <w:rPr>
          <w:lang w:eastAsia="zh-CN" w:bidi="hi-IN"/>
        </w:rPr>
        <w:t xml:space="preserve"> (hierna: voordeelgerelateerde boete)</w:t>
      </w:r>
      <w:r w:rsidRPr="007A171A">
        <w:rPr>
          <w:lang w:eastAsia="zh-CN" w:bidi="hi-IN"/>
        </w:rPr>
        <w:t>. In de wet is voor deze boete alleen het maximum</w:t>
      </w:r>
      <w:r w:rsidR="00215385">
        <w:rPr>
          <w:lang w:eastAsia="zh-CN" w:bidi="hi-IN"/>
        </w:rPr>
        <w:t>bedrag</w:t>
      </w:r>
      <w:r w:rsidRPr="007A171A">
        <w:rPr>
          <w:lang w:eastAsia="zh-CN" w:bidi="hi-IN"/>
        </w:rPr>
        <w:t xml:space="preserve"> vastgelegd. Dat bedraagt tweemaal het verkregen voordeel. De bevoegdheid kan alleen worden gebruikt als het voordeel </w:t>
      </w:r>
      <w:r w:rsidR="00144FF0">
        <w:rPr>
          <w:lang w:eastAsia="zh-CN" w:bidi="hi-IN"/>
        </w:rPr>
        <w:t xml:space="preserve">meer </w:t>
      </w:r>
      <w:r w:rsidRPr="007A171A">
        <w:rPr>
          <w:lang w:eastAsia="zh-CN" w:bidi="hi-IN"/>
        </w:rPr>
        <w:t>is dan € 2 miljoen.</w:t>
      </w:r>
    </w:p>
    <w:p w:rsidRPr="007A171A" w:rsidR="00034877" w:rsidP="00245F25" w:rsidRDefault="00034877">
      <w:pPr>
        <w:rPr>
          <w:b/>
          <w:lang w:eastAsia="zh-CN" w:bidi="hi-IN"/>
        </w:rPr>
      </w:pPr>
    </w:p>
    <w:p w:rsidRPr="007A171A" w:rsidR="00034877" w:rsidP="00245F25" w:rsidRDefault="00034877">
      <w:pPr>
        <w:rPr>
          <w:i/>
          <w:lang w:eastAsia="zh-CN" w:bidi="hi-IN"/>
        </w:rPr>
      </w:pPr>
      <w:r w:rsidRPr="007A171A">
        <w:rPr>
          <w:i/>
          <w:lang w:eastAsia="zh-CN" w:bidi="hi-IN"/>
        </w:rPr>
        <w:t>Achtergrond wijzigingen</w:t>
      </w:r>
    </w:p>
    <w:p w:rsidRPr="007A171A" w:rsidR="00C4391B" w:rsidP="00245F25" w:rsidRDefault="00C4391B">
      <w:pPr>
        <w:rPr>
          <w:lang w:eastAsia="zh-CN" w:bidi="hi-IN"/>
        </w:rPr>
      </w:pPr>
    </w:p>
    <w:p w:rsidR="005053D9" w:rsidP="00245F25" w:rsidRDefault="00034877">
      <w:pPr>
        <w:rPr>
          <w:lang w:eastAsia="zh-CN" w:bidi="hi-IN"/>
        </w:rPr>
      </w:pPr>
      <w:r w:rsidRPr="007A171A">
        <w:rPr>
          <w:lang w:eastAsia="zh-CN" w:bidi="hi-IN"/>
        </w:rPr>
        <w:t xml:space="preserve">De belangrijkste reden voor de wijzigingen was dat de boetes die </w:t>
      </w:r>
      <w:r w:rsidRPr="007A171A" w:rsidR="009522CC">
        <w:rPr>
          <w:lang w:eastAsia="zh-CN" w:bidi="hi-IN"/>
        </w:rPr>
        <w:t>tot</w:t>
      </w:r>
      <w:r w:rsidRPr="007A171A">
        <w:rPr>
          <w:lang w:eastAsia="zh-CN" w:bidi="hi-IN"/>
        </w:rPr>
        <w:t xml:space="preserve"> 2009 konden worden opgelegd </w:t>
      </w:r>
      <w:r w:rsidRPr="007A171A" w:rsidR="006A37BF">
        <w:rPr>
          <w:lang w:eastAsia="zh-CN" w:bidi="hi-IN"/>
        </w:rPr>
        <w:t xml:space="preserve">als </w:t>
      </w:r>
      <w:r w:rsidRPr="007A171A">
        <w:rPr>
          <w:lang w:eastAsia="zh-CN" w:bidi="hi-IN"/>
        </w:rPr>
        <w:t xml:space="preserve">onvoldoende afschrikwekkend </w:t>
      </w:r>
      <w:r w:rsidRPr="007A171A" w:rsidR="006A37BF">
        <w:rPr>
          <w:lang w:eastAsia="zh-CN" w:bidi="hi-IN"/>
        </w:rPr>
        <w:t>werden gezien</w:t>
      </w:r>
      <w:r w:rsidRPr="007A171A">
        <w:rPr>
          <w:lang w:eastAsia="zh-CN" w:bidi="hi-IN"/>
        </w:rPr>
        <w:t>. Zeker voor grote ondernemingen zouden de boetes te laag zijn om hen van overtredi</w:t>
      </w:r>
      <w:r w:rsidRPr="007A171A" w:rsidR="005053D9">
        <w:rPr>
          <w:lang w:eastAsia="zh-CN" w:bidi="hi-IN"/>
        </w:rPr>
        <w:t xml:space="preserve">ng te weerhouden. Ook zouden ze niet in verhouding staan tot het te behalen voordeel. </w:t>
      </w:r>
      <w:r w:rsidRPr="007A171A">
        <w:rPr>
          <w:lang w:eastAsia="zh-CN" w:bidi="hi-IN"/>
        </w:rPr>
        <w:t>Om de boetes afschrikwekkender te maken is het maximumbedrag verhoogd. Daarbij is</w:t>
      </w:r>
      <w:r w:rsidRPr="007A171A" w:rsidR="009522CC">
        <w:rPr>
          <w:lang w:eastAsia="zh-CN" w:bidi="hi-IN"/>
        </w:rPr>
        <w:t xml:space="preserve"> uitgegaan van ‘</w:t>
      </w:r>
      <w:r w:rsidRPr="007A171A">
        <w:rPr>
          <w:lang w:eastAsia="zh-CN" w:bidi="hi-IN"/>
        </w:rPr>
        <w:t>high trust</w:t>
      </w:r>
      <w:r w:rsidRPr="007A171A" w:rsidR="009522CC">
        <w:rPr>
          <w:lang w:eastAsia="zh-CN" w:bidi="hi-IN"/>
        </w:rPr>
        <w:t>’</w:t>
      </w:r>
      <w:r w:rsidRPr="007A171A">
        <w:rPr>
          <w:lang w:eastAsia="zh-CN" w:bidi="hi-IN"/>
        </w:rPr>
        <w:t xml:space="preserve">: uitgangspunt is vertrouwen in de integriteit van de sector, maar </w:t>
      </w:r>
      <w:r w:rsidRPr="007A171A" w:rsidR="005053D9">
        <w:rPr>
          <w:lang w:eastAsia="zh-CN" w:bidi="hi-IN"/>
        </w:rPr>
        <w:t>wanneer</w:t>
      </w:r>
      <w:r w:rsidRPr="007A171A">
        <w:rPr>
          <w:lang w:eastAsia="zh-CN" w:bidi="hi-IN"/>
        </w:rPr>
        <w:t xml:space="preserve"> dit vertrouwen wordt geschaad </w:t>
      </w:r>
      <w:r w:rsidRPr="007A171A" w:rsidR="005053D9">
        <w:rPr>
          <w:lang w:eastAsia="zh-CN" w:bidi="hi-IN"/>
        </w:rPr>
        <w:t>wacht een aanzienlijke sanctie.</w:t>
      </w:r>
    </w:p>
    <w:p w:rsidRPr="007A171A" w:rsidR="00B34D33" w:rsidP="00245F25" w:rsidRDefault="00B34D33">
      <w:pPr>
        <w:rPr>
          <w:lang w:eastAsia="zh-CN" w:bidi="hi-IN"/>
        </w:rPr>
      </w:pPr>
    </w:p>
    <w:p w:rsidRPr="007A171A" w:rsidR="00AB7343" w:rsidP="00245F25" w:rsidRDefault="00AB7343">
      <w:pPr>
        <w:rPr>
          <w:lang w:eastAsia="zh-CN" w:bidi="hi-IN"/>
        </w:rPr>
      </w:pPr>
      <w:r w:rsidRPr="007A171A">
        <w:rPr>
          <w:lang w:eastAsia="zh-CN" w:bidi="hi-IN"/>
        </w:rPr>
        <w:t xml:space="preserve">Een andere reden voor de herziening in 2009 was dat het systeem de toezichthouders onvoldoende mogelijkheid bood om rekening te houden met de omstandigheden waaronder de overtreding </w:t>
      </w:r>
      <w:r w:rsidR="00FE6320">
        <w:rPr>
          <w:lang w:eastAsia="zh-CN" w:bidi="hi-IN"/>
        </w:rPr>
        <w:t xml:space="preserve">was </w:t>
      </w:r>
      <w:r w:rsidRPr="007A171A">
        <w:rPr>
          <w:lang w:eastAsia="zh-CN" w:bidi="hi-IN"/>
        </w:rPr>
        <w:t>begaan: het systeem werd als te star ervaren. De verwachting was dat met de introductie van een flexibeler boetestelsel proportionele</w:t>
      </w:r>
      <w:r w:rsidR="00FE6320">
        <w:rPr>
          <w:lang w:eastAsia="zh-CN" w:bidi="hi-IN"/>
        </w:rPr>
        <w:t>re</w:t>
      </w:r>
      <w:r w:rsidRPr="007A171A">
        <w:rPr>
          <w:lang w:eastAsia="zh-CN" w:bidi="hi-IN"/>
        </w:rPr>
        <w:t xml:space="preserve"> boetes kunnen worden opgelegd.</w:t>
      </w:r>
    </w:p>
    <w:p w:rsidRPr="007A171A" w:rsidR="00AB7343" w:rsidP="00245F25" w:rsidRDefault="00AB7343">
      <w:pPr>
        <w:rPr>
          <w:lang w:eastAsia="zh-CN" w:bidi="hi-IN"/>
        </w:rPr>
      </w:pPr>
    </w:p>
    <w:p w:rsidRPr="007A171A" w:rsidR="00034877" w:rsidP="00245F25" w:rsidRDefault="00034877">
      <w:pPr>
        <w:rPr>
          <w:lang w:eastAsia="zh-CN" w:bidi="hi-IN"/>
        </w:rPr>
      </w:pPr>
      <w:r w:rsidRPr="007A171A">
        <w:rPr>
          <w:lang w:eastAsia="zh-CN" w:bidi="hi-IN"/>
        </w:rPr>
        <w:t xml:space="preserve">Bij de </w:t>
      </w:r>
      <w:r w:rsidRPr="007A171A" w:rsidR="00C36D9C">
        <w:rPr>
          <w:lang w:eastAsia="zh-CN" w:bidi="hi-IN"/>
        </w:rPr>
        <w:t xml:space="preserve">Kamerbehandeling zijn zorgen geuit over de voorgestelde verhogingen, en </w:t>
      </w:r>
      <w:r w:rsidRPr="007A171A" w:rsidR="006A37BF">
        <w:rPr>
          <w:lang w:eastAsia="zh-CN" w:bidi="hi-IN"/>
        </w:rPr>
        <w:t xml:space="preserve">is de vraag gesteld </w:t>
      </w:r>
      <w:r w:rsidRPr="007A171A" w:rsidR="00C36D9C">
        <w:rPr>
          <w:lang w:eastAsia="zh-CN" w:bidi="hi-IN"/>
        </w:rPr>
        <w:t xml:space="preserve">of deze </w:t>
      </w:r>
      <w:r w:rsidR="00FE6320">
        <w:rPr>
          <w:lang w:eastAsia="zh-CN" w:bidi="hi-IN"/>
        </w:rPr>
        <w:t xml:space="preserve">wel </w:t>
      </w:r>
      <w:r w:rsidRPr="007A171A" w:rsidR="00C36D9C">
        <w:rPr>
          <w:lang w:eastAsia="zh-CN" w:bidi="hi-IN"/>
        </w:rPr>
        <w:t xml:space="preserve">voldoende </w:t>
      </w:r>
      <w:r w:rsidRPr="007A171A">
        <w:rPr>
          <w:lang w:eastAsia="zh-CN" w:bidi="hi-IN"/>
        </w:rPr>
        <w:t>afschrikwekkend</w:t>
      </w:r>
      <w:r w:rsidRPr="007A171A" w:rsidR="009522CC">
        <w:rPr>
          <w:lang w:eastAsia="zh-CN" w:bidi="hi-IN"/>
        </w:rPr>
        <w:t xml:space="preserve"> effect</w:t>
      </w:r>
      <w:r w:rsidR="00FE6320">
        <w:rPr>
          <w:lang w:eastAsia="zh-CN" w:bidi="hi-IN"/>
        </w:rPr>
        <w:t xml:space="preserve"> zouden hebben</w:t>
      </w:r>
      <w:r w:rsidRPr="007A171A">
        <w:rPr>
          <w:lang w:eastAsia="zh-CN" w:bidi="hi-IN"/>
        </w:rPr>
        <w:t xml:space="preserve">. Ook is gesproken over de mogelijkheid </w:t>
      </w:r>
      <w:r w:rsidR="00FE6320">
        <w:rPr>
          <w:lang w:eastAsia="zh-CN" w:bidi="hi-IN"/>
        </w:rPr>
        <w:t xml:space="preserve">van introductie van </w:t>
      </w:r>
      <w:r w:rsidRPr="007A171A" w:rsidR="00EC1C6A">
        <w:rPr>
          <w:lang w:eastAsia="zh-CN" w:bidi="hi-IN"/>
        </w:rPr>
        <w:t>minimumboetes. Van de voordeelgerelateerde boete was de verwachting dat deze bijdraagt aan de afschrikwekkende werking</w:t>
      </w:r>
      <w:r w:rsidRPr="007A171A" w:rsidR="00C36D9C">
        <w:rPr>
          <w:lang w:eastAsia="zh-CN" w:bidi="hi-IN"/>
        </w:rPr>
        <w:t>.</w:t>
      </w:r>
      <w:r w:rsidRPr="007A171A" w:rsidR="00EC1C6A">
        <w:rPr>
          <w:lang w:eastAsia="zh-CN" w:bidi="hi-IN"/>
        </w:rPr>
        <w:t xml:space="preserve"> Kanttekening </w:t>
      </w:r>
      <w:r w:rsidR="00FE6320">
        <w:rPr>
          <w:lang w:eastAsia="zh-CN" w:bidi="hi-IN"/>
        </w:rPr>
        <w:t xml:space="preserve">daarbij </w:t>
      </w:r>
      <w:r w:rsidRPr="007A171A" w:rsidR="00EC1C6A">
        <w:rPr>
          <w:lang w:eastAsia="zh-CN" w:bidi="hi-IN"/>
        </w:rPr>
        <w:t>was dat het voordeel mogelijk moeilijk is vast te stellen, waardoor de bevoegdheid om het voordeel als boetebasis te gebruiken wellicht onbenut blijft,</w:t>
      </w:r>
      <w:r w:rsidRPr="007A171A" w:rsidR="00AB7343">
        <w:rPr>
          <w:lang w:eastAsia="zh-CN" w:bidi="hi-IN"/>
        </w:rPr>
        <w:t xml:space="preserve"> de handhavingskosten oplopen, </w:t>
      </w:r>
      <w:r w:rsidR="009B0D4B">
        <w:rPr>
          <w:lang w:eastAsia="zh-CN" w:bidi="hi-IN"/>
        </w:rPr>
        <w:t>of</w:t>
      </w:r>
      <w:r w:rsidRPr="007A171A" w:rsidR="00EC1C6A">
        <w:rPr>
          <w:lang w:eastAsia="zh-CN" w:bidi="hi-IN"/>
        </w:rPr>
        <w:t xml:space="preserve"> het vaststellen van het voordeel het proces van het opleggen van de boete teveel vertraagt.</w:t>
      </w:r>
    </w:p>
    <w:p w:rsidRPr="007A171A" w:rsidR="006A37BF" w:rsidP="00245F25" w:rsidRDefault="006A37BF">
      <w:pPr>
        <w:rPr>
          <w:lang w:eastAsia="zh-CN" w:bidi="hi-IN"/>
        </w:rPr>
      </w:pPr>
    </w:p>
    <w:p w:rsidRPr="007A171A" w:rsidR="00034877" w:rsidP="00245F25" w:rsidRDefault="00034877">
      <w:pPr>
        <w:rPr>
          <w:i/>
          <w:lang w:eastAsia="zh-CN" w:bidi="hi-IN"/>
        </w:rPr>
      </w:pPr>
      <w:r w:rsidRPr="007A171A">
        <w:rPr>
          <w:i/>
          <w:lang w:eastAsia="zh-CN" w:bidi="hi-IN"/>
        </w:rPr>
        <w:t>Wijzigingen na 1 augustus 2009</w:t>
      </w:r>
    </w:p>
    <w:p w:rsidRPr="007A171A" w:rsidR="00034877" w:rsidP="00245F25" w:rsidRDefault="00034877">
      <w:pPr>
        <w:rPr>
          <w:i/>
          <w:lang w:eastAsia="zh-CN" w:bidi="hi-IN"/>
        </w:rPr>
      </w:pPr>
    </w:p>
    <w:p w:rsidRPr="007A171A" w:rsidR="00034877" w:rsidP="00245F25" w:rsidRDefault="00AB7343">
      <w:pPr>
        <w:rPr>
          <w:lang w:eastAsia="zh-CN" w:bidi="hi-IN"/>
        </w:rPr>
      </w:pPr>
      <w:r w:rsidRPr="007A171A">
        <w:rPr>
          <w:lang w:eastAsia="zh-CN" w:bidi="hi-IN"/>
        </w:rPr>
        <w:t>Om te voldoen aan Europese regelgeving is het boetesysteem n</w:t>
      </w:r>
      <w:r w:rsidRPr="007A171A" w:rsidR="00034877">
        <w:rPr>
          <w:lang w:eastAsia="zh-CN" w:bidi="hi-IN"/>
        </w:rPr>
        <w:t>a 1 augustus 2009 nog een aantal keer gewijzigd. Daarbij is voor bepaalde categorieën ondernemingen en overtredingen een hoger boetemaximum</w:t>
      </w:r>
      <w:r w:rsidRPr="007A171A">
        <w:rPr>
          <w:lang w:eastAsia="zh-CN" w:bidi="hi-IN"/>
        </w:rPr>
        <w:t xml:space="preserve"> (in absolute zin of ter hoogte van een bepaald omzetpercentage) vastgesteld</w:t>
      </w:r>
      <w:r w:rsidRPr="007A171A" w:rsidR="00034877">
        <w:rPr>
          <w:lang w:eastAsia="zh-CN" w:bidi="hi-IN"/>
        </w:rPr>
        <w:t>.</w:t>
      </w:r>
      <w:r w:rsidRPr="007A171A" w:rsidR="00034877">
        <w:rPr>
          <w:rStyle w:val="Voetnootmarkering"/>
          <w:lang w:eastAsia="zh-CN" w:bidi="hi-IN"/>
        </w:rPr>
        <w:footnoteReference w:id="5"/>
      </w:r>
    </w:p>
    <w:p w:rsidRPr="007A171A" w:rsidR="00034877" w:rsidP="00245F25" w:rsidRDefault="00034877">
      <w:pPr>
        <w:rPr>
          <w:lang w:eastAsia="zh-CN" w:bidi="hi-IN"/>
        </w:rPr>
      </w:pPr>
    </w:p>
    <w:p w:rsidRPr="007A171A" w:rsidR="00034877" w:rsidP="00245F25" w:rsidRDefault="00524A1A">
      <w:pPr>
        <w:rPr>
          <w:b/>
          <w:lang w:eastAsia="zh-CN" w:bidi="hi-IN"/>
        </w:rPr>
      </w:pPr>
      <w:r w:rsidRPr="007A171A">
        <w:rPr>
          <w:b/>
          <w:lang w:eastAsia="zh-CN" w:bidi="hi-IN"/>
        </w:rPr>
        <w:t xml:space="preserve">2. </w:t>
      </w:r>
      <w:r w:rsidRPr="007A171A" w:rsidR="00034877">
        <w:rPr>
          <w:b/>
          <w:lang w:eastAsia="zh-CN" w:bidi="hi-IN"/>
        </w:rPr>
        <w:t>Ervaringen</w:t>
      </w:r>
      <w:r w:rsidRPr="007A171A" w:rsidR="00AB7343">
        <w:rPr>
          <w:b/>
          <w:lang w:eastAsia="zh-CN" w:bidi="hi-IN"/>
        </w:rPr>
        <w:t xml:space="preserve"> met</w:t>
      </w:r>
      <w:r w:rsidRPr="007A171A" w:rsidR="00034877">
        <w:rPr>
          <w:b/>
          <w:lang w:eastAsia="zh-CN" w:bidi="hi-IN"/>
        </w:rPr>
        <w:t xml:space="preserve"> </w:t>
      </w:r>
      <w:r w:rsidRPr="007A171A" w:rsidR="00AB7343">
        <w:rPr>
          <w:b/>
          <w:lang w:eastAsia="zh-CN" w:bidi="hi-IN"/>
        </w:rPr>
        <w:t>verho</w:t>
      </w:r>
      <w:r w:rsidRPr="007A171A" w:rsidR="002B61D7">
        <w:rPr>
          <w:b/>
          <w:lang w:eastAsia="zh-CN" w:bidi="hi-IN"/>
        </w:rPr>
        <w:t>ogde boetemaxima</w:t>
      </w:r>
    </w:p>
    <w:p w:rsidRPr="00AE4C53" w:rsidR="00034877" w:rsidP="00245F25" w:rsidRDefault="00034877">
      <w:pPr>
        <w:rPr>
          <w:i/>
          <w:szCs w:val="18"/>
          <w:lang w:eastAsia="zh-CN" w:bidi="hi-IN"/>
        </w:rPr>
      </w:pPr>
    </w:p>
    <w:p w:rsidRPr="00AE4C53" w:rsidR="003151AF" w:rsidP="00245F25" w:rsidRDefault="003151AF">
      <w:pPr>
        <w:rPr>
          <w:i/>
          <w:szCs w:val="18"/>
          <w:lang w:eastAsia="zh-CN" w:bidi="hi-IN"/>
        </w:rPr>
      </w:pPr>
      <w:r w:rsidRPr="00AE4C53">
        <w:rPr>
          <w:i/>
          <w:szCs w:val="18"/>
          <w:lang w:eastAsia="zh-CN" w:bidi="hi-IN"/>
        </w:rPr>
        <w:t>Opgelegde boetes</w:t>
      </w:r>
      <w:r w:rsidRPr="00AE4C53" w:rsidR="00B25D54">
        <w:rPr>
          <w:i/>
          <w:szCs w:val="18"/>
          <w:lang w:eastAsia="zh-CN" w:bidi="hi-IN"/>
        </w:rPr>
        <w:t xml:space="preserve"> en boetehoogtes</w:t>
      </w:r>
      <w:r w:rsidRPr="00AE4C53" w:rsidR="00043220">
        <w:rPr>
          <w:rStyle w:val="Voetnootmarkering"/>
          <w:i/>
          <w:szCs w:val="18"/>
          <w:lang w:eastAsia="zh-CN" w:bidi="hi-IN"/>
        </w:rPr>
        <w:footnoteReference w:id="6"/>
      </w:r>
    </w:p>
    <w:p w:rsidRPr="00AE4C53" w:rsidR="00F33DE3" w:rsidP="00245F25" w:rsidRDefault="00F33DE3">
      <w:pPr>
        <w:rPr>
          <w:szCs w:val="18"/>
          <w:lang w:eastAsia="zh-CN" w:bidi="hi-IN"/>
        </w:rPr>
      </w:pPr>
    </w:p>
    <w:p w:rsidRPr="00853827" w:rsidR="001D7E37" w:rsidP="00245F25" w:rsidRDefault="00B25D54">
      <w:pPr>
        <w:rPr>
          <w:szCs w:val="18"/>
          <w:lang w:eastAsia="zh-CN" w:bidi="hi-IN"/>
        </w:rPr>
      </w:pPr>
      <w:r w:rsidRPr="00AE4C53">
        <w:rPr>
          <w:szCs w:val="18"/>
          <w:lang w:eastAsia="zh-CN" w:bidi="hi-IN"/>
        </w:rPr>
        <w:t xml:space="preserve">Sinds de gewijzigde boetesystematiek heeft DNB </w:t>
      </w:r>
      <w:r w:rsidRPr="00AE4C53" w:rsidR="001D7E37">
        <w:rPr>
          <w:szCs w:val="18"/>
          <w:lang w:eastAsia="zh-CN" w:bidi="hi-IN"/>
        </w:rPr>
        <w:t xml:space="preserve">tot en met </w:t>
      </w:r>
      <w:r w:rsidR="00853827">
        <w:rPr>
          <w:szCs w:val="18"/>
          <w:lang w:eastAsia="zh-CN" w:bidi="hi-IN"/>
        </w:rPr>
        <w:t>maart</w:t>
      </w:r>
      <w:r w:rsidRPr="00AE4C53" w:rsidR="001D7E37">
        <w:rPr>
          <w:szCs w:val="18"/>
          <w:lang w:eastAsia="zh-CN" w:bidi="hi-IN"/>
        </w:rPr>
        <w:t xml:space="preserve"> </w:t>
      </w:r>
      <w:r w:rsidRPr="00853827" w:rsidR="001D7E37">
        <w:rPr>
          <w:szCs w:val="18"/>
          <w:lang w:eastAsia="zh-CN" w:bidi="hi-IN"/>
        </w:rPr>
        <w:t>2016 i</w:t>
      </w:r>
      <w:r w:rsidRPr="00853827">
        <w:rPr>
          <w:szCs w:val="18"/>
          <w:lang w:eastAsia="zh-CN" w:bidi="hi-IN"/>
        </w:rPr>
        <w:t xml:space="preserve">n totaal 61 boetes in categorie 2 en 3 opgelegd. Hiervan zijn </w:t>
      </w:r>
      <w:r w:rsidRPr="00853827" w:rsidR="001D7E37">
        <w:rPr>
          <w:szCs w:val="18"/>
          <w:lang w:eastAsia="zh-CN" w:bidi="hi-IN"/>
        </w:rPr>
        <w:t>zestien</w:t>
      </w:r>
      <w:r w:rsidRPr="00853827">
        <w:rPr>
          <w:szCs w:val="18"/>
          <w:lang w:eastAsia="zh-CN" w:bidi="hi-IN"/>
        </w:rPr>
        <w:t xml:space="preserve"> boetes</w:t>
      </w:r>
      <w:r w:rsidRPr="00853827" w:rsidR="001D7E37">
        <w:rPr>
          <w:szCs w:val="18"/>
          <w:lang w:eastAsia="zh-CN" w:bidi="hi-IN"/>
        </w:rPr>
        <w:t xml:space="preserve"> opgelegd van </w:t>
      </w:r>
      <w:r w:rsidR="003A16A3">
        <w:rPr>
          <w:szCs w:val="18"/>
          <w:lang w:eastAsia="zh-CN" w:bidi="hi-IN"/>
        </w:rPr>
        <w:t>€</w:t>
      </w:r>
      <w:r w:rsidRPr="00853827" w:rsidR="001D7E37">
        <w:rPr>
          <w:szCs w:val="18"/>
          <w:lang w:eastAsia="zh-CN" w:bidi="hi-IN"/>
        </w:rPr>
        <w:t xml:space="preserve"> </w:t>
      </w:r>
      <w:r w:rsidR="003A16A3">
        <w:rPr>
          <w:szCs w:val="18"/>
          <w:lang w:eastAsia="zh-CN" w:bidi="hi-IN"/>
        </w:rPr>
        <w:t>100.000 of meer</w:t>
      </w:r>
      <w:r w:rsidRPr="00853827" w:rsidR="001D7E37">
        <w:rPr>
          <w:szCs w:val="18"/>
          <w:lang w:eastAsia="zh-CN" w:bidi="hi-IN"/>
        </w:rPr>
        <w:t xml:space="preserve">, </w:t>
      </w:r>
      <w:r w:rsidRPr="00853827">
        <w:rPr>
          <w:szCs w:val="18"/>
          <w:lang w:eastAsia="zh-CN" w:bidi="hi-IN"/>
        </w:rPr>
        <w:t>en</w:t>
      </w:r>
      <w:r w:rsidRPr="00853827" w:rsidR="001D7E37">
        <w:rPr>
          <w:szCs w:val="18"/>
          <w:lang w:eastAsia="zh-CN" w:bidi="hi-IN"/>
        </w:rPr>
        <w:t xml:space="preserve"> is</w:t>
      </w:r>
      <w:r w:rsidRPr="00853827">
        <w:rPr>
          <w:szCs w:val="18"/>
          <w:lang w:eastAsia="zh-CN" w:bidi="hi-IN"/>
        </w:rPr>
        <w:t xml:space="preserve"> één boete</w:t>
      </w:r>
      <w:r w:rsidRPr="00853827" w:rsidR="001D7E37">
        <w:rPr>
          <w:szCs w:val="18"/>
          <w:lang w:eastAsia="zh-CN" w:bidi="hi-IN"/>
        </w:rPr>
        <w:t xml:space="preserve"> opgelegd</w:t>
      </w:r>
      <w:r w:rsidRPr="00853827">
        <w:rPr>
          <w:szCs w:val="18"/>
          <w:lang w:eastAsia="zh-CN" w:bidi="hi-IN"/>
        </w:rPr>
        <w:t xml:space="preserve"> van </w:t>
      </w:r>
      <w:r w:rsidR="003A16A3">
        <w:rPr>
          <w:szCs w:val="18"/>
          <w:lang w:eastAsia="zh-CN" w:bidi="hi-IN"/>
        </w:rPr>
        <w:t>boven</w:t>
      </w:r>
      <w:r w:rsidRPr="00853827">
        <w:rPr>
          <w:szCs w:val="18"/>
          <w:lang w:eastAsia="zh-CN" w:bidi="hi-IN"/>
        </w:rPr>
        <w:t xml:space="preserve"> één miljoen</w:t>
      </w:r>
      <w:r w:rsidR="003A16A3">
        <w:rPr>
          <w:szCs w:val="18"/>
          <w:lang w:eastAsia="zh-CN" w:bidi="hi-IN"/>
        </w:rPr>
        <w:t>,</w:t>
      </w:r>
      <w:r w:rsidRPr="00853827" w:rsidR="001D7E37">
        <w:rPr>
          <w:szCs w:val="18"/>
          <w:lang w:eastAsia="zh-CN" w:bidi="hi-IN"/>
        </w:rPr>
        <w:t xml:space="preserve"> namelijk van  € 22.680.000,-. Het totaalbed</w:t>
      </w:r>
      <w:r w:rsidRPr="00853827" w:rsidR="00AE4C53">
        <w:rPr>
          <w:szCs w:val="18"/>
          <w:lang w:eastAsia="zh-CN" w:bidi="hi-IN"/>
        </w:rPr>
        <w:t xml:space="preserve">rag aan opgelegde boetes </w:t>
      </w:r>
      <w:r w:rsidR="00144FF0">
        <w:rPr>
          <w:szCs w:val="18"/>
          <w:lang w:eastAsia="zh-CN" w:bidi="hi-IN"/>
        </w:rPr>
        <w:t xml:space="preserve">is </w:t>
      </w:r>
      <w:r w:rsidRPr="00853827" w:rsidR="00AE4C53">
        <w:rPr>
          <w:szCs w:val="18"/>
          <w:lang w:eastAsia="zh-CN" w:bidi="hi-IN"/>
        </w:rPr>
        <w:t>€ 28</w:t>
      </w:r>
      <w:r w:rsidRPr="00853827" w:rsidR="001D7E37">
        <w:rPr>
          <w:szCs w:val="18"/>
          <w:lang w:eastAsia="zh-CN" w:bidi="hi-IN"/>
        </w:rPr>
        <w:t>.</w:t>
      </w:r>
      <w:r w:rsidRPr="00853827" w:rsidR="00AE4C53">
        <w:rPr>
          <w:szCs w:val="18"/>
          <w:lang w:eastAsia="zh-CN" w:bidi="hi-IN"/>
        </w:rPr>
        <w:t>323.552</w:t>
      </w:r>
      <w:r w:rsidRPr="00853827" w:rsidR="001D7E37">
        <w:rPr>
          <w:szCs w:val="18"/>
          <w:lang w:eastAsia="zh-CN" w:bidi="hi-IN"/>
        </w:rPr>
        <w:t>,-, en het gemiddelde boetebedrag is € 4</w:t>
      </w:r>
      <w:r w:rsidRPr="00853827" w:rsidR="00AE4C53">
        <w:rPr>
          <w:szCs w:val="18"/>
          <w:lang w:eastAsia="zh-CN" w:bidi="hi-IN"/>
        </w:rPr>
        <w:t>6</w:t>
      </w:r>
      <w:r w:rsidRPr="00853827" w:rsidR="001D7E37">
        <w:rPr>
          <w:szCs w:val="18"/>
          <w:lang w:eastAsia="zh-CN" w:bidi="hi-IN"/>
        </w:rPr>
        <w:t>4.</w:t>
      </w:r>
      <w:r w:rsidRPr="00853827" w:rsidR="00AE4C53">
        <w:rPr>
          <w:szCs w:val="18"/>
          <w:lang w:eastAsia="zh-CN" w:bidi="hi-IN"/>
        </w:rPr>
        <w:t>320,-.</w:t>
      </w:r>
    </w:p>
    <w:p w:rsidRPr="00853827" w:rsidR="001D7E37" w:rsidP="00245F25" w:rsidRDefault="001D7E37">
      <w:pPr>
        <w:rPr>
          <w:szCs w:val="18"/>
          <w:lang w:eastAsia="zh-CN" w:bidi="hi-IN"/>
        </w:rPr>
      </w:pPr>
    </w:p>
    <w:p w:rsidRPr="007A171A" w:rsidR="001D7E37" w:rsidP="00245F25" w:rsidRDefault="00B34D33">
      <w:pPr>
        <w:rPr>
          <w:szCs w:val="18"/>
          <w:lang w:eastAsia="zh-CN" w:bidi="hi-IN"/>
        </w:rPr>
      </w:pPr>
      <w:r>
        <w:rPr>
          <w:szCs w:val="18"/>
          <w:lang w:eastAsia="zh-CN" w:bidi="hi-IN"/>
        </w:rPr>
        <w:t xml:space="preserve">De </w:t>
      </w:r>
      <w:r w:rsidRPr="00853827" w:rsidR="001D7E37">
        <w:rPr>
          <w:szCs w:val="18"/>
          <w:lang w:eastAsia="zh-CN" w:bidi="hi-IN"/>
        </w:rPr>
        <w:t xml:space="preserve">AFM </w:t>
      </w:r>
      <w:r w:rsidR="00FE6320">
        <w:rPr>
          <w:szCs w:val="18"/>
          <w:lang w:eastAsia="zh-CN" w:bidi="hi-IN"/>
        </w:rPr>
        <w:t xml:space="preserve">heeft onder </w:t>
      </w:r>
      <w:r w:rsidRPr="00853827" w:rsidR="001D7E37">
        <w:rPr>
          <w:szCs w:val="18"/>
          <w:lang w:eastAsia="zh-CN" w:bidi="hi-IN"/>
        </w:rPr>
        <w:t xml:space="preserve">het nieuwe stelsel </w:t>
      </w:r>
      <w:r w:rsidR="00FE6320">
        <w:rPr>
          <w:szCs w:val="18"/>
          <w:lang w:eastAsia="zh-CN" w:bidi="hi-IN"/>
        </w:rPr>
        <w:t>(</w:t>
      </w:r>
      <w:r w:rsidRPr="00853827" w:rsidR="001D7E37">
        <w:rPr>
          <w:szCs w:val="18"/>
          <w:lang w:eastAsia="zh-CN" w:bidi="hi-IN"/>
        </w:rPr>
        <w:t xml:space="preserve">tot en met </w:t>
      </w:r>
      <w:r w:rsidRPr="00853827" w:rsidR="00853827">
        <w:rPr>
          <w:szCs w:val="18"/>
          <w:lang w:eastAsia="zh-CN" w:bidi="hi-IN"/>
        </w:rPr>
        <w:t>maart</w:t>
      </w:r>
      <w:r w:rsidRPr="00853827" w:rsidR="001D7E37">
        <w:rPr>
          <w:szCs w:val="18"/>
          <w:lang w:eastAsia="zh-CN" w:bidi="hi-IN"/>
        </w:rPr>
        <w:t xml:space="preserve"> 2016</w:t>
      </w:r>
      <w:r w:rsidR="00FE6320">
        <w:rPr>
          <w:szCs w:val="18"/>
          <w:lang w:eastAsia="zh-CN" w:bidi="hi-IN"/>
        </w:rPr>
        <w:t>)</w:t>
      </w:r>
      <w:r w:rsidRPr="00853827" w:rsidR="001D7E37">
        <w:rPr>
          <w:szCs w:val="18"/>
          <w:lang w:eastAsia="zh-CN" w:bidi="hi-IN"/>
        </w:rPr>
        <w:t xml:space="preserve"> in totaal 75 boetes opgelegd. Daarvan komen 42 opgelegde boetes uit op of boven </w:t>
      </w:r>
      <w:r w:rsidR="003A16A3">
        <w:rPr>
          <w:szCs w:val="18"/>
          <w:lang w:eastAsia="zh-CN" w:bidi="hi-IN"/>
        </w:rPr>
        <w:t>€</w:t>
      </w:r>
      <w:r w:rsidRPr="00853827" w:rsidR="003A16A3">
        <w:rPr>
          <w:szCs w:val="18"/>
          <w:lang w:eastAsia="zh-CN" w:bidi="hi-IN"/>
        </w:rPr>
        <w:t xml:space="preserve"> </w:t>
      </w:r>
      <w:r w:rsidR="003A16A3">
        <w:rPr>
          <w:szCs w:val="18"/>
          <w:lang w:eastAsia="zh-CN" w:bidi="hi-IN"/>
        </w:rPr>
        <w:t>100.000</w:t>
      </w:r>
      <w:r w:rsidRPr="00853827" w:rsidR="001D7E37">
        <w:rPr>
          <w:szCs w:val="18"/>
          <w:lang w:eastAsia="zh-CN" w:bidi="hi-IN"/>
        </w:rPr>
        <w:t>, en negen op of boven één miljoen. Het hoogst opgelegde boetebedrag is € 3.000.000,-. Bij de AFM is het totaalbedrag aan opgelegde boetes € 28.137.603,56, en komt het gemiddelde boetebedrag neer op € 375.168,05.</w:t>
      </w:r>
    </w:p>
    <w:p w:rsidRPr="007A171A" w:rsidR="00043220" w:rsidP="00245F25" w:rsidRDefault="00043220">
      <w:pPr>
        <w:rPr>
          <w:szCs w:val="18"/>
          <w:lang w:eastAsia="zh-CN" w:bidi="hi-IN"/>
        </w:rPr>
      </w:pPr>
    </w:p>
    <w:p w:rsidR="00FE6320" w:rsidP="00245F25" w:rsidRDefault="00034877">
      <w:pPr>
        <w:rPr>
          <w:lang w:eastAsia="zh-CN" w:bidi="hi-IN"/>
        </w:rPr>
      </w:pPr>
      <w:r w:rsidRPr="007A171A">
        <w:rPr>
          <w:lang w:eastAsia="zh-CN" w:bidi="hi-IN"/>
        </w:rPr>
        <w:t>Het algemene beeld is dat de toezichthouders sinds de inwerkingtreding van de huidige boetesystematiek hogere boetes opleggen dan voorheen.</w:t>
      </w:r>
      <w:r w:rsidRPr="007A171A">
        <w:rPr>
          <w:rStyle w:val="Voetnootmarkering"/>
          <w:lang w:eastAsia="zh-CN" w:bidi="hi-IN"/>
        </w:rPr>
        <w:footnoteReference w:id="7"/>
      </w:r>
    </w:p>
    <w:p w:rsidRPr="007A171A" w:rsidR="009B0D4B" w:rsidP="00245F25" w:rsidRDefault="009B0D4B">
      <w:pPr>
        <w:rPr>
          <w:lang w:eastAsia="zh-CN" w:bidi="hi-IN"/>
        </w:rPr>
      </w:pPr>
    </w:p>
    <w:p w:rsidR="003A16A3" w:rsidP="00245F25" w:rsidRDefault="003A16A3">
      <w:pPr>
        <w:rPr>
          <w:i/>
          <w:lang w:eastAsia="zh-CN" w:bidi="hi-IN"/>
        </w:rPr>
      </w:pPr>
    </w:p>
    <w:p w:rsidRPr="007A171A" w:rsidR="00034877" w:rsidP="00245F25" w:rsidRDefault="00034877">
      <w:pPr>
        <w:rPr>
          <w:i/>
          <w:lang w:eastAsia="zh-CN" w:bidi="hi-IN"/>
        </w:rPr>
      </w:pPr>
      <w:r w:rsidRPr="007A171A">
        <w:rPr>
          <w:i/>
          <w:lang w:eastAsia="zh-CN" w:bidi="hi-IN"/>
        </w:rPr>
        <w:t xml:space="preserve">Ervaringen toezichthouders </w:t>
      </w:r>
      <w:r w:rsidRPr="007A171A" w:rsidR="002B61D7">
        <w:rPr>
          <w:i/>
          <w:lang w:eastAsia="zh-CN" w:bidi="hi-IN"/>
        </w:rPr>
        <w:t>met verhoogde boetemaxima</w:t>
      </w:r>
    </w:p>
    <w:p w:rsidRPr="007A171A" w:rsidR="00034877" w:rsidP="00245F25" w:rsidRDefault="00034877">
      <w:pPr>
        <w:rPr>
          <w:b/>
          <w:lang w:eastAsia="zh-CN" w:bidi="hi-IN"/>
        </w:rPr>
      </w:pPr>
    </w:p>
    <w:p w:rsidRPr="007A171A" w:rsidR="00034877" w:rsidP="00245F25" w:rsidRDefault="00AB7343">
      <w:pPr>
        <w:rPr>
          <w:lang w:eastAsia="zh-CN" w:bidi="hi-IN"/>
        </w:rPr>
      </w:pPr>
      <w:r w:rsidRPr="007A171A">
        <w:rPr>
          <w:lang w:eastAsia="zh-CN" w:bidi="hi-IN"/>
        </w:rPr>
        <w:t>De</w:t>
      </w:r>
      <w:r w:rsidRPr="007A171A" w:rsidR="00034877">
        <w:rPr>
          <w:lang w:eastAsia="zh-CN" w:bidi="hi-IN"/>
        </w:rPr>
        <w:t xml:space="preserve"> ervaringen van de AFM en DNB met de wijzigingen in de boetesystematiek</w:t>
      </w:r>
      <w:r w:rsidRPr="007A171A">
        <w:rPr>
          <w:lang w:eastAsia="zh-CN" w:bidi="hi-IN"/>
        </w:rPr>
        <w:t xml:space="preserve"> </w:t>
      </w:r>
      <w:r w:rsidRPr="007A171A" w:rsidR="002B61D7">
        <w:rPr>
          <w:lang w:eastAsia="zh-CN" w:bidi="hi-IN"/>
        </w:rPr>
        <w:t xml:space="preserve">in de praktijk </w:t>
      </w:r>
      <w:r w:rsidRPr="007A171A">
        <w:rPr>
          <w:lang w:eastAsia="zh-CN" w:bidi="hi-IN"/>
        </w:rPr>
        <w:t xml:space="preserve">zijn geïnventariseerd tijdens een bijeenkomst met medewerkers </w:t>
      </w:r>
      <w:r w:rsidRPr="007A171A" w:rsidR="00034877">
        <w:rPr>
          <w:lang w:eastAsia="zh-CN" w:bidi="hi-IN"/>
        </w:rPr>
        <w:t>die</w:t>
      </w:r>
      <w:r w:rsidRPr="007A171A">
        <w:rPr>
          <w:lang w:eastAsia="zh-CN" w:bidi="hi-IN"/>
        </w:rPr>
        <w:t xml:space="preserve"> betrokken zijn bij het beleid of </w:t>
      </w:r>
      <w:r w:rsidR="00FE6320">
        <w:rPr>
          <w:lang w:eastAsia="zh-CN" w:bidi="hi-IN"/>
        </w:rPr>
        <w:t xml:space="preserve">bij </w:t>
      </w:r>
      <w:r w:rsidRPr="007A171A">
        <w:rPr>
          <w:lang w:eastAsia="zh-CN" w:bidi="hi-IN"/>
        </w:rPr>
        <w:t>de uitvoering van boetes</w:t>
      </w:r>
      <w:r w:rsidRPr="007A171A" w:rsidR="002B61D7">
        <w:rPr>
          <w:lang w:eastAsia="zh-CN" w:bidi="hi-IN"/>
        </w:rPr>
        <w:t>.</w:t>
      </w:r>
      <w:r w:rsidRPr="007A171A" w:rsidR="00034877">
        <w:rPr>
          <w:rStyle w:val="Voetnootmarkering"/>
          <w:lang w:eastAsia="zh-CN" w:bidi="hi-IN"/>
        </w:rPr>
        <w:footnoteReference w:id="8"/>
      </w:r>
      <w:r w:rsidRPr="007A171A">
        <w:rPr>
          <w:lang w:eastAsia="zh-CN" w:bidi="hi-IN"/>
        </w:rPr>
        <w:t xml:space="preserve"> </w:t>
      </w:r>
      <w:r w:rsidRPr="007A171A" w:rsidR="002B61D7">
        <w:rPr>
          <w:lang w:eastAsia="zh-CN" w:bidi="hi-IN"/>
        </w:rPr>
        <w:t>Over de</w:t>
      </w:r>
      <w:r w:rsidRPr="007A171A" w:rsidR="00034877">
        <w:rPr>
          <w:lang w:eastAsia="zh-CN" w:bidi="hi-IN"/>
        </w:rPr>
        <w:t xml:space="preserve"> verhoogde</w:t>
      </w:r>
      <w:r w:rsidRPr="007A171A" w:rsidR="002B61D7">
        <w:rPr>
          <w:lang w:eastAsia="zh-CN" w:bidi="hi-IN"/>
        </w:rPr>
        <w:t xml:space="preserve"> boete</w:t>
      </w:r>
      <w:r w:rsidRPr="007A171A" w:rsidR="00034877">
        <w:rPr>
          <w:lang w:eastAsia="zh-CN" w:bidi="hi-IN"/>
        </w:rPr>
        <w:t>maxima kwam daarbij het volgende aan de ord</w:t>
      </w:r>
      <w:r w:rsidR="00144FF0">
        <w:rPr>
          <w:lang w:eastAsia="zh-CN" w:bidi="hi-IN"/>
        </w:rPr>
        <w:t>e.</w:t>
      </w:r>
    </w:p>
    <w:p w:rsidRPr="007A171A" w:rsidR="00034877" w:rsidP="00245F25" w:rsidRDefault="00034877">
      <w:pPr>
        <w:rPr>
          <w:lang w:eastAsia="zh-CN" w:bidi="hi-IN"/>
        </w:rPr>
      </w:pPr>
    </w:p>
    <w:p w:rsidRPr="007A171A" w:rsidR="00034877" w:rsidP="00245F25" w:rsidRDefault="000F1209">
      <w:pPr>
        <w:rPr>
          <w:lang w:eastAsia="zh-CN" w:bidi="hi-IN"/>
        </w:rPr>
      </w:pPr>
      <w:r w:rsidRPr="007A171A">
        <w:rPr>
          <w:lang w:eastAsia="zh-CN" w:bidi="hi-IN"/>
        </w:rPr>
        <w:t xml:space="preserve">De AFM vond de nieuwe </w:t>
      </w:r>
      <w:r w:rsidRPr="007A171A" w:rsidR="00034877">
        <w:rPr>
          <w:lang w:eastAsia="zh-CN" w:bidi="hi-IN"/>
        </w:rPr>
        <w:t xml:space="preserve">maxima aanvankelijk hoog in vergelijking </w:t>
      </w:r>
      <w:r w:rsidRPr="007A171A">
        <w:rPr>
          <w:lang w:eastAsia="zh-CN" w:bidi="hi-IN"/>
        </w:rPr>
        <w:t xml:space="preserve">met de boetes die voorheen werden opgelegd. Inmiddels vindt men de hoogtes van de boetes passen bij de specifieke situaties. </w:t>
      </w:r>
      <w:r w:rsidR="00FE6320">
        <w:rPr>
          <w:lang w:eastAsia="zh-CN" w:bidi="hi-IN"/>
        </w:rPr>
        <w:t>D</w:t>
      </w:r>
      <w:r w:rsidRPr="007A171A" w:rsidR="00547179">
        <w:rPr>
          <w:lang w:eastAsia="zh-CN" w:bidi="hi-IN"/>
        </w:rPr>
        <w:t xml:space="preserve">e toezichthouders </w:t>
      </w:r>
      <w:r w:rsidR="00FE6320">
        <w:rPr>
          <w:lang w:eastAsia="zh-CN" w:bidi="hi-IN"/>
        </w:rPr>
        <w:t xml:space="preserve">ervaren </w:t>
      </w:r>
      <w:r w:rsidRPr="007A171A" w:rsidR="00034877">
        <w:rPr>
          <w:lang w:eastAsia="zh-CN" w:bidi="hi-IN"/>
        </w:rPr>
        <w:t>een basisbedrag</w:t>
      </w:r>
      <w:r w:rsidR="00B34D33">
        <w:rPr>
          <w:lang w:eastAsia="zh-CN" w:bidi="hi-IN"/>
        </w:rPr>
        <w:t xml:space="preserve"> als startpunt</w:t>
      </w:r>
      <w:r w:rsidRPr="007A171A" w:rsidR="00034877">
        <w:rPr>
          <w:lang w:eastAsia="zh-CN" w:bidi="hi-IN"/>
        </w:rPr>
        <w:t xml:space="preserve"> </w:t>
      </w:r>
      <w:r w:rsidR="00FE6320">
        <w:rPr>
          <w:lang w:eastAsia="zh-CN" w:bidi="hi-IN"/>
        </w:rPr>
        <w:t>als positief</w:t>
      </w:r>
      <w:r w:rsidRPr="007A171A" w:rsidR="00034877">
        <w:rPr>
          <w:lang w:eastAsia="zh-CN" w:bidi="hi-IN"/>
        </w:rPr>
        <w:t>. Dit voorkomt ook dat de boetes van de</w:t>
      </w:r>
      <w:r w:rsidRPr="007A171A">
        <w:rPr>
          <w:lang w:eastAsia="zh-CN" w:bidi="hi-IN"/>
        </w:rPr>
        <w:t xml:space="preserve"> AFM en DNB teveel uiteenlopen.</w:t>
      </w:r>
    </w:p>
    <w:p w:rsidRPr="007A171A" w:rsidR="00034877" w:rsidP="00245F25" w:rsidRDefault="00034877">
      <w:pPr>
        <w:rPr>
          <w:lang w:eastAsia="zh-CN" w:bidi="hi-IN"/>
        </w:rPr>
      </w:pPr>
    </w:p>
    <w:p w:rsidRPr="00853827" w:rsidR="00034877" w:rsidP="00245F25" w:rsidRDefault="00034877">
      <w:pPr>
        <w:rPr>
          <w:lang w:eastAsia="zh-CN" w:bidi="hi-IN"/>
        </w:rPr>
      </w:pPr>
      <w:r w:rsidRPr="00853827">
        <w:rPr>
          <w:lang w:eastAsia="zh-CN" w:bidi="hi-IN"/>
        </w:rPr>
        <w:t xml:space="preserve">De door </w:t>
      </w:r>
      <w:r w:rsidR="00FE6320">
        <w:rPr>
          <w:lang w:eastAsia="zh-CN" w:bidi="hi-IN"/>
        </w:rPr>
        <w:t xml:space="preserve">de AFM </w:t>
      </w:r>
      <w:r w:rsidRPr="00853827">
        <w:rPr>
          <w:lang w:eastAsia="zh-CN" w:bidi="hi-IN"/>
        </w:rPr>
        <w:t xml:space="preserve">opgelegde boetes </w:t>
      </w:r>
      <w:r w:rsidR="00FE6320">
        <w:rPr>
          <w:lang w:eastAsia="zh-CN" w:bidi="hi-IN"/>
        </w:rPr>
        <w:t xml:space="preserve">blijven </w:t>
      </w:r>
      <w:r w:rsidRPr="00853827" w:rsidR="000F1209">
        <w:rPr>
          <w:lang w:eastAsia="zh-CN" w:bidi="hi-IN"/>
        </w:rPr>
        <w:t xml:space="preserve">in stand </w:t>
      </w:r>
      <w:r w:rsidR="0003788B">
        <w:rPr>
          <w:lang w:eastAsia="zh-CN" w:bidi="hi-IN"/>
        </w:rPr>
        <w:t>bij de rechter</w:t>
      </w:r>
      <w:r w:rsidRPr="00853827">
        <w:rPr>
          <w:lang w:eastAsia="zh-CN" w:bidi="hi-IN"/>
        </w:rPr>
        <w:t>.</w:t>
      </w:r>
      <w:r w:rsidRPr="00853827" w:rsidR="000F1209">
        <w:rPr>
          <w:lang w:eastAsia="zh-CN" w:bidi="hi-IN"/>
        </w:rPr>
        <w:t xml:space="preserve"> </w:t>
      </w:r>
      <w:r w:rsidRPr="00853827">
        <w:rPr>
          <w:lang w:eastAsia="zh-CN" w:bidi="hi-IN"/>
        </w:rPr>
        <w:t xml:space="preserve">Dat sterkt de gedachte dat </w:t>
      </w:r>
      <w:r w:rsidRPr="00853827" w:rsidR="00F8248C">
        <w:rPr>
          <w:lang w:eastAsia="zh-CN" w:bidi="hi-IN"/>
        </w:rPr>
        <w:t>de AFM</w:t>
      </w:r>
      <w:r w:rsidRPr="00853827">
        <w:rPr>
          <w:lang w:eastAsia="zh-CN" w:bidi="hi-IN"/>
        </w:rPr>
        <w:t xml:space="preserve"> de</w:t>
      </w:r>
      <w:r w:rsidRPr="00853827" w:rsidR="00F8248C">
        <w:rPr>
          <w:lang w:eastAsia="zh-CN" w:bidi="hi-IN"/>
        </w:rPr>
        <w:t xml:space="preserve"> boetes</w:t>
      </w:r>
      <w:r w:rsidRPr="00853827">
        <w:rPr>
          <w:lang w:eastAsia="zh-CN" w:bidi="hi-IN"/>
        </w:rPr>
        <w:t>ystematiek op de juiste wijze toepast. Boetes opgelegd aan feitelijk leidinggevenden worden door de</w:t>
      </w:r>
      <w:r w:rsidRPr="00853827" w:rsidR="00F8248C">
        <w:rPr>
          <w:lang w:eastAsia="zh-CN" w:bidi="hi-IN"/>
        </w:rPr>
        <w:t xml:space="preserve"> rechter nog wel eens gematigd.</w:t>
      </w:r>
      <w:r w:rsidRPr="00853827" w:rsidR="00547179">
        <w:rPr>
          <w:lang w:eastAsia="zh-CN" w:bidi="hi-IN"/>
        </w:rPr>
        <w:t xml:space="preserve"> </w:t>
      </w:r>
      <w:r w:rsidRPr="00853827">
        <w:rPr>
          <w:lang w:eastAsia="zh-CN" w:bidi="hi-IN"/>
        </w:rPr>
        <w:t xml:space="preserve">DNB </w:t>
      </w:r>
      <w:r w:rsidRPr="00853827" w:rsidR="00F8248C">
        <w:rPr>
          <w:lang w:eastAsia="zh-CN" w:bidi="hi-IN"/>
        </w:rPr>
        <w:t>heeft soortgelijke</w:t>
      </w:r>
      <w:r w:rsidRPr="00853827">
        <w:rPr>
          <w:lang w:eastAsia="zh-CN" w:bidi="hi-IN"/>
        </w:rPr>
        <w:t xml:space="preserve"> ervaringen. </w:t>
      </w:r>
    </w:p>
    <w:p w:rsidRPr="00853827" w:rsidR="006A37BF" w:rsidP="00245F25" w:rsidRDefault="006A37BF">
      <w:pPr>
        <w:rPr>
          <w:lang w:eastAsia="zh-CN" w:bidi="hi-IN"/>
        </w:rPr>
      </w:pPr>
    </w:p>
    <w:p w:rsidRPr="007A171A" w:rsidR="00884C76" w:rsidP="00245F25" w:rsidRDefault="006A37BF">
      <w:pPr>
        <w:rPr>
          <w:lang w:eastAsia="zh-CN" w:bidi="hi-IN"/>
        </w:rPr>
      </w:pPr>
      <w:r w:rsidRPr="00853827">
        <w:rPr>
          <w:lang w:eastAsia="zh-CN" w:bidi="hi-IN"/>
        </w:rPr>
        <w:t>De huidige boetemaxima -</w:t>
      </w:r>
      <w:r w:rsidR="003A16A3">
        <w:rPr>
          <w:lang w:eastAsia="zh-CN" w:bidi="hi-IN"/>
        </w:rPr>
        <w:t xml:space="preserve"> </w:t>
      </w:r>
      <w:r w:rsidRPr="00853827">
        <w:rPr>
          <w:lang w:eastAsia="zh-CN" w:bidi="hi-IN"/>
        </w:rPr>
        <w:t xml:space="preserve">in combinatie met de mogelijkheid van </w:t>
      </w:r>
      <w:r w:rsidRPr="00853827" w:rsidR="00F8248C">
        <w:rPr>
          <w:lang w:eastAsia="zh-CN" w:bidi="hi-IN"/>
        </w:rPr>
        <w:t>de</w:t>
      </w:r>
      <w:r w:rsidRPr="00853827">
        <w:rPr>
          <w:lang w:eastAsia="zh-CN" w:bidi="hi-IN"/>
        </w:rPr>
        <w:t xml:space="preserve"> voordeelgerelateerde boete</w:t>
      </w:r>
      <w:r w:rsidR="003A16A3">
        <w:rPr>
          <w:lang w:eastAsia="zh-CN" w:bidi="hi-IN"/>
        </w:rPr>
        <w:t xml:space="preserve"> </w:t>
      </w:r>
      <w:r w:rsidRPr="00853827">
        <w:rPr>
          <w:lang w:eastAsia="zh-CN" w:bidi="hi-IN"/>
        </w:rPr>
        <w:t xml:space="preserve">- worden door beide toezichthouders als positief </w:t>
      </w:r>
      <w:r w:rsidR="0003788B">
        <w:rPr>
          <w:lang w:eastAsia="zh-CN" w:bidi="hi-IN"/>
        </w:rPr>
        <w:t xml:space="preserve">en effectief </w:t>
      </w:r>
      <w:r w:rsidRPr="00853827">
        <w:rPr>
          <w:lang w:eastAsia="zh-CN" w:bidi="hi-IN"/>
        </w:rPr>
        <w:t>ervaren. Dit geldt ook voor de nieuwe bevoegdheid tot het opleggen van een omzetgerelateerde boete</w:t>
      </w:r>
      <w:r w:rsidRPr="00853827" w:rsidR="00884C76">
        <w:rPr>
          <w:lang w:eastAsia="zh-CN" w:bidi="hi-IN"/>
        </w:rPr>
        <w:t>.</w:t>
      </w:r>
      <w:r w:rsidRPr="00853827" w:rsidR="00884C76">
        <w:rPr>
          <w:rStyle w:val="Voetnootmarkering"/>
          <w:lang w:eastAsia="zh-CN" w:bidi="hi-IN"/>
        </w:rPr>
        <w:footnoteReference w:id="9"/>
      </w:r>
      <w:r w:rsidRPr="00853827" w:rsidR="00884C76">
        <w:rPr>
          <w:lang w:eastAsia="zh-CN" w:bidi="hi-IN"/>
        </w:rPr>
        <w:t xml:space="preserve"> </w:t>
      </w:r>
      <w:r w:rsidRPr="00853827" w:rsidR="00F8248C">
        <w:rPr>
          <w:lang w:eastAsia="zh-CN" w:bidi="hi-IN"/>
        </w:rPr>
        <w:t xml:space="preserve">Deze biedt </w:t>
      </w:r>
      <w:r w:rsidRPr="00853827">
        <w:rPr>
          <w:lang w:eastAsia="zh-CN" w:bidi="hi-IN"/>
        </w:rPr>
        <w:t xml:space="preserve">mogelijkheden om boetes op te leggen </w:t>
      </w:r>
      <w:r w:rsidR="00FE6320">
        <w:rPr>
          <w:lang w:eastAsia="zh-CN" w:bidi="hi-IN"/>
        </w:rPr>
        <w:t xml:space="preserve">die passen bij </w:t>
      </w:r>
      <w:r w:rsidRPr="00853827">
        <w:rPr>
          <w:lang w:eastAsia="zh-CN" w:bidi="hi-IN"/>
        </w:rPr>
        <w:t>grote ondernemingen</w:t>
      </w:r>
      <w:r w:rsidRPr="00853827" w:rsidR="00F8248C">
        <w:rPr>
          <w:lang w:eastAsia="zh-CN" w:bidi="hi-IN"/>
        </w:rPr>
        <w:t xml:space="preserve"> </w:t>
      </w:r>
      <w:r w:rsidR="009B0D4B">
        <w:rPr>
          <w:lang w:eastAsia="zh-CN" w:bidi="hi-IN"/>
        </w:rPr>
        <w:t>of</w:t>
      </w:r>
      <w:r w:rsidRPr="00853827" w:rsidR="00F8248C">
        <w:rPr>
          <w:lang w:eastAsia="zh-CN" w:bidi="hi-IN"/>
        </w:rPr>
        <w:t xml:space="preserve"> bij </w:t>
      </w:r>
      <w:r w:rsidRPr="00853827" w:rsidR="00884C76">
        <w:rPr>
          <w:lang w:eastAsia="zh-CN" w:bidi="hi-IN"/>
        </w:rPr>
        <w:t>ernstige overtredingen</w:t>
      </w:r>
      <w:r w:rsidRPr="00853827">
        <w:rPr>
          <w:lang w:eastAsia="zh-CN" w:bidi="hi-IN"/>
        </w:rPr>
        <w:t>. Waar nodig zal de</w:t>
      </w:r>
      <w:r w:rsidRPr="00853827" w:rsidR="00884C76">
        <w:rPr>
          <w:lang w:eastAsia="zh-CN" w:bidi="hi-IN"/>
        </w:rPr>
        <w:t xml:space="preserve">ze </w:t>
      </w:r>
      <w:r w:rsidRPr="00853827">
        <w:rPr>
          <w:lang w:eastAsia="zh-CN" w:bidi="hi-IN"/>
        </w:rPr>
        <w:t>bevoegdheid in de toek</w:t>
      </w:r>
      <w:r w:rsidRPr="00853827" w:rsidR="00F8248C">
        <w:rPr>
          <w:lang w:eastAsia="zh-CN" w:bidi="hi-IN"/>
        </w:rPr>
        <w:t xml:space="preserve">omst door de toezichthouders </w:t>
      </w:r>
      <w:r w:rsidRPr="00853827" w:rsidR="00884C76">
        <w:rPr>
          <w:lang w:eastAsia="zh-CN" w:bidi="hi-IN"/>
        </w:rPr>
        <w:t xml:space="preserve">worden </w:t>
      </w:r>
      <w:r w:rsidRPr="00853827" w:rsidR="00F8248C">
        <w:rPr>
          <w:lang w:eastAsia="zh-CN" w:bidi="hi-IN"/>
        </w:rPr>
        <w:t>ingezet</w:t>
      </w:r>
      <w:r w:rsidRPr="00853827" w:rsidR="00884C76">
        <w:rPr>
          <w:lang w:eastAsia="zh-CN" w:bidi="hi-IN"/>
        </w:rPr>
        <w:t>.</w:t>
      </w:r>
    </w:p>
    <w:p w:rsidRPr="007A171A" w:rsidR="00034877" w:rsidP="00245F25" w:rsidRDefault="00034877">
      <w:pPr>
        <w:rPr>
          <w:lang w:eastAsia="zh-CN" w:bidi="hi-IN"/>
        </w:rPr>
      </w:pPr>
    </w:p>
    <w:p w:rsidRPr="007A171A" w:rsidR="00034877" w:rsidP="00245F25" w:rsidRDefault="00547179">
      <w:pPr>
        <w:rPr>
          <w:lang w:eastAsia="zh-CN" w:bidi="hi-IN"/>
        </w:rPr>
      </w:pPr>
      <w:r w:rsidRPr="007A171A">
        <w:rPr>
          <w:lang w:eastAsia="zh-CN" w:bidi="hi-IN"/>
        </w:rPr>
        <w:t>Zowel DNB als de AFM geeft</w:t>
      </w:r>
      <w:r w:rsidRPr="007A171A" w:rsidR="00034877">
        <w:rPr>
          <w:lang w:eastAsia="zh-CN" w:bidi="hi-IN"/>
        </w:rPr>
        <w:t xml:space="preserve"> aan dat zij in vergelijking met de situatie </w:t>
      </w:r>
      <w:r w:rsidRPr="007A171A">
        <w:t xml:space="preserve">vóór </w:t>
      </w:r>
      <w:r w:rsidRPr="007A171A" w:rsidR="00034877">
        <w:rPr>
          <w:lang w:eastAsia="zh-CN" w:bidi="hi-IN"/>
        </w:rPr>
        <w:t>2009 meer en hogere boetes opleg</w:t>
      </w:r>
      <w:r w:rsidR="00FE6320">
        <w:rPr>
          <w:lang w:eastAsia="zh-CN" w:bidi="hi-IN"/>
        </w:rPr>
        <w:t>t</w:t>
      </w:r>
      <w:r w:rsidRPr="007A171A" w:rsidR="00034877">
        <w:rPr>
          <w:lang w:eastAsia="zh-CN" w:bidi="hi-IN"/>
        </w:rPr>
        <w:t xml:space="preserve">. Zij zien een verband met </w:t>
      </w:r>
      <w:r w:rsidRPr="007A171A">
        <w:rPr>
          <w:lang w:eastAsia="zh-CN" w:bidi="hi-IN"/>
        </w:rPr>
        <w:t>beleids</w:t>
      </w:r>
      <w:r w:rsidRPr="007A171A" w:rsidR="00034877">
        <w:rPr>
          <w:lang w:eastAsia="zh-CN" w:bidi="hi-IN"/>
        </w:rPr>
        <w:t xml:space="preserve">wijzigingen </w:t>
      </w:r>
      <w:r w:rsidRPr="007A171A">
        <w:rPr>
          <w:lang w:eastAsia="zh-CN" w:bidi="hi-IN"/>
        </w:rPr>
        <w:t>over het</w:t>
      </w:r>
      <w:r w:rsidR="00A75247">
        <w:rPr>
          <w:lang w:eastAsia="zh-CN" w:bidi="hi-IN"/>
        </w:rPr>
        <w:t xml:space="preserve"> opleggen van boetes</w:t>
      </w:r>
      <w:r w:rsidRPr="007A171A" w:rsidR="00034877">
        <w:rPr>
          <w:lang w:eastAsia="zh-CN" w:bidi="hi-IN"/>
        </w:rPr>
        <w:t xml:space="preserve"> </w:t>
      </w:r>
      <w:r w:rsidR="00A75247">
        <w:rPr>
          <w:lang w:eastAsia="zh-CN" w:bidi="hi-IN"/>
        </w:rPr>
        <w:t>-</w:t>
      </w:r>
      <w:r w:rsidR="003A16A3">
        <w:rPr>
          <w:lang w:eastAsia="zh-CN" w:bidi="hi-IN"/>
        </w:rPr>
        <w:t xml:space="preserve"> </w:t>
      </w:r>
      <w:r w:rsidRPr="007A171A" w:rsidR="00034877">
        <w:rPr>
          <w:lang w:eastAsia="zh-CN" w:bidi="hi-IN"/>
        </w:rPr>
        <w:t xml:space="preserve">die deels een gevolg zijn van </w:t>
      </w:r>
      <w:r w:rsidRPr="007A171A" w:rsidR="00407921">
        <w:t>het sentiment, ontstaan sinds de financiële crisis</w:t>
      </w:r>
      <w:r w:rsidR="003A16A3">
        <w:t xml:space="preserve"> </w:t>
      </w:r>
      <w:r w:rsidR="00A75247">
        <w:t>-</w:t>
      </w:r>
      <w:r w:rsidRPr="007A171A" w:rsidR="00407921">
        <w:t xml:space="preserve"> </w:t>
      </w:r>
      <w:r w:rsidRPr="007A171A" w:rsidR="00034877">
        <w:t xml:space="preserve">dat toezichthouders steviger dienen op te treden tegen misstanden in de financiële sector. </w:t>
      </w:r>
      <w:r w:rsidR="00A75247">
        <w:t>I</w:t>
      </w:r>
      <w:r w:rsidRPr="007A171A" w:rsidR="00034877">
        <w:t xml:space="preserve">n vergelijking </w:t>
      </w:r>
      <w:r w:rsidR="00A75247">
        <w:t>met</w:t>
      </w:r>
      <w:r w:rsidRPr="007A171A" w:rsidR="00034877">
        <w:t xml:space="preserve"> de situatie vóór 2009</w:t>
      </w:r>
      <w:r w:rsidR="00A75247">
        <w:t xml:space="preserve"> hanteert DNB</w:t>
      </w:r>
      <w:r w:rsidRPr="007A171A" w:rsidR="00034877">
        <w:t xml:space="preserve"> meer formele bevoegdheden en legt vaker </w:t>
      </w:r>
      <w:r w:rsidR="00772FD7">
        <w:t xml:space="preserve">dan voorheen </w:t>
      </w:r>
      <w:r w:rsidRPr="007A171A" w:rsidR="00034877">
        <w:t xml:space="preserve">boetes op. Zo zette DNB de boetebevoegdheid vóór 2009 vooral in ter bestrijding van illegale partijen en werden </w:t>
      </w:r>
      <w:r w:rsidR="00AE4C53">
        <w:t>af en toe</w:t>
      </w:r>
      <w:r w:rsidRPr="007A171A" w:rsidR="00034877">
        <w:t xml:space="preserve"> boetes opgelegd aan vergunninghoude</w:t>
      </w:r>
      <w:r w:rsidR="00772FD7">
        <w:t>rs</w:t>
      </w:r>
      <w:r w:rsidRPr="007A171A" w:rsidR="00407921">
        <w:t xml:space="preserve">. </w:t>
      </w:r>
      <w:r w:rsidR="00542280">
        <w:t>I</w:t>
      </w:r>
      <w:r w:rsidRPr="007A171A" w:rsidR="00407921">
        <w:t xml:space="preserve">nmiddels </w:t>
      </w:r>
      <w:r w:rsidR="00542280">
        <w:t xml:space="preserve">worden vaker </w:t>
      </w:r>
      <w:r w:rsidRPr="007A171A" w:rsidR="00034877">
        <w:t>boetes</w:t>
      </w:r>
      <w:r w:rsidR="00542280">
        <w:t xml:space="preserve"> opgelegd</w:t>
      </w:r>
      <w:r w:rsidRPr="007A171A" w:rsidR="00034877">
        <w:t xml:space="preserve">. </w:t>
      </w:r>
      <w:r w:rsidR="00542280">
        <w:t xml:space="preserve">Wat </w:t>
      </w:r>
      <w:r w:rsidR="0003788B">
        <w:t xml:space="preserve">de </w:t>
      </w:r>
      <w:r w:rsidRPr="007A171A" w:rsidR="00034877">
        <w:t xml:space="preserve">AFM </w:t>
      </w:r>
      <w:r w:rsidR="00542280">
        <w:t xml:space="preserve">betreft hangen </w:t>
      </w:r>
      <w:r w:rsidR="0003788B">
        <w:t xml:space="preserve">de </w:t>
      </w:r>
      <w:r w:rsidRPr="007A171A" w:rsidR="00034877">
        <w:t>aantallen opgelegde boetes en de hoogte</w:t>
      </w:r>
      <w:r w:rsidRPr="007A171A">
        <w:t>s</w:t>
      </w:r>
      <w:r w:rsidRPr="007A171A" w:rsidR="00034877">
        <w:t xml:space="preserve"> daarvan vooral samen</w:t>
      </w:r>
      <w:r w:rsidR="00542280">
        <w:t xml:space="preserve"> </w:t>
      </w:r>
      <w:r w:rsidRPr="007A171A" w:rsidR="00034877">
        <w:t xml:space="preserve">met </w:t>
      </w:r>
      <w:r w:rsidR="00C577E3">
        <w:t xml:space="preserve">de </w:t>
      </w:r>
      <w:r w:rsidRPr="007A171A" w:rsidR="00034877">
        <w:t xml:space="preserve">prioriteiten in het toezicht en handhavingsbeleid. Zo zijn in 2009 en 2010 </w:t>
      </w:r>
      <w:r w:rsidRPr="007A171A">
        <w:t xml:space="preserve">veel </w:t>
      </w:r>
      <w:r w:rsidRPr="007A171A" w:rsidR="00034877">
        <w:t xml:space="preserve">relatief lage boetes opgelegd </w:t>
      </w:r>
      <w:r w:rsidRPr="007A171A">
        <w:t>door</w:t>
      </w:r>
      <w:r w:rsidRPr="007A171A" w:rsidR="00034877">
        <w:t xml:space="preserve"> een </w:t>
      </w:r>
      <w:r w:rsidRPr="007A171A" w:rsidR="00034877">
        <w:rPr>
          <w:lang w:eastAsia="zh-CN" w:bidi="hi-IN"/>
        </w:rPr>
        <w:t>sterke focus in het toezicht op</w:t>
      </w:r>
      <w:r w:rsidR="00042EF4">
        <w:rPr>
          <w:lang w:eastAsia="zh-CN" w:bidi="hi-IN"/>
        </w:rPr>
        <w:t xml:space="preserve"> adviesregels voor financiële </w:t>
      </w:r>
      <w:r w:rsidRPr="007A171A" w:rsidR="0058148D">
        <w:rPr>
          <w:lang w:eastAsia="zh-CN" w:bidi="hi-IN"/>
        </w:rPr>
        <w:t xml:space="preserve">dienstverleners en </w:t>
      </w:r>
      <w:r w:rsidRPr="007A171A">
        <w:rPr>
          <w:lang w:eastAsia="zh-CN" w:bidi="hi-IN"/>
        </w:rPr>
        <w:t>op</w:t>
      </w:r>
      <w:r w:rsidRPr="007A171A" w:rsidR="0058148D">
        <w:rPr>
          <w:lang w:eastAsia="zh-CN" w:bidi="hi-IN"/>
        </w:rPr>
        <w:t xml:space="preserve"> </w:t>
      </w:r>
      <w:proofErr w:type="spellStart"/>
      <w:r w:rsidRPr="007A171A" w:rsidR="0058148D">
        <w:rPr>
          <w:lang w:eastAsia="zh-CN" w:bidi="hi-IN"/>
        </w:rPr>
        <w:t>kredietverstrekkingsregels</w:t>
      </w:r>
      <w:proofErr w:type="spellEnd"/>
      <w:r w:rsidRPr="007A171A" w:rsidR="0058148D">
        <w:rPr>
          <w:lang w:eastAsia="zh-CN" w:bidi="hi-IN"/>
        </w:rPr>
        <w:t xml:space="preserve"> voor aanbieders.</w:t>
      </w:r>
      <w:r w:rsidRPr="007A171A" w:rsidR="00034877">
        <w:rPr>
          <w:rStyle w:val="Voetnootmarkering"/>
        </w:rPr>
        <w:footnoteReference w:id="10"/>
      </w:r>
      <w:r w:rsidRPr="007A171A" w:rsidR="00034877">
        <w:t xml:space="preserve"> De laatste jaren richt de AFM zich echter meer op het bestraffen van zwa</w:t>
      </w:r>
      <w:r w:rsidR="00853827">
        <w:t>arder</w:t>
      </w:r>
      <w:r w:rsidRPr="007A171A" w:rsidR="00034877">
        <w:t xml:space="preserve">e overtredingen. </w:t>
      </w:r>
      <w:r w:rsidR="00542280">
        <w:t xml:space="preserve">Derhalve worden </w:t>
      </w:r>
      <w:r w:rsidR="00542280">
        <w:rPr>
          <w:lang w:eastAsia="zh-CN" w:bidi="hi-IN"/>
        </w:rPr>
        <w:t xml:space="preserve">hogere </w:t>
      </w:r>
      <w:r w:rsidRPr="007A171A" w:rsidR="00034877">
        <w:rPr>
          <w:lang w:eastAsia="zh-CN" w:bidi="hi-IN"/>
        </w:rPr>
        <w:t xml:space="preserve">boetes </w:t>
      </w:r>
      <w:r w:rsidR="00542280">
        <w:rPr>
          <w:lang w:eastAsia="zh-CN" w:bidi="hi-IN"/>
        </w:rPr>
        <w:t>opgelegd</w:t>
      </w:r>
      <w:r w:rsidRPr="007A171A" w:rsidR="00034877">
        <w:rPr>
          <w:lang w:eastAsia="zh-CN" w:bidi="hi-IN"/>
        </w:rPr>
        <w:t>.</w:t>
      </w:r>
      <w:r w:rsidRPr="007A171A" w:rsidR="00034877">
        <w:rPr>
          <w:rStyle w:val="Voetnootmarkering"/>
          <w:lang w:eastAsia="zh-CN" w:bidi="hi-IN"/>
        </w:rPr>
        <w:footnoteReference w:id="11"/>
      </w:r>
    </w:p>
    <w:p w:rsidR="00853827" w:rsidP="00245F25" w:rsidRDefault="00853827">
      <w:pPr>
        <w:rPr>
          <w:lang w:eastAsia="zh-CN" w:bidi="hi-IN"/>
        </w:rPr>
      </w:pPr>
    </w:p>
    <w:p w:rsidRPr="007A171A" w:rsidR="00034877" w:rsidP="00245F25" w:rsidRDefault="00034877">
      <w:pPr>
        <w:rPr>
          <w:i/>
          <w:lang w:eastAsia="zh-CN" w:bidi="hi-IN"/>
        </w:rPr>
      </w:pPr>
      <w:r w:rsidRPr="007A171A">
        <w:rPr>
          <w:i/>
          <w:lang w:eastAsia="zh-CN" w:bidi="hi-IN"/>
        </w:rPr>
        <w:t>Rechtspraak en literatuur</w:t>
      </w:r>
    </w:p>
    <w:p w:rsidRPr="007A171A" w:rsidR="00034877" w:rsidP="00245F25" w:rsidRDefault="00034877">
      <w:pPr>
        <w:rPr>
          <w:lang w:eastAsia="zh-CN" w:bidi="hi-IN"/>
        </w:rPr>
      </w:pPr>
    </w:p>
    <w:p w:rsidRPr="007A171A" w:rsidR="00034877" w:rsidP="00245F25" w:rsidRDefault="003151AF">
      <w:pPr>
        <w:rPr>
          <w:lang w:eastAsia="zh-CN" w:bidi="hi-IN"/>
        </w:rPr>
      </w:pPr>
      <w:r w:rsidRPr="007A171A">
        <w:rPr>
          <w:lang w:eastAsia="zh-CN" w:bidi="hi-IN"/>
        </w:rPr>
        <w:t xml:space="preserve">Het algemene beeld </w:t>
      </w:r>
      <w:r w:rsidR="00542280">
        <w:rPr>
          <w:lang w:eastAsia="zh-CN" w:bidi="hi-IN"/>
        </w:rPr>
        <w:t xml:space="preserve">van </w:t>
      </w:r>
      <w:r w:rsidRPr="007A171A" w:rsidR="00034877">
        <w:rPr>
          <w:lang w:eastAsia="zh-CN" w:bidi="hi-IN"/>
        </w:rPr>
        <w:t xml:space="preserve">de rechtspraak van de Rechtbank Rotterdam en het College van Beroep voor het bedrijfsleven (CBb) over de boetes die de AFM en DNB op grond van het </w:t>
      </w:r>
      <w:r w:rsidRPr="007A171A" w:rsidR="00713FAB">
        <w:rPr>
          <w:lang w:eastAsia="zh-CN" w:bidi="hi-IN"/>
        </w:rPr>
        <w:t xml:space="preserve">nieuwe stelsel </w:t>
      </w:r>
      <w:r w:rsidRPr="007A171A" w:rsidR="00034877">
        <w:rPr>
          <w:lang w:eastAsia="zh-CN" w:bidi="hi-IN"/>
        </w:rPr>
        <w:t xml:space="preserve">hebben opgelegd, is </w:t>
      </w:r>
      <w:r w:rsidRPr="007A171A" w:rsidR="00713FAB">
        <w:rPr>
          <w:lang w:eastAsia="zh-CN" w:bidi="hi-IN"/>
        </w:rPr>
        <w:t>dat de boetehoogte</w:t>
      </w:r>
      <w:r w:rsidRPr="007A171A" w:rsidR="00034877">
        <w:rPr>
          <w:lang w:eastAsia="zh-CN" w:bidi="hi-IN"/>
        </w:rPr>
        <w:t xml:space="preserve"> in stand blijft. Er is </w:t>
      </w:r>
      <w:r w:rsidR="00042EF4">
        <w:rPr>
          <w:lang w:eastAsia="zh-CN" w:bidi="hi-IN"/>
        </w:rPr>
        <w:t xml:space="preserve">slechts </w:t>
      </w:r>
      <w:r w:rsidRPr="007A171A" w:rsidR="00034877">
        <w:rPr>
          <w:lang w:eastAsia="zh-CN" w:bidi="hi-IN"/>
        </w:rPr>
        <w:t>een aantal uitspraken</w:t>
      </w:r>
      <w:r w:rsidRPr="007A171A" w:rsidR="00713FAB">
        <w:rPr>
          <w:lang w:eastAsia="zh-CN" w:bidi="hi-IN"/>
        </w:rPr>
        <w:t>, voornamelijk uit 2015,</w:t>
      </w:r>
      <w:r w:rsidRPr="007A171A" w:rsidR="00034877">
        <w:rPr>
          <w:lang w:eastAsia="zh-CN" w:bidi="hi-IN"/>
        </w:rPr>
        <w:t xml:space="preserve"> waarin de rec</w:t>
      </w:r>
      <w:r w:rsidRPr="007A171A" w:rsidR="00713FAB">
        <w:rPr>
          <w:lang w:eastAsia="zh-CN" w:bidi="hi-IN"/>
        </w:rPr>
        <w:t>hter de opgelegde boete matigt.</w:t>
      </w:r>
    </w:p>
    <w:p w:rsidRPr="007A171A" w:rsidR="00713FAB" w:rsidP="00853827" w:rsidRDefault="00713FAB">
      <w:pPr>
        <w:tabs>
          <w:tab w:val="left" w:pos="7181"/>
        </w:tabs>
        <w:rPr>
          <w:lang w:eastAsia="zh-CN" w:bidi="hi-IN"/>
        </w:rPr>
      </w:pPr>
    </w:p>
    <w:p w:rsidRPr="007A171A" w:rsidR="00034877" w:rsidP="00245F25" w:rsidRDefault="00034877">
      <w:pPr>
        <w:rPr>
          <w:lang w:eastAsia="zh-CN" w:bidi="hi-IN"/>
        </w:rPr>
      </w:pPr>
      <w:r w:rsidRPr="007A171A">
        <w:rPr>
          <w:lang w:eastAsia="zh-CN" w:bidi="hi-IN"/>
        </w:rPr>
        <w:t>De redenen voor matiging zijn divers. In sommige gevallen</w:t>
      </w:r>
      <w:r w:rsidRPr="007A171A" w:rsidR="00042EF4">
        <w:rPr>
          <w:rStyle w:val="Voetnootmarkering"/>
          <w:lang w:eastAsia="zh-CN" w:bidi="hi-IN"/>
        </w:rPr>
        <w:footnoteReference w:id="12"/>
      </w:r>
      <w:r w:rsidRPr="007A171A" w:rsidR="00713FAB">
        <w:rPr>
          <w:lang w:eastAsia="zh-CN" w:bidi="hi-IN"/>
        </w:rPr>
        <w:t xml:space="preserve"> wordt gematigd vanwege de geringe draagkracht (of verslechterde draagkracht sinds boeteoplegging) van de overtreder.</w:t>
      </w:r>
      <w:r w:rsidRPr="007A171A" w:rsidR="00713FAB">
        <w:rPr>
          <w:rStyle w:val="Voetnootmarkering"/>
          <w:lang w:eastAsia="zh-CN" w:bidi="hi-IN"/>
        </w:rPr>
        <w:footnoteReference w:id="13"/>
      </w:r>
      <w:r w:rsidRPr="007A171A" w:rsidR="00095C9E">
        <w:rPr>
          <w:lang w:eastAsia="zh-CN" w:bidi="hi-IN"/>
        </w:rPr>
        <w:t xml:space="preserve"> </w:t>
      </w:r>
      <w:r w:rsidRPr="007A171A" w:rsidR="005A230E">
        <w:rPr>
          <w:lang w:eastAsia="zh-CN" w:bidi="hi-IN"/>
        </w:rPr>
        <w:t>I</w:t>
      </w:r>
      <w:r w:rsidRPr="007A171A">
        <w:rPr>
          <w:lang w:eastAsia="zh-CN" w:bidi="hi-IN"/>
        </w:rPr>
        <w:t xml:space="preserve">n andere gevallen </w:t>
      </w:r>
      <w:r w:rsidRPr="007A171A" w:rsidR="00095C9E">
        <w:rPr>
          <w:lang w:eastAsia="zh-CN" w:bidi="hi-IN"/>
        </w:rPr>
        <w:t>is gematigd</w:t>
      </w:r>
      <w:r w:rsidRPr="007A171A" w:rsidR="005A230E">
        <w:rPr>
          <w:lang w:eastAsia="zh-CN" w:bidi="hi-IN"/>
        </w:rPr>
        <w:t xml:space="preserve"> </w:t>
      </w:r>
      <w:r w:rsidRPr="007A171A">
        <w:rPr>
          <w:lang w:eastAsia="zh-CN" w:bidi="hi-IN"/>
        </w:rPr>
        <w:t>vanwege geringe</w:t>
      </w:r>
      <w:r w:rsidRPr="007A171A" w:rsidR="005A230E">
        <w:rPr>
          <w:lang w:eastAsia="zh-CN" w:bidi="hi-IN"/>
        </w:rPr>
        <w:t>re</w:t>
      </w:r>
      <w:r w:rsidRPr="007A171A">
        <w:rPr>
          <w:lang w:eastAsia="zh-CN" w:bidi="hi-IN"/>
        </w:rPr>
        <w:t xml:space="preserve"> ernst of verwijtbaarheid</w:t>
      </w:r>
      <w:r w:rsidRPr="007A171A" w:rsidR="00095C9E">
        <w:rPr>
          <w:lang w:eastAsia="zh-CN" w:bidi="hi-IN"/>
        </w:rPr>
        <w:t>,</w:t>
      </w:r>
      <w:r w:rsidRPr="007A171A">
        <w:rPr>
          <w:rStyle w:val="Voetnootmarkering"/>
          <w:lang w:eastAsia="zh-CN" w:bidi="hi-IN"/>
        </w:rPr>
        <w:footnoteReference w:id="14"/>
      </w:r>
      <w:r w:rsidRPr="007A171A">
        <w:rPr>
          <w:lang w:eastAsia="zh-CN" w:bidi="hi-IN"/>
        </w:rPr>
        <w:t xml:space="preserve"> op</w:t>
      </w:r>
      <w:r w:rsidRPr="007A171A" w:rsidR="005A230E">
        <w:rPr>
          <w:lang w:eastAsia="zh-CN" w:bidi="hi-IN"/>
        </w:rPr>
        <w:t xml:space="preserve"> g</w:t>
      </w:r>
      <w:r w:rsidRPr="007A171A">
        <w:rPr>
          <w:lang w:eastAsia="zh-CN" w:bidi="hi-IN"/>
        </w:rPr>
        <w:t>rond van evenredigheid</w:t>
      </w:r>
      <w:r w:rsidRPr="007A171A">
        <w:rPr>
          <w:rStyle w:val="Voetnootmarkering"/>
          <w:lang w:eastAsia="zh-CN" w:bidi="hi-IN"/>
        </w:rPr>
        <w:footnoteReference w:id="15"/>
      </w:r>
      <w:r w:rsidRPr="007A171A">
        <w:rPr>
          <w:lang w:eastAsia="zh-CN" w:bidi="hi-IN"/>
        </w:rPr>
        <w:t xml:space="preserve"> of om procestechnische redenen</w:t>
      </w:r>
      <w:r w:rsidRPr="007A171A" w:rsidR="00095C9E">
        <w:rPr>
          <w:lang w:eastAsia="zh-CN" w:bidi="hi-IN"/>
        </w:rPr>
        <w:t>.</w:t>
      </w:r>
      <w:r w:rsidRPr="007A171A">
        <w:rPr>
          <w:rStyle w:val="Voetnootmarkering"/>
          <w:lang w:eastAsia="zh-CN" w:bidi="hi-IN"/>
        </w:rPr>
        <w:footnoteReference w:id="16"/>
      </w:r>
      <w:r w:rsidRPr="007A171A" w:rsidR="00095C9E">
        <w:rPr>
          <w:lang w:eastAsia="zh-CN" w:bidi="hi-IN"/>
        </w:rPr>
        <w:t xml:space="preserve"> </w:t>
      </w:r>
      <w:r w:rsidRPr="007A171A">
        <w:rPr>
          <w:lang w:eastAsia="zh-CN" w:bidi="hi-IN"/>
        </w:rPr>
        <w:t xml:space="preserve">Ook </w:t>
      </w:r>
      <w:r w:rsidRPr="007A171A" w:rsidR="005A230E">
        <w:rPr>
          <w:lang w:eastAsia="zh-CN" w:bidi="hi-IN"/>
        </w:rPr>
        <w:t xml:space="preserve">de </w:t>
      </w:r>
      <w:r w:rsidRPr="007A171A" w:rsidR="00095C9E">
        <w:rPr>
          <w:lang w:eastAsia="zh-CN" w:bidi="hi-IN"/>
        </w:rPr>
        <w:t>omvang van de matiging</w:t>
      </w:r>
      <w:r w:rsidRPr="007A171A">
        <w:rPr>
          <w:lang w:eastAsia="zh-CN" w:bidi="hi-IN"/>
        </w:rPr>
        <w:t xml:space="preserve"> </w:t>
      </w:r>
      <w:r w:rsidRPr="007A171A" w:rsidR="005A230E">
        <w:rPr>
          <w:lang w:eastAsia="zh-CN" w:bidi="hi-IN"/>
        </w:rPr>
        <w:t xml:space="preserve">verschilt </w:t>
      </w:r>
      <w:r w:rsidRPr="007A171A">
        <w:rPr>
          <w:lang w:eastAsia="zh-CN" w:bidi="hi-IN"/>
        </w:rPr>
        <w:t>en loopt uiteen van 0,5%</w:t>
      </w:r>
      <w:r w:rsidRPr="007A171A">
        <w:rPr>
          <w:rStyle w:val="Voetnootmarkering"/>
          <w:lang w:eastAsia="zh-CN" w:bidi="hi-IN"/>
        </w:rPr>
        <w:footnoteReference w:id="17"/>
      </w:r>
      <w:r w:rsidRPr="007A171A">
        <w:rPr>
          <w:lang w:eastAsia="zh-CN" w:bidi="hi-IN"/>
        </w:rPr>
        <w:t xml:space="preserve"> tot 90%</w:t>
      </w:r>
      <w:r w:rsidRPr="007A171A">
        <w:rPr>
          <w:rStyle w:val="Voetnootmarkering"/>
          <w:lang w:eastAsia="zh-CN" w:bidi="hi-IN"/>
        </w:rPr>
        <w:footnoteReference w:id="18"/>
      </w:r>
      <w:r w:rsidRPr="007A171A" w:rsidR="005A230E">
        <w:rPr>
          <w:lang w:eastAsia="zh-CN" w:bidi="hi-IN"/>
        </w:rPr>
        <w:t xml:space="preserve"> van de door de toezichthouder opgelegde boete</w:t>
      </w:r>
      <w:r w:rsidRPr="007A171A">
        <w:rPr>
          <w:lang w:eastAsia="zh-CN" w:bidi="hi-IN"/>
        </w:rPr>
        <w:t>.</w:t>
      </w:r>
    </w:p>
    <w:p w:rsidRPr="007A171A" w:rsidR="00034877" w:rsidP="00245F25" w:rsidRDefault="00034877">
      <w:pPr>
        <w:rPr>
          <w:lang w:eastAsia="zh-CN" w:bidi="hi-IN"/>
        </w:rPr>
      </w:pPr>
    </w:p>
    <w:p w:rsidRPr="007A171A" w:rsidR="00034877" w:rsidP="00245F25" w:rsidRDefault="00034877">
      <w:pPr>
        <w:rPr>
          <w:lang w:eastAsia="zh-CN" w:bidi="hi-IN"/>
        </w:rPr>
      </w:pPr>
      <w:r w:rsidRPr="007A171A">
        <w:rPr>
          <w:lang w:eastAsia="zh-CN" w:bidi="hi-IN"/>
        </w:rPr>
        <w:t>In de literatuur wordt door verschillende auteurs geconstateerd dat de AFM en DNB sinds de inwerkingtreding van het nieuwe boetesysteem hogere boetes opleggen.</w:t>
      </w:r>
      <w:r w:rsidRPr="007A171A">
        <w:rPr>
          <w:rStyle w:val="Voetnootmarkering"/>
          <w:lang w:eastAsia="zh-CN" w:bidi="hi-IN"/>
        </w:rPr>
        <w:footnoteReference w:id="19"/>
      </w:r>
      <w:r w:rsidRPr="007A171A">
        <w:rPr>
          <w:lang w:eastAsia="zh-CN" w:bidi="hi-IN"/>
        </w:rPr>
        <w:t xml:space="preserve"> </w:t>
      </w:r>
    </w:p>
    <w:p w:rsidRPr="007A171A" w:rsidR="00034877" w:rsidP="00245F25" w:rsidRDefault="00034877">
      <w:pPr>
        <w:rPr>
          <w:lang w:eastAsia="zh-CN" w:bidi="hi-IN"/>
        </w:rPr>
      </w:pPr>
    </w:p>
    <w:p w:rsidRPr="007A171A" w:rsidR="00034877" w:rsidP="00245F25" w:rsidRDefault="009522CC">
      <w:pPr>
        <w:rPr>
          <w:i/>
          <w:lang w:eastAsia="zh-CN" w:bidi="hi-IN"/>
        </w:rPr>
      </w:pPr>
      <w:r w:rsidRPr="007A171A">
        <w:rPr>
          <w:i/>
          <w:lang w:eastAsia="zh-CN" w:bidi="hi-IN"/>
        </w:rPr>
        <w:t>Conclusie en interpretatie</w:t>
      </w:r>
    </w:p>
    <w:p w:rsidRPr="007A171A" w:rsidR="00034877" w:rsidP="00245F25" w:rsidRDefault="00034877">
      <w:pPr>
        <w:rPr>
          <w:i/>
          <w:lang w:eastAsia="zh-CN" w:bidi="hi-IN"/>
        </w:rPr>
      </w:pPr>
    </w:p>
    <w:p w:rsidRPr="007A171A" w:rsidR="00034877" w:rsidP="00245F25" w:rsidRDefault="00095C9E">
      <w:pPr>
        <w:rPr>
          <w:lang w:eastAsia="zh-CN" w:bidi="hi-IN"/>
        </w:rPr>
      </w:pPr>
      <w:r w:rsidRPr="007A171A">
        <w:rPr>
          <w:lang w:eastAsia="zh-CN" w:bidi="hi-IN"/>
        </w:rPr>
        <w:t>S</w:t>
      </w:r>
      <w:r w:rsidRPr="007A171A" w:rsidR="00034877">
        <w:rPr>
          <w:lang w:eastAsia="zh-CN" w:bidi="hi-IN"/>
        </w:rPr>
        <w:t xml:space="preserve">inds het verhogen van de boetemaxima </w:t>
      </w:r>
      <w:r w:rsidRPr="007A171A">
        <w:rPr>
          <w:lang w:eastAsia="zh-CN" w:bidi="hi-IN"/>
        </w:rPr>
        <w:t xml:space="preserve">maken DNB en de AFM </w:t>
      </w:r>
      <w:r w:rsidRPr="007A171A" w:rsidR="0080041F">
        <w:rPr>
          <w:lang w:eastAsia="zh-CN" w:bidi="hi-IN"/>
        </w:rPr>
        <w:t xml:space="preserve">daadwerkelijk </w:t>
      </w:r>
      <w:r w:rsidRPr="007A171A" w:rsidR="00034877">
        <w:rPr>
          <w:lang w:eastAsia="zh-CN" w:bidi="hi-IN"/>
        </w:rPr>
        <w:t xml:space="preserve">gebruik van hun bevoegdheid om hogere boetes op te leggen dan voorheen. De wettelijke maxima worden niet vaak opgelegd. De meeste boetes zijn </w:t>
      </w:r>
      <w:r w:rsidRPr="007A171A" w:rsidR="00BD0897">
        <w:rPr>
          <w:lang w:eastAsia="zh-CN" w:bidi="hi-IN"/>
        </w:rPr>
        <w:t xml:space="preserve">uiteindelijk </w:t>
      </w:r>
      <w:r w:rsidRPr="007A171A" w:rsidR="00034877">
        <w:rPr>
          <w:lang w:eastAsia="zh-CN" w:bidi="hi-IN"/>
        </w:rPr>
        <w:t xml:space="preserve">lager dan het basisbedrag voor de betreffende categorie, </w:t>
      </w:r>
      <w:r w:rsidR="0031778C">
        <w:rPr>
          <w:lang w:eastAsia="zh-CN" w:bidi="hi-IN"/>
        </w:rPr>
        <w:t>meestal beperkt door evenredigheid of door</w:t>
      </w:r>
      <w:r w:rsidRPr="007A171A" w:rsidR="00034877">
        <w:rPr>
          <w:lang w:eastAsia="zh-CN" w:bidi="hi-IN"/>
        </w:rPr>
        <w:t xml:space="preserve"> </w:t>
      </w:r>
      <w:r w:rsidR="00853827">
        <w:rPr>
          <w:lang w:eastAsia="zh-CN" w:bidi="hi-IN"/>
        </w:rPr>
        <w:t xml:space="preserve">de beperkte omvang van de onderneming, </w:t>
      </w:r>
      <w:r w:rsidR="0031778C">
        <w:rPr>
          <w:lang w:eastAsia="zh-CN" w:bidi="hi-IN"/>
        </w:rPr>
        <w:t xml:space="preserve">of </w:t>
      </w:r>
      <w:r w:rsidR="00853827">
        <w:rPr>
          <w:lang w:eastAsia="zh-CN" w:bidi="hi-IN"/>
        </w:rPr>
        <w:t xml:space="preserve">de </w:t>
      </w:r>
      <w:r w:rsidRPr="007A171A" w:rsidR="00853827">
        <w:rPr>
          <w:lang w:eastAsia="zh-CN" w:bidi="hi-IN"/>
        </w:rPr>
        <w:t>beperkte draagkracht van de overtreder of feitelijk leidinggevende</w:t>
      </w:r>
      <w:r w:rsidR="0031778C">
        <w:rPr>
          <w:lang w:eastAsia="zh-CN" w:bidi="hi-IN"/>
        </w:rPr>
        <w:t xml:space="preserve">. Een beperking door </w:t>
      </w:r>
      <w:r w:rsidRPr="007A171A" w:rsidR="00034877">
        <w:rPr>
          <w:lang w:eastAsia="zh-CN" w:bidi="hi-IN"/>
        </w:rPr>
        <w:t>verminderde ernst, duur of verwijtbaarheid</w:t>
      </w:r>
      <w:r w:rsidR="0031778C">
        <w:rPr>
          <w:lang w:eastAsia="zh-CN" w:bidi="hi-IN"/>
        </w:rPr>
        <w:t xml:space="preserve"> komt ook voor, maar minder vaak</w:t>
      </w:r>
      <w:r w:rsidRPr="007A171A" w:rsidR="00034877">
        <w:rPr>
          <w:lang w:eastAsia="zh-CN" w:bidi="hi-IN"/>
        </w:rPr>
        <w:t>.</w:t>
      </w:r>
    </w:p>
    <w:p w:rsidRPr="007A171A" w:rsidR="00034877" w:rsidP="00245F25" w:rsidRDefault="00034877">
      <w:pPr>
        <w:rPr>
          <w:lang w:eastAsia="zh-CN" w:bidi="hi-IN"/>
        </w:rPr>
      </w:pPr>
    </w:p>
    <w:p w:rsidRPr="00A01DC2" w:rsidR="00034877" w:rsidP="00245F25" w:rsidRDefault="00034877">
      <w:pPr>
        <w:rPr>
          <w:lang w:eastAsia="zh-CN" w:bidi="hi-IN"/>
        </w:rPr>
      </w:pPr>
      <w:r w:rsidRPr="007A171A">
        <w:rPr>
          <w:lang w:eastAsia="zh-CN" w:bidi="hi-IN"/>
        </w:rPr>
        <w:t xml:space="preserve">Uit de gesprekken met de toezichthouders volgt dat zij de mogelijkheid </w:t>
      </w:r>
      <w:r w:rsidR="00542280">
        <w:rPr>
          <w:lang w:eastAsia="zh-CN" w:bidi="hi-IN"/>
        </w:rPr>
        <w:t xml:space="preserve">waarderen </w:t>
      </w:r>
      <w:r w:rsidRPr="007A171A">
        <w:rPr>
          <w:lang w:eastAsia="zh-CN" w:bidi="hi-IN"/>
        </w:rPr>
        <w:t>om hoge</w:t>
      </w:r>
      <w:r w:rsidRPr="007A171A" w:rsidR="0080041F">
        <w:rPr>
          <w:lang w:eastAsia="zh-CN" w:bidi="hi-IN"/>
        </w:rPr>
        <w:t>re</w:t>
      </w:r>
      <w:r w:rsidRPr="007A171A">
        <w:rPr>
          <w:lang w:eastAsia="zh-CN" w:bidi="hi-IN"/>
        </w:rPr>
        <w:t xml:space="preserve"> boetes op te </w:t>
      </w:r>
      <w:r w:rsidRPr="007A171A" w:rsidR="0080041F">
        <w:rPr>
          <w:lang w:eastAsia="zh-CN" w:bidi="hi-IN"/>
        </w:rPr>
        <w:t xml:space="preserve">kunnen </w:t>
      </w:r>
      <w:r w:rsidRPr="007A171A">
        <w:rPr>
          <w:lang w:eastAsia="zh-CN" w:bidi="hi-IN"/>
        </w:rPr>
        <w:t xml:space="preserve">leggen </w:t>
      </w:r>
      <w:r w:rsidRPr="007A171A" w:rsidR="0080041F">
        <w:rPr>
          <w:lang w:eastAsia="zh-CN" w:bidi="hi-IN"/>
        </w:rPr>
        <w:t>dan voorheen</w:t>
      </w:r>
      <w:r w:rsidRPr="007A171A">
        <w:rPr>
          <w:lang w:eastAsia="zh-CN" w:bidi="hi-IN"/>
        </w:rPr>
        <w:t>.</w:t>
      </w:r>
      <w:r w:rsidRPr="007A171A" w:rsidR="00CF30E8">
        <w:rPr>
          <w:lang w:eastAsia="zh-CN" w:bidi="hi-IN"/>
        </w:rPr>
        <w:t xml:space="preserve"> Voor de afschrikwekkende werking en voor het evenredig kunnen straffen </w:t>
      </w:r>
      <w:r w:rsidRPr="007A171A" w:rsidR="00F916FD">
        <w:rPr>
          <w:lang w:eastAsia="zh-CN" w:bidi="hi-IN"/>
        </w:rPr>
        <w:t>is</w:t>
      </w:r>
      <w:r w:rsidRPr="007A171A" w:rsidR="00CF30E8">
        <w:rPr>
          <w:lang w:eastAsia="zh-CN" w:bidi="hi-IN"/>
        </w:rPr>
        <w:t xml:space="preserve"> het</w:t>
      </w:r>
      <w:r w:rsidRPr="007A171A" w:rsidR="00F916FD">
        <w:rPr>
          <w:lang w:eastAsia="zh-CN" w:bidi="hi-IN"/>
        </w:rPr>
        <w:t xml:space="preserve"> een verbetering om</w:t>
      </w:r>
      <w:r w:rsidRPr="007A171A" w:rsidR="00CF30E8">
        <w:rPr>
          <w:lang w:eastAsia="zh-CN" w:bidi="hi-IN"/>
        </w:rPr>
        <w:t xml:space="preserve"> </w:t>
      </w:r>
      <w:r w:rsidRPr="00A01DC2" w:rsidR="00CF30E8">
        <w:rPr>
          <w:lang w:eastAsia="zh-CN" w:bidi="hi-IN"/>
        </w:rPr>
        <w:t>naar hogere boetes</w:t>
      </w:r>
      <w:r w:rsidRPr="00A01DC2" w:rsidR="00F916FD">
        <w:rPr>
          <w:lang w:eastAsia="zh-CN" w:bidi="hi-IN"/>
        </w:rPr>
        <w:t xml:space="preserve"> uit te kun</w:t>
      </w:r>
      <w:r w:rsidRPr="00A01DC2">
        <w:rPr>
          <w:lang w:eastAsia="zh-CN" w:bidi="hi-IN"/>
        </w:rPr>
        <w:t>nen wijk</w:t>
      </w:r>
      <w:r w:rsidRPr="00A01DC2" w:rsidR="00CF30E8">
        <w:rPr>
          <w:lang w:eastAsia="zh-CN" w:bidi="hi-IN"/>
        </w:rPr>
        <w:t>en</w:t>
      </w:r>
      <w:r w:rsidRPr="00A01DC2" w:rsidR="00F916FD">
        <w:rPr>
          <w:lang w:eastAsia="zh-CN" w:bidi="hi-IN"/>
        </w:rPr>
        <w:t>.</w:t>
      </w:r>
    </w:p>
    <w:p w:rsidRPr="00A01DC2" w:rsidR="00034877" w:rsidP="00245F25" w:rsidRDefault="00034877">
      <w:pPr>
        <w:rPr>
          <w:lang w:eastAsia="zh-CN" w:bidi="hi-IN"/>
        </w:rPr>
      </w:pPr>
    </w:p>
    <w:p w:rsidRPr="00A01DC2" w:rsidR="00034877" w:rsidP="00245F25" w:rsidRDefault="00034877">
      <w:pPr>
        <w:rPr>
          <w:lang w:eastAsia="zh-CN" w:bidi="hi-IN"/>
        </w:rPr>
      </w:pPr>
      <w:r w:rsidRPr="00A01DC2">
        <w:rPr>
          <w:lang w:eastAsia="zh-CN" w:bidi="hi-IN"/>
        </w:rPr>
        <w:t xml:space="preserve">De hoogte van de boete houdt in rechte in </w:t>
      </w:r>
      <w:r w:rsidR="00042EF4">
        <w:rPr>
          <w:lang w:eastAsia="zh-CN" w:bidi="hi-IN"/>
        </w:rPr>
        <w:t>de meeste</w:t>
      </w:r>
      <w:r w:rsidRPr="00A01DC2">
        <w:rPr>
          <w:lang w:eastAsia="zh-CN" w:bidi="hi-IN"/>
        </w:rPr>
        <w:t xml:space="preserve"> gevallen stand. In een enkel geval ga</w:t>
      </w:r>
      <w:r w:rsidRPr="00A01DC2" w:rsidR="00E56CBC">
        <w:rPr>
          <w:lang w:eastAsia="zh-CN" w:bidi="hi-IN"/>
        </w:rPr>
        <w:t>a</w:t>
      </w:r>
      <w:r w:rsidRPr="00A01DC2">
        <w:rPr>
          <w:lang w:eastAsia="zh-CN" w:bidi="hi-IN"/>
        </w:rPr>
        <w:t xml:space="preserve">t de rechtbank of het </w:t>
      </w:r>
      <w:r w:rsidRPr="00A01DC2" w:rsidR="00F916FD">
        <w:rPr>
          <w:lang w:eastAsia="zh-CN" w:bidi="hi-IN"/>
        </w:rPr>
        <w:t>CBb</w:t>
      </w:r>
      <w:r w:rsidRPr="00A01DC2">
        <w:rPr>
          <w:lang w:eastAsia="zh-CN" w:bidi="hi-IN"/>
        </w:rPr>
        <w:t xml:space="preserve"> over tot matiging. De redenen daarvoor zijn divers. </w:t>
      </w:r>
    </w:p>
    <w:p w:rsidRPr="00A01DC2" w:rsidR="00034877" w:rsidP="00245F25" w:rsidRDefault="00034877">
      <w:pPr>
        <w:rPr>
          <w:lang w:eastAsia="zh-CN" w:bidi="hi-IN"/>
        </w:rPr>
      </w:pPr>
    </w:p>
    <w:p w:rsidRPr="00A01DC2" w:rsidR="00CF30E8" w:rsidP="00245F25" w:rsidRDefault="00034877">
      <w:r w:rsidRPr="00A01DC2">
        <w:rPr>
          <w:lang w:eastAsia="zh-CN" w:bidi="hi-IN"/>
        </w:rPr>
        <w:t>Een nuance die beide toezichthouders aanbrengen</w:t>
      </w:r>
      <w:r w:rsidRPr="00A01DC2" w:rsidR="00FD5233">
        <w:rPr>
          <w:lang w:eastAsia="zh-CN" w:bidi="hi-IN"/>
        </w:rPr>
        <w:t>,</w:t>
      </w:r>
      <w:r w:rsidRPr="00A01DC2">
        <w:rPr>
          <w:lang w:eastAsia="zh-CN" w:bidi="hi-IN"/>
        </w:rPr>
        <w:t xml:space="preserve"> is dat het opleggen van hoge boetes niet alleen een effect is van de wijziging van de </w:t>
      </w:r>
      <w:r w:rsidRPr="00A01DC2" w:rsidR="00F916FD">
        <w:rPr>
          <w:lang w:eastAsia="zh-CN" w:bidi="hi-IN"/>
        </w:rPr>
        <w:t xml:space="preserve">systematiek in de </w:t>
      </w:r>
      <w:r w:rsidRPr="00A01DC2">
        <w:rPr>
          <w:lang w:eastAsia="zh-CN" w:bidi="hi-IN"/>
        </w:rPr>
        <w:t>boetewetgeving, maar ook van gewijzigd beleid</w:t>
      </w:r>
      <w:r w:rsidRPr="00A01DC2" w:rsidR="00FD5233">
        <w:rPr>
          <w:lang w:eastAsia="zh-CN" w:bidi="hi-IN"/>
        </w:rPr>
        <w:t xml:space="preserve"> als g</w:t>
      </w:r>
      <w:r w:rsidRPr="00A01DC2" w:rsidR="00F916FD">
        <w:rPr>
          <w:lang w:eastAsia="zh-CN" w:bidi="hi-IN"/>
        </w:rPr>
        <w:t>evolg van de financiële crisis</w:t>
      </w:r>
      <w:r w:rsidRPr="00A01DC2">
        <w:rPr>
          <w:lang w:eastAsia="zh-CN" w:bidi="hi-IN"/>
        </w:rPr>
        <w:t xml:space="preserve">. </w:t>
      </w:r>
      <w:r w:rsidRPr="00042EF4">
        <w:rPr>
          <w:lang w:eastAsia="zh-CN" w:bidi="hi-IN"/>
        </w:rPr>
        <w:t>Toch lijkt ook</w:t>
      </w:r>
      <w:r w:rsidRPr="00A01DC2">
        <w:rPr>
          <w:lang w:eastAsia="zh-CN" w:bidi="hi-IN"/>
        </w:rPr>
        <w:t xml:space="preserve"> de</w:t>
      </w:r>
      <w:r w:rsidRPr="00A01DC2" w:rsidR="00CF30E8">
        <w:rPr>
          <w:lang w:eastAsia="zh-CN" w:bidi="hi-IN"/>
        </w:rPr>
        <w:t xml:space="preserve"> gewijzigde </w:t>
      </w:r>
      <w:r w:rsidRPr="00A01DC2" w:rsidR="00FD5233">
        <w:rPr>
          <w:lang w:eastAsia="zh-CN" w:bidi="hi-IN"/>
        </w:rPr>
        <w:t>systematiek</w:t>
      </w:r>
      <w:r w:rsidRPr="00A01DC2">
        <w:rPr>
          <w:lang w:eastAsia="zh-CN" w:bidi="hi-IN"/>
        </w:rPr>
        <w:t xml:space="preserve"> op zich te leiden tot hogere boetes</w:t>
      </w:r>
      <w:r w:rsidRPr="00A01DC2" w:rsidR="00FD5233">
        <w:rPr>
          <w:lang w:eastAsia="zh-CN" w:bidi="hi-IN"/>
        </w:rPr>
        <w:t xml:space="preserve">; het vertrekpunt is in ieder geval dat </w:t>
      </w:r>
      <w:r w:rsidRPr="00A01DC2" w:rsidR="00CF30E8">
        <w:rPr>
          <w:lang w:eastAsia="zh-CN" w:bidi="hi-IN"/>
        </w:rPr>
        <w:t xml:space="preserve">met hogere </w:t>
      </w:r>
      <w:r w:rsidR="00042EF4">
        <w:rPr>
          <w:lang w:eastAsia="zh-CN" w:bidi="hi-IN"/>
        </w:rPr>
        <w:t>basisbedragen (vanwege hogere maximumbedragen)</w:t>
      </w:r>
      <w:r w:rsidRPr="00A01DC2" w:rsidR="00FD5233">
        <w:rPr>
          <w:lang w:eastAsia="zh-CN" w:bidi="hi-IN"/>
        </w:rPr>
        <w:t xml:space="preserve"> wordt gewerkt dan onder het oude boeteregime</w:t>
      </w:r>
      <w:r w:rsidRPr="00A01DC2">
        <w:rPr>
          <w:lang w:eastAsia="zh-CN" w:bidi="hi-IN"/>
        </w:rPr>
        <w:t>.</w:t>
      </w:r>
    </w:p>
    <w:p w:rsidRPr="00A01DC2" w:rsidR="00CF30E8" w:rsidP="00245F25" w:rsidRDefault="00CF30E8"/>
    <w:p w:rsidRPr="007A171A" w:rsidR="00034877" w:rsidP="00245F25" w:rsidRDefault="00CF30E8">
      <w:r w:rsidRPr="00A01DC2">
        <w:t xml:space="preserve">De </w:t>
      </w:r>
      <w:r w:rsidRPr="00A01DC2" w:rsidR="00034877">
        <w:t xml:space="preserve">wijzigingen </w:t>
      </w:r>
      <w:r w:rsidR="00F10BD1">
        <w:t xml:space="preserve">van </w:t>
      </w:r>
      <w:r w:rsidRPr="00A01DC2" w:rsidR="00034877">
        <w:t>de boetehoogte</w:t>
      </w:r>
      <w:r w:rsidRPr="00A01DC2">
        <w:t xml:space="preserve"> dienen</w:t>
      </w:r>
      <w:r w:rsidRPr="00A01DC2" w:rsidR="00034877">
        <w:t xml:space="preserve"> hun doel, </w:t>
      </w:r>
      <w:r w:rsidRPr="00A01DC2">
        <w:t>omdat</w:t>
      </w:r>
      <w:r w:rsidRPr="00A01DC2" w:rsidR="00034877">
        <w:t xml:space="preserve"> zij mogelijk maken dat de toezichthouders in staat </w:t>
      </w:r>
      <w:r w:rsidR="00F10BD1">
        <w:t>worden ge</w:t>
      </w:r>
      <w:r w:rsidRPr="00A01DC2" w:rsidR="00034877">
        <w:t>stel</w:t>
      </w:r>
      <w:r w:rsidR="00F10BD1">
        <w:t>d</w:t>
      </w:r>
      <w:r w:rsidRPr="00A01DC2" w:rsidR="00034877">
        <w:t xml:space="preserve"> om hoge</w:t>
      </w:r>
      <w:r w:rsidRPr="00A01DC2" w:rsidR="001F7A18">
        <w:t>re</w:t>
      </w:r>
      <w:r w:rsidRPr="00A01DC2" w:rsidR="00034877">
        <w:t xml:space="preserve"> en afschrikwekkende boetes op te leggen aan draagkrachtige overtreders.</w:t>
      </w:r>
    </w:p>
    <w:p w:rsidRPr="007A171A" w:rsidR="00034877" w:rsidP="00245F25" w:rsidRDefault="00034877">
      <w:pPr>
        <w:rPr>
          <w:b/>
          <w:lang w:eastAsia="zh-CN" w:bidi="hi-IN"/>
        </w:rPr>
      </w:pPr>
    </w:p>
    <w:p w:rsidRPr="007A171A" w:rsidR="00034877" w:rsidP="00245F25" w:rsidRDefault="00524A1A">
      <w:pPr>
        <w:rPr>
          <w:b/>
          <w:lang w:eastAsia="zh-CN" w:bidi="hi-IN"/>
        </w:rPr>
      </w:pPr>
      <w:r w:rsidRPr="007A171A">
        <w:rPr>
          <w:b/>
          <w:lang w:eastAsia="zh-CN" w:bidi="hi-IN"/>
        </w:rPr>
        <w:t xml:space="preserve">3. </w:t>
      </w:r>
      <w:r w:rsidRPr="007A171A" w:rsidR="00034877">
        <w:rPr>
          <w:b/>
          <w:lang w:eastAsia="zh-CN" w:bidi="hi-IN"/>
        </w:rPr>
        <w:t>Ervaringen met flexibel</w:t>
      </w:r>
      <w:r w:rsidRPr="007A171A" w:rsidR="00AB7343">
        <w:rPr>
          <w:b/>
          <w:lang w:eastAsia="zh-CN" w:bidi="hi-IN"/>
        </w:rPr>
        <w:t xml:space="preserve"> boete</w:t>
      </w:r>
      <w:r w:rsidRPr="007A171A" w:rsidR="00034877">
        <w:rPr>
          <w:b/>
          <w:lang w:eastAsia="zh-CN" w:bidi="hi-IN"/>
        </w:rPr>
        <w:t>stelsel</w:t>
      </w:r>
    </w:p>
    <w:p w:rsidRPr="007A171A" w:rsidR="00034877" w:rsidP="00245F25" w:rsidRDefault="00034877">
      <w:pPr>
        <w:rPr>
          <w:lang w:eastAsia="zh-CN" w:bidi="hi-IN"/>
        </w:rPr>
      </w:pPr>
    </w:p>
    <w:p w:rsidRPr="007A171A" w:rsidR="00034877" w:rsidP="00245F25" w:rsidRDefault="00F648B1">
      <w:pPr>
        <w:rPr>
          <w:i/>
          <w:lang w:eastAsia="zh-CN" w:bidi="hi-IN"/>
        </w:rPr>
      </w:pPr>
      <w:r w:rsidRPr="007A171A">
        <w:rPr>
          <w:i/>
          <w:lang w:eastAsia="zh-CN" w:bidi="hi-IN"/>
        </w:rPr>
        <w:t>O</w:t>
      </w:r>
      <w:r w:rsidRPr="007A171A" w:rsidR="00034877">
        <w:rPr>
          <w:i/>
          <w:lang w:eastAsia="zh-CN" w:bidi="hi-IN"/>
        </w:rPr>
        <w:t xml:space="preserve">pgelegde boetes </w:t>
      </w:r>
    </w:p>
    <w:p w:rsidRPr="007A171A" w:rsidR="00034877" w:rsidP="00245F25" w:rsidRDefault="00034877">
      <w:pPr>
        <w:rPr>
          <w:lang w:eastAsia="zh-CN" w:bidi="hi-IN"/>
        </w:rPr>
      </w:pPr>
    </w:p>
    <w:p w:rsidRPr="007A171A" w:rsidR="00034877" w:rsidP="00245F25" w:rsidRDefault="00034877">
      <w:pPr>
        <w:rPr>
          <w:lang w:eastAsia="zh-CN" w:bidi="hi-IN"/>
        </w:rPr>
      </w:pPr>
      <w:r w:rsidRPr="007A171A">
        <w:rPr>
          <w:lang w:eastAsia="zh-CN" w:bidi="hi-IN"/>
        </w:rPr>
        <w:t xml:space="preserve">Uit </w:t>
      </w:r>
      <w:r w:rsidR="00F55FEC">
        <w:rPr>
          <w:lang w:eastAsia="zh-CN" w:bidi="hi-IN"/>
        </w:rPr>
        <w:t xml:space="preserve">de </w:t>
      </w:r>
      <w:r w:rsidRPr="007A171A" w:rsidR="0076663C">
        <w:rPr>
          <w:lang w:eastAsia="zh-CN" w:bidi="hi-IN"/>
        </w:rPr>
        <w:t>aangeleverde</w:t>
      </w:r>
      <w:r w:rsidRPr="007A171A">
        <w:rPr>
          <w:lang w:eastAsia="zh-CN" w:bidi="hi-IN"/>
        </w:rPr>
        <w:t xml:space="preserve"> overzichten </w:t>
      </w:r>
      <w:r w:rsidRPr="007A171A" w:rsidR="0076663C">
        <w:rPr>
          <w:lang w:eastAsia="zh-CN" w:bidi="hi-IN"/>
        </w:rPr>
        <w:t>blijkt</w:t>
      </w:r>
      <w:r w:rsidRPr="007A171A">
        <w:rPr>
          <w:lang w:eastAsia="zh-CN" w:bidi="hi-IN"/>
        </w:rPr>
        <w:t xml:space="preserve"> dat de boetes die worden opgelegd voor overtredingen </w:t>
      </w:r>
      <w:r w:rsidRPr="007A171A" w:rsidR="0076663C">
        <w:rPr>
          <w:lang w:eastAsia="zh-CN" w:bidi="hi-IN"/>
        </w:rPr>
        <w:t>in een</w:t>
      </w:r>
      <w:r w:rsidRPr="007A171A">
        <w:rPr>
          <w:lang w:eastAsia="zh-CN" w:bidi="hi-IN"/>
        </w:rPr>
        <w:t xml:space="preserve">zelfde categorie in hoogte zeer verschillen. Dit betekent dat de toezichthouders het flexibele stelsel benutten om de boete </w:t>
      </w:r>
      <w:r w:rsidRPr="007A171A" w:rsidR="007052B4">
        <w:rPr>
          <w:lang w:eastAsia="zh-CN" w:bidi="hi-IN"/>
        </w:rPr>
        <w:t>per casus</w:t>
      </w:r>
      <w:r w:rsidRPr="007A171A">
        <w:rPr>
          <w:lang w:eastAsia="zh-CN" w:bidi="hi-IN"/>
        </w:rPr>
        <w:t xml:space="preserve"> af te stemmen op de omstandigheden van het geval. </w:t>
      </w:r>
    </w:p>
    <w:p w:rsidR="00D80875" w:rsidP="00245F25" w:rsidRDefault="00503938">
      <w:pPr>
        <w:rPr>
          <w:lang w:eastAsia="zh-CN" w:bidi="hi-IN"/>
        </w:rPr>
      </w:pPr>
      <w:r w:rsidRPr="007A171A">
        <w:rPr>
          <w:lang w:eastAsia="zh-CN" w:bidi="hi-IN"/>
        </w:rPr>
        <w:t>In de boetebesluiten wordt toegelicht hoe</w:t>
      </w:r>
      <w:r w:rsidRPr="007A171A" w:rsidR="00034877">
        <w:rPr>
          <w:lang w:eastAsia="zh-CN" w:bidi="hi-IN"/>
        </w:rPr>
        <w:t xml:space="preserve"> </w:t>
      </w:r>
      <w:r w:rsidRPr="007A171A">
        <w:rPr>
          <w:lang w:eastAsia="zh-CN" w:bidi="hi-IN"/>
        </w:rPr>
        <w:t>d</w:t>
      </w:r>
      <w:r w:rsidRPr="007A171A" w:rsidR="00991E47">
        <w:rPr>
          <w:lang w:eastAsia="zh-CN" w:bidi="hi-IN"/>
        </w:rPr>
        <w:t>i</w:t>
      </w:r>
      <w:r w:rsidRPr="007A171A">
        <w:rPr>
          <w:lang w:eastAsia="zh-CN" w:bidi="hi-IN"/>
        </w:rPr>
        <w:t>e</w:t>
      </w:r>
      <w:r w:rsidRPr="007A171A" w:rsidR="00034877">
        <w:rPr>
          <w:lang w:eastAsia="zh-CN" w:bidi="hi-IN"/>
        </w:rPr>
        <w:t xml:space="preserve"> omstandigheden </w:t>
      </w:r>
      <w:r w:rsidRPr="007A171A">
        <w:rPr>
          <w:lang w:eastAsia="zh-CN" w:bidi="hi-IN"/>
        </w:rPr>
        <w:t>worden</w:t>
      </w:r>
      <w:r w:rsidRPr="007A171A" w:rsidR="00034877">
        <w:rPr>
          <w:lang w:eastAsia="zh-CN" w:bidi="hi-IN"/>
        </w:rPr>
        <w:t xml:space="preserve"> meegewogen. In het kader van de ernst en de duur van de overtreding </w:t>
      </w:r>
      <w:r w:rsidR="00F10BD1">
        <w:rPr>
          <w:lang w:eastAsia="zh-CN" w:bidi="hi-IN"/>
        </w:rPr>
        <w:t xml:space="preserve">worden </w:t>
      </w:r>
      <w:r w:rsidRPr="007A171A" w:rsidR="00034877">
        <w:rPr>
          <w:lang w:eastAsia="zh-CN" w:bidi="hi-IN"/>
        </w:rPr>
        <w:t xml:space="preserve">verschillende verzwarende of verlichtende omstandigheden meegenomen, </w:t>
      </w:r>
      <w:r w:rsidRPr="007A171A" w:rsidR="0076663C">
        <w:rPr>
          <w:lang w:eastAsia="zh-CN" w:bidi="hi-IN"/>
        </w:rPr>
        <w:t>waaronder</w:t>
      </w:r>
      <w:r w:rsidRPr="007A171A" w:rsidR="00034877">
        <w:rPr>
          <w:lang w:eastAsia="zh-CN" w:bidi="hi-IN"/>
        </w:rPr>
        <w:t xml:space="preserve"> de hoogte van het behaalde voordeel en de nadelige gevolgen voor de consumenten.</w:t>
      </w:r>
      <w:r w:rsidRPr="007A171A" w:rsidR="0076663C">
        <w:rPr>
          <w:lang w:eastAsia="zh-CN" w:bidi="hi-IN"/>
        </w:rPr>
        <w:t xml:space="preserve"> Zo is voorgekomen dat het basisbedrag van de boete aan een</w:t>
      </w:r>
      <w:r w:rsidR="0031778C">
        <w:rPr>
          <w:lang w:eastAsia="zh-CN" w:bidi="hi-IN"/>
        </w:rPr>
        <w:t xml:space="preserve"> </w:t>
      </w:r>
    </w:p>
    <w:p w:rsidRPr="007A171A" w:rsidR="00034877" w:rsidP="00245F25" w:rsidRDefault="0076663C">
      <w:pPr>
        <w:rPr>
          <w:lang w:eastAsia="zh-CN" w:bidi="hi-IN"/>
        </w:rPr>
      </w:pPr>
      <w:r w:rsidRPr="007A171A">
        <w:rPr>
          <w:lang w:eastAsia="zh-CN" w:bidi="hi-IN"/>
        </w:rPr>
        <w:t>bank met 25% is verhoogd, toen bleek dat d</w:t>
      </w:r>
      <w:r w:rsidRPr="007A171A" w:rsidR="00503938">
        <w:rPr>
          <w:lang w:eastAsia="zh-CN" w:bidi="hi-IN"/>
        </w:rPr>
        <w:t>i</w:t>
      </w:r>
      <w:r w:rsidRPr="007A171A">
        <w:rPr>
          <w:lang w:eastAsia="zh-CN" w:bidi="hi-IN"/>
        </w:rPr>
        <w:t xml:space="preserve">e bank </w:t>
      </w:r>
      <w:r w:rsidRPr="007A171A" w:rsidR="00503938">
        <w:rPr>
          <w:lang w:eastAsia="zh-CN" w:bidi="hi-IN"/>
        </w:rPr>
        <w:t>de gegevens over een zeer omvangrijke beleggingsportefeuille van een cliënt die een groot maatschappelijk belang vertegenwoordigt, onvoldoende had bijgehouden</w:t>
      </w:r>
      <w:r w:rsidRPr="007A171A" w:rsidR="00034877">
        <w:rPr>
          <w:lang w:eastAsia="zh-CN" w:bidi="hi-IN"/>
        </w:rPr>
        <w:t>.</w:t>
      </w:r>
      <w:r w:rsidRPr="007A171A" w:rsidR="00034877">
        <w:rPr>
          <w:rStyle w:val="Voetnootmarkering"/>
          <w:lang w:eastAsia="zh-CN" w:bidi="hi-IN"/>
        </w:rPr>
        <w:footnoteReference w:id="20"/>
      </w:r>
      <w:r w:rsidRPr="007A171A" w:rsidR="00034877">
        <w:rPr>
          <w:lang w:eastAsia="zh-CN" w:bidi="hi-IN"/>
        </w:rPr>
        <w:t xml:space="preserve"> </w:t>
      </w:r>
      <w:r w:rsidRPr="007A171A" w:rsidR="00503938">
        <w:rPr>
          <w:lang w:eastAsia="zh-CN" w:bidi="hi-IN"/>
        </w:rPr>
        <w:t xml:space="preserve">Eenzelfde verhoging is </w:t>
      </w:r>
      <w:r w:rsidRPr="007A171A" w:rsidR="00991E47">
        <w:rPr>
          <w:lang w:eastAsia="zh-CN" w:bidi="hi-IN"/>
        </w:rPr>
        <w:t xml:space="preserve">opgelegd aan een illegale aanbieder van flitskrediet die een groot aantal overtredingen </w:t>
      </w:r>
      <w:r w:rsidR="006221DD">
        <w:rPr>
          <w:lang w:eastAsia="zh-CN" w:bidi="hi-IN"/>
        </w:rPr>
        <w:t>had</w:t>
      </w:r>
      <w:r w:rsidRPr="007A171A" w:rsidR="00991E47">
        <w:rPr>
          <w:lang w:eastAsia="zh-CN" w:bidi="hi-IN"/>
        </w:rPr>
        <w:t xml:space="preserve"> begaan. Door de aandacht in de media en de politiek schaadde de overtreding het vertrouwen in de financiële markt voor kredietverstrekking; ook leidde de overtreding tot oneerlijke concurrentie omdat geen toezichtkosten werden betaald</w:t>
      </w:r>
      <w:r w:rsidR="006221DD">
        <w:rPr>
          <w:lang w:eastAsia="zh-CN" w:bidi="hi-IN"/>
        </w:rPr>
        <w:t xml:space="preserve"> terwijl dit wel had gemoeten</w:t>
      </w:r>
      <w:r w:rsidRPr="007A171A" w:rsidR="00034877">
        <w:rPr>
          <w:lang w:eastAsia="zh-CN" w:bidi="hi-IN"/>
        </w:rPr>
        <w:t>.</w:t>
      </w:r>
      <w:r w:rsidRPr="007A171A" w:rsidR="00034877">
        <w:rPr>
          <w:rStyle w:val="Voetnootmarkering"/>
          <w:lang w:eastAsia="zh-CN" w:bidi="hi-IN"/>
        </w:rPr>
        <w:footnoteReference w:id="21"/>
      </w:r>
    </w:p>
    <w:p w:rsidRPr="007A171A" w:rsidR="00034877" w:rsidP="00245F25" w:rsidRDefault="00034877">
      <w:pPr>
        <w:rPr>
          <w:lang w:eastAsia="zh-CN" w:bidi="hi-IN"/>
        </w:rPr>
      </w:pPr>
    </w:p>
    <w:p w:rsidR="00034877" w:rsidP="00245F25" w:rsidRDefault="00034877">
      <w:pPr>
        <w:rPr>
          <w:lang w:eastAsia="zh-CN" w:bidi="hi-IN"/>
        </w:rPr>
      </w:pPr>
      <w:r w:rsidRPr="007A171A">
        <w:rPr>
          <w:lang w:eastAsia="zh-CN" w:bidi="hi-IN"/>
        </w:rPr>
        <w:t xml:space="preserve">In het kader van de verwijtbaarheid </w:t>
      </w:r>
      <w:r w:rsidRPr="007A171A" w:rsidR="00991E47">
        <w:rPr>
          <w:lang w:eastAsia="zh-CN" w:bidi="hi-IN"/>
        </w:rPr>
        <w:t>is</w:t>
      </w:r>
      <w:r w:rsidRPr="007A171A">
        <w:rPr>
          <w:lang w:eastAsia="zh-CN" w:bidi="hi-IN"/>
        </w:rPr>
        <w:t xml:space="preserve"> meegewogen in hoeverre er een intentie bestond om een overtreding te plegen, wat het beleid van de overtreder ter zake was en of de overtreding makkelijk te voorkomen was geweest. </w:t>
      </w:r>
      <w:r w:rsidRPr="007A171A" w:rsidR="00991E47">
        <w:rPr>
          <w:lang w:eastAsia="zh-CN" w:bidi="hi-IN"/>
        </w:rPr>
        <w:t>Zo heeft DNB bijvoorbeeld het basisbedrag aan een grote en professionele marktpartij verhoogd met 25%, omdat van zo’n partij mag worden verwacht dat er interne controlemechanismen bestaan die leiden tot het vroegtijdig beëindigen van overtredingen. Bovendien had de partij het belang van het voorkomen van overtredingen moeten inzien</w:t>
      </w:r>
      <w:r w:rsidRPr="007A171A">
        <w:rPr>
          <w:lang w:eastAsia="zh-CN" w:bidi="hi-IN"/>
        </w:rPr>
        <w:t xml:space="preserve">, gezien de contacten die </w:t>
      </w:r>
      <w:r w:rsidR="004A4CFF">
        <w:rPr>
          <w:lang w:eastAsia="zh-CN" w:bidi="hi-IN"/>
        </w:rPr>
        <w:t xml:space="preserve">hadden plaatsgevonden </w:t>
      </w:r>
      <w:r w:rsidRPr="007A171A">
        <w:rPr>
          <w:lang w:eastAsia="zh-CN" w:bidi="hi-IN"/>
        </w:rPr>
        <w:t>met DNB.</w:t>
      </w:r>
      <w:r w:rsidRPr="007A171A">
        <w:rPr>
          <w:rStyle w:val="Voetnootmarkering"/>
          <w:lang w:eastAsia="zh-CN" w:bidi="hi-IN"/>
        </w:rPr>
        <w:footnoteReference w:id="22"/>
      </w:r>
      <w:r w:rsidRPr="007A171A">
        <w:rPr>
          <w:lang w:eastAsia="zh-CN" w:bidi="hi-IN"/>
        </w:rPr>
        <w:t xml:space="preserve"> </w:t>
      </w:r>
      <w:r w:rsidRPr="007A171A" w:rsidR="00991E47">
        <w:rPr>
          <w:lang w:eastAsia="zh-CN" w:bidi="hi-IN"/>
        </w:rPr>
        <w:t xml:space="preserve">Een tweede voorbeeld van eenzelfde verhoging betreft </w:t>
      </w:r>
      <w:r w:rsidR="004A4CFF">
        <w:rPr>
          <w:lang w:eastAsia="zh-CN" w:bidi="hi-IN"/>
        </w:rPr>
        <w:t>opnieuw</w:t>
      </w:r>
      <w:r w:rsidRPr="007A171A" w:rsidR="00991E47">
        <w:rPr>
          <w:lang w:eastAsia="zh-CN" w:bidi="hi-IN"/>
        </w:rPr>
        <w:t xml:space="preserve"> een illegale aanbieder van flitskrediet. In deze casus had de overtreder een </w:t>
      </w:r>
      <w:r w:rsidRPr="007A171A">
        <w:rPr>
          <w:lang w:eastAsia="zh-CN" w:bidi="hi-IN"/>
        </w:rPr>
        <w:t xml:space="preserve">constructie opgetuigd </w:t>
      </w:r>
      <w:r w:rsidR="004A4CFF">
        <w:rPr>
          <w:lang w:eastAsia="zh-CN" w:bidi="hi-IN"/>
        </w:rPr>
        <w:t>waarmee</w:t>
      </w:r>
      <w:r w:rsidRPr="007A171A">
        <w:rPr>
          <w:lang w:eastAsia="zh-CN" w:bidi="hi-IN"/>
        </w:rPr>
        <w:t xml:space="preserve"> wet- en regelgeving </w:t>
      </w:r>
      <w:r w:rsidR="004A4CFF">
        <w:rPr>
          <w:lang w:eastAsia="zh-CN" w:bidi="hi-IN"/>
        </w:rPr>
        <w:t>werd omzeild</w:t>
      </w:r>
      <w:r w:rsidRPr="007A171A">
        <w:rPr>
          <w:lang w:eastAsia="zh-CN" w:bidi="hi-IN"/>
        </w:rPr>
        <w:t>.</w:t>
      </w:r>
      <w:r w:rsidRPr="007A171A" w:rsidR="00245F25">
        <w:rPr>
          <w:lang w:eastAsia="zh-CN" w:bidi="hi-IN"/>
        </w:rPr>
        <w:t xml:space="preserve"> </w:t>
      </w:r>
      <w:r w:rsidR="004A4CFF">
        <w:rPr>
          <w:lang w:eastAsia="zh-CN" w:bidi="hi-IN"/>
        </w:rPr>
        <w:t>Ondanks</w:t>
      </w:r>
      <w:r w:rsidRPr="007A171A" w:rsidR="00245F25">
        <w:rPr>
          <w:lang w:eastAsia="zh-CN" w:bidi="hi-IN"/>
        </w:rPr>
        <w:t xml:space="preserve"> duidelijke signalen van de AFM werd de overtreding aanvankelijk voortgezet. Pas na het voornemen tot het opleggen van een dwangsom stopte het gedrag</w:t>
      </w:r>
      <w:r w:rsidRPr="007A171A">
        <w:rPr>
          <w:lang w:eastAsia="zh-CN" w:bidi="hi-IN"/>
        </w:rPr>
        <w:t>.</w:t>
      </w:r>
      <w:r w:rsidRPr="007A171A">
        <w:rPr>
          <w:rStyle w:val="Voetnootmarkering"/>
          <w:lang w:eastAsia="zh-CN" w:bidi="hi-IN"/>
        </w:rPr>
        <w:footnoteReference w:id="23"/>
      </w:r>
    </w:p>
    <w:p w:rsidRPr="007A171A" w:rsidR="0031778C" w:rsidP="00245F25" w:rsidRDefault="0031778C">
      <w:pPr>
        <w:rPr>
          <w:lang w:eastAsia="zh-CN" w:bidi="hi-IN"/>
        </w:rPr>
      </w:pPr>
    </w:p>
    <w:p w:rsidRPr="007A171A" w:rsidR="00FC30A4" w:rsidP="00245F25" w:rsidRDefault="00245F25">
      <w:pPr>
        <w:rPr>
          <w:lang w:eastAsia="zh-CN" w:bidi="hi-IN"/>
        </w:rPr>
      </w:pPr>
      <w:r w:rsidRPr="007A171A">
        <w:rPr>
          <w:lang w:eastAsia="zh-CN" w:bidi="hi-IN"/>
        </w:rPr>
        <w:t xml:space="preserve">Tot slot vond een verlaging van het basisbedrag wegens verminderde verwijtbaarheid bijvoorbeeld plaats </w:t>
      </w:r>
      <w:r w:rsidRPr="007A171A" w:rsidR="00034877">
        <w:rPr>
          <w:lang w:eastAsia="zh-CN" w:bidi="hi-IN"/>
        </w:rPr>
        <w:t>bij een boete voor het te laat melden van bepaalde transacties. Vanwege de intentie van de overtr</w:t>
      </w:r>
      <w:r w:rsidRPr="007A171A">
        <w:rPr>
          <w:lang w:eastAsia="zh-CN" w:bidi="hi-IN"/>
        </w:rPr>
        <w:t xml:space="preserve">eder om transparant te zijn over </w:t>
      </w:r>
      <w:r w:rsidRPr="007A171A" w:rsidR="00034877">
        <w:rPr>
          <w:lang w:eastAsia="zh-CN" w:bidi="hi-IN"/>
        </w:rPr>
        <w:t>het kapitaalbelang en bijbehorende stemverhoudingen</w:t>
      </w:r>
      <w:r w:rsidRPr="007A171A">
        <w:rPr>
          <w:lang w:eastAsia="zh-CN" w:bidi="hi-IN"/>
        </w:rPr>
        <w:t>,</w:t>
      </w:r>
      <w:r w:rsidRPr="007A171A" w:rsidR="00034877">
        <w:rPr>
          <w:lang w:eastAsia="zh-CN" w:bidi="hi-IN"/>
        </w:rPr>
        <w:t xml:space="preserve"> en </w:t>
      </w:r>
      <w:r w:rsidRPr="007A171A">
        <w:rPr>
          <w:lang w:eastAsia="zh-CN" w:bidi="hi-IN"/>
        </w:rPr>
        <w:t xml:space="preserve">om </w:t>
      </w:r>
      <w:r w:rsidRPr="007A171A" w:rsidR="00034877">
        <w:rPr>
          <w:lang w:eastAsia="zh-CN" w:bidi="hi-IN"/>
        </w:rPr>
        <w:t xml:space="preserve">het feit dat eerdere inkoopprogramma’s van de overtreder wel tijdig </w:t>
      </w:r>
      <w:r w:rsidRPr="007A171A">
        <w:rPr>
          <w:lang w:eastAsia="zh-CN" w:bidi="hi-IN"/>
        </w:rPr>
        <w:t xml:space="preserve">waren </w:t>
      </w:r>
      <w:r w:rsidRPr="007A171A" w:rsidR="00034877">
        <w:rPr>
          <w:lang w:eastAsia="zh-CN" w:bidi="hi-IN"/>
        </w:rPr>
        <w:t>gemeld, verlaagde de AFM het basisbedrag met 25%.</w:t>
      </w:r>
      <w:r w:rsidRPr="007A171A" w:rsidR="00034877">
        <w:rPr>
          <w:rStyle w:val="Voetnootmarkering"/>
          <w:lang w:eastAsia="zh-CN" w:bidi="hi-IN"/>
        </w:rPr>
        <w:footnoteReference w:id="24"/>
      </w:r>
    </w:p>
    <w:p w:rsidRPr="007A171A" w:rsidR="00FC30A4" w:rsidP="00245F25" w:rsidRDefault="00FC30A4">
      <w:pPr>
        <w:rPr>
          <w:lang w:eastAsia="zh-CN" w:bidi="hi-IN"/>
        </w:rPr>
      </w:pPr>
    </w:p>
    <w:p w:rsidRPr="007A171A" w:rsidR="00034877" w:rsidP="00245F25" w:rsidRDefault="00034877">
      <w:pPr>
        <w:rPr>
          <w:i/>
          <w:lang w:eastAsia="zh-CN" w:bidi="hi-IN"/>
        </w:rPr>
      </w:pPr>
      <w:r w:rsidRPr="007A171A">
        <w:rPr>
          <w:i/>
          <w:lang w:eastAsia="zh-CN" w:bidi="hi-IN"/>
        </w:rPr>
        <w:t>Ervaringen toezichthouders</w:t>
      </w:r>
      <w:r w:rsidRPr="007A171A" w:rsidR="002B61D7">
        <w:rPr>
          <w:i/>
          <w:lang w:eastAsia="zh-CN" w:bidi="hi-IN"/>
        </w:rPr>
        <w:t xml:space="preserve"> met flexibel boetestelsel</w:t>
      </w:r>
    </w:p>
    <w:p w:rsidRPr="007A171A" w:rsidR="00034877" w:rsidP="00245F25" w:rsidRDefault="00034877">
      <w:pPr>
        <w:rPr>
          <w:i/>
          <w:lang w:eastAsia="zh-CN" w:bidi="hi-IN"/>
        </w:rPr>
      </w:pPr>
    </w:p>
    <w:p w:rsidRPr="007A171A" w:rsidR="00034877" w:rsidP="00245F25" w:rsidRDefault="00034877">
      <w:pPr>
        <w:pStyle w:val="Geenafstand"/>
        <w:tabs>
          <w:tab w:val="left" w:pos="1455"/>
        </w:tabs>
        <w:spacing w:line="240" w:lineRule="atLeast"/>
      </w:pPr>
      <w:r w:rsidRPr="007A171A">
        <w:t xml:space="preserve">De ervaringen van de toezichthouders met het flexibele systeem zijn overwegend positief. Hoewel het vorige systeem vooraf meer zekerheid bood over de hoogte van de boete, heeft </w:t>
      </w:r>
      <w:r w:rsidRPr="007A171A" w:rsidR="00245F25">
        <w:t>dit</w:t>
      </w:r>
      <w:r w:rsidRPr="007A171A">
        <w:t xml:space="preserve"> systeem de voorkeur van de toezichthouders omdat het bijdraagt aan proportionele en goed uitlegbare boetes. </w:t>
      </w:r>
    </w:p>
    <w:p w:rsidRPr="007A171A" w:rsidR="00034877" w:rsidP="00245F25" w:rsidRDefault="00034877">
      <w:pPr>
        <w:pStyle w:val="Geenafstand"/>
        <w:tabs>
          <w:tab w:val="left" w:pos="1455"/>
        </w:tabs>
        <w:spacing w:line="240" w:lineRule="atLeast"/>
      </w:pPr>
    </w:p>
    <w:p w:rsidRPr="007A171A" w:rsidR="00425358" w:rsidP="00245F25" w:rsidRDefault="00245F25">
      <w:pPr>
        <w:pStyle w:val="Geenafstand"/>
        <w:tabs>
          <w:tab w:val="left" w:pos="1455"/>
        </w:tabs>
        <w:spacing w:line="240" w:lineRule="atLeast"/>
      </w:pPr>
      <w:r w:rsidRPr="007A171A">
        <w:t>De toezichthouders</w:t>
      </w:r>
      <w:r w:rsidRPr="007A171A" w:rsidR="00034877">
        <w:t xml:space="preserve"> benadrukken dat het systeem hen in staat stelt om goed gemotiveerd tot een boetehoo</w:t>
      </w:r>
      <w:r w:rsidRPr="007A171A" w:rsidR="001F7A18">
        <w:t>gte te komen die is afgestemd op</w:t>
      </w:r>
      <w:r w:rsidRPr="007A171A" w:rsidR="00034877">
        <w:t xml:space="preserve"> de omstandigheden van de individuele overtreding. Het systeem met een basisbedrag dat stapsgewijs wordt verhoogd of verlaagd dwingt tot motivering van elke stap en leidt daardoor tot inzichtelijke besluiten</w:t>
      </w:r>
      <w:r w:rsidR="00853827">
        <w:t>.</w:t>
      </w:r>
    </w:p>
    <w:p w:rsidRPr="007A171A" w:rsidR="00034877" w:rsidP="00245F25" w:rsidRDefault="00034877">
      <w:pPr>
        <w:pStyle w:val="Geenafstand"/>
        <w:tabs>
          <w:tab w:val="left" w:pos="1455"/>
        </w:tabs>
        <w:spacing w:line="240" w:lineRule="atLeast"/>
      </w:pPr>
    </w:p>
    <w:p w:rsidRPr="007A171A" w:rsidR="00034877" w:rsidP="00245F25" w:rsidRDefault="00034877">
      <w:pPr>
        <w:pStyle w:val="Geenafstand"/>
        <w:tabs>
          <w:tab w:val="left" w:pos="1455"/>
        </w:tabs>
        <w:spacing w:line="240" w:lineRule="atLeast"/>
      </w:pPr>
      <w:r w:rsidRPr="007A171A">
        <w:t xml:space="preserve">De ruime bandbreedte binnen de categorieën leidt ertoe dat boetes voor verschillende overtredingen binnen een categorie of zelfs voor dezelfde overtreding in hoogte </w:t>
      </w:r>
      <w:r w:rsidR="007A171A">
        <w:t xml:space="preserve">zeer </w:t>
      </w:r>
      <w:r w:rsidRPr="007A171A">
        <w:t xml:space="preserve">kunnen verschillen. Dit blijkt echter met de bestaande systematiek goed uit te leggen, zodat geen strijd ontstaat met het gelijkheidsbeginsel. Het bestaan van een basisbedrag, dat enige houvast biedt, helpt daar ook bij. </w:t>
      </w:r>
      <w:r w:rsidRPr="007A171A" w:rsidR="00F648B1">
        <w:t>Verder hanteren zowel</w:t>
      </w:r>
      <w:r w:rsidRPr="007A171A">
        <w:t xml:space="preserve"> </w:t>
      </w:r>
      <w:r w:rsidR="007A171A">
        <w:t xml:space="preserve">DNB als </w:t>
      </w:r>
      <w:r w:rsidRPr="007A171A">
        <w:t>de AFM interne richtlijnen en afwegingskaders om te voorkomen dat boetes in vergelijkbare situaties te</w:t>
      </w:r>
      <w:r w:rsidR="004C7157">
        <w:t xml:space="preserve"> </w:t>
      </w:r>
      <w:r w:rsidRPr="007A171A">
        <w:t xml:space="preserve">veel verschillen. </w:t>
      </w:r>
    </w:p>
    <w:p w:rsidR="004A4CFF" w:rsidP="00245F25" w:rsidRDefault="004A4CFF">
      <w:pPr>
        <w:pStyle w:val="Geenafstand"/>
        <w:tabs>
          <w:tab w:val="left" w:pos="1455"/>
        </w:tabs>
        <w:spacing w:line="240" w:lineRule="atLeast"/>
      </w:pPr>
    </w:p>
    <w:p w:rsidR="004A4CFF" w:rsidP="004A4CFF" w:rsidRDefault="004A4CFF">
      <w:pPr>
        <w:pStyle w:val="Geenafstand"/>
        <w:tabs>
          <w:tab w:val="left" w:pos="1455"/>
        </w:tabs>
        <w:spacing w:line="240" w:lineRule="atLeast"/>
      </w:pPr>
      <w:r w:rsidRPr="007A171A">
        <w:t>Als onderdeel van het flexibele stelsel is de verplichting geïntroduceerd om boete</w:t>
      </w:r>
      <w:r>
        <w:t>s</w:t>
      </w:r>
      <w:r w:rsidRPr="007A171A">
        <w:t xml:space="preserve"> te verdubbelen</w:t>
      </w:r>
      <w:r>
        <w:t xml:space="preserve"> bij recidive</w:t>
      </w:r>
      <w:r w:rsidRPr="007A171A">
        <w:t>. Ook dit leidt tot meer maatwerk</w:t>
      </w:r>
      <w:r>
        <w:t>: partijen die meermaals dezelfde fout begaan krijgen een hogere boete dan partijen die niet recidiveren op hetzelfde feit.</w:t>
      </w:r>
    </w:p>
    <w:p w:rsidRPr="007A171A" w:rsidR="00034877" w:rsidP="00245F25" w:rsidRDefault="00034877">
      <w:pPr>
        <w:pStyle w:val="Geenafstand"/>
        <w:tabs>
          <w:tab w:val="left" w:pos="1455"/>
        </w:tabs>
        <w:spacing w:line="240" w:lineRule="atLeast"/>
      </w:pPr>
    </w:p>
    <w:p w:rsidRPr="007A171A" w:rsidR="00034877" w:rsidP="00245F25" w:rsidRDefault="00034877">
      <w:pPr>
        <w:pStyle w:val="Geenafstand"/>
        <w:tabs>
          <w:tab w:val="left" w:pos="1455"/>
        </w:tabs>
        <w:spacing w:line="240" w:lineRule="atLeast"/>
      </w:pPr>
      <w:r w:rsidRPr="007A171A">
        <w:t>De ervaring van de toezichthouders is dat de gegeven motivering in procedures door de rechter voldoende wordt geacht en het besluit op d</w:t>
      </w:r>
      <w:r w:rsidR="004A4CFF">
        <w:t xml:space="preserve">at punt in stand wordt gelaten. </w:t>
      </w:r>
      <w:r w:rsidRPr="007A171A">
        <w:t xml:space="preserve">De AFM </w:t>
      </w:r>
      <w:r w:rsidRPr="007A171A" w:rsidR="00425358">
        <w:t>en DNB brengen voorts</w:t>
      </w:r>
      <w:r w:rsidRPr="007A171A">
        <w:t xml:space="preserve"> naar voren dat de laatste stap (de draagkracht) vaak grote invloed </w:t>
      </w:r>
      <w:r w:rsidRPr="007A171A" w:rsidR="00425358">
        <w:t>heeft op de uiteindelijke boetehoogte</w:t>
      </w:r>
      <w:r w:rsidRPr="007A171A" w:rsidR="00F648B1">
        <w:t>.</w:t>
      </w:r>
    </w:p>
    <w:p w:rsidRPr="007A171A" w:rsidR="0031778C" w:rsidP="00245F25" w:rsidRDefault="0031778C">
      <w:pPr>
        <w:pStyle w:val="Geenafstand"/>
        <w:tabs>
          <w:tab w:val="left" w:pos="1455"/>
        </w:tabs>
        <w:spacing w:line="240" w:lineRule="atLeast"/>
      </w:pPr>
    </w:p>
    <w:p w:rsidRPr="007A171A" w:rsidR="00034877" w:rsidP="00245F25" w:rsidRDefault="00034877">
      <w:pPr>
        <w:rPr>
          <w:i/>
          <w:lang w:eastAsia="zh-CN" w:bidi="hi-IN"/>
        </w:rPr>
      </w:pPr>
      <w:r w:rsidRPr="007A171A">
        <w:rPr>
          <w:i/>
          <w:lang w:eastAsia="zh-CN" w:bidi="hi-IN"/>
        </w:rPr>
        <w:t>Rechtspraak en literatuur</w:t>
      </w:r>
    </w:p>
    <w:p w:rsidRPr="007A171A" w:rsidR="00034877" w:rsidP="00245F25" w:rsidRDefault="00034877">
      <w:pPr>
        <w:rPr>
          <w:i/>
          <w:lang w:eastAsia="zh-CN" w:bidi="hi-IN"/>
        </w:rPr>
      </w:pPr>
    </w:p>
    <w:p w:rsidRPr="007A171A" w:rsidR="00034877" w:rsidP="00245F25" w:rsidRDefault="00034877">
      <w:pPr>
        <w:rPr>
          <w:lang w:eastAsia="zh-CN" w:bidi="hi-IN"/>
        </w:rPr>
      </w:pPr>
      <w:r w:rsidRPr="007A171A">
        <w:rPr>
          <w:lang w:eastAsia="zh-CN" w:bidi="hi-IN"/>
        </w:rPr>
        <w:t>Over het algemeen v</w:t>
      </w:r>
      <w:r w:rsidR="007A171A">
        <w:rPr>
          <w:lang w:eastAsia="zh-CN" w:bidi="hi-IN"/>
        </w:rPr>
        <w:t xml:space="preserve">olgt de rechter de overweging en motivering </w:t>
      </w:r>
      <w:r w:rsidRPr="007A171A">
        <w:rPr>
          <w:lang w:eastAsia="zh-CN" w:bidi="hi-IN"/>
        </w:rPr>
        <w:t xml:space="preserve">van de toezichthouders </w:t>
      </w:r>
      <w:r w:rsidR="004A4CFF">
        <w:rPr>
          <w:lang w:eastAsia="zh-CN" w:bidi="hi-IN"/>
        </w:rPr>
        <w:t>bij de boetehoogte</w:t>
      </w:r>
      <w:r w:rsidRPr="007A171A">
        <w:rPr>
          <w:lang w:eastAsia="zh-CN" w:bidi="hi-IN"/>
        </w:rPr>
        <w:t xml:space="preserve">. In een enkel geval matigt de rechter de boete (verder) </w:t>
      </w:r>
      <w:r w:rsidRPr="007A171A" w:rsidR="00FC30A4">
        <w:rPr>
          <w:lang w:eastAsia="zh-CN" w:bidi="hi-IN"/>
        </w:rPr>
        <w:t>v</w:t>
      </w:r>
      <w:r w:rsidRPr="007A171A">
        <w:rPr>
          <w:lang w:eastAsia="zh-CN" w:bidi="hi-IN"/>
        </w:rPr>
        <w:t>anwege verminderde ernst</w:t>
      </w:r>
      <w:r w:rsidRPr="007A171A">
        <w:rPr>
          <w:rStyle w:val="Voetnootmarkering"/>
          <w:lang w:eastAsia="zh-CN" w:bidi="hi-IN"/>
        </w:rPr>
        <w:footnoteReference w:id="25"/>
      </w:r>
      <w:r w:rsidRPr="007A171A">
        <w:rPr>
          <w:lang w:eastAsia="zh-CN" w:bidi="hi-IN"/>
        </w:rPr>
        <w:t>, de verwijtbaarheid</w:t>
      </w:r>
      <w:r w:rsidRPr="007A171A">
        <w:rPr>
          <w:rStyle w:val="Voetnootmarkering"/>
          <w:lang w:eastAsia="zh-CN" w:bidi="hi-IN"/>
        </w:rPr>
        <w:footnoteReference w:id="26"/>
      </w:r>
      <w:r w:rsidRPr="007A171A">
        <w:rPr>
          <w:lang w:eastAsia="zh-CN" w:bidi="hi-IN"/>
        </w:rPr>
        <w:t>, de draagkracht</w:t>
      </w:r>
      <w:r w:rsidRPr="007A171A">
        <w:rPr>
          <w:rStyle w:val="Voetnootmarkering"/>
          <w:lang w:eastAsia="zh-CN" w:bidi="hi-IN"/>
        </w:rPr>
        <w:footnoteReference w:id="27"/>
      </w:r>
      <w:r w:rsidRPr="007A171A">
        <w:rPr>
          <w:lang w:eastAsia="zh-CN" w:bidi="hi-IN"/>
        </w:rPr>
        <w:t xml:space="preserve"> of in het algemeen op grond van de evenredigheid</w:t>
      </w:r>
      <w:r w:rsidR="007A171A">
        <w:rPr>
          <w:lang w:eastAsia="zh-CN" w:bidi="hi-IN"/>
        </w:rPr>
        <w:t>.</w:t>
      </w:r>
      <w:r w:rsidRPr="007A171A">
        <w:rPr>
          <w:rStyle w:val="Voetnootmarkering"/>
          <w:lang w:eastAsia="zh-CN" w:bidi="hi-IN"/>
        </w:rPr>
        <w:footnoteReference w:id="28"/>
      </w:r>
    </w:p>
    <w:p w:rsidRPr="007A171A" w:rsidR="00F648B1" w:rsidP="00245F25" w:rsidRDefault="00F648B1">
      <w:pPr>
        <w:rPr>
          <w:lang w:eastAsia="zh-CN" w:bidi="hi-IN"/>
        </w:rPr>
      </w:pPr>
    </w:p>
    <w:p w:rsidRPr="00D7410A" w:rsidR="00034877" w:rsidP="00245F25" w:rsidRDefault="009522CC">
      <w:pPr>
        <w:rPr>
          <w:i/>
          <w:lang w:eastAsia="zh-CN" w:bidi="hi-IN"/>
        </w:rPr>
      </w:pPr>
      <w:r w:rsidRPr="00D7410A">
        <w:rPr>
          <w:i/>
          <w:lang w:eastAsia="zh-CN" w:bidi="hi-IN"/>
        </w:rPr>
        <w:t>Conclusie en interpretatie</w:t>
      </w:r>
    </w:p>
    <w:p w:rsidRPr="00D7410A" w:rsidR="009522CC" w:rsidP="00245F25" w:rsidRDefault="009522CC">
      <w:pPr>
        <w:rPr>
          <w:i/>
          <w:lang w:eastAsia="zh-CN" w:bidi="hi-IN"/>
        </w:rPr>
      </w:pPr>
    </w:p>
    <w:p w:rsidRPr="00D7410A" w:rsidR="0066658E" w:rsidP="00245F25" w:rsidRDefault="00034877">
      <w:pPr>
        <w:rPr>
          <w:lang w:eastAsia="zh-CN" w:bidi="hi-IN"/>
        </w:rPr>
      </w:pPr>
      <w:r w:rsidRPr="00D7410A">
        <w:rPr>
          <w:lang w:eastAsia="zh-CN" w:bidi="hi-IN"/>
        </w:rPr>
        <w:t xml:space="preserve">In lijn met de doelstellingen bij inwerkingtreding stelt het flexibele systeem de toezichthouders in staat om maatwerk te leveren bij het opleggen van boetes. Hoewel dit </w:t>
      </w:r>
      <w:r w:rsidRPr="00D7410A" w:rsidR="007A171A">
        <w:rPr>
          <w:lang w:eastAsia="zh-CN" w:bidi="hi-IN"/>
        </w:rPr>
        <w:t>vooraf</w:t>
      </w:r>
      <w:r w:rsidRPr="00D7410A">
        <w:rPr>
          <w:lang w:eastAsia="zh-CN" w:bidi="hi-IN"/>
        </w:rPr>
        <w:t xml:space="preserve"> minder rechts</w:t>
      </w:r>
      <w:r w:rsidRPr="00D7410A" w:rsidR="00B571E4">
        <w:rPr>
          <w:lang w:eastAsia="zh-CN" w:bidi="hi-IN"/>
        </w:rPr>
        <w:t>-</w:t>
      </w:r>
      <w:r w:rsidRPr="00D7410A">
        <w:rPr>
          <w:lang w:eastAsia="zh-CN" w:bidi="hi-IN"/>
        </w:rPr>
        <w:t xml:space="preserve">zekerheid biedt, leidt het in individuele gevallen wel tot </w:t>
      </w:r>
      <w:r w:rsidRPr="00D7410A" w:rsidR="007A171A">
        <w:rPr>
          <w:lang w:eastAsia="zh-CN" w:bidi="hi-IN"/>
        </w:rPr>
        <w:t xml:space="preserve">meer </w:t>
      </w:r>
      <w:r w:rsidRPr="00D7410A">
        <w:rPr>
          <w:lang w:eastAsia="zh-CN" w:bidi="hi-IN"/>
        </w:rPr>
        <w:t>proporti</w:t>
      </w:r>
      <w:r w:rsidRPr="00D7410A" w:rsidR="007A171A">
        <w:rPr>
          <w:lang w:eastAsia="zh-CN" w:bidi="hi-IN"/>
        </w:rPr>
        <w:t>onele en evenredige</w:t>
      </w:r>
      <w:r w:rsidRPr="00D7410A" w:rsidR="009D2AED">
        <w:rPr>
          <w:lang w:eastAsia="zh-CN" w:bidi="hi-IN"/>
        </w:rPr>
        <w:t xml:space="preserve"> boetes.</w:t>
      </w:r>
      <w:r w:rsidRPr="00D7410A" w:rsidR="00A75247">
        <w:rPr>
          <w:lang w:eastAsia="zh-CN" w:bidi="hi-IN"/>
        </w:rPr>
        <w:t xml:space="preserve"> </w:t>
      </w:r>
      <w:r w:rsidRPr="00D7410A">
        <w:rPr>
          <w:lang w:eastAsia="zh-CN" w:bidi="hi-IN"/>
        </w:rPr>
        <w:t>Het flexibele stelsel voldoet daarmee aan de verwachtingen</w:t>
      </w:r>
      <w:r w:rsidRPr="00D7410A" w:rsidR="00D13D84">
        <w:rPr>
          <w:lang w:eastAsia="zh-CN" w:bidi="hi-IN"/>
        </w:rPr>
        <w:t>.</w:t>
      </w:r>
    </w:p>
    <w:p w:rsidRPr="00D7410A" w:rsidR="00034877" w:rsidP="00245F25" w:rsidRDefault="0066658E">
      <w:pPr>
        <w:rPr>
          <w:b/>
          <w:lang w:eastAsia="zh-CN" w:bidi="hi-IN"/>
        </w:rPr>
      </w:pPr>
      <w:r w:rsidRPr="00D7410A">
        <w:rPr>
          <w:lang w:eastAsia="zh-CN" w:bidi="hi-IN"/>
        </w:rPr>
        <w:br/>
      </w:r>
      <w:r w:rsidRPr="00D7410A" w:rsidR="00524A1A">
        <w:rPr>
          <w:b/>
          <w:lang w:eastAsia="zh-CN" w:bidi="hi-IN"/>
        </w:rPr>
        <w:t xml:space="preserve">4. </w:t>
      </w:r>
      <w:r w:rsidRPr="00D7410A" w:rsidR="00AB7343">
        <w:rPr>
          <w:b/>
          <w:lang w:eastAsia="zh-CN" w:bidi="hi-IN"/>
        </w:rPr>
        <w:t>Ervaringen met voordeelgerelateerde boete</w:t>
      </w:r>
    </w:p>
    <w:p w:rsidRPr="00D7410A" w:rsidR="00034877" w:rsidP="00245F25" w:rsidRDefault="00034877">
      <w:pPr>
        <w:rPr>
          <w:lang w:eastAsia="zh-CN" w:bidi="hi-IN"/>
        </w:rPr>
      </w:pPr>
    </w:p>
    <w:p w:rsidRPr="007A171A" w:rsidR="00034877" w:rsidP="00245F25" w:rsidRDefault="00034877">
      <w:pPr>
        <w:rPr>
          <w:i/>
          <w:lang w:eastAsia="zh-CN" w:bidi="hi-IN"/>
        </w:rPr>
      </w:pPr>
      <w:r w:rsidRPr="00D7410A">
        <w:rPr>
          <w:i/>
          <w:lang w:eastAsia="zh-CN" w:bidi="hi-IN"/>
        </w:rPr>
        <w:t>Opgelegde boetes</w:t>
      </w:r>
    </w:p>
    <w:p w:rsidRPr="007A171A" w:rsidR="00034877" w:rsidP="00245F25" w:rsidRDefault="00034877">
      <w:pPr>
        <w:rPr>
          <w:lang w:eastAsia="zh-CN" w:bidi="hi-IN"/>
        </w:rPr>
      </w:pPr>
    </w:p>
    <w:p w:rsidRPr="007A171A" w:rsidR="00034877" w:rsidP="00245F25" w:rsidRDefault="00034877">
      <w:pPr>
        <w:rPr>
          <w:lang w:eastAsia="zh-CN" w:bidi="hi-IN"/>
        </w:rPr>
      </w:pPr>
      <w:r w:rsidRPr="007A171A">
        <w:rPr>
          <w:lang w:eastAsia="zh-CN" w:bidi="hi-IN"/>
        </w:rPr>
        <w:t xml:space="preserve">Beide toezichthouders hebben </w:t>
      </w:r>
      <w:r w:rsidR="00D7410A">
        <w:rPr>
          <w:lang w:eastAsia="zh-CN" w:bidi="hi-IN"/>
        </w:rPr>
        <w:t>in een klein aantal gevallen al</w:t>
      </w:r>
      <w:r w:rsidRPr="007A171A">
        <w:rPr>
          <w:lang w:eastAsia="zh-CN" w:bidi="hi-IN"/>
        </w:rPr>
        <w:t xml:space="preserve"> gebruik gemaakt van de mogelijkheid om een boete vast te stellen die afhankelijk is van de hoogte van het genoten voordeel. De AFM heeft twee voordeelgerelateerde boetes opgelegd aan partijen die flitskrediet verleenden zonder vergunning. In beide gevallen was het voordeel </w:t>
      </w:r>
      <w:r w:rsidR="00C577E3">
        <w:rPr>
          <w:lang w:eastAsia="zh-CN" w:bidi="hi-IN"/>
        </w:rPr>
        <w:t>in ieder geval</w:t>
      </w:r>
      <w:r w:rsidRPr="007A171A">
        <w:rPr>
          <w:lang w:eastAsia="zh-CN" w:bidi="hi-IN"/>
        </w:rPr>
        <w:t xml:space="preserve"> € 2 miljoen en is een boete van € 2 miljoen opgelegd.</w:t>
      </w:r>
      <w:r w:rsidRPr="007A171A" w:rsidR="00463AE3">
        <w:rPr>
          <w:rStyle w:val="Voetnootmarkering"/>
          <w:lang w:eastAsia="zh-CN" w:bidi="hi-IN"/>
        </w:rPr>
        <w:footnoteReference w:id="29"/>
      </w:r>
      <w:r w:rsidR="0003788B">
        <w:rPr>
          <w:lang w:eastAsia="zh-CN" w:bidi="hi-IN"/>
        </w:rPr>
        <w:t xml:space="preserve"> </w:t>
      </w:r>
      <w:r w:rsidRPr="007A171A">
        <w:rPr>
          <w:lang w:eastAsia="zh-CN" w:bidi="hi-IN"/>
        </w:rPr>
        <w:t xml:space="preserve">DNB heeft één voordeelgerelateerde boete opgelegd vanwege schending van verplichtingen met betrekking tot een beheerste en integere inrichting van de bedrijfsvoering. De boete bedroeg eenmaal het door DNB berekende voordeel van € 21,6 miljoen vermeerderd met een bedrag van € 1,2 miljoen. Dit laatste bedrag betrof de hoogte van de boete die op grond van de berekening volgens het </w:t>
      </w:r>
      <w:r w:rsidRPr="007A171A" w:rsidR="007C703D">
        <w:rPr>
          <w:lang w:eastAsia="zh-CN" w:bidi="hi-IN"/>
        </w:rPr>
        <w:t>categoriesysteem</w:t>
      </w:r>
      <w:r w:rsidRPr="007A171A">
        <w:rPr>
          <w:lang w:eastAsia="zh-CN" w:bidi="hi-IN"/>
        </w:rPr>
        <w:t xml:space="preserve"> voor de overtredingen zou zijn opgelegd.</w:t>
      </w:r>
      <w:r w:rsidRPr="007A171A" w:rsidR="00761700">
        <w:rPr>
          <w:rStyle w:val="Voetnootmarkering"/>
          <w:lang w:eastAsia="zh-CN" w:bidi="hi-IN"/>
        </w:rPr>
        <w:footnoteReference w:id="30"/>
      </w:r>
      <w:r w:rsidRPr="007A171A">
        <w:rPr>
          <w:lang w:eastAsia="zh-CN" w:bidi="hi-IN"/>
        </w:rPr>
        <w:t xml:space="preserve"> </w:t>
      </w:r>
    </w:p>
    <w:p w:rsidRPr="007A171A" w:rsidR="00034877" w:rsidP="00245F25" w:rsidRDefault="00034877">
      <w:pPr>
        <w:rPr>
          <w:lang w:eastAsia="zh-CN" w:bidi="hi-IN"/>
        </w:rPr>
      </w:pPr>
    </w:p>
    <w:p w:rsidRPr="007A171A" w:rsidR="00034877" w:rsidP="00245F25" w:rsidRDefault="00034877">
      <w:pPr>
        <w:rPr>
          <w:lang w:eastAsia="zh-CN" w:bidi="hi-IN"/>
        </w:rPr>
      </w:pPr>
      <w:r w:rsidRPr="007A171A">
        <w:rPr>
          <w:lang w:eastAsia="zh-CN" w:bidi="hi-IN"/>
        </w:rPr>
        <w:t>De maximale boete van tw</w:t>
      </w:r>
      <w:r w:rsidR="00D7410A">
        <w:rPr>
          <w:lang w:eastAsia="zh-CN" w:bidi="hi-IN"/>
        </w:rPr>
        <w:t xml:space="preserve">eemaal het behaalde voordeel is tot nu toe nog </w:t>
      </w:r>
      <w:r w:rsidRPr="007A171A">
        <w:rPr>
          <w:lang w:eastAsia="zh-CN" w:bidi="hi-IN"/>
        </w:rPr>
        <w:t xml:space="preserve">niet opgelegd. </w:t>
      </w:r>
    </w:p>
    <w:p w:rsidRPr="007A171A" w:rsidR="00034877" w:rsidP="00245F25" w:rsidRDefault="00034877">
      <w:pPr>
        <w:rPr>
          <w:lang w:eastAsia="zh-CN" w:bidi="hi-IN"/>
        </w:rPr>
      </w:pPr>
    </w:p>
    <w:p w:rsidRPr="007A171A" w:rsidR="00034877" w:rsidP="00245F25" w:rsidRDefault="00034877">
      <w:pPr>
        <w:rPr>
          <w:i/>
          <w:lang w:eastAsia="zh-CN" w:bidi="hi-IN"/>
        </w:rPr>
      </w:pPr>
      <w:r w:rsidRPr="007A171A">
        <w:rPr>
          <w:i/>
          <w:lang w:eastAsia="zh-CN" w:bidi="hi-IN"/>
        </w:rPr>
        <w:t>Ervaringen toezichthouders</w:t>
      </w:r>
      <w:r w:rsidRPr="007A171A" w:rsidR="002B61D7">
        <w:rPr>
          <w:i/>
          <w:lang w:eastAsia="zh-CN" w:bidi="hi-IN"/>
        </w:rPr>
        <w:t xml:space="preserve"> met voordeelgerelateerde boete</w:t>
      </w:r>
    </w:p>
    <w:p w:rsidRPr="007A171A" w:rsidR="00034877" w:rsidP="00245F25" w:rsidRDefault="00034877">
      <w:pPr>
        <w:rPr>
          <w:i/>
          <w:lang w:eastAsia="zh-CN" w:bidi="hi-IN"/>
        </w:rPr>
      </w:pPr>
    </w:p>
    <w:p w:rsidRPr="007A171A" w:rsidR="00034877" w:rsidP="00D7410A" w:rsidRDefault="00D7410A">
      <w:pPr>
        <w:rPr>
          <w:lang w:eastAsia="zh-CN" w:bidi="hi-IN"/>
        </w:rPr>
      </w:pPr>
      <w:r>
        <w:rPr>
          <w:lang w:eastAsia="zh-CN" w:bidi="hi-IN"/>
        </w:rPr>
        <w:t xml:space="preserve">De toezichthouders hebben aangegeven dat het meestal niet komt tot een voordeelgerelateerde boete, omdat het </w:t>
      </w:r>
      <w:r w:rsidRPr="007A171A" w:rsidR="00034877">
        <w:rPr>
          <w:lang w:eastAsia="zh-CN" w:bidi="hi-IN"/>
        </w:rPr>
        <w:t xml:space="preserve">behaalde voordeel moeilijk is vast te stellen. Ook speelt mee dat </w:t>
      </w:r>
      <w:r w:rsidR="00C577E3">
        <w:rPr>
          <w:lang w:eastAsia="zh-CN" w:bidi="hi-IN"/>
        </w:rPr>
        <w:t>p</w:t>
      </w:r>
      <w:r w:rsidRPr="007A171A" w:rsidR="00034877">
        <w:rPr>
          <w:lang w:eastAsia="zh-CN" w:bidi="hi-IN"/>
        </w:rPr>
        <w:t xml:space="preserve">as bij een voordeel </w:t>
      </w:r>
      <w:r w:rsidR="00C577E3">
        <w:rPr>
          <w:lang w:eastAsia="zh-CN" w:bidi="hi-IN"/>
        </w:rPr>
        <w:t>vanaf</w:t>
      </w:r>
      <w:r w:rsidRPr="007A171A" w:rsidR="00034877">
        <w:rPr>
          <w:lang w:eastAsia="zh-CN" w:bidi="hi-IN"/>
        </w:rPr>
        <w:t xml:space="preserve"> € 2 miljoen</w:t>
      </w:r>
      <w:r w:rsidR="00C577E3">
        <w:rPr>
          <w:lang w:eastAsia="zh-CN" w:bidi="hi-IN"/>
        </w:rPr>
        <w:t xml:space="preserve"> de boete kan worden vastgesteld op het dubbele van het behaalde voordeel</w:t>
      </w:r>
      <w:r w:rsidRPr="007A171A" w:rsidR="00034877">
        <w:rPr>
          <w:lang w:eastAsia="zh-CN" w:bidi="hi-IN"/>
        </w:rPr>
        <w:t>. In veel gevallen is daarvan geen sprake.</w:t>
      </w:r>
    </w:p>
    <w:p w:rsidRPr="007A171A" w:rsidR="00034877" w:rsidP="00245F25" w:rsidRDefault="00034877">
      <w:pPr>
        <w:rPr>
          <w:lang w:eastAsia="zh-CN" w:bidi="hi-IN"/>
        </w:rPr>
      </w:pPr>
    </w:p>
    <w:p w:rsidRPr="007A171A" w:rsidR="00034877" w:rsidP="00245F25" w:rsidRDefault="00D7410A">
      <w:pPr>
        <w:rPr>
          <w:lang w:eastAsia="zh-CN" w:bidi="hi-IN"/>
        </w:rPr>
      </w:pPr>
      <w:r>
        <w:rPr>
          <w:lang w:eastAsia="zh-CN" w:bidi="hi-IN"/>
        </w:rPr>
        <w:t xml:space="preserve">Omdat het voordeel vaak moeilijk te kwantificeren is, zijn de toezichthouders positief over de bevoegdheid om te kiezen voor het voordeel als grondslag voor de boete, zonder dat zij verplicht zijn die grondslag te gebruiken. Wel vinden de toezichthouders het voordeel een goede en bruikbare </w:t>
      </w:r>
      <w:r w:rsidR="00A47884">
        <w:rPr>
          <w:lang w:eastAsia="zh-CN" w:bidi="hi-IN"/>
        </w:rPr>
        <w:t>grondslag in de</w:t>
      </w:r>
      <w:r w:rsidRPr="007A171A" w:rsidR="00034877">
        <w:rPr>
          <w:lang w:eastAsia="zh-CN" w:bidi="hi-IN"/>
        </w:rPr>
        <w:t xml:space="preserve"> gevallen waarin het voordeel goed is vast te stellen.</w:t>
      </w:r>
      <w:r w:rsidR="00A47884">
        <w:rPr>
          <w:lang w:eastAsia="zh-CN" w:bidi="hi-IN"/>
        </w:rPr>
        <w:t xml:space="preserve"> Dit levert een passende boete op die aansluit</w:t>
      </w:r>
      <w:r w:rsidRPr="007A171A" w:rsidR="00034877">
        <w:rPr>
          <w:lang w:eastAsia="zh-CN" w:bidi="hi-IN"/>
        </w:rPr>
        <w:t xml:space="preserve"> bij he</w:t>
      </w:r>
      <w:r w:rsidR="00A47884">
        <w:rPr>
          <w:lang w:eastAsia="zh-CN" w:bidi="hi-IN"/>
        </w:rPr>
        <w:t>t uitgangspunt dat overtreding</w:t>
      </w:r>
      <w:r w:rsidRPr="007A171A" w:rsidR="00034877">
        <w:rPr>
          <w:lang w:eastAsia="zh-CN" w:bidi="hi-IN"/>
        </w:rPr>
        <w:t xml:space="preserve"> niet </w:t>
      </w:r>
      <w:r w:rsidR="00A47884">
        <w:rPr>
          <w:lang w:eastAsia="zh-CN" w:bidi="hi-IN"/>
        </w:rPr>
        <w:t xml:space="preserve">mag lonen. Dit maakt van de </w:t>
      </w:r>
      <w:r w:rsidRPr="007A171A" w:rsidR="00034877">
        <w:rPr>
          <w:lang w:eastAsia="zh-CN" w:bidi="hi-IN"/>
        </w:rPr>
        <w:t xml:space="preserve">voordeelgerelateerde boete een waardevolle aanvulling op het bestaande instrumentarium. </w:t>
      </w:r>
    </w:p>
    <w:p w:rsidRPr="00A47884" w:rsidR="00034877" w:rsidP="00245F25" w:rsidRDefault="00034877">
      <w:pPr>
        <w:rPr>
          <w:lang w:eastAsia="zh-CN" w:bidi="hi-IN"/>
        </w:rPr>
      </w:pPr>
      <w:r w:rsidRPr="007A171A">
        <w:rPr>
          <w:lang w:eastAsia="zh-CN" w:bidi="hi-IN"/>
        </w:rPr>
        <w:t xml:space="preserve">De AFM en DNB </w:t>
      </w:r>
      <w:r w:rsidR="00A47884">
        <w:rPr>
          <w:lang w:eastAsia="zh-CN" w:bidi="hi-IN"/>
        </w:rPr>
        <w:t>wegen het</w:t>
      </w:r>
      <w:r w:rsidRPr="007A171A">
        <w:rPr>
          <w:lang w:eastAsia="zh-CN" w:bidi="hi-IN"/>
        </w:rPr>
        <w:t xml:space="preserve"> behaalde voordeel ook </w:t>
      </w:r>
      <w:r w:rsidR="00A47884">
        <w:rPr>
          <w:lang w:eastAsia="zh-CN" w:bidi="hi-IN"/>
        </w:rPr>
        <w:t>mee</w:t>
      </w:r>
      <w:r w:rsidRPr="007A171A">
        <w:rPr>
          <w:lang w:eastAsia="zh-CN" w:bidi="hi-IN"/>
        </w:rPr>
        <w:t xml:space="preserve"> </w:t>
      </w:r>
      <w:r w:rsidRPr="007A171A" w:rsidR="0066658E">
        <w:rPr>
          <w:lang w:eastAsia="zh-CN" w:bidi="hi-IN"/>
        </w:rPr>
        <w:t>wanneer dit voordeel</w:t>
      </w:r>
      <w:r w:rsidRPr="007A171A">
        <w:rPr>
          <w:lang w:eastAsia="zh-CN" w:bidi="hi-IN"/>
        </w:rPr>
        <w:t xml:space="preserve"> niet </w:t>
      </w:r>
      <w:r w:rsidR="00A47884">
        <w:rPr>
          <w:lang w:eastAsia="zh-CN" w:bidi="hi-IN"/>
        </w:rPr>
        <w:t>eenvoudig</w:t>
      </w:r>
      <w:r w:rsidRPr="007A171A">
        <w:rPr>
          <w:lang w:eastAsia="zh-CN" w:bidi="hi-IN"/>
        </w:rPr>
        <w:t xml:space="preserve"> </w:t>
      </w:r>
      <w:r w:rsidRPr="007A171A" w:rsidR="0066658E">
        <w:rPr>
          <w:lang w:eastAsia="zh-CN" w:bidi="hi-IN"/>
        </w:rPr>
        <w:t>exact</w:t>
      </w:r>
      <w:r w:rsidRPr="007A171A">
        <w:rPr>
          <w:lang w:eastAsia="zh-CN" w:bidi="hi-IN"/>
        </w:rPr>
        <w:t xml:space="preserve"> is vast te stellen of </w:t>
      </w:r>
      <w:r w:rsidRPr="007A171A" w:rsidR="0066658E">
        <w:rPr>
          <w:lang w:eastAsia="zh-CN" w:bidi="hi-IN"/>
        </w:rPr>
        <w:t>wanneer dit</w:t>
      </w:r>
      <w:r w:rsidRPr="007A171A">
        <w:rPr>
          <w:lang w:eastAsia="zh-CN" w:bidi="hi-IN"/>
        </w:rPr>
        <w:t xml:space="preserve"> lager is dan € 2 miljoen. </w:t>
      </w:r>
      <w:r w:rsidRPr="00A47884">
        <w:rPr>
          <w:lang w:eastAsia="zh-CN" w:bidi="hi-IN"/>
        </w:rPr>
        <w:t xml:space="preserve">Het is dan één van de aspecten die </w:t>
      </w:r>
      <w:r w:rsidR="00EC187D">
        <w:rPr>
          <w:lang w:eastAsia="zh-CN" w:bidi="hi-IN"/>
        </w:rPr>
        <w:t xml:space="preserve">meeweegt bij </w:t>
      </w:r>
      <w:r w:rsidRPr="00A47884">
        <w:rPr>
          <w:lang w:eastAsia="zh-CN" w:bidi="hi-IN"/>
        </w:rPr>
        <w:t xml:space="preserve">de beoordeling van de ernst van de overtreding. </w:t>
      </w:r>
      <w:r w:rsidR="00EC187D">
        <w:rPr>
          <w:lang w:eastAsia="zh-CN" w:bidi="hi-IN"/>
        </w:rPr>
        <w:t xml:space="preserve">De </w:t>
      </w:r>
      <w:r w:rsidRPr="00A47884">
        <w:rPr>
          <w:lang w:eastAsia="zh-CN" w:bidi="hi-IN"/>
        </w:rPr>
        <w:t xml:space="preserve">AFM </w:t>
      </w:r>
      <w:r w:rsidR="00EC187D">
        <w:rPr>
          <w:lang w:eastAsia="zh-CN" w:bidi="hi-IN"/>
        </w:rPr>
        <w:t xml:space="preserve">hanteert </w:t>
      </w:r>
      <w:r w:rsidRPr="00A47884">
        <w:rPr>
          <w:lang w:eastAsia="zh-CN" w:bidi="hi-IN"/>
        </w:rPr>
        <w:t xml:space="preserve">het uitgangspunt dat de opgelegde boete </w:t>
      </w:r>
      <w:r w:rsidRPr="00A47884" w:rsidR="009D2AED">
        <w:rPr>
          <w:lang w:eastAsia="zh-CN" w:bidi="hi-IN"/>
        </w:rPr>
        <w:t>nooit</w:t>
      </w:r>
      <w:r w:rsidRPr="00A47884">
        <w:rPr>
          <w:lang w:eastAsia="zh-CN" w:bidi="hi-IN"/>
        </w:rPr>
        <w:t xml:space="preserve"> lager </w:t>
      </w:r>
      <w:r w:rsidRPr="00A47884" w:rsidR="009D2AED">
        <w:rPr>
          <w:lang w:eastAsia="zh-CN" w:bidi="hi-IN"/>
        </w:rPr>
        <w:t>is</w:t>
      </w:r>
      <w:r w:rsidRPr="00A47884">
        <w:rPr>
          <w:lang w:eastAsia="zh-CN" w:bidi="hi-IN"/>
        </w:rPr>
        <w:t xml:space="preserve"> dan het behaalde voordeel, voor zover dat is </w:t>
      </w:r>
      <w:r w:rsidR="00A47884">
        <w:rPr>
          <w:lang w:eastAsia="zh-CN" w:bidi="hi-IN"/>
        </w:rPr>
        <w:t>te vast te stellen</w:t>
      </w:r>
      <w:r w:rsidRPr="00A47884">
        <w:rPr>
          <w:lang w:eastAsia="zh-CN" w:bidi="hi-IN"/>
        </w:rPr>
        <w:t xml:space="preserve">. </w:t>
      </w:r>
      <w:r w:rsidR="00A47884">
        <w:rPr>
          <w:lang w:eastAsia="zh-CN" w:bidi="hi-IN"/>
        </w:rPr>
        <w:t>Of en h</w:t>
      </w:r>
      <w:r w:rsidRPr="00A47884" w:rsidR="00CB171F">
        <w:rPr>
          <w:lang w:eastAsia="zh-CN" w:bidi="hi-IN"/>
        </w:rPr>
        <w:t xml:space="preserve">oe (eenvoudig) </w:t>
      </w:r>
      <w:r w:rsidR="00A47884">
        <w:rPr>
          <w:lang w:eastAsia="zh-CN" w:bidi="hi-IN"/>
        </w:rPr>
        <w:t>dit kan, hangt af</w:t>
      </w:r>
      <w:r w:rsidRPr="00A47884" w:rsidR="00CB171F">
        <w:rPr>
          <w:lang w:eastAsia="zh-CN" w:bidi="hi-IN"/>
        </w:rPr>
        <w:t xml:space="preserve"> van de aard van de overtreding en leidt in voorkomend geval tot de inzet van meer toezichtcapaciteit.</w:t>
      </w:r>
    </w:p>
    <w:p w:rsidRPr="00A47884" w:rsidR="00A65F62" w:rsidP="00245F25" w:rsidRDefault="00A65F62">
      <w:pPr>
        <w:rPr>
          <w:lang w:eastAsia="zh-CN" w:bidi="hi-IN"/>
        </w:rPr>
      </w:pPr>
    </w:p>
    <w:p w:rsidRPr="007A171A" w:rsidR="00034877" w:rsidP="00245F25" w:rsidRDefault="00034877">
      <w:pPr>
        <w:rPr>
          <w:i/>
          <w:lang w:eastAsia="zh-CN" w:bidi="hi-IN"/>
        </w:rPr>
      </w:pPr>
      <w:r w:rsidRPr="00A47884">
        <w:rPr>
          <w:i/>
          <w:lang w:eastAsia="zh-CN" w:bidi="hi-IN"/>
        </w:rPr>
        <w:t>Rechtspraak en literatuur</w:t>
      </w:r>
    </w:p>
    <w:p w:rsidRPr="007A171A" w:rsidR="00034877" w:rsidP="00245F25" w:rsidRDefault="00034877">
      <w:pPr>
        <w:rPr>
          <w:lang w:eastAsia="zh-CN" w:bidi="hi-IN"/>
        </w:rPr>
      </w:pPr>
    </w:p>
    <w:p w:rsidRPr="00A47884" w:rsidR="00034877" w:rsidP="00245F25" w:rsidRDefault="00034877">
      <w:pPr>
        <w:rPr>
          <w:lang w:eastAsia="zh-CN" w:bidi="hi-IN"/>
        </w:rPr>
      </w:pPr>
      <w:r w:rsidRPr="00A47884">
        <w:rPr>
          <w:lang w:eastAsia="zh-CN" w:bidi="hi-IN"/>
        </w:rPr>
        <w:t xml:space="preserve">Tegen de voordeelgerelateerde boetes die de AFM en DNB hebben opgelegd is in alle gevallen beroep ingesteld bij de rechtbank. De rechtbank heeft hierbij </w:t>
      </w:r>
      <w:r w:rsidRPr="00A47884" w:rsidR="00A47884">
        <w:rPr>
          <w:lang w:eastAsia="zh-CN" w:bidi="hi-IN"/>
        </w:rPr>
        <w:t>in alle gevallen</w:t>
      </w:r>
      <w:r w:rsidRPr="00A47884">
        <w:rPr>
          <w:lang w:eastAsia="zh-CN" w:bidi="hi-IN"/>
        </w:rPr>
        <w:t xml:space="preserve"> de wijze waarop het voordeel was berekend in stand gelaten</w:t>
      </w:r>
      <w:r w:rsidRPr="00A47884" w:rsidR="00CB171F">
        <w:rPr>
          <w:lang w:eastAsia="zh-CN" w:bidi="hi-IN"/>
        </w:rPr>
        <w:t>.</w:t>
      </w:r>
      <w:r w:rsidRPr="00A47884">
        <w:rPr>
          <w:rStyle w:val="Voetnootmarkering"/>
          <w:lang w:eastAsia="zh-CN" w:bidi="hi-IN"/>
        </w:rPr>
        <w:footnoteReference w:id="31"/>
      </w:r>
    </w:p>
    <w:p w:rsidRPr="00A47884" w:rsidR="00034877" w:rsidP="00245F25" w:rsidRDefault="00034877">
      <w:pPr>
        <w:rPr>
          <w:lang w:eastAsia="zh-CN" w:bidi="hi-IN"/>
        </w:rPr>
      </w:pPr>
    </w:p>
    <w:p w:rsidRPr="00A47884" w:rsidR="00034877" w:rsidP="00245F25" w:rsidRDefault="00CB171F">
      <w:pPr>
        <w:rPr>
          <w:lang w:eastAsia="zh-CN" w:bidi="hi-IN"/>
        </w:rPr>
      </w:pPr>
      <w:r w:rsidRPr="00A47884">
        <w:rPr>
          <w:lang w:eastAsia="zh-CN" w:bidi="hi-IN"/>
        </w:rPr>
        <w:t>In</w:t>
      </w:r>
      <w:r w:rsidRPr="00A47884" w:rsidR="00034877">
        <w:rPr>
          <w:lang w:eastAsia="zh-CN" w:bidi="hi-IN"/>
        </w:rPr>
        <w:t xml:space="preserve"> de uitspraak van de Rechtbank Rotterdam van 31 juli 2015 over de voordeelgerelateerde boete die is opgelegd door DNB</w:t>
      </w:r>
      <w:r w:rsidRPr="00A47884">
        <w:rPr>
          <w:lang w:eastAsia="zh-CN" w:bidi="hi-IN"/>
        </w:rPr>
        <w:t xml:space="preserve"> heeft de rechtbank geoordeeld dat de overtreder de berekening van DNB met een objectief oordeel van een deskundige had moeten betwisten, gezien de aanwezige expertise bij DNB. Hoewel hier in de vakliteratuur enkele publicaties over zijn verschenen</w:t>
      </w:r>
      <w:r w:rsidRPr="00A47884" w:rsidR="00034877">
        <w:rPr>
          <w:rStyle w:val="Voetnootmarkering"/>
          <w:lang w:eastAsia="zh-CN" w:bidi="hi-IN"/>
        </w:rPr>
        <w:footnoteReference w:id="32"/>
      </w:r>
      <w:r w:rsidRPr="00A47884">
        <w:rPr>
          <w:lang w:eastAsia="zh-CN" w:bidi="hi-IN"/>
        </w:rPr>
        <w:t xml:space="preserve"> -</w:t>
      </w:r>
      <w:r w:rsidR="00042EF4">
        <w:rPr>
          <w:lang w:eastAsia="zh-CN" w:bidi="hi-IN"/>
        </w:rPr>
        <w:t xml:space="preserve"> </w:t>
      </w:r>
      <w:r w:rsidRPr="00A47884">
        <w:rPr>
          <w:lang w:eastAsia="zh-CN" w:bidi="hi-IN"/>
        </w:rPr>
        <w:t xml:space="preserve">waarin </w:t>
      </w:r>
      <w:r w:rsidRPr="00A47884" w:rsidR="00034877">
        <w:rPr>
          <w:lang w:eastAsia="zh-CN" w:bidi="hi-IN"/>
        </w:rPr>
        <w:t xml:space="preserve">onder meer de vraag </w:t>
      </w:r>
      <w:r w:rsidRPr="00A47884">
        <w:rPr>
          <w:lang w:eastAsia="zh-CN" w:bidi="hi-IN"/>
        </w:rPr>
        <w:t xml:space="preserve">is </w:t>
      </w:r>
      <w:r w:rsidRPr="00A47884" w:rsidR="00034877">
        <w:rPr>
          <w:lang w:eastAsia="zh-CN" w:bidi="hi-IN"/>
        </w:rPr>
        <w:t>gesteld of het causaal verband tussen de overtreding en het voordee</w:t>
      </w:r>
      <w:r w:rsidR="00A47884">
        <w:rPr>
          <w:lang w:eastAsia="zh-CN" w:bidi="hi-IN"/>
        </w:rPr>
        <w:t xml:space="preserve">l wel voldoende is onderbouwd, </w:t>
      </w:r>
      <w:r w:rsidRPr="00A47884">
        <w:rPr>
          <w:lang w:eastAsia="zh-CN" w:bidi="hi-IN"/>
        </w:rPr>
        <w:t xml:space="preserve">en </w:t>
      </w:r>
      <w:r w:rsidRPr="00A47884" w:rsidR="00034877">
        <w:rPr>
          <w:lang w:eastAsia="zh-CN" w:bidi="hi-IN"/>
        </w:rPr>
        <w:t>of de wijze waarop de rechtbank het bewijs van het verkregen voordeel beoordeelt wel juist is</w:t>
      </w:r>
      <w:r w:rsidRPr="00A47884" w:rsidR="00034877">
        <w:rPr>
          <w:rStyle w:val="Voetnootmarkering"/>
          <w:lang w:eastAsia="zh-CN" w:bidi="hi-IN"/>
        </w:rPr>
        <w:footnoteReference w:id="33"/>
      </w:r>
      <w:r w:rsidRPr="00A47884">
        <w:rPr>
          <w:lang w:eastAsia="zh-CN" w:bidi="hi-IN"/>
        </w:rPr>
        <w:t xml:space="preserve"> - is de voordeelsberekening door DNB volledig in stand gebleven.</w:t>
      </w:r>
      <w:r w:rsidRPr="00A47884" w:rsidR="00034877">
        <w:rPr>
          <w:lang w:eastAsia="zh-CN" w:bidi="hi-IN"/>
        </w:rPr>
        <w:t xml:space="preserve"> </w:t>
      </w:r>
      <w:r w:rsidRPr="00A47884">
        <w:rPr>
          <w:lang w:eastAsia="zh-CN" w:bidi="hi-IN"/>
        </w:rPr>
        <w:t>In de zaken van de AFM bleef de voordeelsberekening door de AFM ook volledig in stand.</w:t>
      </w:r>
      <w:r w:rsidRPr="00A47884" w:rsidR="00034877">
        <w:rPr>
          <w:lang w:eastAsia="zh-CN" w:bidi="hi-IN"/>
        </w:rPr>
        <w:t xml:space="preserve"> </w:t>
      </w:r>
    </w:p>
    <w:p w:rsidRPr="00A47884" w:rsidR="00034877" w:rsidP="00245F25" w:rsidRDefault="00034877">
      <w:pPr>
        <w:rPr>
          <w:lang w:eastAsia="zh-CN" w:bidi="hi-IN"/>
        </w:rPr>
      </w:pPr>
    </w:p>
    <w:p w:rsidRPr="00A47884" w:rsidR="00034877" w:rsidP="00245F25" w:rsidRDefault="009522CC">
      <w:pPr>
        <w:rPr>
          <w:i/>
          <w:lang w:eastAsia="zh-CN" w:bidi="hi-IN"/>
        </w:rPr>
      </w:pPr>
      <w:r w:rsidRPr="00A47884">
        <w:rPr>
          <w:i/>
          <w:lang w:eastAsia="zh-CN" w:bidi="hi-IN"/>
        </w:rPr>
        <w:t>Conclusie en interpretatie</w:t>
      </w:r>
    </w:p>
    <w:p w:rsidRPr="00A47884" w:rsidR="009522CC" w:rsidP="00245F25" w:rsidRDefault="009522CC">
      <w:pPr>
        <w:rPr>
          <w:lang w:eastAsia="zh-CN" w:bidi="hi-IN"/>
        </w:rPr>
      </w:pPr>
    </w:p>
    <w:p w:rsidRPr="007A171A" w:rsidR="00034877" w:rsidP="00245F25" w:rsidRDefault="00034877">
      <w:pPr>
        <w:rPr>
          <w:lang w:eastAsia="zh-CN" w:bidi="hi-IN"/>
        </w:rPr>
      </w:pPr>
      <w:r w:rsidRPr="00A47884">
        <w:rPr>
          <w:lang w:eastAsia="zh-CN" w:bidi="hi-IN"/>
        </w:rPr>
        <w:t xml:space="preserve">Uit het voorgaande volgt dat de voordeelgerelateerde boete tot op heden relatief weinig is gebruikt. Toch wordt de mogelijkheid </w:t>
      </w:r>
      <w:r w:rsidR="00A47884">
        <w:rPr>
          <w:lang w:eastAsia="zh-CN" w:bidi="hi-IN"/>
        </w:rPr>
        <w:t>als</w:t>
      </w:r>
      <w:r w:rsidRPr="00A47884">
        <w:rPr>
          <w:lang w:eastAsia="zh-CN" w:bidi="hi-IN"/>
        </w:rPr>
        <w:t xml:space="preserve"> positief</w:t>
      </w:r>
      <w:r w:rsidR="00A47884">
        <w:rPr>
          <w:lang w:eastAsia="zh-CN" w:bidi="hi-IN"/>
        </w:rPr>
        <w:t xml:space="preserve"> gewaardeerd, omdat het zorgt voor het kunnen opleggen van een</w:t>
      </w:r>
      <w:r w:rsidRPr="007A171A">
        <w:rPr>
          <w:lang w:eastAsia="zh-CN" w:bidi="hi-IN"/>
        </w:rPr>
        <w:t xml:space="preserve"> passende boete. </w:t>
      </w:r>
    </w:p>
    <w:p w:rsidRPr="007A171A" w:rsidR="00034877" w:rsidP="00245F25" w:rsidRDefault="00034877">
      <w:pPr>
        <w:rPr>
          <w:lang w:eastAsia="zh-CN" w:bidi="hi-IN"/>
        </w:rPr>
      </w:pPr>
    </w:p>
    <w:p w:rsidRPr="007A171A" w:rsidR="00034877" w:rsidP="00245F25" w:rsidRDefault="00A47884">
      <w:pPr>
        <w:rPr>
          <w:lang w:eastAsia="zh-CN" w:bidi="hi-IN"/>
        </w:rPr>
      </w:pPr>
      <w:r>
        <w:rPr>
          <w:lang w:eastAsia="zh-CN" w:bidi="hi-IN"/>
        </w:rPr>
        <w:t>Tijdens de</w:t>
      </w:r>
      <w:r w:rsidRPr="007A171A" w:rsidR="00034877">
        <w:rPr>
          <w:lang w:eastAsia="zh-CN" w:bidi="hi-IN"/>
        </w:rPr>
        <w:t xml:space="preserve"> parlementaire behandeling van de wijzigingen in het </w:t>
      </w:r>
      <w:r>
        <w:rPr>
          <w:lang w:eastAsia="zh-CN" w:bidi="hi-IN"/>
        </w:rPr>
        <w:t>boetestelsel</w:t>
      </w:r>
      <w:r w:rsidRPr="007A171A" w:rsidR="00034877">
        <w:rPr>
          <w:lang w:eastAsia="zh-CN" w:bidi="hi-IN"/>
        </w:rPr>
        <w:t xml:space="preserve"> is aan de orde geweest dat het vaststellen van het voordeel </w:t>
      </w:r>
      <w:r>
        <w:rPr>
          <w:lang w:eastAsia="zh-CN" w:bidi="hi-IN"/>
        </w:rPr>
        <w:t>wellicht moeilijk zal</w:t>
      </w:r>
      <w:r w:rsidRPr="007A171A" w:rsidR="00034877">
        <w:rPr>
          <w:lang w:eastAsia="zh-CN" w:bidi="hi-IN"/>
        </w:rPr>
        <w:t xml:space="preserve"> zijn. Aanvankelijk was </w:t>
      </w:r>
      <w:r>
        <w:rPr>
          <w:lang w:eastAsia="zh-CN" w:bidi="hi-IN"/>
        </w:rPr>
        <w:t>daarom</w:t>
      </w:r>
      <w:r w:rsidRPr="007A171A" w:rsidR="00034877">
        <w:rPr>
          <w:lang w:eastAsia="zh-CN" w:bidi="hi-IN"/>
        </w:rPr>
        <w:t xml:space="preserve"> voorgesteld om de voordeelgerelateerde boete alleen mogelijk te maken bij overtredingen op het gebied van marktmisbruik. Bij die overtredingen zou het voordeel vaak aanzienlijk zijn en </w:t>
      </w:r>
      <w:r w:rsidR="00EC187D">
        <w:rPr>
          <w:lang w:eastAsia="zh-CN" w:bidi="hi-IN"/>
        </w:rPr>
        <w:t xml:space="preserve">tegelijkertijd </w:t>
      </w:r>
      <w:r>
        <w:rPr>
          <w:lang w:eastAsia="zh-CN" w:bidi="hi-IN"/>
        </w:rPr>
        <w:t>relatief eenvoudig</w:t>
      </w:r>
      <w:r w:rsidRPr="007A171A" w:rsidR="00034877">
        <w:rPr>
          <w:lang w:eastAsia="zh-CN" w:bidi="hi-IN"/>
        </w:rPr>
        <w:t xml:space="preserve"> vast te stellen. Deze beperking is </w:t>
      </w:r>
      <w:r>
        <w:rPr>
          <w:lang w:eastAsia="zh-CN" w:bidi="hi-IN"/>
        </w:rPr>
        <w:t>na</w:t>
      </w:r>
      <w:r w:rsidRPr="007A171A" w:rsidR="00034877">
        <w:rPr>
          <w:lang w:eastAsia="zh-CN" w:bidi="hi-IN"/>
        </w:rPr>
        <w:t xml:space="preserve"> een amendement</w:t>
      </w:r>
      <w:r>
        <w:rPr>
          <w:lang w:eastAsia="zh-CN" w:bidi="hi-IN"/>
        </w:rPr>
        <w:t xml:space="preserve"> vervallen</w:t>
      </w:r>
      <w:r w:rsidRPr="007A171A" w:rsidR="00034877">
        <w:rPr>
          <w:lang w:eastAsia="zh-CN" w:bidi="hi-IN"/>
        </w:rPr>
        <w:t>.</w:t>
      </w:r>
      <w:r w:rsidRPr="007A171A" w:rsidR="00034877">
        <w:rPr>
          <w:rStyle w:val="Voetnootmarkering"/>
          <w:lang w:eastAsia="zh-CN" w:bidi="hi-IN"/>
        </w:rPr>
        <w:footnoteReference w:id="34"/>
      </w:r>
      <w:r w:rsidRPr="007A171A" w:rsidR="00034877">
        <w:rPr>
          <w:lang w:eastAsia="zh-CN" w:bidi="hi-IN"/>
        </w:rPr>
        <w:t xml:space="preserve"> Dat het voordeel dat met een overtreding is behaald, moeilijk is vast te stellen, blijkt in de praktijk inderdaad een remmende werking te hebben op het </w:t>
      </w:r>
      <w:r>
        <w:rPr>
          <w:lang w:eastAsia="zh-CN" w:bidi="hi-IN"/>
        </w:rPr>
        <w:t>inzetten van de bevoegdheid. Geen</w:t>
      </w:r>
      <w:r w:rsidRPr="007A171A" w:rsidR="00034877">
        <w:rPr>
          <w:lang w:eastAsia="zh-CN" w:bidi="hi-IN"/>
        </w:rPr>
        <w:t xml:space="preserve"> van de voordeelgerelateerde boetes </w:t>
      </w:r>
      <w:r>
        <w:rPr>
          <w:lang w:eastAsia="zh-CN" w:bidi="hi-IN"/>
        </w:rPr>
        <w:t xml:space="preserve">is </w:t>
      </w:r>
      <w:r w:rsidRPr="007A171A" w:rsidR="00034877">
        <w:rPr>
          <w:lang w:eastAsia="zh-CN" w:bidi="hi-IN"/>
        </w:rPr>
        <w:t xml:space="preserve">opgelegd wegens marktmisbruik. </w:t>
      </w:r>
      <w:r w:rsidR="00C577E3">
        <w:rPr>
          <w:lang w:eastAsia="zh-CN" w:bidi="hi-IN"/>
        </w:rPr>
        <w:t>Di</w:t>
      </w:r>
      <w:r w:rsidRPr="007A171A" w:rsidR="00034877">
        <w:rPr>
          <w:lang w:eastAsia="zh-CN" w:bidi="hi-IN"/>
        </w:rPr>
        <w:t>t kan betekenen dat het voordeel ook in het geval van marktmisbruik min</w:t>
      </w:r>
      <w:r>
        <w:rPr>
          <w:lang w:eastAsia="zh-CN" w:bidi="hi-IN"/>
        </w:rPr>
        <w:t xml:space="preserve">der goed vast te stellen is dan </w:t>
      </w:r>
      <w:r w:rsidR="00F2780E">
        <w:rPr>
          <w:lang w:eastAsia="zh-CN" w:bidi="hi-IN"/>
        </w:rPr>
        <w:t>vooraf is verwacht</w:t>
      </w:r>
      <w:r>
        <w:rPr>
          <w:lang w:eastAsia="zh-CN" w:bidi="hi-IN"/>
        </w:rPr>
        <w:t>.</w:t>
      </w:r>
      <w:r w:rsidRPr="007A171A" w:rsidR="00034877">
        <w:rPr>
          <w:lang w:eastAsia="zh-CN" w:bidi="hi-IN"/>
        </w:rPr>
        <w:t xml:space="preserve"> </w:t>
      </w:r>
    </w:p>
    <w:p w:rsidRPr="007A171A" w:rsidR="00034877" w:rsidP="00245F25" w:rsidRDefault="00034877">
      <w:pPr>
        <w:rPr>
          <w:lang w:eastAsia="zh-CN" w:bidi="hi-IN"/>
        </w:rPr>
      </w:pPr>
    </w:p>
    <w:p w:rsidRPr="00F2780E" w:rsidR="008C5AE4" w:rsidP="00F2780E" w:rsidRDefault="00F2780E">
      <w:pPr>
        <w:rPr>
          <w:lang w:eastAsia="zh-CN" w:bidi="hi-IN"/>
        </w:rPr>
      </w:pPr>
      <w:r>
        <w:rPr>
          <w:lang w:eastAsia="zh-CN" w:bidi="hi-IN"/>
        </w:rPr>
        <w:t xml:space="preserve">Al met al </w:t>
      </w:r>
      <w:r w:rsidR="00D4767F">
        <w:rPr>
          <w:lang w:eastAsia="zh-CN" w:bidi="hi-IN"/>
        </w:rPr>
        <w:t>is</w:t>
      </w:r>
      <w:r>
        <w:rPr>
          <w:lang w:eastAsia="zh-CN" w:bidi="hi-IN"/>
        </w:rPr>
        <w:t xml:space="preserve"> de mogelijkheid tot het opleggen van een voordeelgerelateerde boete</w:t>
      </w:r>
      <w:r w:rsidR="00D4767F">
        <w:rPr>
          <w:lang w:eastAsia="zh-CN" w:bidi="hi-IN"/>
        </w:rPr>
        <w:t xml:space="preserve"> in specifieke situaties </w:t>
      </w:r>
      <w:r w:rsidRPr="007A171A" w:rsidR="00034877">
        <w:rPr>
          <w:lang w:eastAsia="zh-CN" w:bidi="hi-IN"/>
        </w:rPr>
        <w:t xml:space="preserve">een bruikbare aanvulling op het </w:t>
      </w:r>
      <w:r>
        <w:rPr>
          <w:lang w:eastAsia="zh-CN" w:bidi="hi-IN"/>
        </w:rPr>
        <w:t xml:space="preserve">bestaande </w:t>
      </w:r>
      <w:r w:rsidRPr="007A171A" w:rsidR="00034877">
        <w:rPr>
          <w:lang w:eastAsia="zh-CN" w:bidi="hi-IN"/>
        </w:rPr>
        <w:t>instrumentarium van de toezichthouders.</w:t>
      </w:r>
    </w:p>
    <w:sectPr w:rsidRPr="00F2780E" w:rsidR="008C5AE4" w:rsidSect="008C5AE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FF0" w:rsidRDefault="00144FF0" w:rsidP="00034877">
      <w:pPr>
        <w:spacing w:line="240" w:lineRule="auto"/>
      </w:pPr>
      <w:r>
        <w:separator/>
      </w:r>
    </w:p>
  </w:endnote>
  <w:endnote w:type="continuationSeparator" w:id="0">
    <w:p w:rsidR="00144FF0" w:rsidRDefault="00144FF0" w:rsidP="0003487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FF0" w:rsidRDefault="00144FF0">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06457"/>
      <w:docPartObj>
        <w:docPartGallery w:val="Page Numbers (Bottom of Page)"/>
        <w:docPartUnique/>
      </w:docPartObj>
    </w:sdtPr>
    <w:sdtContent>
      <w:p w:rsidR="00144FF0" w:rsidRDefault="00B86910">
        <w:pPr>
          <w:pStyle w:val="Voettekst"/>
          <w:jc w:val="right"/>
        </w:pPr>
        <w:fldSimple w:instr=" PAGE   \* MERGEFORMAT ">
          <w:r w:rsidR="00AD1FB0">
            <w:rPr>
              <w:noProof/>
            </w:rPr>
            <w:t>1</w:t>
          </w:r>
        </w:fldSimple>
      </w:p>
    </w:sdtContent>
  </w:sdt>
  <w:p w:rsidR="00144FF0" w:rsidRDefault="00144FF0">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FF0" w:rsidRDefault="00144FF0">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FF0" w:rsidRDefault="00144FF0" w:rsidP="00034877">
      <w:pPr>
        <w:spacing w:line="240" w:lineRule="auto"/>
      </w:pPr>
      <w:r>
        <w:separator/>
      </w:r>
    </w:p>
  </w:footnote>
  <w:footnote w:type="continuationSeparator" w:id="0">
    <w:p w:rsidR="00144FF0" w:rsidRDefault="00144FF0" w:rsidP="00034877">
      <w:pPr>
        <w:spacing w:line="240" w:lineRule="auto"/>
      </w:pPr>
      <w:r>
        <w:continuationSeparator/>
      </w:r>
    </w:p>
  </w:footnote>
  <w:footnote w:id="1">
    <w:p w:rsidR="00144FF0" w:rsidRPr="003A16A3" w:rsidRDefault="00144FF0" w:rsidP="003A16A3">
      <w:pPr>
        <w:pStyle w:val="Voetnoottekst"/>
        <w:spacing w:line="240" w:lineRule="auto"/>
        <w:rPr>
          <w:sz w:val="16"/>
          <w:szCs w:val="16"/>
        </w:rPr>
      </w:pPr>
      <w:r w:rsidRPr="009B0D4B">
        <w:rPr>
          <w:rStyle w:val="Voetnootmarkering"/>
          <w:sz w:val="16"/>
          <w:szCs w:val="16"/>
        </w:rPr>
        <w:footnoteRef/>
      </w:r>
      <w:r w:rsidRPr="009B0D4B">
        <w:rPr>
          <w:sz w:val="16"/>
          <w:szCs w:val="16"/>
        </w:rPr>
        <w:t xml:space="preserve"> </w:t>
      </w:r>
      <w:r w:rsidRPr="003A16A3">
        <w:rPr>
          <w:sz w:val="16"/>
          <w:szCs w:val="16"/>
        </w:rPr>
        <w:t>Wet wijziging boetestelsel financiële wetgeving (</w:t>
      </w:r>
      <w:proofErr w:type="spellStart"/>
      <w:r w:rsidRPr="003A16A3">
        <w:rPr>
          <w:sz w:val="16"/>
          <w:szCs w:val="16"/>
        </w:rPr>
        <w:t>Stb</w:t>
      </w:r>
      <w:proofErr w:type="spellEnd"/>
      <w:r w:rsidRPr="003A16A3">
        <w:rPr>
          <w:sz w:val="16"/>
          <w:szCs w:val="16"/>
        </w:rPr>
        <w:t>. 2009, 327); Kamerstukken 31 458.</w:t>
      </w:r>
    </w:p>
  </w:footnote>
  <w:footnote w:id="2">
    <w:p w:rsidR="00144FF0" w:rsidRPr="003A16A3" w:rsidRDefault="00144FF0" w:rsidP="003A16A3">
      <w:pPr>
        <w:pStyle w:val="Voetnoottekst"/>
        <w:spacing w:line="240" w:lineRule="auto"/>
        <w:rPr>
          <w:sz w:val="16"/>
          <w:szCs w:val="16"/>
        </w:rPr>
      </w:pPr>
      <w:r w:rsidRPr="003A16A3">
        <w:rPr>
          <w:rStyle w:val="Voetnootmarkering"/>
          <w:sz w:val="16"/>
          <w:szCs w:val="16"/>
        </w:rPr>
        <w:footnoteRef/>
      </w:r>
      <w:r w:rsidRPr="003A16A3">
        <w:rPr>
          <w:sz w:val="16"/>
          <w:szCs w:val="16"/>
        </w:rPr>
        <w:t xml:space="preserve"> </w:t>
      </w:r>
      <w:proofErr w:type="spellStart"/>
      <w:r w:rsidRPr="003A16A3">
        <w:rPr>
          <w:sz w:val="16"/>
          <w:szCs w:val="16"/>
        </w:rPr>
        <w:t>Stb</w:t>
      </w:r>
      <w:proofErr w:type="spellEnd"/>
      <w:r w:rsidRPr="003A16A3">
        <w:rPr>
          <w:sz w:val="16"/>
          <w:szCs w:val="16"/>
        </w:rPr>
        <w:t xml:space="preserve"> 2006, 517.</w:t>
      </w:r>
    </w:p>
  </w:footnote>
  <w:footnote w:id="3">
    <w:p w:rsidR="00144FF0" w:rsidRPr="003A16A3" w:rsidRDefault="00144FF0" w:rsidP="003A16A3">
      <w:pPr>
        <w:pStyle w:val="Voetnoottekst"/>
        <w:spacing w:line="240" w:lineRule="auto"/>
        <w:rPr>
          <w:sz w:val="16"/>
          <w:szCs w:val="16"/>
        </w:rPr>
      </w:pPr>
      <w:r w:rsidRPr="003A16A3">
        <w:rPr>
          <w:rStyle w:val="Voetnootmarkering"/>
          <w:sz w:val="16"/>
          <w:szCs w:val="16"/>
        </w:rPr>
        <w:footnoteRef/>
      </w:r>
      <w:r w:rsidRPr="003A16A3">
        <w:rPr>
          <w:sz w:val="16"/>
          <w:szCs w:val="16"/>
        </w:rPr>
        <w:t xml:space="preserve"> </w:t>
      </w:r>
      <w:proofErr w:type="spellStart"/>
      <w:r w:rsidRPr="003A16A3">
        <w:rPr>
          <w:sz w:val="16"/>
          <w:szCs w:val="16"/>
        </w:rPr>
        <w:t>Stb</w:t>
      </w:r>
      <w:proofErr w:type="spellEnd"/>
      <w:r w:rsidRPr="003A16A3">
        <w:rPr>
          <w:sz w:val="16"/>
          <w:szCs w:val="16"/>
        </w:rPr>
        <w:t xml:space="preserve"> 2009, 329.</w:t>
      </w:r>
    </w:p>
  </w:footnote>
  <w:footnote w:id="4">
    <w:p w:rsidR="00144FF0" w:rsidRPr="003A16A3" w:rsidRDefault="00144FF0" w:rsidP="003A16A3">
      <w:pPr>
        <w:pStyle w:val="Voetnoottekst"/>
        <w:rPr>
          <w:sz w:val="16"/>
          <w:szCs w:val="16"/>
        </w:rPr>
      </w:pPr>
      <w:r w:rsidRPr="003A16A3">
        <w:rPr>
          <w:rStyle w:val="Voetnootmarkering"/>
          <w:sz w:val="16"/>
          <w:szCs w:val="16"/>
        </w:rPr>
        <w:footnoteRef/>
      </w:r>
      <w:r w:rsidRPr="003A16A3">
        <w:rPr>
          <w:sz w:val="16"/>
          <w:szCs w:val="16"/>
        </w:rPr>
        <w:t xml:space="preserve"> Als extra tussenstap past de AFM het bedrag vervolgens aan de omvang van de onderneming of de omvang van het vermogen van de natuurlijke persoon aan.</w:t>
      </w:r>
    </w:p>
  </w:footnote>
  <w:footnote w:id="5">
    <w:p w:rsidR="00144FF0" w:rsidRPr="003A16A3" w:rsidRDefault="00144FF0" w:rsidP="003A16A3">
      <w:pPr>
        <w:pStyle w:val="Voetnoottekst"/>
        <w:spacing w:line="240" w:lineRule="auto"/>
        <w:rPr>
          <w:sz w:val="16"/>
          <w:szCs w:val="16"/>
        </w:rPr>
      </w:pPr>
      <w:r w:rsidRPr="003A16A3">
        <w:rPr>
          <w:rStyle w:val="Voetnootmarkering"/>
          <w:sz w:val="16"/>
          <w:szCs w:val="16"/>
        </w:rPr>
        <w:footnoteRef/>
      </w:r>
      <w:r w:rsidRPr="003A16A3">
        <w:rPr>
          <w:sz w:val="16"/>
          <w:szCs w:val="16"/>
        </w:rPr>
        <w:t xml:space="preserve"> Zie artikel 1:81, derde tot en met zesde lid. </w:t>
      </w:r>
    </w:p>
  </w:footnote>
  <w:footnote w:id="6">
    <w:p w:rsidR="00144FF0" w:rsidRPr="003A16A3" w:rsidRDefault="00144FF0" w:rsidP="003A16A3">
      <w:pPr>
        <w:pStyle w:val="Voetnoottekst"/>
        <w:rPr>
          <w:sz w:val="16"/>
          <w:szCs w:val="16"/>
        </w:rPr>
      </w:pPr>
      <w:r w:rsidRPr="003A16A3">
        <w:rPr>
          <w:rStyle w:val="Voetnootmarkering"/>
          <w:sz w:val="16"/>
          <w:szCs w:val="16"/>
        </w:rPr>
        <w:footnoteRef/>
      </w:r>
      <w:r w:rsidRPr="003A16A3">
        <w:rPr>
          <w:sz w:val="16"/>
          <w:szCs w:val="16"/>
        </w:rPr>
        <w:t xml:space="preserve"> In de hierna gepresenteerde gegevens gaat het om de meest recente boetehoogtes en totaalcijfers: boetes die in bezwaar of beroep zijn gematigd, zijn in hoogte overeenkomstig aangepast en boetes die in bezwaar zijn vernietigd, zijn uit het totaal weggelaten.</w:t>
      </w:r>
    </w:p>
  </w:footnote>
  <w:footnote w:id="7">
    <w:p w:rsidR="00144FF0" w:rsidRPr="003A16A3" w:rsidRDefault="00144FF0" w:rsidP="003A16A3">
      <w:pPr>
        <w:pStyle w:val="Voetnoottekst"/>
        <w:spacing w:line="240" w:lineRule="auto"/>
        <w:rPr>
          <w:sz w:val="16"/>
          <w:szCs w:val="16"/>
        </w:rPr>
      </w:pPr>
      <w:r w:rsidRPr="003A16A3">
        <w:rPr>
          <w:rStyle w:val="Voetnootmarkering"/>
          <w:sz w:val="16"/>
          <w:szCs w:val="16"/>
        </w:rPr>
        <w:footnoteRef/>
      </w:r>
      <w:r w:rsidRPr="003A16A3">
        <w:rPr>
          <w:sz w:val="16"/>
          <w:szCs w:val="16"/>
        </w:rPr>
        <w:t xml:space="preserve"> Tot dezelfde conclusie komt ook A.G. Mein in zijn proefschrift op basis van cijfers tot en met 2012 (A. Mein, ‘</w:t>
      </w:r>
      <w:r w:rsidRPr="003A16A3">
        <w:rPr>
          <w:i/>
          <w:sz w:val="16"/>
          <w:szCs w:val="16"/>
        </w:rPr>
        <w:t xml:space="preserve">De boete uit balans: </w:t>
      </w:r>
      <w:r w:rsidRPr="003A16A3">
        <w:rPr>
          <w:bCs/>
          <w:i/>
          <w:sz w:val="16"/>
          <w:szCs w:val="16"/>
        </w:rPr>
        <w:t>Het gebruik van de bestuurlijke boete in de praktijk van het financieel toezicht’</w:t>
      </w:r>
      <w:r w:rsidRPr="003A16A3">
        <w:rPr>
          <w:bCs/>
          <w:sz w:val="16"/>
          <w:szCs w:val="16"/>
        </w:rPr>
        <w:t>, Boom juridische uitgevers: 2015, p. 212 (AFM) en p. 277 (DNB).</w:t>
      </w:r>
    </w:p>
  </w:footnote>
  <w:footnote w:id="8">
    <w:p w:rsidR="00144FF0" w:rsidRPr="003A16A3" w:rsidRDefault="00144FF0" w:rsidP="003A16A3">
      <w:pPr>
        <w:pStyle w:val="Voetnoottekst"/>
        <w:spacing w:line="240" w:lineRule="auto"/>
        <w:rPr>
          <w:sz w:val="16"/>
          <w:szCs w:val="16"/>
        </w:rPr>
      </w:pPr>
      <w:r w:rsidRPr="003A16A3">
        <w:rPr>
          <w:rStyle w:val="Voetnootmarkering"/>
          <w:sz w:val="16"/>
          <w:szCs w:val="16"/>
        </w:rPr>
        <w:footnoteRef/>
      </w:r>
      <w:r w:rsidRPr="003A16A3">
        <w:rPr>
          <w:sz w:val="16"/>
          <w:szCs w:val="16"/>
        </w:rPr>
        <w:t xml:space="preserve"> Het ging om medewerkers met de volgende functies: </w:t>
      </w:r>
    </w:p>
    <w:p w:rsidR="00144FF0" w:rsidRPr="003A16A3" w:rsidRDefault="00144FF0" w:rsidP="003A16A3">
      <w:pPr>
        <w:pStyle w:val="Voetnoottekst"/>
        <w:numPr>
          <w:ilvl w:val="0"/>
          <w:numId w:val="20"/>
        </w:numPr>
        <w:spacing w:line="240" w:lineRule="auto"/>
        <w:ind w:left="284" w:hanging="284"/>
        <w:rPr>
          <w:sz w:val="16"/>
          <w:szCs w:val="16"/>
        </w:rPr>
      </w:pPr>
      <w:r w:rsidRPr="003A16A3">
        <w:rPr>
          <w:sz w:val="16"/>
          <w:szCs w:val="16"/>
        </w:rPr>
        <w:t xml:space="preserve">DNB: </w:t>
      </w:r>
      <w:r>
        <w:rPr>
          <w:sz w:val="16"/>
          <w:szCs w:val="16"/>
        </w:rPr>
        <w:t xml:space="preserve">een </w:t>
      </w:r>
      <w:r w:rsidRPr="003A16A3">
        <w:rPr>
          <w:sz w:val="16"/>
          <w:szCs w:val="16"/>
        </w:rPr>
        <w:t>toezichthouder</w:t>
      </w:r>
      <w:r>
        <w:rPr>
          <w:sz w:val="16"/>
          <w:szCs w:val="16"/>
        </w:rPr>
        <w:t xml:space="preserve"> van de</w:t>
      </w:r>
      <w:r w:rsidRPr="003A16A3">
        <w:rPr>
          <w:sz w:val="16"/>
          <w:szCs w:val="16"/>
        </w:rPr>
        <w:t xml:space="preserve"> afdeling Thematisch toezicht en Integriteit, betrokken bij het opstellen van rapporten naar aanleiding van overtredingen, </w:t>
      </w:r>
      <w:r>
        <w:rPr>
          <w:sz w:val="16"/>
          <w:szCs w:val="16"/>
        </w:rPr>
        <w:t xml:space="preserve">een </w:t>
      </w:r>
      <w:r w:rsidRPr="003A16A3">
        <w:rPr>
          <w:sz w:val="16"/>
          <w:szCs w:val="16"/>
        </w:rPr>
        <w:t>medewerker van de afdeling I</w:t>
      </w:r>
      <w:r>
        <w:rPr>
          <w:sz w:val="16"/>
          <w:szCs w:val="16"/>
        </w:rPr>
        <w:t xml:space="preserve">nterventie en handhaving, en een </w:t>
      </w:r>
      <w:r w:rsidRPr="003A16A3">
        <w:rPr>
          <w:sz w:val="16"/>
          <w:szCs w:val="16"/>
        </w:rPr>
        <w:t xml:space="preserve">medewerker van het boeteteam. </w:t>
      </w:r>
    </w:p>
    <w:p w:rsidR="00144FF0" w:rsidRPr="003A16A3" w:rsidRDefault="00144FF0" w:rsidP="003A16A3">
      <w:pPr>
        <w:pStyle w:val="Voetnoottekst"/>
        <w:numPr>
          <w:ilvl w:val="0"/>
          <w:numId w:val="20"/>
        </w:numPr>
        <w:spacing w:line="240" w:lineRule="auto"/>
        <w:ind w:left="284" w:hanging="284"/>
        <w:rPr>
          <w:sz w:val="16"/>
          <w:szCs w:val="16"/>
        </w:rPr>
      </w:pPr>
      <w:r w:rsidRPr="003A16A3">
        <w:rPr>
          <w:sz w:val="16"/>
          <w:szCs w:val="16"/>
        </w:rPr>
        <w:t>AFM: ee</w:t>
      </w:r>
      <w:r>
        <w:rPr>
          <w:sz w:val="16"/>
          <w:szCs w:val="16"/>
        </w:rPr>
        <w:t xml:space="preserve">n medewerker van het boeteteam en </w:t>
      </w:r>
      <w:r w:rsidRPr="003A16A3">
        <w:rPr>
          <w:sz w:val="16"/>
          <w:szCs w:val="16"/>
        </w:rPr>
        <w:t>een medewerker van de afdeling Strategie, beleid en Internationale zaken die zich bezighoudt met het handhavingsbeleid.</w:t>
      </w:r>
    </w:p>
  </w:footnote>
  <w:footnote w:id="9">
    <w:p w:rsidR="00144FF0" w:rsidRPr="003A16A3" w:rsidRDefault="00144FF0" w:rsidP="003A16A3">
      <w:pPr>
        <w:pStyle w:val="Voetnoottekst"/>
        <w:rPr>
          <w:sz w:val="16"/>
          <w:szCs w:val="16"/>
        </w:rPr>
      </w:pPr>
      <w:r w:rsidRPr="003A16A3">
        <w:rPr>
          <w:rStyle w:val="Voetnootmarkering"/>
          <w:sz w:val="16"/>
          <w:szCs w:val="16"/>
        </w:rPr>
        <w:footnoteRef/>
      </w:r>
      <w:r w:rsidRPr="003A16A3">
        <w:rPr>
          <w:sz w:val="16"/>
          <w:szCs w:val="16"/>
        </w:rPr>
        <w:t xml:space="preserve"> Deze bevoegdheid vloeit voort uit Europese regelgeving.</w:t>
      </w:r>
    </w:p>
  </w:footnote>
  <w:footnote w:id="10">
    <w:p w:rsidR="00144FF0" w:rsidRPr="003A16A3" w:rsidRDefault="00144FF0" w:rsidP="003A16A3">
      <w:pPr>
        <w:pStyle w:val="Voetnoottekst"/>
        <w:spacing w:line="240" w:lineRule="auto"/>
        <w:rPr>
          <w:sz w:val="16"/>
          <w:szCs w:val="16"/>
        </w:rPr>
      </w:pPr>
      <w:r w:rsidRPr="003A16A3">
        <w:rPr>
          <w:rStyle w:val="Voetnootmarkering"/>
          <w:sz w:val="16"/>
          <w:szCs w:val="16"/>
        </w:rPr>
        <w:footnoteRef/>
      </w:r>
      <w:r w:rsidRPr="003A16A3">
        <w:rPr>
          <w:sz w:val="16"/>
          <w:szCs w:val="16"/>
        </w:rPr>
        <w:t>A. Mein, ‘</w:t>
      </w:r>
      <w:r w:rsidRPr="003A16A3">
        <w:rPr>
          <w:i/>
          <w:sz w:val="16"/>
          <w:szCs w:val="16"/>
        </w:rPr>
        <w:t>De boete uit balans: het gebruik van de bestuurlijke boete in het financiële toezicht’</w:t>
      </w:r>
      <w:r w:rsidRPr="003A16A3">
        <w:rPr>
          <w:sz w:val="16"/>
          <w:szCs w:val="16"/>
        </w:rPr>
        <w:t xml:space="preserve">, Boom juridische uitgevers:2015, p. 149, 232, 359-365.  </w:t>
      </w:r>
    </w:p>
  </w:footnote>
  <w:footnote w:id="11">
    <w:p w:rsidR="00144FF0" w:rsidRPr="003A16A3" w:rsidRDefault="00144FF0" w:rsidP="003A16A3">
      <w:pPr>
        <w:pStyle w:val="Voetnoottekst"/>
        <w:spacing w:line="240" w:lineRule="auto"/>
        <w:rPr>
          <w:sz w:val="16"/>
          <w:szCs w:val="16"/>
        </w:rPr>
      </w:pPr>
      <w:r w:rsidRPr="003A16A3">
        <w:rPr>
          <w:rStyle w:val="Voetnootmarkering"/>
          <w:sz w:val="16"/>
          <w:szCs w:val="16"/>
        </w:rPr>
        <w:footnoteRef/>
      </w:r>
      <w:r w:rsidRPr="003A16A3">
        <w:rPr>
          <w:sz w:val="16"/>
          <w:szCs w:val="16"/>
        </w:rPr>
        <w:t xml:space="preserve"> Zie over de inzet van boetes (en andere formele maatregelen) ook het AFM jaarverslag 2014, p. 37-38.</w:t>
      </w:r>
    </w:p>
  </w:footnote>
  <w:footnote w:id="12">
    <w:p w:rsidR="00144FF0" w:rsidRPr="003A16A3" w:rsidRDefault="00144FF0" w:rsidP="00042EF4">
      <w:pPr>
        <w:pStyle w:val="Voetnoottekst"/>
        <w:spacing w:line="240" w:lineRule="auto"/>
        <w:rPr>
          <w:sz w:val="16"/>
          <w:szCs w:val="16"/>
        </w:rPr>
      </w:pPr>
      <w:r w:rsidRPr="003A16A3">
        <w:rPr>
          <w:rStyle w:val="Voetnootmarkering"/>
          <w:sz w:val="16"/>
          <w:szCs w:val="16"/>
        </w:rPr>
        <w:footnoteRef/>
      </w:r>
      <w:r w:rsidRPr="003A16A3">
        <w:rPr>
          <w:sz w:val="16"/>
          <w:szCs w:val="16"/>
        </w:rPr>
        <w:t xml:space="preserve"> </w:t>
      </w:r>
      <w:proofErr w:type="spellStart"/>
      <w:r w:rsidRPr="003A16A3">
        <w:rPr>
          <w:sz w:val="16"/>
          <w:szCs w:val="16"/>
        </w:rPr>
        <w:t>CBb</w:t>
      </w:r>
      <w:proofErr w:type="spellEnd"/>
      <w:r w:rsidRPr="003A16A3">
        <w:rPr>
          <w:sz w:val="16"/>
          <w:szCs w:val="16"/>
        </w:rPr>
        <w:t xml:space="preserve"> 2 september 2015, ECLI:NL:CBB:2015:312, Rechtbank Rotterdam, 21 janua</w:t>
      </w:r>
      <w:r>
        <w:rPr>
          <w:sz w:val="16"/>
          <w:szCs w:val="16"/>
        </w:rPr>
        <w:t>ri 2015, ECLI:NL:RBROT:2015:298.</w:t>
      </w:r>
    </w:p>
  </w:footnote>
  <w:footnote w:id="13">
    <w:p w:rsidR="00144FF0" w:rsidRPr="003A16A3" w:rsidRDefault="00144FF0" w:rsidP="003A16A3">
      <w:pPr>
        <w:pStyle w:val="Voetnoottekst"/>
        <w:rPr>
          <w:sz w:val="16"/>
          <w:szCs w:val="16"/>
        </w:rPr>
      </w:pPr>
      <w:r w:rsidRPr="003A16A3">
        <w:rPr>
          <w:rStyle w:val="Voetnootmarkering"/>
          <w:sz w:val="16"/>
          <w:szCs w:val="16"/>
        </w:rPr>
        <w:footnoteRef/>
      </w:r>
      <w:r w:rsidRPr="003A16A3">
        <w:rPr>
          <w:sz w:val="16"/>
          <w:szCs w:val="16"/>
        </w:rPr>
        <w:t xml:space="preserve"> Veelal veroorzaakt door een gewijzigde situatie in combinatie met de regel om op dit punt een ex </w:t>
      </w:r>
      <w:proofErr w:type="spellStart"/>
      <w:r w:rsidRPr="003A16A3">
        <w:rPr>
          <w:sz w:val="16"/>
          <w:szCs w:val="16"/>
        </w:rPr>
        <w:t>nunc</w:t>
      </w:r>
      <w:proofErr w:type="spellEnd"/>
      <w:r w:rsidRPr="003A16A3">
        <w:rPr>
          <w:sz w:val="16"/>
          <w:szCs w:val="16"/>
        </w:rPr>
        <w:t xml:space="preserve"> toetsing te hanteren.</w:t>
      </w:r>
    </w:p>
  </w:footnote>
  <w:footnote w:id="14">
    <w:p w:rsidR="00144FF0" w:rsidRPr="003A16A3" w:rsidRDefault="00144FF0" w:rsidP="003A16A3">
      <w:pPr>
        <w:pStyle w:val="Voetnoottekst"/>
        <w:spacing w:line="240" w:lineRule="auto"/>
        <w:rPr>
          <w:sz w:val="16"/>
          <w:szCs w:val="16"/>
        </w:rPr>
      </w:pPr>
      <w:r w:rsidRPr="003A16A3">
        <w:rPr>
          <w:rStyle w:val="Voetnootmarkering"/>
          <w:sz w:val="16"/>
          <w:szCs w:val="16"/>
        </w:rPr>
        <w:footnoteRef/>
      </w:r>
      <w:r w:rsidRPr="003A16A3">
        <w:rPr>
          <w:sz w:val="16"/>
          <w:szCs w:val="16"/>
        </w:rPr>
        <w:t xml:space="preserve"> Rechtbank Rotterdam 23 december 2015, ECLI:NL:RBROT:2015:9454, Rechtbank Rotterdam, 18 juni 2015, ECLI:NL:RBROT:2015:4231, CBb 20 februari 2015, ECLI:NL:CBB:2015:49.</w:t>
      </w:r>
    </w:p>
  </w:footnote>
  <w:footnote w:id="15">
    <w:p w:rsidR="00144FF0" w:rsidRPr="003A16A3" w:rsidRDefault="00144FF0" w:rsidP="003A16A3">
      <w:pPr>
        <w:pStyle w:val="Voetnoottekst"/>
        <w:spacing w:line="240" w:lineRule="auto"/>
        <w:rPr>
          <w:sz w:val="16"/>
          <w:szCs w:val="16"/>
        </w:rPr>
      </w:pPr>
      <w:r w:rsidRPr="003A16A3">
        <w:rPr>
          <w:rStyle w:val="Voetnootmarkering"/>
          <w:sz w:val="16"/>
          <w:szCs w:val="16"/>
        </w:rPr>
        <w:footnoteRef/>
      </w:r>
      <w:r w:rsidRPr="003A16A3">
        <w:rPr>
          <w:sz w:val="16"/>
          <w:szCs w:val="16"/>
        </w:rPr>
        <w:t xml:space="preserve"> Rechtbank Rotterdam, 18 juni 2015, ECLI:NL:RBROT:2015:4231.</w:t>
      </w:r>
    </w:p>
  </w:footnote>
  <w:footnote w:id="16">
    <w:p w:rsidR="00144FF0" w:rsidRPr="003A16A3" w:rsidRDefault="00144FF0" w:rsidP="003A16A3">
      <w:pPr>
        <w:pStyle w:val="Voetnoottekst"/>
        <w:spacing w:line="240" w:lineRule="auto"/>
        <w:rPr>
          <w:sz w:val="16"/>
          <w:szCs w:val="16"/>
        </w:rPr>
      </w:pPr>
      <w:r w:rsidRPr="003A16A3">
        <w:rPr>
          <w:rStyle w:val="Voetnootmarkering"/>
          <w:sz w:val="16"/>
          <w:szCs w:val="16"/>
        </w:rPr>
        <w:footnoteRef/>
      </w:r>
      <w:r w:rsidRPr="003A16A3">
        <w:rPr>
          <w:sz w:val="16"/>
          <w:szCs w:val="16"/>
        </w:rPr>
        <w:t xml:space="preserve"> Rechtbank Rotterdam, 31 juli 2015, ECLI:NL:RBROT:2015:5635, Rechtbank Rotterdam 23 december 2015, ECLI:NL:RBROT:2015:9454.</w:t>
      </w:r>
    </w:p>
  </w:footnote>
  <w:footnote w:id="17">
    <w:p w:rsidR="00144FF0" w:rsidRPr="003A16A3" w:rsidRDefault="00144FF0" w:rsidP="003A16A3">
      <w:pPr>
        <w:pStyle w:val="Voetnoottekst"/>
        <w:spacing w:line="240" w:lineRule="auto"/>
        <w:rPr>
          <w:sz w:val="16"/>
          <w:szCs w:val="16"/>
        </w:rPr>
      </w:pPr>
      <w:r w:rsidRPr="003A16A3">
        <w:rPr>
          <w:rStyle w:val="Voetnootmarkering"/>
          <w:sz w:val="16"/>
          <w:szCs w:val="16"/>
        </w:rPr>
        <w:footnoteRef/>
      </w:r>
      <w:r w:rsidRPr="003A16A3">
        <w:rPr>
          <w:sz w:val="16"/>
          <w:szCs w:val="16"/>
        </w:rPr>
        <w:t xml:space="preserve"> Rechtbank Rotterdam, 31 juli 2015, ECLI:NL:RBROT:2015:5635.</w:t>
      </w:r>
    </w:p>
  </w:footnote>
  <w:footnote w:id="18">
    <w:p w:rsidR="00144FF0" w:rsidRPr="003A16A3" w:rsidRDefault="00144FF0" w:rsidP="003A16A3">
      <w:pPr>
        <w:pStyle w:val="Voetnoottekst"/>
        <w:spacing w:line="240" w:lineRule="auto"/>
        <w:rPr>
          <w:sz w:val="16"/>
          <w:szCs w:val="16"/>
        </w:rPr>
      </w:pPr>
      <w:r w:rsidRPr="003A16A3">
        <w:rPr>
          <w:rStyle w:val="Voetnootmarkering"/>
          <w:sz w:val="16"/>
          <w:szCs w:val="16"/>
        </w:rPr>
        <w:footnoteRef/>
      </w:r>
      <w:r w:rsidRPr="003A16A3">
        <w:rPr>
          <w:sz w:val="16"/>
          <w:szCs w:val="16"/>
        </w:rPr>
        <w:t xml:space="preserve"> Rechtbank Rotterdam 23 december 2015, ECLI:NL:RBROT:2015:9454.</w:t>
      </w:r>
    </w:p>
  </w:footnote>
  <w:footnote w:id="19">
    <w:p w:rsidR="00144FF0" w:rsidRPr="003A16A3" w:rsidRDefault="00144FF0" w:rsidP="003A16A3">
      <w:pPr>
        <w:pStyle w:val="Voetnoottekst"/>
        <w:spacing w:line="240" w:lineRule="auto"/>
        <w:rPr>
          <w:sz w:val="16"/>
          <w:szCs w:val="16"/>
          <w:lang w:eastAsia="zh-CN" w:bidi="hi-IN"/>
        </w:rPr>
      </w:pPr>
      <w:r w:rsidRPr="003A16A3">
        <w:rPr>
          <w:rStyle w:val="Voetnootmarkering"/>
          <w:sz w:val="16"/>
          <w:szCs w:val="16"/>
        </w:rPr>
        <w:footnoteRef/>
      </w:r>
      <w:r w:rsidRPr="003A16A3">
        <w:rPr>
          <w:sz w:val="16"/>
          <w:szCs w:val="16"/>
        </w:rPr>
        <w:t xml:space="preserve"> Zie A.G. Mein, ‘</w:t>
      </w:r>
      <w:r w:rsidRPr="003A16A3">
        <w:rPr>
          <w:i/>
          <w:sz w:val="16"/>
          <w:szCs w:val="16"/>
        </w:rPr>
        <w:t xml:space="preserve">De boete uit balans: </w:t>
      </w:r>
      <w:r w:rsidRPr="003A16A3">
        <w:rPr>
          <w:bCs/>
          <w:i/>
          <w:sz w:val="16"/>
          <w:szCs w:val="16"/>
        </w:rPr>
        <w:t>Het gebruik van de bestuurlijke boete in de praktijk van het financieel toezicht’</w:t>
      </w:r>
      <w:r w:rsidRPr="003A16A3">
        <w:rPr>
          <w:bCs/>
          <w:sz w:val="16"/>
          <w:szCs w:val="16"/>
        </w:rPr>
        <w:t xml:space="preserve">, Boom juridische uitgevers: 2015 (p. 212, 277), A.G. Mein, ‘Van licht naar zwaar, de evolutie van de bestuurlijke boete in het financieel toezicht’, </w:t>
      </w:r>
      <w:r w:rsidRPr="003A16A3">
        <w:rPr>
          <w:bCs/>
          <w:i/>
          <w:sz w:val="16"/>
          <w:szCs w:val="16"/>
        </w:rPr>
        <w:t xml:space="preserve">Tijdschrift voor Sanctierecht &amp; Onderneming, </w:t>
      </w:r>
      <w:r w:rsidRPr="003A16A3">
        <w:rPr>
          <w:bCs/>
          <w:sz w:val="16"/>
          <w:szCs w:val="16"/>
        </w:rPr>
        <w:t xml:space="preserve">Nr. 5/6 december 2015, p. 257-262 en C.A. Doets, ‘Boeteoplegging door de AFM en DNB: over redelijkheid en functiescheiding’, </w:t>
      </w:r>
      <w:r w:rsidRPr="003A16A3">
        <w:rPr>
          <w:bCs/>
          <w:i/>
          <w:sz w:val="16"/>
          <w:szCs w:val="16"/>
        </w:rPr>
        <w:t xml:space="preserve">Tijdschrift voor sanctierecht&amp;Onderneming, </w:t>
      </w:r>
      <w:r w:rsidRPr="003A16A3">
        <w:rPr>
          <w:bCs/>
          <w:sz w:val="16"/>
          <w:szCs w:val="16"/>
        </w:rPr>
        <w:t xml:space="preserve">Nr. 5/6 december 2015, p. 249-256. Met name door Mein </w:t>
      </w:r>
      <w:r w:rsidRPr="003A16A3">
        <w:rPr>
          <w:sz w:val="16"/>
          <w:szCs w:val="16"/>
          <w:lang w:eastAsia="zh-CN" w:bidi="hi-IN"/>
        </w:rPr>
        <w:t>wordt gewezen op het belang van motivering en rechtsbescherming bij hoge boetes en wordt aanbevolen deze aspecten te verbeteren. De voornaamste aanbevelingen zien op het motiveren en de rechterlijke beoordeling van de beslissing tot het opleggen van de boete; dit valt buiten de reikwijdte van de onderhavige inventarisatie.</w:t>
      </w:r>
    </w:p>
  </w:footnote>
  <w:footnote w:id="20">
    <w:p w:rsidR="00144FF0" w:rsidRPr="003A16A3" w:rsidRDefault="00144FF0" w:rsidP="003A16A3">
      <w:pPr>
        <w:pStyle w:val="Voetnoottekst"/>
        <w:spacing w:line="240" w:lineRule="auto"/>
        <w:rPr>
          <w:sz w:val="16"/>
          <w:szCs w:val="16"/>
        </w:rPr>
      </w:pPr>
      <w:r w:rsidRPr="003A16A3">
        <w:rPr>
          <w:rStyle w:val="Voetnootmarkering"/>
          <w:sz w:val="16"/>
          <w:szCs w:val="16"/>
        </w:rPr>
        <w:footnoteRef/>
      </w:r>
      <w:r w:rsidRPr="003A16A3">
        <w:rPr>
          <w:sz w:val="16"/>
          <w:szCs w:val="16"/>
        </w:rPr>
        <w:t xml:space="preserve"> Boete AFM - ABN AMRO Bank, 28 juli 2015 </w:t>
      </w:r>
      <w:hyperlink r:id="rId1" w:history="1">
        <w:r w:rsidRPr="003A16A3">
          <w:rPr>
            <w:rStyle w:val="Hyperlink"/>
            <w:sz w:val="16"/>
            <w:szCs w:val="16"/>
          </w:rPr>
          <w:t>www.afm.nl/nl-nl/professionals/nieuws/2014/nov/boete-abn-amro</w:t>
        </w:r>
      </w:hyperlink>
      <w:r w:rsidRPr="003A16A3">
        <w:rPr>
          <w:sz w:val="16"/>
          <w:szCs w:val="16"/>
        </w:rPr>
        <w:t>.</w:t>
      </w:r>
    </w:p>
  </w:footnote>
  <w:footnote w:id="21">
    <w:p w:rsidR="00144FF0" w:rsidRPr="003A16A3" w:rsidRDefault="00144FF0" w:rsidP="003A16A3">
      <w:pPr>
        <w:pStyle w:val="Geenafstand"/>
        <w:rPr>
          <w:sz w:val="16"/>
          <w:szCs w:val="16"/>
        </w:rPr>
      </w:pPr>
      <w:r w:rsidRPr="003A16A3">
        <w:rPr>
          <w:rStyle w:val="Voetnootmarkering"/>
          <w:sz w:val="16"/>
          <w:szCs w:val="16"/>
        </w:rPr>
        <w:footnoteRef/>
      </w:r>
      <w:r w:rsidRPr="003A16A3">
        <w:rPr>
          <w:sz w:val="16"/>
          <w:szCs w:val="16"/>
        </w:rPr>
        <w:t xml:space="preserve"> Boete AFM  - dhr. E.J. Meter, 30 december 2014. Boete uiteindelijk gematigd vanwege de draagkracht. Overtreder is na een ongegrond verklaard bezwaar op 25 augustus 2015 in beroep gegaan. </w:t>
      </w:r>
      <w:hyperlink r:id="rId2" w:history="1">
        <w:r w:rsidRPr="003A16A3">
          <w:rPr>
            <w:rStyle w:val="Hyperlink"/>
            <w:sz w:val="16"/>
            <w:szCs w:val="16"/>
          </w:rPr>
          <w:t>www.afm.nl/nl-nl/professionals/nieuws/2015/jan/boete-leidinggevende-inpetto</w:t>
        </w:r>
      </w:hyperlink>
      <w:r w:rsidRPr="003A16A3">
        <w:rPr>
          <w:sz w:val="16"/>
          <w:szCs w:val="16"/>
        </w:rPr>
        <w:t>.</w:t>
      </w:r>
    </w:p>
  </w:footnote>
  <w:footnote w:id="22">
    <w:p w:rsidR="00144FF0" w:rsidRPr="003A16A3" w:rsidRDefault="00144FF0" w:rsidP="003A16A3">
      <w:pPr>
        <w:pStyle w:val="Voetnoottekst"/>
        <w:spacing w:line="240" w:lineRule="auto"/>
        <w:rPr>
          <w:sz w:val="16"/>
          <w:szCs w:val="16"/>
        </w:rPr>
      </w:pPr>
      <w:r w:rsidRPr="003A16A3">
        <w:rPr>
          <w:rStyle w:val="Voetnootmarkering"/>
          <w:sz w:val="16"/>
          <w:szCs w:val="16"/>
        </w:rPr>
        <w:footnoteRef/>
      </w:r>
      <w:r w:rsidRPr="003A16A3">
        <w:rPr>
          <w:sz w:val="16"/>
          <w:szCs w:val="16"/>
          <w:lang w:val="en-US"/>
        </w:rPr>
        <w:t xml:space="preserve"> DNB - Royal Bank of Scotland N.V., 20 oktober 2014. </w:t>
      </w:r>
      <w:r w:rsidRPr="003A16A3">
        <w:rPr>
          <w:sz w:val="16"/>
          <w:szCs w:val="16"/>
        </w:rPr>
        <w:t xml:space="preserve">Boete gematigd vanwege proportionaliteit en directe melding aan DNB bij ontdekking </w:t>
      </w:r>
      <w:hyperlink r:id="rId3" w:history="1">
        <w:r w:rsidRPr="003A16A3">
          <w:rPr>
            <w:rStyle w:val="Hyperlink"/>
            <w:sz w:val="16"/>
            <w:szCs w:val="16"/>
          </w:rPr>
          <w:t>www.dnb.nl/nieuws/nieuwsoverzicht-en-archief/nieuws-2015/dnb320454.jsp</w:t>
        </w:r>
      </w:hyperlink>
      <w:r w:rsidRPr="003A16A3">
        <w:rPr>
          <w:sz w:val="16"/>
          <w:szCs w:val="16"/>
        </w:rPr>
        <w:t>.</w:t>
      </w:r>
    </w:p>
  </w:footnote>
  <w:footnote w:id="23">
    <w:p w:rsidR="00144FF0" w:rsidRPr="003A16A3" w:rsidRDefault="00144FF0" w:rsidP="003A16A3">
      <w:pPr>
        <w:pStyle w:val="Voetnoottekst"/>
        <w:spacing w:line="240" w:lineRule="auto"/>
        <w:rPr>
          <w:sz w:val="16"/>
          <w:szCs w:val="16"/>
        </w:rPr>
      </w:pPr>
      <w:r w:rsidRPr="003A16A3">
        <w:rPr>
          <w:rStyle w:val="Voetnootmarkering"/>
          <w:sz w:val="16"/>
          <w:szCs w:val="16"/>
        </w:rPr>
        <w:footnoteRef/>
      </w:r>
      <w:r w:rsidRPr="003A16A3">
        <w:rPr>
          <w:sz w:val="16"/>
          <w:szCs w:val="16"/>
        </w:rPr>
        <w:t xml:space="preserve"> Supra noot 21.</w:t>
      </w:r>
    </w:p>
  </w:footnote>
  <w:footnote w:id="24">
    <w:p w:rsidR="00144FF0" w:rsidRPr="003A16A3" w:rsidRDefault="00144FF0" w:rsidP="003A16A3">
      <w:pPr>
        <w:pStyle w:val="Voetnoottekst"/>
        <w:spacing w:line="240" w:lineRule="auto"/>
        <w:rPr>
          <w:sz w:val="16"/>
          <w:szCs w:val="16"/>
        </w:rPr>
      </w:pPr>
      <w:r w:rsidRPr="003A16A3">
        <w:rPr>
          <w:rStyle w:val="Voetnootmarkering"/>
          <w:sz w:val="16"/>
          <w:szCs w:val="16"/>
        </w:rPr>
        <w:footnoteRef/>
      </w:r>
      <w:r w:rsidRPr="003A16A3">
        <w:rPr>
          <w:sz w:val="16"/>
          <w:szCs w:val="16"/>
        </w:rPr>
        <w:t xml:space="preserve"> Boete AFM – mevrouw C.L. de Carvalho – Heineken, 3 oktober 2014. </w:t>
      </w:r>
      <w:hyperlink r:id="rId4" w:history="1">
        <w:r w:rsidRPr="003A16A3">
          <w:rPr>
            <w:rStyle w:val="Hyperlink"/>
            <w:sz w:val="16"/>
            <w:szCs w:val="16"/>
          </w:rPr>
          <w:t>https://www.afm.nl/nl-nl/professionals/nieuws/2014/okt/boete-de-carvalho-heineken</w:t>
        </w:r>
      </w:hyperlink>
      <w:r w:rsidRPr="003A16A3">
        <w:rPr>
          <w:sz w:val="16"/>
          <w:szCs w:val="16"/>
        </w:rPr>
        <w:t>.</w:t>
      </w:r>
    </w:p>
  </w:footnote>
  <w:footnote w:id="25">
    <w:p w:rsidR="00144FF0" w:rsidRPr="003A16A3" w:rsidRDefault="00144FF0" w:rsidP="003A16A3">
      <w:pPr>
        <w:pStyle w:val="Voetnoottekst"/>
        <w:spacing w:line="240" w:lineRule="auto"/>
        <w:rPr>
          <w:sz w:val="16"/>
          <w:szCs w:val="16"/>
        </w:rPr>
      </w:pPr>
      <w:r w:rsidRPr="003A16A3">
        <w:rPr>
          <w:rStyle w:val="Voetnootmarkering"/>
          <w:sz w:val="16"/>
          <w:szCs w:val="16"/>
        </w:rPr>
        <w:footnoteRef/>
      </w:r>
      <w:r w:rsidRPr="003A16A3">
        <w:rPr>
          <w:sz w:val="16"/>
          <w:szCs w:val="16"/>
        </w:rPr>
        <w:t xml:space="preserve"> Bijvoorbeeld Rechtbank Rotterdam 23 december 2015, ECLI:NL:RBROT:2015:9454.</w:t>
      </w:r>
    </w:p>
  </w:footnote>
  <w:footnote w:id="26">
    <w:p w:rsidR="00144FF0" w:rsidRPr="003A16A3" w:rsidRDefault="00144FF0" w:rsidP="003A16A3">
      <w:pPr>
        <w:pStyle w:val="Voetnoottekst"/>
        <w:spacing w:line="240" w:lineRule="auto"/>
        <w:rPr>
          <w:sz w:val="16"/>
          <w:szCs w:val="16"/>
        </w:rPr>
      </w:pPr>
      <w:r w:rsidRPr="003A16A3">
        <w:rPr>
          <w:rStyle w:val="Voetnootmarkering"/>
          <w:sz w:val="16"/>
          <w:szCs w:val="16"/>
        </w:rPr>
        <w:footnoteRef/>
      </w:r>
      <w:r w:rsidRPr="003A16A3">
        <w:rPr>
          <w:sz w:val="16"/>
          <w:szCs w:val="16"/>
        </w:rPr>
        <w:t xml:space="preserve"> Bijvoorbeeld Rechtbank Rotterdam, 18 juni 2015, ECLI:NL:RBROT:2015:4231, College van beroep voor het bedrijfsleven, 20 februari 2015, ECLI:NL:CBB:2015:49.</w:t>
      </w:r>
    </w:p>
  </w:footnote>
  <w:footnote w:id="27">
    <w:p w:rsidR="00144FF0" w:rsidRPr="003A16A3" w:rsidRDefault="00144FF0" w:rsidP="003A16A3">
      <w:pPr>
        <w:pStyle w:val="Voetnoottekst"/>
        <w:spacing w:line="240" w:lineRule="auto"/>
        <w:rPr>
          <w:sz w:val="16"/>
          <w:szCs w:val="16"/>
        </w:rPr>
      </w:pPr>
      <w:r w:rsidRPr="003A16A3">
        <w:rPr>
          <w:rStyle w:val="Voetnootmarkering"/>
          <w:sz w:val="16"/>
          <w:szCs w:val="16"/>
        </w:rPr>
        <w:footnoteRef/>
      </w:r>
      <w:r w:rsidRPr="003A16A3">
        <w:rPr>
          <w:sz w:val="16"/>
          <w:szCs w:val="16"/>
        </w:rPr>
        <w:t xml:space="preserve"> Bijvoorbeeld College van beroep voor het bedrijfsleven, 2 september 2015, ECLI:NL:CBB:2015:312, Rechtbank Rotterdam, 21 januari 2015, ECLI:NL:RBROT:2015:298.</w:t>
      </w:r>
    </w:p>
  </w:footnote>
  <w:footnote w:id="28">
    <w:p w:rsidR="00144FF0" w:rsidRPr="003A16A3" w:rsidRDefault="00144FF0" w:rsidP="003A16A3">
      <w:pPr>
        <w:pStyle w:val="Voetnoottekst"/>
        <w:spacing w:line="240" w:lineRule="auto"/>
        <w:rPr>
          <w:sz w:val="16"/>
          <w:szCs w:val="16"/>
        </w:rPr>
      </w:pPr>
      <w:r w:rsidRPr="003A16A3">
        <w:rPr>
          <w:rStyle w:val="Voetnootmarkering"/>
          <w:sz w:val="16"/>
          <w:szCs w:val="16"/>
        </w:rPr>
        <w:footnoteRef/>
      </w:r>
      <w:r w:rsidRPr="003A16A3">
        <w:rPr>
          <w:sz w:val="16"/>
          <w:szCs w:val="16"/>
        </w:rPr>
        <w:t xml:space="preserve"> Bijvoorbeeld </w:t>
      </w:r>
      <w:r w:rsidRPr="003A16A3">
        <w:rPr>
          <w:sz w:val="16"/>
          <w:szCs w:val="16"/>
          <w:lang w:eastAsia="zh-CN" w:bidi="hi-IN"/>
        </w:rPr>
        <w:t>Rechtbank Rotterdam 23 december 2015, ECLI:NL:RBROT:2015:9454, Rechtbank Rotterdam, 18 juni 2015, ECLI:NL:RBROT:2015:4231.</w:t>
      </w:r>
    </w:p>
  </w:footnote>
  <w:footnote w:id="29">
    <w:p w:rsidR="00144FF0" w:rsidRPr="003A16A3" w:rsidRDefault="00144FF0" w:rsidP="003A16A3">
      <w:pPr>
        <w:pStyle w:val="Voetnoottekst"/>
        <w:rPr>
          <w:sz w:val="16"/>
          <w:szCs w:val="16"/>
        </w:rPr>
      </w:pPr>
      <w:r w:rsidRPr="003A16A3">
        <w:rPr>
          <w:rStyle w:val="Voetnootmarkering"/>
          <w:sz w:val="16"/>
          <w:szCs w:val="16"/>
        </w:rPr>
        <w:footnoteRef/>
      </w:r>
      <w:r w:rsidRPr="003A16A3">
        <w:rPr>
          <w:sz w:val="16"/>
          <w:szCs w:val="16"/>
        </w:rPr>
        <w:t xml:space="preserve"> AFM – Friendly Finance B.V. 12 juli 2013, na een ongegrond verklaard beroep heeft Friendly Finance op 22 mei 2015 hoger beroep ingesteld </w:t>
      </w:r>
      <w:hyperlink r:id="rId5" w:history="1">
        <w:r w:rsidRPr="003A16A3">
          <w:rPr>
            <w:rStyle w:val="Hyperlink"/>
            <w:sz w:val="16"/>
            <w:szCs w:val="16"/>
          </w:rPr>
          <w:t>https://www.afm.nl/nl-nl/nieuws/2014/jan/boete-friendly-finance</w:t>
        </w:r>
      </w:hyperlink>
      <w:r w:rsidRPr="003A16A3">
        <w:rPr>
          <w:sz w:val="16"/>
          <w:szCs w:val="16"/>
        </w:rPr>
        <w:t xml:space="preserve">  en AFM – Your Finance B.V., 31 december 2012 </w:t>
      </w:r>
      <w:hyperlink r:id="rId6" w:history="1">
        <w:r w:rsidRPr="003A16A3">
          <w:rPr>
            <w:rStyle w:val="Hyperlink"/>
            <w:sz w:val="16"/>
            <w:szCs w:val="16"/>
          </w:rPr>
          <w:t>https://www.afm.nl/nl-nl/professionals/nieuws/2014/mrt/boete-your-finance</w:t>
        </w:r>
      </w:hyperlink>
      <w:r w:rsidRPr="003A16A3">
        <w:rPr>
          <w:sz w:val="16"/>
          <w:szCs w:val="16"/>
        </w:rPr>
        <w:t>.</w:t>
      </w:r>
    </w:p>
  </w:footnote>
  <w:footnote w:id="30">
    <w:p w:rsidR="00144FF0" w:rsidRPr="003A16A3" w:rsidRDefault="00144FF0" w:rsidP="003A16A3">
      <w:pPr>
        <w:pStyle w:val="Voetnoottekst"/>
        <w:rPr>
          <w:sz w:val="16"/>
          <w:szCs w:val="16"/>
        </w:rPr>
      </w:pPr>
      <w:r w:rsidRPr="003A16A3">
        <w:rPr>
          <w:rStyle w:val="Voetnootmarkering"/>
          <w:sz w:val="16"/>
          <w:szCs w:val="16"/>
        </w:rPr>
        <w:footnoteRef/>
      </w:r>
      <w:r w:rsidRPr="003A16A3">
        <w:rPr>
          <w:sz w:val="16"/>
          <w:szCs w:val="16"/>
        </w:rPr>
        <w:t xml:space="preserve"> Rechtbank Rotterdam 31 juli 2015, ECLI:NL:RBROT:2015:5635.</w:t>
      </w:r>
    </w:p>
  </w:footnote>
  <w:footnote w:id="31">
    <w:p w:rsidR="00144FF0" w:rsidRPr="003A16A3" w:rsidRDefault="00144FF0" w:rsidP="003A16A3">
      <w:pPr>
        <w:pStyle w:val="Voetnoottekst"/>
        <w:spacing w:line="240" w:lineRule="auto"/>
        <w:rPr>
          <w:sz w:val="16"/>
          <w:szCs w:val="16"/>
        </w:rPr>
      </w:pPr>
      <w:r w:rsidRPr="003A16A3">
        <w:rPr>
          <w:rStyle w:val="Voetnootmarkering"/>
          <w:sz w:val="16"/>
          <w:szCs w:val="16"/>
        </w:rPr>
        <w:footnoteRef/>
      </w:r>
      <w:r w:rsidRPr="003A16A3">
        <w:rPr>
          <w:sz w:val="16"/>
          <w:szCs w:val="16"/>
        </w:rPr>
        <w:t xml:space="preserve"> Rechtbank Rotterdam 23 april 2015, ECLI:NL:RBROT:2015:2771 (AFM), Rechtbank Rotterdam 31 juli 2015, ECLI:NL:RBROT:2015:5635 (DNB), Rechtbank Rotterdam 3 december 2015, ECLI:NL:RBROT:2015:8759 (AFM)</w:t>
      </w:r>
    </w:p>
  </w:footnote>
  <w:footnote w:id="32">
    <w:p w:rsidR="00144FF0" w:rsidRPr="003A16A3" w:rsidRDefault="00144FF0" w:rsidP="003A16A3">
      <w:pPr>
        <w:pStyle w:val="Voetnoottekst"/>
        <w:spacing w:line="240" w:lineRule="auto"/>
        <w:rPr>
          <w:sz w:val="16"/>
          <w:szCs w:val="16"/>
        </w:rPr>
      </w:pPr>
      <w:r w:rsidRPr="003A16A3">
        <w:rPr>
          <w:rStyle w:val="Voetnootmarkering"/>
          <w:sz w:val="16"/>
          <w:szCs w:val="16"/>
        </w:rPr>
        <w:footnoteRef/>
      </w:r>
      <w:r w:rsidRPr="003A16A3">
        <w:rPr>
          <w:sz w:val="16"/>
          <w:szCs w:val="16"/>
        </w:rPr>
        <w:t xml:space="preserve"> Zie onder meer R.J. de Doelder en A.G. Mein, ‘De zaak–Delta Lloyd: consequenties voor compliance’, </w:t>
      </w:r>
      <w:r w:rsidRPr="003A16A3">
        <w:rPr>
          <w:i/>
          <w:sz w:val="16"/>
          <w:szCs w:val="16"/>
        </w:rPr>
        <w:t>Tijdschrift voor compliance</w:t>
      </w:r>
      <w:r w:rsidRPr="003A16A3">
        <w:rPr>
          <w:sz w:val="16"/>
          <w:szCs w:val="16"/>
        </w:rPr>
        <w:t xml:space="preserve"> november 2015, p. 244-249, C.W.M. Lieverse, annotatie bij Rechtbank Rotterdam 31 juli 2015, ECLI:NL:RBROT:2015:5635, </w:t>
      </w:r>
      <w:r w:rsidRPr="003A16A3">
        <w:rPr>
          <w:i/>
          <w:sz w:val="16"/>
          <w:szCs w:val="16"/>
        </w:rPr>
        <w:t xml:space="preserve">Ondernemingsrecht </w:t>
      </w:r>
      <w:r w:rsidRPr="003A16A3">
        <w:rPr>
          <w:sz w:val="16"/>
          <w:szCs w:val="16"/>
        </w:rPr>
        <w:t xml:space="preserve">2015/118 en J.A. Voerman, annotatie bij rechtbank Rotterdam 31 juli 2015, ECLI:NL:RBROT:2015:5635, </w:t>
      </w:r>
      <w:r w:rsidRPr="003A16A3">
        <w:rPr>
          <w:i/>
          <w:sz w:val="16"/>
          <w:szCs w:val="16"/>
        </w:rPr>
        <w:t>Jurisprudentie Onderneming &amp; Recht</w:t>
      </w:r>
      <w:r w:rsidRPr="003A16A3">
        <w:rPr>
          <w:sz w:val="16"/>
          <w:szCs w:val="16"/>
        </w:rPr>
        <w:t xml:space="preserve"> 2015/268.</w:t>
      </w:r>
    </w:p>
  </w:footnote>
  <w:footnote w:id="33">
    <w:p w:rsidR="00144FF0" w:rsidRPr="003A16A3" w:rsidRDefault="00144FF0" w:rsidP="003A16A3">
      <w:pPr>
        <w:pStyle w:val="Voetnoottekst"/>
        <w:spacing w:line="240" w:lineRule="auto"/>
        <w:rPr>
          <w:sz w:val="16"/>
          <w:szCs w:val="16"/>
        </w:rPr>
      </w:pPr>
      <w:r w:rsidRPr="003A16A3">
        <w:rPr>
          <w:rStyle w:val="Voetnootmarkering"/>
          <w:sz w:val="16"/>
          <w:szCs w:val="16"/>
        </w:rPr>
        <w:footnoteRef/>
      </w:r>
      <w:r w:rsidRPr="003A16A3">
        <w:rPr>
          <w:sz w:val="16"/>
          <w:szCs w:val="16"/>
        </w:rPr>
        <w:t xml:space="preserve"> Zie C.W.M. Lieverse, annotatie bij Rechtbank Rotterdam 31 juli 2015, ECLI:NL:RBROT:2015:5635, </w:t>
      </w:r>
      <w:r w:rsidRPr="003A16A3">
        <w:rPr>
          <w:i/>
          <w:sz w:val="16"/>
          <w:szCs w:val="16"/>
        </w:rPr>
        <w:t xml:space="preserve">Ondernemingsrecht </w:t>
      </w:r>
      <w:r w:rsidRPr="003A16A3">
        <w:rPr>
          <w:sz w:val="16"/>
          <w:szCs w:val="16"/>
        </w:rPr>
        <w:t>2015/118 en J.A. Voerman, annotatie bij echtbank Rotterdam 31 juli 2015, ECLI:NL:RBROT:2015:5635,</w:t>
      </w:r>
      <w:r w:rsidRPr="003A16A3">
        <w:rPr>
          <w:i/>
          <w:sz w:val="16"/>
          <w:szCs w:val="16"/>
        </w:rPr>
        <w:t>Jurisprudentie Onderneming &amp; Recht</w:t>
      </w:r>
      <w:r w:rsidRPr="003A16A3">
        <w:rPr>
          <w:sz w:val="16"/>
          <w:szCs w:val="16"/>
        </w:rPr>
        <w:t xml:space="preserve"> 2015/268.</w:t>
      </w:r>
    </w:p>
  </w:footnote>
  <w:footnote w:id="34">
    <w:p w:rsidR="00144FF0" w:rsidRPr="003A16A3" w:rsidRDefault="00144FF0" w:rsidP="003A16A3">
      <w:pPr>
        <w:pStyle w:val="Voetnoottekst"/>
        <w:spacing w:line="240" w:lineRule="auto"/>
        <w:rPr>
          <w:sz w:val="16"/>
          <w:szCs w:val="16"/>
        </w:rPr>
      </w:pPr>
      <w:r w:rsidRPr="003A16A3">
        <w:rPr>
          <w:rStyle w:val="Voetnootmarkering"/>
          <w:sz w:val="16"/>
          <w:szCs w:val="16"/>
        </w:rPr>
        <w:footnoteRef/>
      </w:r>
      <w:r w:rsidRPr="003A16A3">
        <w:rPr>
          <w:sz w:val="16"/>
          <w:szCs w:val="16"/>
        </w:rPr>
        <w:t xml:space="preserve"> Kamerstukken II, 2008/09, 31 458, nr. 16.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FF0" w:rsidRDefault="00144FF0">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FF0" w:rsidRDefault="00144FF0">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FF0" w:rsidRDefault="00144FF0">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358D2"/>
    <w:multiLevelType w:val="hybridMultilevel"/>
    <w:tmpl w:val="8EDAD038"/>
    <w:lvl w:ilvl="0" w:tplc="FE84C364">
      <w:start w:val="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1920C5E"/>
    <w:multiLevelType w:val="hybridMultilevel"/>
    <w:tmpl w:val="1C10E6C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48CC7E8F"/>
    <w:multiLevelType w:val="hybridMultilevel"/>
    <w:tmpl w:val="06AC53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9A45CDD"/>
    <w:multiLevelType w:val="hybridMultilevel"/>
    <w:tmpl w:val="121ACDC4"/>
    <w:lvl w:ilvl="0" w:tplc="77768F14">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4AF7216F"/>
    <w:multiLevelType w:val="hybridMultilevel"/>
    <w:tmpl w:val="97E835BE"/>
    <w:lvl w:ilvl="0" w:tplc="11AC4AB8">
      <w:start w:val="1"/>
      <w:numFmt w:val="lowerLetter"/>
      <w:lvlText w:val="%1."/>
      <w:lvlJc w:val="left"/>
      <w:pPr>
        <w:ind w:left="720" w:hanging="360"/>
      </w:pPr>
      <w:rPr>
        <w:rFonts w:ascii="Verdana" w:eastAsia="Times New Roman" w:hAnsi="Verdana" w:cs="Times New Roman"/>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536A63D1"/>
    <w:multiLevelType w:val="hybridMultilevel"/>
    <w:tmpl w:val="0A361E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5BF46E6E"/>
    <w:multiLevelType w:val="hybridMultilevel"/>
    <w:tmpl w:val="7DF4640E"/>
    <w:lvl w:ilvl="0" w:tplc="068A42AE">
      <w:start w:val="1"/>
      <w:numFmt w:val="bullet"/>
      <w:lvlText w:val="-"/>
      <w:lvlJc w:val="left"/>
      <w:pPr>
        <w:ind w:left="1004" w:hanging="360"/>
      </w:pPr>
      <w:rPr>
        <w:rFonts w:ascii="Verdana" w:eastAsiaTheme="minorHAnsi" w:hAnsi="Verdana" w:cstheme="minorBidi"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7">
    <w:nsid w:val="7C8012D3"/>
    <w:multiLevelType w:val="multilevel"/>
    <w:tmpl w:val="B34843D8"/>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4)"/>
      <w:lvlJc w:val="left"/>
      <w:pPr>
        <w:ind w:left="1134" w:hanging="1134"/>
      </w:pPr>
      <w:rPr>
        <w:rFonts w:hint="default"/>
      </w:rPr>
    </w:lvl>
    <w:lvl w:ilvl="4">
      <w:start w:val="1"/>
      <w:numFmt w:val="lowerLetter"/>
      <w:lvlText w:val="(%5)"/>
      <w:lvlJc w:val="left"/>
      <w:pPr>
        <w:ind w:left="1134" w:hanging="1134"/>
      </w:pPr>
      <w:rPr>
        <w:rFonts w:hint="default"/>
      </w:rPr>
    </w:lvl>
    <w:lvl w:ilvl="5">
      <w:start w:val="1"/>
      <w:numFmt w:val="lowerRoman"/>
      <w:lvlText w:val="(%6)"/>
      <w:lvlJc w:val="lef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left"/>
      <w:pPr>
        <w:ind w:left="1134" w:hanging="1134"/>
      </w:pPr>
      <w:rPr>
        <w:rFonts w:hint="default"/>
      </w:rPr>
    </w:lvl>
  </w:abstractNum>
  <w:abstractNum w:abstractNumId="8">
    <w:nsid w:val="7D575377"/>
    <w:multiLevelType w:val="hybridMultilevel"/>
    <w:tmpl w:val="6748975C"/>
    <w:lvl w:ilvl="0" w:tplc="4CF24F60">
      <w:start w:val="1"/>
      <w:numFmt w:val="bullet"/>
      <w:lvlText w:val=""/>
      <w:lvlJc w:val="left"/>
      <w:pPr>
        <w:ind w:left="360" w:hanging="360"/>
      </w:pPr>
      <w:rPr>
        <w:rFonts w:ascii="Symbol" w:hAnsi="Symbol" w:hint="default"/>
      </w:rPr>
    </w:lvl>
    <w:lvl w:ilvl="1" w:tplc="9D6A9676">
      <w:start w:val="1"/>
      <w:numFmt w:val="bullet"/>
      <w:lvlText w:val="o"/>
      <w:lvlJc w:val="left"/>
      <w:pPr>
        <w:ind w:left="1080" w:hanging="360"/>
      </w:pPr>
      <w:rPr>
        <w:rFonts w:ascii="Courier New" w:hAnsi="Courier New" w:cs="Courier New" w:hint="default"/>
      </w:rPr>
    </w:lvl>
    <w:lvl w:ilvl="2" w:tplc="A2F2B0F8" w:tentative="1">
      <w:start w:val="1"/>
      <w:numFmt w:val="bullet"/>
      <w:lvlText w:val=""/>
      <w:lvlJc w:val="left"/>
      <w:pPr>
        <w:ind w:left="1800" w:hanging="360"/>
      </w:pPr>
      <w:rPr>
        <w:rFonts w:ascii="Wingdings" w:hAnsi="Wingdings" w:hint="default"/>
      </w:rPr>
    </w:lvl>
    <w:lvl w:ilvl="3" w:tplc="878453EE" w:tentative="1">
      <w:start w:val="1"/>
      <w:numFmt w:val="bullet"/>
      <w:lvlText w:val=""/>
      <w:lvlJc w:val="left"/>
      <w:pPr>
        <w:ind w:left="2520" w:hanging="360"/>
      </w:pPr>
      <w:rPr>
        <w:rFonts w:ascii="Symbol" w:hAnsi="Symbol" w:hint="default"/>
      </w:rPr>
    </w:lvl>
    <w:lvl w:ilvl="4" w:tplc="69CE70B0" w:tentative="1">
      <w:start w:val="1"/>
      <w:numFmt w:val="bullet"/>
      <w:lvlText w:val="o"/>
      <w:lvlJc w:val="left"/>
      <w:pPr>
        <w:ind w:left="3240" w:hanging="360"/>
      </w:pPr>
      <w:rPr>
        <w:rFonts w:ascii="Courier New" w:hAnsi="Courier New" w:cs="Courier New" w:hint="default"/>
      </w:rPr>
    </w:lvl>
    <w:lvl w:ilvl="5" w:tplc="88664E54" w:tentative="1">
      <w:start w:val="1"/>
      <w:numFmt w:val="bullet"/>
      <w:lvlText w:val=""/>
      <w:lvlJc w:val="left"/>
      <w:pPr>
        <w:ind w:left="3960" w:hanging="360"/>
      </w:pPr>
      <w:rPr>
        <w:rFonts w:ascii="Wingdings" w:hAnsi="Wingdings" w:hint="default"/>
      </w:rPr>
    </w:lvl>
    <w:lvl w:ilvl="6" w:tplc="3A9CC202" w:tentative="1">
      <w:start w:val="1"/>
      <w:numFmt w:val="bullet"/>
      <w:lvlText w:val=""/>
      <w:lvlJc w:val="left"/>
      <w:pPr>
        <w:ind w:left="4680" w:hanging="360"/>
      </w:pPr>
      <w:rPr>
        <w:rFonts w:ascii="Symbol" w:hAnsi="Symbol" w:hint="default"/>
      </w:rPr>
    </w:lvl>
    <w:lvl w:ilvl="7" w:tplc="40FEB584" w:tentative="1">
      <w:start w:val="1"/>
      <w:numFmt w:val="bullet"/>
      <w:lvlText w:val="o"/>
      <w:lvlJc w:val="left"/>
      <w:pPr>
        <w:ind w:left="5400" w:hanging="360"/>
      </w:pPr>
      <w:rPr>
        <w:rFonts w:ascii="Courier New" w:hAnsi="Courier New" w:cs="Courier New" w:hint="default"/>
      </w:rPr>
    </w:lvl>
    <w:lvl w:ilvl="8" w:tplc="28049872" w:tentative="1">
      <w:start w:val="1"/>
      <w:numFmt w:val="bullet"/>
      <w:lvlText w:val=""/>
      <w:lvlJc w:val="left"/>
      <w:pPr>
        <w:ind w:left="6120" w:hanging="360"/>
      </w:pPr>
      <w:rPr>
        <w:rFonts w:ascii="Wingdings" w:hAnsi="Wingdings" w:hint="default"/>
      </w:rPr>
    </w:lvl>
  </w:abstractNum>
  <w:abstractNum w:abstractNumId="9">
    <w:nsid w:val="7D6C6368"/>
    <w:multiLevelType w:val="hybridMultilevel"/>
    <w:tmpl w:val="93466B88"/>
    <w:lvl w:ilvl="0" w:tplc="068A42AE">
      <w:start w:val="1"/>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3"/>
  </w:num>
  <w:num w:numId="2">
    <w:abstractNumId w:val="3"/>
  </w:num>
  <w:num w:numId="3">
    <w:abstractNumId w:val="8"/>
  </w:num>
  <w:num w:numId="4">
    <w:abstractNumId w:val="3"/>
  </w:num>
  <w:num w:numId="5">
    <w:abstractNumId w:val="3"/>
  </w:num>
  <w:num w:numId="6">
    <w:abstractNumId w:val="8"/>
  </w:num>
  <w:num w:numId="7">
    <w:abstractNumId w:val="3"/>
  </w:num>
  <w:num w:numId="8">
    <w:abstractNumId w:val="3"/>
  </w:num>
  <w:num w:numId="9">
    <w:abstractNumId w:val="3"/>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1"/>
  </w:num>
  <w:num w:numId="19">
    <w:abstractNumId w:val="6"/>
  </w:num>
  <w:num w:numId="20">
    <w:abstractNumId w:val="0"/>
  </w:num>
  <w:num w:numId="21">
    <w:abstractNumId w:val="2"/>
  </w:num>
  <w:num w:numId="22">
    <w:abstractNumId w:val="5"/>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hyphenationZone w:val="425"/>
  <w:characterSpacingControl w:val="doNotCompress"/>
  <w:footnotePr>
    <w:footnote w:id="-1"/>
    <w:footnote w:id="0"/>
  </w:footnotePr>
  <w:endnotePr>
    <w:endnote w:id="-1"/>
    <w:endnote w:id="0"/>
  </w:endnotePr>
  <w:compat/>
  <w:rsids>
    <w:rsidRoot w:val="008C5AE4"/>
    <w:rsid w:val="00033A4F"/>
    <w:rsid w:val="00034877"/>
    <w:rsid w:val="0003788B"/>
    <w:rsid w:val="00042EF4"/>
    <w:rsid w:val="00043220"/>
    <w:rsid w:val="00095C9E"/>
    <w:rsid w:val="000A1303"/>
    <w:rsid w:val="000C2EE4"/>
    <w:rsid w:val="000F1209"/>
    <w:rsid w:val="00144FF0"/>
    <w:rsid w:val="001B2E28"/>
    <w:rsid w:val="001D7E37"/>
    <w:rsid w:val="001F7A18"/>
    <w:rsid w:val="00207A40"/>
    <w:rsid w:val="00215385"/>
    <w:rsid w:val="00245F25"/>
    <w:rsid w:val="00264BDD"/>
    <w:rsid w:val="002B3B63"/>
    <w:rsid w:val="002B61D7"/>
    <w:rsid w:val="003151AF"/>
    <w:rsid w:val="0031778C"/>
    <w:rsid w:val="00335E3A"/>
    <w:rsid w:val="00381023"/>
    <w:rsid w:val="00381DB7"/>
    <w:rsid w:val="003846A6"/>
    <w:rsid w:val="003A16A3"/>
    <w:rsid w:val="003B6BBA"/>
    <w:rsid w:val="00407921"/>
    <w:rsid w:val="00425358"/>
    <w:rsid w:val="00456C1B"/>
    <w:rsid w:val="00463AE3"/>
    <w:rsid w:val="004A4CFF"/>
    <w:rsid w:val="004C518E"/>
    <w:rsid w:val="004C7157"/>
    <w:rsid w:val="004F52A1"/>
    <w:rsid w:val="005002FD"/>
    <w:rsid w:val="00503938"/>
    <w:rsid w:val="005053D9"/>
    <w:rsid w:val="00517346"/>
    <w:rsid w:val="00524A1A"/>
    <w:rsid w:val="00542280"/>
    <w:rsid w:val="00547179"/>
    <w:rsid w:val="00572807"/>
    <w:rsid w:val="00574A6C"/>
    <w:rsid w:val="0058148D"/>
    <w:rsid w:val="00595444"/>
    <w:rsid w:val="005A230E"/>
    <w:rsid w:val="005B05DA"/>
    <w:rsid w:val="0062141A"/>
    <w:rsid w:val="006221DD"/>
    <w:rsid w:val="00634678"/>
    <w:rsid w:val="00651A63"/>
    <w:rsid w:val="0066658E"/>
    <w:rsid w:val="00692117"/>
    <w:rsid w:val="006A37BF"/>
    <w:rsid w:val="007052B4"/>
    <w:rsid w:val="00713FAB"/>
    <w:rsid w:val="00750163"/>
    <w:rsid w:val="00750DF0"/>
    <w:rsid w:val="00754005"/>
    <w:rsid w:val="00756F4A"/>
    <w:rsid w:val="00761700"/>
    <w:rsid w:val="0076663C"/>
    <w:rsid w:val="00772FD7"/>
    <w:rsid w:val="007900C0"/>
    <w:rsid w:val="007A171A"/>
    <w:rsid w:val="007C703D"/>
    <w:rsid w:val="007E6316"/>
    <w:rsid w:val="0080041F"/>
    <w:rsid w:val="008125C4"/>
    <w:rsid w:val="00825429"/>
    <w:rsid w:val="00842D78"/>
    <w:rsid w:val="00853827"/>
    <w:rsid w:val="00884C76"/>
    <w:rsid w:val="008C3EF6"/>
    <w:rsid w:val="008C5AE4"/>
    <w:rsid w:val="008E4146"/>
    <w:rsid w:val="009146D5"/>
    <w:rsid w:val="009225FE"/>
    <w:rsid w:val="009522CC"/>
    <w:rsid w:val="00956D14"/>
    <w:rsid w:val="009750CB"/>
    <w:rsid w:val="00991E47"/>
    <w:rsid w:val="009B0D4B"/>
    <w:rsid w:val="009C2632"/>
    <w:rsid w:val="009D2AED"/>
    <w:rsid w:val="009D31B7"/>
    <w:rsid w:val="00A01DC2"/>
    <w:rsid w:val="00A12917"/>
    <w:rsid w:val="00A252CE"/>
    <w:rsid w:val="00A47884"/>
    <w:rsid w:val="00A53E29"/>
    <w:rsid w:val="00A65F62"/>
    <w:rsid w:val="00A75247"/>
    <w:rsid w:val="00AB7343"/>
    <w:rsid w:val="00AD1FB0"/>
    <w:rsid w:val="00AE4C53"/>
    <w:rsid w:val="00B1635F"/>
    <w:rsid w:val="00B25C6F"/>
    <w:rsid w:val="00B25D54"/>
    <w:rsid w:val="00B34D33"/>
    <w:rsid w:val="00B5299E"/>
    <w:rsid w:val="00B571E4"/>
    <w:rsid w:val="00B86910"/>
    <w:rsid w:val="00BD0897"/>
    <w:rsid w:val="00BF60CE"/>
    <w:rsid w:val="00C36D9C"/>
    <w:rsid w:val="00C4391B"/>
    <w:rsid w:val="00C56C16"/>
    <w:rsid w:val="00C577E3"/>
    <w:rsid w:val="00C80C61"/>
    <w:rsid w:val="00CB171F"/>
    <w:rsid w:val="00CE17F9"/>
    <w:rsid w:val="00CF30E8"/>
    <w:rsid w:val="00CF5E14"/>
    <w:rsid w:val="00D13D84"/>
    <w:rsid w:val="00D4767F"/>
    <w:rsid w:val="00D67105"/>
    <w:rsid w:val="00D7410A"/>
    <w:rsid w:val="00D80875"/>
    <w:rsid w:val="00D95671"/>
    <w:rsid w:val="00DA1987"/>
    <w:rsid w:val="00E07A58"/>
    <w:rsid w:val="00E56CBC"/>
    <w:rsid w:val="00E610C6"/>
    <w:rsid w:val="00EC187D"/>
    <w:rsid w:val="00EC1C6A"/>
    <w:rsid w:val="00EE0F90"/>
    <w:rsid w:val="00F04234"/>
    <w:rsid w:val="00F10BD1"/>
    <w:rsid w:val="00F2780E"/>
    <w:rsid w:val="00F33DE3"/>
    <w:rsid w:val="00F55FEC"/>
    <w:rsid w:val="00F648B1"/>
    <w:rsid w:val="00F739CF"/>
    <w:rsid w:val="00F8248C"/>
    <w:rsid w:val="00F916FD"/>
    <w:rsid w:val="00F95496"/>
    <w:rsid w:val="00FC30A4"/>
    <w:rsid w:val="00FD5233"/>
    <w:rsid w:val="00FE632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34877"/>
    <w:pPr>
      <w:spacing w:after="0" w:line="240" w:lineRule="atLeast"/>
    </w:pPr>
    <w:rPr>
      <w:rFonts w:ascii="Verdana" w:eastAsia="Times New Roman" w:hAnsi="Verdana" w:cs="Times New Roman"/>
      <w:sz w:val="18"/>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034877"/>
    <w:pPr>
      <w:tabs>
        <w:tab w:val="center" w:pos="4513"/>
        <w:tab w:val="right" w:pos="9026"/>
      </w:tabs>
      <w:spacing w:line="240" w:lineRule="auto"/>
    </w:pPr>
  </w:style>
  <w:style w:type="character" w:customStyle="1" w:styleId="KoptekstChar">
    <w:name w:val="Koptekst Char"/>
    <w:basedOn w:val="Standaardalinea-lettertype"/>
    <w:link w:val="Koptekst"/>
    <w:uiPriority w:val="99"/>
    <w:semiHidden/>
    <w:rsid w:val="00034877"/>
    <w:rPr>
      <w:rFonts w:ascii="Verdana" w:hAnsi="Verdana"/>
      <w:sz w:val="18"/>
    </w:rPr>
  </w:style>
  <w:style w:type="paragraph" w:styleId="Voettekst">
    <w:name w:val="footer"/>
    <w:basedOn w:val="Standaard"/>
    <w:link w:val="VoettekstChar"/>
    <w:uiPriority w:val="99"/>
    <w:unhideWhenUsed/>
    <w:rsid w:val="00034877"/>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034877"/>
    <w:rPr>
      <w:rFonts w:ascii="Verdana" w:hAnsi="Verdana"/>
      <w:sz w:val="18"/>
    </w:rPr>
  </w:style>
  <w:style w:type="character" w:styleId="Hyperlink">
    <w:name w:val="Hyperlink"/>
    <w:basedOn w:val="Standaardalinea-lettertype"/>
    <w:rsid w:val="00034877"/>
    <w:rPr>
      <w:color w:val="0000FF"/>
      <w:u w:val="single"/>
    </w:rPr>
  </w:style>
  <w:style w:type="paragraph" w:styleId="Voetnoottekst">
    <w:name w:val="footnote text"/>
    <w:basedOn w:val="Standaard"/>
    <w:link w:val="VoetnoottekstChar"/>
    <w:uiPriority w:val="99"/>
    <w:rsid w:val="00034877"/>
    <w:pPr>
      <w:spacing w:line="180" w:lineRule="atLeast"/>
    </w:pPr>
    <w:rPr>
      <w:sz w:val="14"/>
      <w:szCs w:val="20"/>
    </w:rPr>
  </w:style>
  <w:style w:type="character" w:customStyle="1" w:styleId="VoetnoottekstChar">
    <w:name w:val="Voetnoottekst Char"/>
    <w:basedOn w:val="Standaardalinea-lettertype"/>
    <w:link w:val="Voetnoottekst"/>
    <w:uiPriority w:val="99"/>
    <w:rsid w:val="00034877"/>
    <w:rPr>
      <w:rFonts w:ascii="Verdana" w:eastAsia="Times New Roman" w:hAnsi="Verdana" w:cs="Times New Roman"/>
      <w:sz w:val="14"/>
      <w:szCs w:val="20"/>
      <w:lang w:eastAsia="nl-NL"/>
    </w:rPr>
  </w:style>
  <w:style w:type="character" w:styleId="Voetnootmarkering">
    <w:name w:val="footnote reference"/>
    <w:basedOn w:val="Standaardalinea-lettertype"/>
    <w:uiPriority w:val="99"/>
    <w:rsid w:val="00034877"/>
    <w:rPr>
      <w:vertAlign w:val="superscript"/>
    </w:rPr>
  </w:style>
  <w:style w:type="character" w:styleId="Verwijzingopmerking">
    <w:name w:val="annotation reference"/>
    <w:basedOn w:val="Standaardalinea-lettertype"/>
    <w:uiPriority w:val="99"/>
    <w:semiHidden/>
    <w:unhideWhenUsed/>
    <w:rsid w:val="00034877"/>
    <w:rPr>
      <w:sz w:val="16"/>
      <w:szCs w:val="16"/>
    </w:rPr>
  </w:style>
  <w:style w:type="paragraph" w:styleId="Tekstopmerking">
    <w:name w:val="annotation text"/>
    <w:basedOn w:val="Standaard"/>
    <w:link w:val="TekstopmerkingChar"/>
    <w:uiPriority w:val="99"/>
    <w:semiHidden/>
    <w:unhideWhenUsed/>
    <w:rsid w:val="00034877"/>
    <w:pPr>
      <w:spacing w:after="200" w:line="240" w:lineRule="auto"/>
    </w:pPr>
    <w:rPr>
      <w:rFonts w:eastAsiaTheme="minorHAnsi" w:cstheme="minorBidi"/>
      <w:sz w:val="20"/>
      <w:szCs w:val="20"/>
      <w:lang w:eastAsia="en-US"/>
    </w:rPr>
  </w:style>
  <w:style w:type="character" w:customStyle="1" w:styleId="TekstopmerkingChar">
    <w:name w:val="Tekst opmerking Char"/>
    <w:basedOn w:val="Standaardalinea-lettertype"/>
    <w:link w:val="Tekstopmerking"/>
    <w:uiPriority w:val="99"/>
    <w:semiHidden/>
    <w:rsid w:val="00034877"/>
    <w:rPr>
      <w:rFonts w:ascii="Verdana" w:hAnsi="Verdana"/>
      <w:sz w:val="20"/>
      <w:szCs w:val="20"/>
    </w:rPr>
  </w:style>
  <w:style w:type="paragraph" w:styleId="Lijstalinea">
    <w:name w:val="List Paragraph"/>
    <w:basedOn w:val="Standaard"/>
    <w:uiPriority w:val="34"/>
    <w:qFormat/>
    <w:rsid w:val="00034877"/>
    <w:pPr>
      <w:ind w:left="720"/>
      <w:contextualSpacing/>
    </w:pPr>
  </w:style>
  <w:style w:type="paragraph" w:styleId="Geenafstand">
    <w:name w:val="No Spacing"/>
    <w:uiPriority w:val="1"/>
    <w:qFormat/>
    <w:rsid w:val="00034877"/>
    <w:pPr>
      <w:spacing w:after="0" w:line="240" w:lineRule="auto"/>
    </w:pPr>
    <w:rPr>
      <w:rFonts w:ascii="Verdana" w:hAnsi="Verdana"/>
      <w:sz w:val="18"/>
    </w:rPr>
  </w:style>
  <w:style w:type="paragraph" w:styleId="Ballontekst">
    <w:name w:val="Balloon Text"/>
    <w:basedOn w:val="Standaard"/>
    <w:link w:val="BallontekstChar"/>
    <w:uiPriority w:val="99"/>
    <w:semiHidden/>
    <w:unhideWhenUsed/>
    <w:rsid w:val="00034877"/>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34877"/>
    <w:rPr>
      <w:rFonts w:ascii="Tahoma" w:eastAsia="Times New Roman" w:hAnsi="Tahoma" w:cs="Tahoma"/>
      <w:sz w:val="16"/>
      <w:szCs w:val="16"/>
      <w:lang w:eastAsia="nl-NL"/>
    </w:rPr>
  </w:style>
  <w:style w:type="paragraph" w:styleId="Onderwerpvanopmerking">
    <w:name w:val="annotation subject"/>
    <w:basedOn w:val="Tekstopmerking"/>
    <w:next w:val="Tekstopmerking"/>
    <w:link w:val="OnderwerpvanopmerkingChar"/>
    <w:uiPriority w:val="99"/>
    <w:semiHidden/>
    <w:unhideWhenUsed/>
    <w:rsid w:val="00FC30A4"/>
    <w:pPr>
      <w:spacing w:after="0"/>
    </w:pPr>
    <w:rPr>
      <w:rFonts w:eastAsia="Times New Roman" w:cs="Times New Roman"/>
      <w:b/>
      <w:bCs/>
      <w:lang w:eastAsia="nl-NL"/>
    </w:rPr>
  </w:style>
  <w:style w:type="character" w:customStyle="1" w:styleId="OnderwerpvanopmerkingChar">
    <w:name w:val="Onderwerp van opmerking Char"/>
    <w:basedOn w:val="TekstopmerkingChar"/>
    <w:link w:val="Onderwerpvanopmerking"/>
    <w:uiPriority w:val="99"/>
    <w:semiHidden/>
    <w:rsid w:val="00FC30A4"/>
    <w:rPr>
      <w:rFonts w:eastAsia="Times New Roman" w:cs="Times New Roman"/>
      <w:b/>
      <w:bCs/>
      <w:lang w:eastAsia="nl-NL"/>
    </w:rPr>
  </w:style>
  <w:style w:type="character" w:styleId="GevolgdeHyperlink">
    <w:name w:val="FollowedHyperlink"/>
    <w:basedOn w:val="Standaardalinea-lettertype"/>
    <w:uiPriority w:val="99"/>
    <w:semiHidden/>
    <w:unhideWhenUsed/>
    <w:rsid w:val="00BF60C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hAnsi="Verdana"/>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82542">
      <w:bodyDiv w:val="1"/>
      <w:marLeft w:val="0"/>
      <w:marRight w:val="0"/>
      <w:marTop w:val="0"/>
      <w:marBottom w:val="0"/>
      <w:divBdr>
        <w:top w:val="none" w:sz="0" w:space="0" w:color="auto"/>
        <w:left w:val="none" w:sz="0" w:space="0" w:color="auto"/>
        <w:bottom w:val="none" w:sz="0" w:space="0" w:color="auto"/>
        <w:right w:val="none" w:sz="0" w:space="0" w:color="auto"/>
      </w:divBdr>
    </w:div>
    <w:div w:id="262420596">
      <w:bodyDiv w:val="1"/>
      <w:marLeft w:val="0"/>
      <w:marRight w:val="0"/>
      <w:marTop w:val="0"/>
      <w:marBottom w:val="0"/>
      <w:divBdr>
        <w:top w:val="none" w:sz="0" w:space="0" w:color="auto"/>
        <w:left w:val="none" w:sz="0" w:space="0" w:color="auto"/>
        <w:bottom w:val="none" w:sz="0" w:space="0" w:color="auto"/>
        <w:right w:val="none" w:sz="0" w:space="0" w:color="auto"/>
      </w:divBdr>
    </w:div>
    <w:div w:id="332336996">
      <w:bodyDiv w:val="1"/>
      <w:marLeft w:val="0"/>
      <w:marRight w:val="0"/>
      <w:marTop w:val="0"/>
      <w:marBottom w:val="0"/>
      <w:divBdr>
        <w:top w:val="none" w:sz="0" w:space="0" w:color="auto"/>
        <w:left w:val="none" w:sz="0" w:space="0" w:color="auto"/>
        <w:bottom w:val="none" w:sz="0" w:space="0" w:color="auto"/>
        <w:right w:val="none" w:sz="0" w:space="0" w:color="auto"/>
      </w:divBdr>
    </w:div>
    <w:div w:id="349721570">
      <w:bodyDiv w:val="1"/>
      <w:marLeft w:val="0"/>
      <w:marRight w:val="0"/>
      <w:marTop w:val="0"/>
      <w:marBottom w:val="0"/>
      <w:divBdr>
        <w:top w:val="none" w:sz="0" w:space="0" w:color="auto"/>
        <w:left w:val="none" w:sz="0" w:space="0" w:color="auto"/>
        <w:bottom w:val="none" w:sz="0" w:space="0" w:color="auto"/>
        <w:right w:val="none" w:sz="0" w:space="0" w:color="auto"/>
      </w:divBdr>
    </w:div>
    <w:div w:id="483161696">
      <w:bodyDiv w:val="1"/>
      <w:marLeft w:val="0"/>
      <w:marRight w:val="0"/>
      <w:marTop w:val="0"/>
      <w:marBottom w:val="0"/>
      <w:divBdr>
        <w:top w:val="none" w:sz="0" w:space="0" w:color="auto"/>
        <w:left w:val="none" w:sz="0" w:space="0" w:color="auto"/>
        <w:bottom w:val="none" w:sz="0" w:space="0" w:color="auto"/>
        <w:right w:val="none" w:sz="0" w:space="0" w:color="auto"/>
      </w:divBdr>
    </w:div>
    <w:div w:id="531457188">
      <w:bodyDiv w:val="1"/>
      <w:marLeft w:val="0"/>
      <w:marRight w:val="0"/>
      <w:marTop w:val="0"/>
      <w:marBottom w:val="0"/>
      <w:divBdr>
        <w:top w:val="none" w:sz="0" w:space="0" w:color="auto"/>
        <w:left w:val="none" w:sz="0" w:space="0" w:color="auto"/>
        <w:bottom w:val="none" w:sz="0" w:space="0" w:color="auto"/>
        <w:right w:val="none" w:sz="0" w:space="0" w:color="auto"/>
      </w:divBdr>
    </w:div>
    <w:div w:id="625544513">
      <w:bodyDiv w:val="1"/>
      <w:marLeft w:val="0"/>
      <w:marRight w:val="0"/>
      <w:marTop w:val="0"/>
      <w:marBottom w:val="0"/>
      <w:divBdr>
        <w:top w:val="none" w:sz="0" w:space="0" w:color="auto"/>
        <w:left w:val="none" w:sz="0" w:space="0" w:color="auto"/>
        <w:bottom w:val="none" w:sz="0" w:space="0" w:color="auto"/>
        <w:right w:val="none" w:sz="0" w:space="0" w:color="auto"/>
      </w:divBdr>
    </w:div>
    <w:div w:id="681787745">
      <w:bodyDiv w:val="1"/>
      <w:marLeft w:val="0"/>
      <w:marRight w:val="0"/>
      <w:marTop w:val="0"/>
      <w:marBottom w:val="0"/>
      <w:divBdr>
        <w:top w:val="none" w:sz="0" w:space="0" w:color="auto"/>
        <w:left w:val="none" w:sz="0" w:space="0" w:color="auto"/>
        <w:bottom w:val="none" w:sz="0" w:space="0" w:color="auto"/>
        <w:right w:val="none" w:sz="0" w:space="0" w:color="auto"/>
      </w:divBdr>
    </w:div>
    <w:div w:id="691805584">
      <w:bodyDiv w:val="1"/>
      <w:marLeft w:val="0"/>
      <w:marRight w:val="0"/>
      <w:marTop w:val="0"/>
      <w:marBottom w:val="0"/>
      <w:divBdr>
        <w:top w:val="none" w:sz="0" w:space="0" w:color="auto"/>
        <w:left w:val="none" w:sz="0" w:space="0" w:color="auto"/>
        <w:bottom w:val="none" w:sz="0" w:space="0" w:color="auto"/>
        <w:right w:val="none" w:sz="0" w:space="0" w:color="auto"/>
      </w:divBdr>
    </w:div>
    <w:div w:id="726075601">
      <w:bodyDiv w:val="1"/>
      <w:marLeft w:val="0"/>
      <w:marRight w:val="0"/>
      <w:marTop w:val="0"/>
      <w:marBottom w:val="0"/>
      <w:divBdr>
        <w:top w:val="none" w:sz="0" w:space="0" w:color="auto"/>
        <w:left w:val="none" w:sz="0" w:space="0" w:color="auto"/>
        <w:bottom w:val="none" w:sz="0" w:space="0" w:color="auto"/>
        <w:right w:val="none" w:sz="0" w:space="0" w:color="auto"/>
      </w:divBdr>
    </w:div>
    <w:div w:id="936135021">
      <w:bodyDiv w:val="1"/>
      <w:marLeft w:val="0"/>
      <w:marRight w:val="0"/>
      <w:marTop w:val="0"/>
      <w:marBottom w:val="0"/>
      <w:divBdr>
        <w:top w:val="none" w:sz="0" w:space="0" w:color="auto"/>
        <w:left w:val="none" w:sz="0" w:space="0" w:color="auto"/>
        <w:bottom w:val="none" w:sz="0" w:space="0" w:color="auto"/>
        <w:right w:val="none" w:sz="0" w:space="0" w:color="auto"/>
      </w:divBdr>
    </w:div>
    <w:div w:id="200181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microsoft.com/office/2007/relationships/stylesWithEffects" Target="stylesWithEffects.xml" Id="rId1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www.dnb.nl/nieuws/nieuwsoverzicht-en-archief/nieuws-2015/dnb320454.jsp" TargetMode="External"/><Relationship Id="rId2" Type="http://schemas.openxmlformats.org/officeDocument/2006/relationships/hyperlink" Target="http://www.afm.nl/nl-nl/professionals/nieuws/2015/jan/boete-leidinggevende-inpetto" TargetMode="External"/><Relationship Id="rId1" Type="http://schemas.openxmlformats.org/officeDocument/2006/relationships/hyperlink" Target="http://www.afm.nl/nl-nl/professionals/nieuws/2014/nov/boete-abn-amro" TargetMode="External"/><Relationship Id="rId6" Type="http://schemas.openxmlformats.org/officeDocument/2006/relationships/hyperlink" Target="https://www.afm.nl/nl-nl/professionals/nieuws/2014/mrt/boete-your-finance" TargetMode="External"/><Relationship Id="rId5" Type="http://schemas.openxmlformats.org/officeDocument/2006/relationships/hyperlink" Target="https://www.afm.nl/nl-nl/nieuws/2014/jan/boete-friendly-finance" TargetMode="External"/><Relationship Id="rId4" Type="http://schemas.openxmlformats.org/officeDocument/2006/relationships/hyperlink" Target="https://www.afm.nl/nl-nl/professionals/nieuws/2014/okt/boete-de-carvalho-heinek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3257</ap:Words>
  <ap:Characters>17916</ap:Characters>
  <ap:DocSecurity>0</ap:DocSecurity>
  <ap:Lines>149</ap:Lines>
  <ap:Paragraphs>42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21131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2016-05-13T09:00:00.0000000Z</dcterms:created>
  <dcterms:modified xsi:type="dcterms:W3CDTF">2016-05-13T09:01:00.0000000Z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DocGen_Blanco document_nl_NL</vt:lpwstr>
  </property>
  <property fmtid="{D5CDD505-2E9C-101B-9397-08002B2CF9AE}" pid="3" name="Onderwerp">
    <vt:lpwstr>Brief TK (bijlage evaluatie)</vt:lpwstr>
  </property>
  <property fmtid="{D5CDD505-2E9C-101B-9397-08002B2CF9AE}" pid="4" name="ContentTypeId">
    <vt:lpwstr>0x010100370607574FAC0B49B87D645FE0EA5016</vt:lpwstr>
  </property>
</Properties>
</file>