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48" w:rsidP="00561848" w:rsidRDefault="00561848">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561848" w:rsidP="00561848" w:rsidRDefault="00561848">
      <w:pPr>
        <w:rPr>
          <w:rFonts w:asciiTheme="minorHAnsi" w:hAnsiTheme="minorHAnsi"/>
          <w:sz w:val="22"/>
          <w:szCs w:val="22"/>
        </w:rPr>
      </w:pPr>
    </w:p>
    <w:p w:rsidRPr="001A05B7" w:rsidR="00561848" w:rsidP="00561848" w:rsidRDefault="00561848">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8  </w:t>
      </w:r>
      <w:r w:rsidRPr="00BF35EE">
        <w:rPr>
          <w:rFonts w:asciiTheme="minorHAnsi" w:hAnsiTheme="minorHAnsi"/>
          <w:sz w:val="22"/>
          <w:szCs w:val="22"/>
          <w:u w:val="single"/>
        </w:rPr>
        <w:t>(</w:t>
      </w:r>
      <w:r>
        <w:rPr>
          <w:rFonts w:asciiTheme="minorHAnsi" w:hAnsiTheme="minorHAnsi"/>
          <w:sz w:val="22"/>
          <w:szCs w:val="22"/>
          <w:u w:val="single"/>
        </w:rPr>
        <w:t>13 februari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26 februari 2016</w:t>
      </w:r>
      <w:r w:rsidRPr="00BF35EE">
        <w:rPr>
          <w:rFonts w:asciiTheme="minorHAnsi" w:hAnsiTheme="minorHAnsi"/>
          <w:sz w:val="22"/>
          <w:szCs w:val="22"/>
          <w:u w:val="single"/>
        </w:rPr>
        <w:t xml:space="preserve">) d.d. </w:t>
      </w:r>
      <w:r w:rsidR="00F94FD3">
        <w:rPr>
          <w:rFonts w:asciiTheme="minorHAnsi" w:hAnsiTheme="minorHAnsi"/>
          <w:sz w:val="22"/>
          <w:szCs w:val="22"/>
          <w:u w:val="single"/>
        </w:rPr>
        <w:t>2</w:t>
      </w:r>
      <w:r>
        <w:rPr>
          <w:rFonts w:asciiTheme="minorHAnsi" w:hAnsiTheme="minorHAnsi"/>
          <w:sz w:val="22"/>
          <w:szCs w:val="22"/>
          <w:u w:val="single"/>
        </w:rPr>
        <w:t xml:space="preserve"> maart 2016.</w:t>
      </w:r>
    </w:p>
    <w:bookmarkEnd w:id="0"/>
    <w:p w:rsidRPr="00F67F5B" w:rsidR="00561848" w:rsidP="00561848" w:rsidRDefault="00561848">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561848" w:rsidTr="00B308FF">
        <w:trPr>
          <w:trHeight w:val="1550"/>
        </w:trPr>
        <w:tc>
          <w:tcPr>
            <w:tcW w:w="1433" w:type="dxa"/>
            <w:shd w:val="clear" w:color="auto" w:fill="auto"/>
            <w:textDirection w:val="btLr"/>
            <w:vAlign w:val="bottom"/>
            <w:hideMark/>
          </w:tcPr>
          <w:p w:rsidRPr="00F50A0B" w:rsidR="00561848" w:rsidP="00B308FF" w:rsidRDefault="00561848">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61848" w:rsidP="00B308FF" w:rsidRDefault="00561848">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561848" w:rsidP="00B308FF" w:rsidRDefault="00561848">
            <w:pPr>
              <w:rPr>
                <w:rFonts w:asciiTheme="minorHAnsi" w:hAnsiTheme="minorHAnsi"/>
                <w:b/>
                <w:bCs/>
                <w:color w:val="000000"/>
                <w:sz w:val="22"/>
                <w:szCs w:val="22"/>
              </w:rPr>
            </w:pPr>
          </w:p>
          <w:p w:rsidRPr="00F50A0B" w:rsidR="00561848" w:rsidP="00B308FF" w:rsidRDefault="00561848">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561848" w:rsidP="00B308FF" w:rsidRDefault="00561848">
            <w:pP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61848" w:rsidTr="00B308FF">
        <w:trPr>
          <w:trHeight w:val="300"/>
        </w:trPr>
        <w:tc>
          <w:tcPr>
            <w:tcW w:w="1433" w:type="dxa"/>
            <w:tcBorders>
              <w:bottom w:val="single" w:color="auto" w:sz="4" w:space="0"/>
            </w:tcBorders>
            <w:shd w:val="clear" w:color="000000" w:fill="538DD5"/>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561848" w:rsidP="00B308FF" w:rsidRDefault="00561848">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561848" w:rsidP="00B308FF" w:rsidRDefault="00561848">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561848" w:rsidP="00B308FF" w:rsidRDefault="0056184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561848" w:rsidTr="00B308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16-feb-16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561848" w:rsidP="00B308FF" w:rsidRDefault="005618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Pr="00994716" w:rsidR="00561848" w:rsidP="00B308FF" w:rsidRDefault="00561848">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inzake een EU-strategie voor vloeibaar aardgas en gasopslag.</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FF"/>
                <w:sz w:val="22"/>
                <w:szCs w:val="22"/>
                <w:u w:val="single"/>
              </w:rPr>
            </w:pPr>
          </w:p>
          <w:p w:rsidR="00561848" w:rsidP="00B308FF" w:rsidRDefault="00561848">
            <w:pPr>
              <w:rPr>
                <w:rFonts w:ascii="Calibri" w:hAnsi="Calibri"/>
                <w:color w:val="0000FF"/>
                <w:sz w:val="22"/>
                <w:szCs w:val="22"/>
                <w:u w:val="single"/>
              </w:rPr>
            </w:pPr>
          </w:p>
          <w:p w:rsidR="00561848" w:rsidP="00B308FF" w:rsidRDefault="00C26B12">
            <w:pPr>
              <w:rPr>
                <w:rFonts w:ascii="Calibri" w:hAnsi="Calibri"/>
                <w:color w:val="0000FF"/>
                <w:sz w:val="22"/>
                <w:szCs w:val="22"/>
                <w:u w:val="single"/>
              </w:rPr>
            </w:pPr>
            <w:hyperlink w:history="1" r:id="rId10">
              <w:r w:rsidR="00561848">
                <w:rPr>
                  <w:rStyle w:val="Hyperlink"/>
                  <w:rFonts w:ascii="Calibri" w:hAnsi="Calibri"/>
                  <w:sz w:val="22"/>
                  <w:szCs w:val="22"/>
                </w:rPr>
                <w:t>49</w:t>
              </w:r>
            </w:hyperlink>
          </w:p>
          <w:p w:rsidR="00561848" w:rsidP="00B308FF" w:rsidRDefault="00561848"/>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561848" w:rsidP="00B308FF" w:rsidRDefault="005618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561848" w:rsidP="00B308FF" w:rsidRDefault="00F94FD3">
            <w:pPr>
              <w:rPr>
                <w:rFonts w:ascii="Calibri" w:hAnsi="Calibri"/>
                <w:color w:val="000000"/>
                <w:sz w:val="22"/>
                <w:szCs w:val="22"/>
              </w:rPr>
            </w:pPr>
            <w:r>
              <w:rPr>
                <w:rFonts w:ascii="Calibri" w:hAnsi="Calibri"/>
                <w:color w:val="000000"/>
                <w:sz w:val="22"/>
                <w:szCs w:val="22"/>
              </w:rPr>
              <w:t>Het betreft een niet-wetgevende mededeling</w:t>
            </w:r>
            <w:r w:rsidRPr="00F94FD3">
              <w:rPr>
                <w:rFonts w:ascii="Calibri" w:hAnsi="Calibri"/>
                <w:color w:val="000000"/>
                <w:sz w:val="22"/>
                <w:szCs w:val="22"/>
              </w:rPr>
              <w:t xml:space="preserve"> voor </w:t>
            </w:r>
            <w:r>
              <w:rPr>
                <w:rFonts w:ascii="Calibri" w:hAnsi="Calibri"/>
                <w:color w:val="000000"/>
                <w:sz w:val="22"/>
                <w:szCs w:val="22"/>
              </w:rPr>
              <w:t xml:space="preserve">een </w:t>
            </w:r>
            <w:r w:rsidRPr="00F94FD3">
              <w:rPr>
                <w:rFonts w:ascii="Calibri" w:hAnsi="Calibri"/>
                <w:color w:val="000000"/>
                <w:sz w:val="22"/>
                <w:szCs w:val="22"/>
              </w:rPr>
              <w:t>strategi</w:t>
            </w:r>
            <w:r>
              <w:rPr>
                <w:rFonts w:ascii="Calibri" w:hAnsi="Calibri"/>
                <w:color w:val="000000"/>
                <w:sz w:val="22"/>
                <w:szCs w:val="22"/>
              </w:rPr>
              <w:t>e, de Kamer ontvangt geen BNC-fiche. Voorstel: ter informatie.</w:t>
            </w:r>
          </w:p>
        </w:tc>
      </w:tr>
      <w:tr w:rsidR="00561848" w:rsidTr="00B308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16-feb-16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561848" w:rsidP="00B308FF" w:rsidRDefault="005618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561848" w:rsidP="00B308FF" w:rsidRDefault="00561848">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Een EU-strategie betreffende verwarming en koeling.</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561848" w:rsidRDefault="00C26B12">
            <w:pPr>
              <w:rPr>
                <w:rFonts w:ascii="Calibri" w:hAnsi="Calibri"/>
                <w:color w:val="0000FF"/>
                <w:sz w:val="22"/>
                <w:szCs w:val="22"/>
                <w:u w:val="single"/>
              </w:rPr>
            </w:pPr>
            <w:hyperlink w:history="1" r:id="rId11">
              <w:r w:rsidR="00561848">
                <w:rPr>
                  <w:rStyle w:val="Hyperlink"/>
                  <w:rFonts w:ascii="Calibri" w:hAnsi="Calibri"/>
                  <w:sz w:val="22"/>
                  <w:szCs w:val="22"/>
                </w:rPr>
                <w:t>51</w:t>
              </w:r>
            </w:hyperlink>
          </w:p>
          <w:p w:rsidR="00561848" w:rsidP="00B308FF" w:rsidRDefault="00561848"/>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561848" w:rsidP="00B308FF" w:rsidRDefault="005618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561848" w:rsidP="00B308FF" w:rsidRDefault="00F94FD3">
            <w:pPr>
              <w:rPr>
                <w:rFonts w:ascii="Calibri" w:hAnsi="Calibri"/>
                <w:color w:val="000000"/>
                <w:sz w:val="22"/>
                <w:szCs w:val="22"/>
              </w:rPr>
            </w:pPr>
            <w:r w:rsidRPr="00F94FD3">
              <w:rPr>
                <w:rFonts w:ascii="Calibri" w:hAnsi="Calibri"/>
                <w:color w:val="000000"/>
                <w:sz w:val="22"/>
                <w:szCs w:val="22"/>
              </w:rPr>
              <w:t>Het betreft een niet-wetgevende mededeling voor een strategie, de Kamer ontvangt geen BNC-fiche. Voorstel: ter informatie.</w:t>
            </w:r>
          </w:p>
        </w:tc>
      </w:tr>
      <w:tr w:rsidR="00B97785" w:rsidTr="00B977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0000"/>
            <w:noWrap/>
            <w:vAlign w:val="bottom"/>
          </w:tcPr>
          <w:p w:rsidR="00B97785" w:rsidP="00B308FF" w:rsidRDefault="00B97785">
            <w:pPr>
              <w:rPr>
                <w:rFonts w:ascii="Calibri" w:hAnsi="Calibri"/>
                <w:color w:val="000000"/>
                <w:sz w:val="22"/>
                <w:szCs w:val="22"/>
              </w:rPr>
            </w:pPr>
            <w:r>
              <w:rPr>
                <w:rFonts w:ascii="Calibri" w:hAnsi="Calibri"/>
                <w:color w:val="000000"/>
                <w:sz w:val="22"/>
                <w:szCs w:val="22"/>
              </w:rPr>
              <w:t>16-feb-16</w:t>
            </w:r>
          </w:p>
        </w:tc>
        <w:tc>
          <w:tcPr>
            <w:tcW w:w="992" w:type="dxa"/>
            <w:tcBorders>
              <w:top w:val="single" w:color="auto" w:sz="4" w:space="0"/>
              <w:left w:val="single" w:color="auto" w:sz="4" w:space="0"/>
              <w:bottom w:val="single" w:color="auto" w:sz="4" w:space="0"/>
              <w:right w:val="single" w:color="auto" w:sz="4" w:space="0"/>
            </w:tcBorders>
            <w:shd w:val="clear" w:color="auto" w:fill="FF0000"/>
            <w:vAlign w:val="bottom"/>
          </w:tcPr>
          <w:p w:rsidR="00B97785" w:rsidP="00B308FF" w:rsidRDefault="00B97785">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0000"/>
            <w:noWrap/>
            <w:vAlign w:val="bottom"/>
          </w:tcPr>
          <w:p w:rsidR="00B97785" w:rsidP="00B308FF" w:rsidRDefault="00B97785">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0000"/>
            <w:noWrap/>
          </w:tcPr>
          <w:p w:rsidR="00B97785" w:rsidP="00B308FF" w:rsidRDefault="00B97785">
            <w:pPr>
              <w:rPr>
                <w:rFonts w:ascii="Calibri" w:hAnsi="Calibri"/>
                <w:color w:val="000000"/>
                <w:sz w:val="22"/>
                <w:szCs w:val="22"/>
              </w:rPr>
            </w:pPr>
            <w:r>
              <w:rPr>
                <w:rFonts w:ascii="Calibri" w:hAnsi="Calibri"/>
                <w:color w:val="000000"/>
                <w:sz w:val="22"/>
                <w:szCs w:val="22"/>
              </w:rPr>
              <w:t>PROPOSAL FOR A REGULATION OF THE EUROPEAN PARLIAMENT AND OF THE COUNCIL concerning measures to safeguard the security of gas supply and repealing Regulation (EU) No 994/2010</w:t>
            </w:r>
          </w:p>
        </w:tc>
        <w:tc>
          <w:tcPr>
            <w:tcW w:w="879" w:type="dxa"/>
            <w:tcBorders>
              <w:top w:val="single" w:color="auto" w:sz="4" w:space="0"/>
              <w:left w:val="single" w:color="auto" w:sz="4" w:space="0"/>
              <w:bottom w:val="single" w:color="auto" w:sz="4" w:space="0"/>
              <w:right w:val="single" w:color="auto" w:sz="4" w:space="0"/>
            </w:tcBorders>
            <w:shd w:val="clear" w:color="auto" w:fill="FF0000"/>
            <w:noWrap/>
            <w:vAlign w:val="bottom"/>
          </w:tcPr>
          <w:p w:rsidR="00B97785" w:rsidP="00B97785" w:rsidRDefault="00C26B12">
            <w:pPr>
              <w:rPr>
                <w:rFonts w:ascii="Calibri" w:hAnsi="Calibri"/>
                <w:color w:val="0000FF"/>
                <w:sz w:val="22"/>
                <w:szCs w:val="22"/>
                <w:u w:val="single"/>
              </w:rPr>
            </w:pPr>
            <w:hyperlink w:history="1" r:id="rId12">
              <w:r w:rsidR="00B97785">
                <w:rPr>
                  <w:rStyle w:val="Hyperlink"/>
                  <w:rFonts w:ascii="Calibri" w:hAnsi="Calibri"/>
                  <w:sz w:val="22"/>
                  <w:szCs w:val="22"/>
                </w:rPr>
                <w:t>52</w:t>
              </w:r>
            </w:hyperlink>
          </w:p>
          <w:p w:rsidR="00B97785" w:rsidP="00561848" w:rsidRDefault="00B97785">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0000"/>
            <w:noWrap/>
          </w:tcPr>
          <w:p w:rsidR="00B97785" w:rsidP="00B308FF" w:rsidRDefault="00B97785">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0000"/>
          </w:tcPr>
          <w:p w:rsidR="00B97785" w:rsidP="00B308FF" w:rsidRDefault="00492A7E">
            <w:pPr>
              <w:rPr>
                <w:rFonts w:ascii="Calibri" w:hAnsi="Calibri"/>
                <w:color w:val="000000"/>
                <w:sz w:val="22"/>
                <w:szCs w:val="22"/>
              </w:rPr>
            </w:pPr>
            <w:r>
              <w:rPr>
                <w:rFonts w:ascii="Calibri" w:hAnsi="Calibri"/>
                <w:color w:val="000000"/>
                <w:sz w:val="22"/>
                <w:szCs w:val="22"/>
              </w:rPr>
              <w:t>Het betreft hier een verordening welke onderdeel uitmaakt van het Energie Unie-pakket, een Ka</w:t>
            </w:r>
            <w:r w:rsidR="005D0B6F">
              <w:rPr>
                <w:rFonts w:ascii="Calibri" w:hAnsi="Calibri"/>
                <w:color w:val="000000"/>
                <w:sz w:val="22"/>
                <w:szCs w:val="22"/>
              </w:rPr>
              <w:t>merprioriteit (zie agendapunt 36</w:t>
            </w:r>
            <w:r>
              <w:rPr>
                <w:rFonts w:ascii="Calibri" w:hAnsi="Calibri"/>
                <w:color w:val="000000"/>
                <w:sz w:val="22"/>
                <w:szCs w:val="22"/>
              </w:rPr>
              <w:t>).</w:t>
            </w:r>
          </w:p>
        </w:tc>
      </w:tr>
      <w:tr w:rsidR="00B97785" w:rsidTr="00B977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0000"/>
            <w:noWrap/>
            <w:vAlign w:val="bottom"/>
          </w:tcPr>
          <w:p w:rsidR="00B97785" w:rsidP="00B308FF" w:rsidRDefault="00B97785">
            <w:pPr>
              <w:rPr>
                <w:rFonts w:ascii="Calibri" w:hAnsi="Calibri"/>
                <w:color w:val="000000"/>
                <w:sz w:val="22"/>
                <w:szCs w:val="22"/>
              </w:rPr>
            </w:pPr>
            <w:r>
              <w:rPr>
                <w:rFonts w:ascii="Calibri" w:hAnsi="Calibri"/>
                <w:color w:val="000000"/>
                <w:sz w:val="22"/>
                <w:szCs w:val="22"/>
              </w:rPr>
              <w:t>16-feb-16</w:t>
            </w:r>
          </w:p>
        </w:tc>
        <w:tc>
          <w:tcPr>
            <w:tcW w:w="992" w:type="dxa"/>
            <w:tcBorders>
              <w:top w:val="single" w:color="auto" w:sz="4" w:space="0"/>
              <w:left w:val="single" w:color="auto" w:sz="4" w:space="0"/>
              <w:bottom w:val="single" w:color="auto" w:sz="4" w:space="0"/>
              <w:right w:val="single" w:color="auto" w:sz="4" w:space="0"/>
            </w:tcBorders>
            <w:shd w:val="clear" w:color="auto" w:fill="FF0000"/>
            <w:vAlign w:val="bottom"/>
          </w:tcPr>
          <w:p w:rsidR="00B97785" w:rsidP="00B308FF" w:rsidRDefault="00B97785">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0000"/>
            <w:noWrap/>
            <w:vAlign w:val="bottom"/>
          </w:tcPr>
          <w:p w:rsidR="00B97785" w:rsidP="00B308FF" w:rsidRDefault="00B97785">
            <w:pPr>
              <w:rPr>
                <w:rFonts w:ascii="Calibri" w:hAnsi="Calibri"/>
                <w:color w:val="000000"/>
                <w:sz w:val="22"/>
                <w:szCs w:val="22"/>
              </w:rPr>
            </w:pPr>
            <w:r>
              <w:rPr>
                <w:rFonts w:ascii="Calibri" w:hAnsi="Calibri"/>
                <w:color w:val="000000"/>
                <w:sz w:val="22"/>
                <w:szCs w:val="22"/>
              </w:rPr>
              <w:t>besluit</w:t>
            </w:r>
          </w:p>
        </w:tc>
        <w:tc>
          <w:tcPr>
            <w:tcW w:w="6101" w:type="dxa"/>
            <w:tcBorders>
              <w:top w:val="single" w:color="auto" w:sz="4" w:space="0"/>
              <w:left w:val="nil"/>
              <w:bottom w:val="single" w:color="auto" w:sz="4" w:space="0"/>
              <w:right w:val="nil"/>
            </w:tcBorders>
            <w:shd w:val="clear" w:color="auto" w:fill="FF0000"/>
            <w:noWrap/>
          </w:tcPr>
          <w:p w:rsidR="00B97785" w:rsidP="00B308FF" w:rsidRDefault="00B97785">
            <w:pPr>
              <w:rPr>
                <w:rFonts w:ascii="Calibri" w:hAnsi="Calibri"/>
                <w:color w:val="000000"/>
                <w:sz w:val="22"/>
                <w:szCs w:val="22"/>
              </w:rPr>
            </w:pPr>
            <w:r>
              <w:rPr>
                <w:rFonts w:ascii="Calibri" w:hAnsi="Calibri"/>
                <w:color w:val="000000"/>
                <w:sz w:val="22"/>
                <w:szCs w:val="22"/>
              </w:rPr>
              <w:t>Voorstel voor een BESLUIT VAN HET EUROPEES PARLEMENT EN DE RAAD tot instelling van een mechanisme voor informatie-uitwisseling met betrekking tot intergouvernementele overeenkomsten en niet-bindende instrumenten tussen lidstaten en derde landen op energiegebied en tot intrekking van Besluit nr. 994/2012/EU.</w:t>
            </w:r>
          </w:p>
        </w:tc>
        <w:tc>
          <w:tcPr>
            <w:tcW w:w="879" w:type="dxa"/>
            <w:tcBorders>
              <w:top w:val="single" w:color="auto" w:sz="4" w:space="0"/>
              <w:left w:val="single" w:color="auto" w:sz="4" w:space="0"/>
              <w:bottom w:val="single" w:color="auto" w:sz="4" w:space="0"/>
              <w:right w:val="single" w:color="auto" w:sz="4" w:space="0"/>
            </w:tcBorders>
            <w:shd w:val="clear" w:color="auto" w:fill="FF0000"/>
            <w:noWrap/>
            <w:vAlign w:val="bottom"/>
          </w:tcPr>
          <w:p w:rsidR="00B97785" w:rsidP="00B97785" w:rsidRDefault="00C26B12">
            <w:pPr>
              <w:rPr>
                <w:rFonts w:ascii="Calibri" w:hAnsi="Calibri"/>
                <w:color w:val="0000FF"/>
                <w:sz w:val="22"/>
                <w:szCs w:val="22"/>
                <w:u w:val="single"/>
              </w:rPr>
            </w:pPr>
            <w:hyperlink w:history="1" r:id="rId13">
              <w:r w:rsidR="00B97785">
                <w:rPr>
                  <w:rStyle w:val="Hyperlink"/>
                  <w:rFonts w:ascii="Calibri" w:hAnsi="Calibri"/>
                  <w:sz w:val="22"/>
                  <w:szCs w:val="22"/>
                </w:rPr>
                <w:t>53</w:t>
              </w:r>
            </w:hyperlink>
          </w:p>
          <w:p w:rsidR="00B97785" w:rsidP="00561848" w:rsidRDefault="00B97785">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0000"/>
            <w:noWrap/>
          </w:tcPr>
          <w:p w:rsidR="00B97785" w:rsidP="00B308FF" w:rsidRDefault="00B97785">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0000"/>
          </w:tcPr>
          <w:p w:rsidR="00B97785" w:rsidP="00B308FF" w:rsidRDefault="00492A7E">
            <w:pPr>
              <w:rPr>
                <w:rFonts w:ascii="Calibri" w:hAnsi="Calibri"/>
                <w:color w:val="000000"/>
                <w:sz w:val="22"/>
                <w:szCs w:val="22"/>
              </w:rPr>
            </w:pPr>
            <w:r>
              <w:rPr>
                <w:rFonts w:ascii="Calibri" w:hAnsi="Calibri"/>
                <w:color w:val="000000"/>
                <w:sz w:val="22"/>
                <w:szCs w:val="22"/>
              </w:rPr>
              <w:t>Het betreft hier een verordening welke onderdeel uitmaakt van het Energie Unie-pakket, een Ka</w:t>
            </w:r>
            <w:r w:rsidR="005D0B6F">
              <w:rPr>
                <w:rFonts w:ascii="Calibri" w:hAnsi="Calibri"/>
                <w:color w:val="000000"/>
                <w:sz w:val="22"/>
                <w:szCs w:val="22"/>
              </w:rPr>
              <w:t>merprioriteit (zie agendapunt 37</w:t>
            </w:r>
            <w:r>
              <w:rPr>
                <w:rFonts w:ascii="Calibri" w:hAnsi="Calibri"/>
                <w:color w:val="000000"/>
                <w:sz w:val="22"/>
                <w:szCs w:val="22"/>
              </w:rPr>
              <w:t>).</w:t>
            </w:r>
          </w:p>
        </w:tc>
      </w:tr>
      <w:tr w:rsidR="00561848" w:rsidTr="00B308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23-feb-16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561848" w:rsidP="00B308FF" w:rsidRDefault="005618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561848" w:rsidP="00B308FF" w:rsidRDefault="00561848">
            <w:pPr>
              <w:rPr>
                <w:rFonts w:ascii="Calibri" w:hAnsi="Calibri"/>
                <w:color w:val="000000"/>
                <w:sz w:val="22"/>
                <w:szCs w:val="22"/>
              </w:rPr>
            </w:pPr>
            <w:r>
              <w:rPr>
                <w:rFonts w:ascii="Calibri" w:hAnsi="Calibri"/>
                <w:color w:val="000000"/>
                <w:sz w:val="22"/>
                <w:szCs w:val="22"/>
              </w:rPr>
              <w:t>Consultatie over het stroomlijnen van de plannings- en rapportageverplichtingen als onderdeel van de energie-unie governance.</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561848" w:rsidRDefault="00C26B12">
            <w:pPr>
              <w:rPr>
                <w:rFonts w:ascii="Calibri" w:hAnsi="Calibri"/>
                <w:color w:val="0000FF"/>
                <w:sz w:val="22"/>
                <w:szCs w:val="22"/>
                <w:u w:val="single"/>
              </w:rPr>
            </w:pPr>
            <w:hyperlink w:history="1" r:id="rId14">
              <w:r w:rsidR="00561848">
                <w:rPr>
                  <w:rStyle w:val="Hyperlink"/>
                  <w:rFonts w:ascii="Calibri" w:hAnsi="Calibri"/>
                  <w:sz w:val="22"/>
                  <w:szCs w:val="22"/>
                </w:rPr>
                <w:t>OR</w:t>
              </w:r>
            </w:hyperlink>
          </w:p>
          <w:p w:rsidR="00561848" w:rsidP="00B308FF" w:rsidRDefault="00561848"/>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561848" w:rsidP="00B308FF" w:rsidRDefault="005618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561848" w:rsidP="00B308FF" w:rsidRDefault="00561848">
            <w:pPr>
              <w:rPr>
                <w:rFonts w:ascii="Calibri" w:hAnsi="Calibri"/>
                <w:color w:val="000000"/>
                <w:sz w:val="22"/>
                <w:szCs w:val="22"/>
              </w:rPr>
            </w:pPr>
            <w:r>
              <w:rPr>
                <w:rFonts w:ascii="Calibri" w:hAnsi="Calibri"/>
                <w:color w:val="000000"/>
                <w:sz w:val="22"/>
                <w:szCs w:val="22"/>
              </w:rPr>
              <w:t>Deze raadpleging loopt tot en met 18 mei 2016.</w:t>
            </w:r>
            <w:r w:rsidRPr="00994716" w:rsidR="009D3665">
              <w:rPr>
                <w:rFonts w:ascii="Calibri" w:hAnsi="Calibri"/>
                <w:color w:val="000000"/>
                <w:sz w:val="22"/>
                <w:szCs w:val="22"/>
              </w:rPr>
              <w:t xml:space="preserve"> Voorstel: de regering verzoeken om aan te geven of zij een reactie zullen insturen en zo ja, of de Kamer </w:t>
            </w:r>
            <w:r w:rsidRPr="00994716" w:rsidR="009D3665">
              <w:rPr>
                <w:rFonts w:ascii="Calibri" w:hAnsi="Calibri"/>
                <w:color w:val="000000"/>
                <w:sz w:val="22"/>
                <w:szCs w:val="22"/>
              </w:rPr>
              <w:lastRenderedPageBreak/>
              <w:t>hier tijdig een concept van kan ontvangen zodat zij zich hierover nog kan uitspreken voordat de reactie aan de Europese Commissie wordt verzonden</w:t>
            </w:r>
            <w:r w:rsidR="009D3665">
              <w:rPr>
                <w:rFonts w:ascii="Calibri" w:hAnsi="Calibri"/>
                <w:color w:val="000000"/>
                <w:sz w:val="22"/>
                <w:szCs w:val="22"/>
              </w:rPr>
              <w:t>.</w:t>
            </w:r>
          </w:p>
        </w:tc>
      </w:tr>
      <w:tr w:rsidR="00561848" w:rsidTr="00B308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lastRenderedPageBreak/>
              <w:t>24-feb-16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561848" w:rsidP="00B308FF" w:rsidRDefault="005618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561848" w:rsidP="00B308FF" w:rsidRDefault="00561848">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00561848" w:rsidP="00B308FF" w:rsidRDefault="00561848">
            <w:pPr>
              <w:rPr>
                <w:rFonts w:ascii="Calibri" w:hAnsi="Calibri"/>
                <w:color w:val="000000"/>
                <w:sz w:val="22"/>
                <w:szCs w:val="22"/>
              </w:rPr>
            </w:pPr>
            <w:r>
              <w:rPr>
                <w:rFonts w:ascii="Calibri" w:hAnsi="Calibri"/>
                <w:color w:val="000000"/>
                <w:sz w:val="22"/>
                <w:szCs w:val="22"/>
              </w:rPr>
              <w:t>Evaluatie van het Europees Visserijfonds (EVF) en het voorgestelde nieuwe Europees Fonds voor maritieme zaken en visserij (EFMZV) na 2020.</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D3665" w:rsidP="009D3665" w:rsidRDefault="009D3665">
            <w:pPr>
              <w:rPr>
                <w:rFonts w:ascii="Calibri" w:hAnsi="Calibri"/>
                <w:color w:val="0000FF"/>
                <w:sz w:val="22"/>
                <w:szCs w:val="22"/>
                <w:u w:val="single"/>
              </w:rPr>
            </w:pPr>
            <w:r>
              <w:rPr>
                <w:rFonts w:ascii="Calibri" w:hAnsi="Calibri"/>
                <w:color w:val="0000FF"/>
                <w:sz w:val="22"/>
                <w:szCs w:val="22"/>
                <w:u w:val="single"/>
              </w:rPr>
              <w:t>OR</w:t>
            </w:r>
          </w:p>
          <w:p w:rsidR="00561848" w:rsidP="00561848" w:rsidRDefault="00561848">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561848" w:rsidP="00B308FF" w:rsidRDefault="005618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561848" w:rsidP="00561848" w:rsidRDefault="00561848">
            <w:pPr>
              <w:rPr>
                <w:rFonts w:ascii="Calibri" w:hAnsi="Calibri"/>
                <w:color w:val="000000"/>
                <w:sz w:val="22"/>
                <w:szCs w:val="22"/>
              </w:rPr>
            </w:pPr>
            <w:r>
              <w:rPr>
                <w:rFonts w:ascii="Calibri" w:hAnsi="Calibri"/>
                <w:color w:val="000000"/>
                <w:sz w:val="22"/>
                <w:szCs w:val="22"/>
              </w:rPr>
              <w:t>Deze raadpleging loopt tot en met 18 mei 2016.</w:t>
            </w:r>
            <w:r w:rsidRPr="00994716" w:rsidR="009D3665">
              <w:rPr>
                <w:rFonts w:ascii="Calibri" w:hAnsi="Calibri"/>
                <w:color w:val="000000"/>
                <w:sz w:val="22"/>
                <w:szCs w:val="22"/>
              </w:rPr>
              <w:t xml:space="preserve"> Voorstel: de regering verzoeken om aan te geven of zij een reactie zullen insturen en zo ja, of de Kamer hier tijdig een concept van kan ontvangen zodat zij zich hierover nog kan uitspreken voordat de reactie aan de Europese Commissie wordt verzonden</w:t>
            </w:r>
            <w:r w:rsidR="009D3665">
              <w:rPr>
                <w:rFonts w:ascii="Calibri" w:hAnsi="Calibri"/>
                <w:color w:val="000000"/>
                <w:sz w:val="22"/>
                <w:szCs w:val="22"/>
              </w:rPr>
              <w:t>.</w:t>
            </w:r>
          </w:p>
        </w:tc>
      </w:tr>
      <w:tr w:rsidR="009D3665" w:rsidTr="00B308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D3665" w:rsidP="00B308FF" w:rsidRDefault="009D3665">
            <w:pPr>
              <w:rPr>
                <w:rFonts w:ascii="Calibri" w:hAnsi="Calibri"/>
                <w:color w:val="000000"/>
                <w:sz w:val="22"/>
                <w:szCs w:val="22"/>
              </w:rPr>
            </w:pPr>
            <w:r>
              <w:rPr>
                <w:rFonts w:ascii="Calibri" w:hAnsi="Calibri"/>
                <w:color w:val="000000"/>
                <w:sz w:val="22"/>
                <w:szCs w:val="22"/>
              </w:rPr>
              <w:t>26-feb-16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9D3665" w:rsidP="00B308FF" w:rsidRDefault="009D3665">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9D3665" w:rsidP="00B308FF" w:rsidRDefault="009D3665">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009D3665" w:rsidP="00B308FF" w:rsidRDefault="009D3665">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Actieplan van de EU tegen de illegale handel in wilde dieren en planten.</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D3665" w:rsidP="00561848" w:rsidRDefault="00C26B12">
            <w:pPr>
              <w:rPr>
                <w:rFonts w:ascii="Calibri" w:hAnsi="Calibri"/>
                <w:color w:val="0000FF"/>
                <w:sz w:val="22"/>
                <w:szCs w:val="22"/>
                <w:u w:val="single"/>
              </w:rPr>
            </w:pPr>
            <w:hyperlink w:history="1" r:id="rId15">
              <w:r w:rsidR="009D3665">
                <w:rPr>
                  <w:rStyle w:val="Hyperlink"/>
                  <w:rFonts w:ascii="Calibri" w:hAnsi="Calibri"/>
                  <w:sz w:val="22"/>
                  <w:szCs w:val="22"/>
                </w:rPr>
                <w:t>87</w:t>
              </w:r>
            </w:hyperlink>
          </w:p>
          <w:p w:rsidR="009D3665" w:rsidP="00561848" w:rsidRDefault="009D3665">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9D3665" w:rsidP="00B308FF" w:rsidRDefault="009D3665">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9D3665" w:rsidP="00561848" w:rsidRDefault="008C102E">
            <w:pPr>
              <w:rPr>
                <w:rFonts w:ascii="Calibri" w:hAnsi="Calibri"/>
                <w:color w:val="000000"/>
                <w:sz w:val="22"/>
                <w:szCs w:val="22"/>
              </w:rPr>
            </w:pPr>
            <w:r>
              <w:rPr>
                <w:rFonts w:ascii="Calibri" w:hAnsi="Calibri"/>
                <w:color w:val="000000"/>
                <w:sz w:val="22"/>
                <w:szCs w:val="22"/>
              </w:rPr>
              <w:t xml:space="preserve">De Kamer zal een BNC-fiche ontvangen binnen de reguliere termijn van 6 weken na ontvangst van deze mededeling (dus uiterlijk 8 april 2016). </w:t>
            </w:r>
            <w:r w:rsidR="004571AA">
              <w:rPr>
                <w:rFonts w:ascii="Calibri" w:hAnsi="Calibri"/>
                <w:color w:val="000000"/>
                <w:sz w:val="22"/>
                <w:szCs w:val="22"/>
              </w:rPr>
              <w:t>Voorstel: BNC-fiche afwachten.</w:t>
            </w:r>
          </w:p>
        </w:tc>
      </w:tr>
    </w:tbl>
    <w:p w:rsidR="00561848" w:rsidP="00A50B72" w:rsidRDefault="00A50B72">
      <w:pPr>
        <w:pStyle w:val="Voetnoottekst"/>
        <w:tabs>
          <w:tab w:val="left" w:pos="9240"/>
        </w:tabs>
        <w:rPr>
          <w:rFonts w:asciiTheme="minorHAnsi" w:hAnsiTheme="minorHAnsi"/>
          <w:b/>
        </w:rPr>
      </w:pPr>
      <w:r>
        <w:rPr>
          <w:rFonts w:asciiTheme="minorHAnsi" w:hAnsiTheme="minorHAnsi"/>
          <w:b/>
        </w:rPr>
        <w:tab/>
      </w:r>
    </w:p>
    <w:p w:rsidR="00561848" w:rsidP="00561848" w:rsidRDefault="00561848">
      <w:pPr>
        <w:pStyle w:val="Voetnoottekst"/>
        <w:rPr>
          <w:rFonts w:asciiTheme="minorHAnsi" w:hAnsiTheme="minorHAnsi"/>
          <w:b/>
        </w:rPr>
      </w:pPr>
    </w:p>
    <w:p w:rsidR="00561848" w:rsidP="00561848" w:rsidRDefault="00561848">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561848" w:rsidP="00561848" w:rsidRDefault="00561848">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561848" w:rsidP="00561848" w:rsidRDefault="00561848">
      <w:pPr>
        <w:pStyle w:val="Voetnoottekst"/>
        <w:rPr>
          <w:rFonts w:asciiTheme="minorHAnsi" w:hAnsiTheme="minorHAnsi"/>
        </w:rPr>
      </w:pPr>
    </w:p>
    <w:p w:rsidRPr="00962F35" w:rsidR="00561848" w:rsidP="00561848" w:rsidRDefault="00561848">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561848" w:rsidTr="00B308FF">
        <w:tc>
          <w:tcPr>
            <w:tcW w:w="1384" w:type="dxa"/>
          </w:tcPr>
          <w:p w:rsidRPr="005C6EF4" w:rsidR="00561848" w:rsidP="00B308FF" w:rsidRDefault="00561848">
            <w:pPr>
              <w:pStyle w:val="Voetnoottekst"/>
              <w:rPr>
                <w:rFonts w:asciiTheme="minorHAnsi" w:hAnsiTheme="minorHAnsi"/>
                <w:b/>
              </w:rPr>
            </w:pPr>
            <w:r w:rsidRPr="005C6EF4">
              <w:rPr>
                <w:rFonts w:asciiTheme="minorHAnsi" w:hAnsiTheme="minorHAnsi"/>
                <w:b/>
              </w:rPr>
              <w:t>Onderwerp</w:t>
            </w:r>
          </w:p>
        </w:tc>
        <w:tc>
          <w:tcPr>
            <w:tcW w:w="4820" w:type="dxa"/>
          </w:tcPr>
          <w:p w:rsidRPr="005C6EF4" w:rsidR="00561848" w:rsidP="00B308FF" w:rsidRDefault="00561848">
            <w:pPr>
              <w:pStyle w:val="Voetnoottekst"/>
              <w:rPr>
                <w:rFonts w:asciiTheme="minorHAnsi" w:hAnsiTheme="minorHAnsi"/>
                <w:b/>
              </w:rPr>
            </w:pPr>
            <w:r w:rsidRPr="005C6EF4">
              <w:rPr>
                <w:rFonts w:asciiTheme="minorHAnsi" w:hAnsiTheme="minorHAnsi"/>
                <w:b/>
              </w:rPr>
              <w:t>Toelichting</w:t>
            </w:r>
          </w:p>
        </w:tc>
        <w:tc>
          <w:tcPr>
            <w:tcW w:w="3685" w:type="dxa"/>
          </w:tcPr>
          <w:p w:rsidRPr="005C6EF4" w:rsidR="00561848" w:rsidP="00B308FF" w:rsidRDefault="00561848">
            <w:pPr>
              <w:pStyle w:val="Voetnoottekst"/>
              <w:rPr>
                <w:rFonts w:asciiTheme="minorHAnsi" w:hAnsiTheme="minorHAnsi"/>
                <w:b/>
              </w:rPr>
            </w:pPr>
            <w:r w:rsidRPr="005C6EF4">
              <w:rPr>
                <w:rFonts w:asciiTheme="minorHAnsi" w:hAnsiTheme="minorHAnsi"/>
                <w:b/>
              </w:rPr>
              <w:t>Mogelijke beïnvloedingsmomenten nationale parlement</w:t>
            </w:r>
          </w:p>
        </w:tc>
      </w:tr>
      <w:tr w:rsidR="00561848" w:rsidTr="00B308FF">
        <w:tc>
          <w:tcPr>
            <w:tcW w:w="1384" w:type="dxa"/>
          </w:tcPr>
          <w:p w:rsidRPr="005C6EF4" w:rsidR="00561848" w:rsidP="00B308FF" w:rsidRDefault="00561848">
            <w:pPr>
              <w:pStyle w:val="Voetnoottekst"/>
              <w:rPr>
                <w:rFonts w:asciiTheme="minorHAnsi" w:hAnsiTheme="minorHAnsi"/>
              </w:rPr>
            </w:pPr>
            <w:r w:rsidRPr="005C6EF4">
              <w:rPr>
                <w:rFonts w:asciiTheme="minorHAnsi" w:hAnsiTheme="minorHAnsi"/>
              </w:rPr>
              <w:t>Groen- en witboek</w:t>
            </w:r>
          </w:p>
        </w:tc>
        <w:tc>
          <w:tcPr>
            <w:tcW w:w="4820" w:type="dxa"/>
          </w:tcPr>
          <w:p w:rsidRPr="005C6EF4" w:rsidR="00561848" w:rsidP="00B308FF" w:rsidRDefault="00561848">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561848" w:rsidP="00B308FF" w:rsidRDefault="00561848">
            <w:pPr>
              <w:pStyle w:val="Voetnoottekst"/>
              <w:rPr>
                <w:rFonts w:asciiTheme="minorHAnsi" w:hAnsiTheme="minorHAnsi"/>
              </w:rPr>
            </w:pPr>
            <w:r w:rsidRPr="005C6EF4">
              <w:rPr>
                <w:rFonts w:asciiTheme="minorHAnsi" w:hAnsiTheme="minorHAnsi"/>
                <w:u w:val="single"/>
              </w:rPr>
              <w:lastRenderedPageBreak/>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561848" w:rsidP="00B308FF" w:rsidRDefault="00561848">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561848" w:rsidP="00B308FF" w:rsidRDefault="00561848">
            <w:pPr>
              <w:pStyle w:val="Voetnoottekst"/>
              <w:rPr>
                <w:rFonts w:asciiTheme="minorHAnsi" w:hAnsiTheme="minorHAnsi"/>
              </w:rPr>
            </w:pPr>
          </w:p>
          <w:p w:rsidRPr="005C6EF4" w:rsidR="00561848" w:rsidP="00B308FF" w:rsidRDefault="00561848">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561848" w:rsidP="00B308FF" w:rsidRDefault="00561848">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561848" w:rsidP="00B308FF" w:rsidRDefault="00561848">
            <w:pPr>
              <w:pStyle w:val="Voetnoottekst"/>
              <w:rPr>
                <w:rFonts w:asciiTheme="minorHAnsi" w:hAnsiTheme="minorHAnsi"/>
              </w:rPr>
            </w:pPr>
            <w:r w:rsidRPr="005C6EF4">
              <w:rPr>
                <w:rFonts w:asciiTheme="minorHAnsi" w:hAnsiTheme="minorHAnsi"/>
              </w:rPr>
              <w:lastRenderedPageBreak/>
              <w:t>In commissieverband of via individuele fracties kan naar de Europese Commissie gereageerd worden.</w:t>
            </w:r>
          </w:p>
          <w:p w:rsidRPr="005C6EF4" w:rsidR="00561848" w:rsidP="00B308FF" w:rsidRDefault="00561848">
            <w:pPr>
              <w:pStyle w:val="Voetnoottekst"/>
              <w:rPr>
                <w:rFonts w:asciiTheme="minorHAnsi" w:hAnsiTheme="minorHAnsi"/>
              </w:rPr>
            </w:pPr>
            <w:r w:rsidRPr="005C6EF4">
              <w:rPr>
                <w:rFonts w:asciiTheme="minorHAnsi" w:hAnsiTheme="minorHAnsi"/>
              </w:rPr>
              <w:lastRenderedPageBreak/>
              <w:t>Commissie kan kabinet om appreciatie vragen en/of om afschrift van reactie kabinet op het groen- of wit boek</w:t>
            </w:r>
          </w:p>
          <w:p w:rsidRPr="005C6EF4" w:rsidR="00561848" w:rsidP="00B308FF" w:rsidRDefault="00561848">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561848" w:rsidP="00B308FF" w:rsidRDefault="00561848">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561848" w:rsidP="00B308FF" w:rsidRDefault="00561848">
            <w:pPr>
              <w:pStyle w:val="Voetnoottekst"/>
              <w:rPr>
                <w:rFonts w:asciiTheme="minorHAnsi" w:hAnsiTheme="minorHAnsi"/>
              </w:rPr>
            </w:pPr>
            <w:r w:rsidRPr="005C6EF4">
              <w:rPr>
                <w:rFonts w:asciiTheme="minorHAnsi" w:hAnsiTheme="minorHAnsi"/>
              </w:rPr>
              <w:t>BNC-fiche bespreken</w:t>
            </w:r>
          </w:p>
        </w:tc>
      </w:tr>
      <w:tr w:rsidR="00561848" w:rsidTr="00B308FF">
        <w:tc>
          <w:tcPr>
            <w:tcW w:w="1384" w:type="dxa"/>
          </w:tcPr>
          <w:p w:rsidRPr="005C6EF4" w:rsidR="00561848" w:rsidP="00B308FF" w:rsidRDefault="00561848">
            <w:pPr>
              <w:pStyle w:val="Voetnoottekst"/>
              <w:rPr>
                <w:rFonts w:asciiTheme="minorHAnsi" w:hAnsiTheme="minorHAnsi"/>
              </w:rPr>
            </w:pPr>
            <w:r w:rsidRPr="005C6EF4">
              <w:rPr>
                <w:rFonts w:asciiTheme="minorHAnsi" w:hAnsiTheme="minorHAnsi"/>
              </w:rPr>
              <w:lastRenderedPageBreak/>
              <w:t>Verordening</w:t>
            </w:r>
            <w:r>
              <w:rPr>
                <w:rFonts w:asciiTheme="minorHAnsi" w:hAnsiTheme="minorHAnsi"/>
              </w:rPr>
              <w:t xml:space="preserve"> + Richtlijn</w:t>
            </w:r>
          </w:p>
        </w:tc>
        <w:tc>
          <w:tcPr>
            <w:tcW w:w="4820" w:type="dxa"/>
          </w:tcPr>
          <w:p w:rsidR="00561848" w:rsidP="00B308FF" w:rsidRDefault="00561848">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561848" w:rsidP="00B308FF" w:rsidRDefault="00561848">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561848" w:rsidP="00B308FF" w:rsidRDefault="00561848">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561848" w:rsidP="00B308FF" w:rsidRDefault="00561848">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561848" w:rsidP="00B308FF" w:rsidRDefault="00561848">
            <w:pPr>
              <w:pStyle w:val="Voetnoottekst"/>
              <w:rPr>
                <w:rFonts w:asciiTheme="minorHAnsi" w:hAnsiTheme="minorHAnsi"/>
              </w:rPr>
            </w:pPr>
            <w:r w:rsidRPr="005C6EF4">
              <w:rPr>
                <w:rFonts w:asciiTheme="minorHAnsi" w:hAnsiTheme="minorHAnsi"/>
              </w:rPr>
              <w:t>Subsidiariteitstoets overwegen</w:t>
            </w:r>
          </w:p>
          <w:p w:rsidRPr="005C6EF4" w:rsidR="00561848" w:rsidP="00B308FF" w:rsidRDefault="00561848">
            <w:pPr>
              <w:pStyle w:val="Voetnoottekst"/>
              <w:rPr>
                <w:rFonts w:asciiTheme="minorHAnsi" w:hAnsiTheme="minorHAnsi"/>
              </w:rPr>
            </w:pPr>
            <w:r w:rsidRPr="005C6EF4">
              <w:rPr>
                <w:rFonts w:asciiTheme="minorHAnsi" w:hAnsiTheme="minorHAnsi"/>
              </w:rPr>
              <w:t>Behandelvoorbehoud overwegen</w:t>
            </w:r>
          </w:p>
          <w:p w:rsidRPr="005C6EF4" w:rsidR="00561848" w:rsidP="00B308FF" w:rsidRDefault="00561848">
            <w:pPr>
              <w:pStyle w:val="Voetnoottekst"/>
              <w:rPr>
                <w:rFonts w:asciiTheme="minorHAnsi" w:hAnsiTheme="minorHAnsi"/>
              </w:rPr>
            </w:pPr>
            <w:r w:rsidRPr="005C6EF4">
              <w:rPr>
                <w:rFonts w:asciiTheme="minorHAnsi" w:hAnsiTheme="minorHAnsi"/>
              </w:rPr>
              <w:t>BNC-fiche bespreken</w:t>
            </w:r>
          </w:p>
          <w:p w:rsidRPr="005C6EF4" w:rsidR="00561848" w:rsidP="00B308FF" w:rsidRDefault="00561848">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561848" w:rsidP="00B308FF" w:rsidRDefault="00561848">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561848" w:rsidP="00B308FF" w:rsidRDefault="00561848">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561848" w:rsidP="00B308FF" w:rsidRDefault="00561848">
            <w:pPr>
              <w:pStyle w:val="Voetnoottekst"/>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ijn naar nationale wetgeving)</w:t>
            </w:r>
          </w:p>
          <w:p w:rsidRPr="005C6EF4" w:rsidR="00561848" w:rsidP="00B308FF" w:rsidRDefault="00561848">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561848" w:rsidTr="00B308FF">
        <w:tc>
          <w:tcPr>
            <w:tcW w:w="1384" w:type="dxa"/>
          </w:tcPr>
          <w:p w:rsidRPr="005C6EF4" w:rsidR="00561848" w:rsidP="00B308FF" w:rsidRDefault="00561848">
            <w:pPr>
              <w:pStyle w:val="Voetnoottekst"/>
              <w:rPr>
                <w:rFonts w:asciiTheme="minorHAnsi" w:hAnsiTheme="minorHAnsi"/>
              </w:rPr>
            </w:pPr>
            <w:r w:rsidRPr="005C6EF4">
              <w:rPr>
                <w:rFonts w:asciiTheme="minorHAnsi" w:hAnsiTheme="minorHAnsi"/>
              </w:rPr>
              <w:t>Subsidiariteitstoets</w:t>
            </w:r>
            <w:r>
              <w:rPr>
                <w:rFonts w:asciiTheme="minorHAnsi" w:hAnsiTheme="minorHAnsi"/>
              </w:rPr>
              <w:t xml:space="preserve"> (ook gele kaart genoemd)</w:t>
            </w:r>
          </w:p>
        </w:tc>
        <w:tc>
          <w:tcPr>
            <w:tcW w:w="4820" w:type="dxa"/>
          </w:tcPr>
          <w:p w:rsidRPr="00921964" w:rsidR="00561848" w:rsidP="00B308FF" w:rsidRDefault="00561848">
            <w:pPr>
              <w:pStyle w:val="Lijstalinea"/>
              <w:rPr>
                <w:rFonts w:asciiTheme="minorHAnsi" w:hAnsiTheme="minorHAnsi"/>
                <w:sz w:val="20"/>
                <w:szCs w:val="20"/>
              </w:rPr>
            </w:pPr>
            <w:r w:rsidRPr="00921964">
              <w:rPr>
                <w:rFonts w:asciiTheme="minorHAnsi" w:hAnsiTheme="minorHAnsi"/>
                <w:sz w:val="20"/>
                <w:szCs w:val="20"/>
              </w:rPr>
              <w:t xml:space="preserve">Bij een gele kaart geeft een nationale Parlement aan de Europese Commissie aan dat het niet aan de EU is om hier actie op te nemen. Het is aan de Europese Commissie om hierop actie te ondernemen en haar voorstel te </w:t>
            </w:r>
            <w:r w:rsidRPr="00921964">
              <w:rPr>
                <w:rFonts w:asciiTheme="minorHAnsi" w:hAnsiTheme="minorHAnsi"/>
                <w:sz w:val="20"/>
                <w:szCs w:val="20"/>
              </w:rPr>
              <w:lastRenderedPageBreak/>
              <w:t>heroverwegen</w:t>
            </w:r>
          </w:p>
          <w:p w:rsidRPr="00921964" w:rsidR="00561848" w:rsidP="00B308FF" w:rsidRDefault="00561848">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561848" w:rsidP="00B308FF" w:rsidRDefault="00561848">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561848" w:rsidP="00B308FF" w:rsidRDefault="00561848">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561848" w:rsidP="00B308FF" w:rsidRDefault="00561848">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subsidiariteitstoets. </w:t>
            </w:r>
          </w:p>
          <w:p w:rsidR="00561848" w:rsidP="00B308FF" w:rsidRDefault="00561848">
            <w:pPr>
              <w:pStyle w:val="Voetnoottekst"/>
              <w:rPr>
                <w:rFonts w:asciiTheme="minorHAnsi" w:hAnsiTheme="minorHAnsi"/>
              </w:rPr>
            </w:pPr>
            <w:r>
              <w:rPr>
                <w:rFonts w:asciiTheme="minorHAnsi" w:hAnsiTheme="minorHAnsi"/>
              </w:rPr>
              <w:t>Dit moet binnen 8 weken na het uitkomen van het voorstel</w:t>
            </w:r>
          </w:p>
          <w:p w:rsidR="00561848" w:rsidP="00B308FF" w:rsidRDefault="00561848">
            <w:pPr>
              <w:pStyle w:val="Voetnoottekst"/>
              <w:rPr>
                <w:rFonts w:asciiTheme="minorHAnsi" w:hAnsiTheme="minorHAnsi"/>
              </w:rPr>
            </w:pPr>
          </w:p>
          <w:p w:rsidRPr="005C6EF4" w:rsidR="00561848" w:rsidP="00B308FF" w:rsidRDefault="00561848">
            <w:pPr>
              <w:pStyle w:val="Voetnoottekst"/>
              <w:rPr>
                <w:rFonts w:asciiTheme="minorHAnsi" w:hAnsiTheme="minorHAnsi"/>
              </w:rPr>
            </w:pPr>
          </w:p>
        </w:tc>
      </w:tr>
      <w:tr w:rsidR="00561848" w:rsidTr="00B308FF">
        <w:tc>
          <w:tcPr>
            <w:tcW w:w="1384" w:type="dxa"/>
          </w:tcPr>
          <w:p w:rsidRPr="005C6EF4" w:rsidR="00561848" w:rsidP="00B308FF" w:rsidRDefault="00561848">
            <w:pPr>
              <w:pStyle w:val="Voetnoottekst"/>
              <w:rPr>
                <w:rFonts w:asciiTheme="minorHAnsi" w:hAnsiTheme="minorHAnsi"/>
              </w:rPr>
            </w:pPr>
            <w:r w:rsidRPr="005C6EF4">
              <w:rPr>
                <w:rFonts w:asciiTheme="minorHAnsi" w:hAnsiTheme="minorHAnsi"/>
              </w:rPr>
              <w:lastRenderedPageBreak/>
              <w:t>Behandel</w:t>
            </w:r>
            <w:r>
              <w:rPr>
                <w:rFonts w:asciiTheme="minorHAnsi" w:hAnsiTheme="minorHAnsi"/>
              </w:rPr>
              <w:t>-</w:t>
            </w:r>
            <w:r w:rsidRPr="005C6EF4">
              <w:rPr>
                <w:rFonts w:asciiTheme="minorHAnsi" w:hAnsiTheme="minorHAnsi"/>
              </w:rPr>
              <w:t>voorbehoud</w:t>
            </w:r>
          </w:p>
        </w:tc>
        <w:tc>
          <w:tcPr>
            <w:tcW w:w="4820" w:type="dxa"/>
          </w:tcPr>
          <w:p w:rsidRPr="006D2BFD" w:rsidR="00561848" w:rsidP="00B308FF" w:rsidRDefault="00561848">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561848" w:rsidP="00B308FF" w:rsidRDefault="00561848">
            <w:pPr>
              <w:pStyle w:val="Lijstalinea"/>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561848" w:rsidP="00B308FF" w:rsidRDefault="00561848">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 xml:space="preserve">Zolang het behandelvoorbehoud niet besproken is, kan het kabinet tijdens de besprekingen in de </w:t>
            </w:r>
            <w:r w:rsidRPr="006D2BFD">
              <w:rPr>
                <w:rFonts w:eastAsia="Times New Roman" w:asciiTheme="minorHAnsi" w:hAnsiTheme="minorHAnsi"/>
                <w:sz w:val="20"/>
                <w:szCs w:val="20"/>
              </w:rPr>
              <w:lastRenderedPageBreak/>
              <w:t>Raadswerkgroep geen besluiten nemen die onomkeerbaar zijn.</w:t>
            </w:r>
          </w:p>
        </w:tc>
        <w:tc>
          <w:tcPr>
            <w:tcW w:w="3685" w:type="dxa"/>
          </w:tcPr>
          <w:p w:rsidR="00561848" w:rsidP="00B308FF" w:rsidRDefault="00561848">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behandelvoorbehoud. </w:t>
            </w:r>
          </w:p>
          <w:p w:rsidR="00561848" w:rsidP="00B308FF" w:rsidRDefault="00561848">
            <w:pPr>
              <w:pStyle w:val="Voetnoottekst"/>
              <w:rPr>
                <w:rFonts w:asciiTheme="minorHAnsi" w:hAnsiTheme="minorHAnsi"/>
              </w:rPr>
            </w:pPr>
            <w:r>
              <w:rPr>
                <w:rFonts w:asciiTheme="minorHAnsi" w:hAnsiTheme="minorHAnsi"/>
              </w:rPr>
              <w:t>Dit moet binnen 8 weken na het uitkomen van het voorstel</w:t>
            </w:r>
          </w:p>
          <w:p w:rsidR="00561848" w:rsidP="00B308FF" w:rsidRDefault="00561848">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561848" w:rsidP="00B308FF" w:rsidRDefault="00561848">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561848" w:rsidTr="00B308FF">
        <w:tc>
          <w:tcPr>
            <w:tcW w:w="1384" w:type="dxa"/>
          </w:tcPr>
          <w:p w:rsidRPr="005C6EF4" w:rsidR="00561848" w:rsidP="00B308FF" w:rsidRDefault="00561848">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561848" w:rsidP="00B308FF" w:rsidRDefault="00561848">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561848" w:rsidP="00B308FF" w:rsidRDefault="00561848">
            <w:pPr>
              <w:pStyle w:val="Voetnoottekst"/>
              <w:rPr>
                <w:rFonts w:asciiTheme="minorHAnsi" w:hAnsiTheme="minorHAnsi"/>
              </w:rPr>
            </w:pPr>
            <w:r>
              <w:rPr>
                <w:rFonts w:asciiTheme="minorHAnsi" w:hAnsiTheme="minorHAnsi"/>
              </w:rPr>
              <w:t>In commissieverband meedoen aan de openbare raadpleging</w:t>
            </w:r>
          </w:p>
          <w:p w:rsidR="00561848" w:rsidP="00B308FF" w:rsidRDefault="00561848">
            <w:pPr>
              <w:pStyle w:val="Voetnoottekst"/>
              <w:rPr>
                <w:rFonts w:asciiTheme="minorHAnsi" w:hAnsiTheme="minorHAnsi"/>
              </w:rPr>
            </w:pPr>
            <w:r>
              <w:rPr>
                <w:rFonts w:asciiTheme="minorHAnsi" w:hAnsiTheme="minorHAnsi"/>
              </w:rPr>
              <w:t>Aan fracties overlaten om mee te doen aan de openbare raadpleging</w:t>
            </w:r>
          </w:p>
          <w:p w:rsidRPr="005C6EF4" w:rsidR="00561848" w:rsidP="00B308FF" w:rsidRDefault="00561848">
            <w:pPr>
              <w:pStyle w:val="Voetnoottekst"/>
              <w:rPr>
                <w:rFonts w:asciiTheme="minorHAnsi" w:hAnsiTheme="minorHAnsi"/>
              </w:rPr>
            </w:pPr>
            <w:r>
              <w:rPr>
                <w:rFonts w:asciiTheme="minorHAnsi" w:hAnsiTheme="minorHAnsi"/>
              </w:rPr>
              <w:t>Kabinet verzoeken de inbreng aan de openbare raadpleging naar de Tweede Kamer te sturen</w:t>
            </w:r>
          </w:p>
        </w:tc>
      </w:tr>
      <w:tr w:rsidR="00561848" w:rsidTr="00B308FF">
        <w:tc>
          <w:tcPr>
            <w:tcW w:w="1384" w:type="dxa"/>
          </w:tcPr>
          <w:p w:rsidRPr="005C6EF4" w:rsidR="00561848" w:rsidP="00B308FF" w:rsidRDefault="00561848">
            <w:pPr>
              <w:pStyle w:val="Voetnoottekst"/>
              <w:rPr>
                <w:rFonts w:asciiTheme="minorHAnsi" w:hAnsiTheme="minorHAnsi"/>
              </w:rPr>
            </w:pPr>
            <w:r w:rsidRPr="005C6EF4">
              <w:rPr>
                <w:rFonts w:asciiTheme="minorHAnsi" w:hAnsiTheme="minorHAnsi"/>
              </w:rPr>
              <w:t>Roadmap</w:t>
            </w:r>
          </w:p>
        </w:tc>
        <w:tc>
          <w:tcPr>
            <w:tcW w:w="4820" w:type="dxa"/>
          </w:tcPr>
          <w:p w:rsidRPr="002140D2" w:rsidR="00561848" w:rsidP="00B308FF" w:rsidRDefault="00561848">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561848" w:rsidP="00B308FF" w:rsidRDefault="00561848">
            <w:pPr>
              <w:pStyle w:val="Voetnoottekst"/>
              <w:rPr>
                <w:rFonts w:asciiTheme="minorHAnsi" w:hAnsiTheme="minorHAnsi"/>
              </w:rPr>
            </w:pPr>
            <w:r>
              <w:rPr>
                <w:rFonts w:asciiTheme="minorHAnsi" w:hAnsiTheme="minorHAnsi"/>
              </w:rPr>
              <w:t>Tijdens algemeen overleg minister vragen om appreciatie van het traject van de roadmap</w:t>
            </w:r>
          </w:p>
          <w:p w:rsidR="00561848" w:rsidP="00B308FF" w:rsidRDefault="00561848">
            <w:pPr>
              <w:pStyle w:val="Voetnoottekst"/>
              <w:rPr>
                <w:rFonts w:asciiTheme="minorHAnsi" w:hAnsiTheme="minorHAnsi"/>
              </w:rPr>
            </w:pPr>
            <w:r>
              <w:rPr>
                <w:rFonts w:asciiTheme="minorHAnsi" w:hAnsiTheme="minorHAnsi"/>
              </w:rPr>
              <w:t>Aangekondigde Openbare raadpleging afwachten</w:t>
            </w:r>
          </w:p>
          <w:p w:rsidRPr="005C6EF4" w:rsidR="00561848" w:rsidP="00B308FF" w:rsidRDefault="00561848">
            <w:pPr>
              <w:pStyle w:val="Voetnoottekst"/>
              <w:rPr>
                <w:rFonts w:asciiTheme="minorHAnsi" w:hAnsiTheme="minorHAnsi"/>
              </w:rPr>
            </w:pPr>
            <w:r>
              <w:rPr>
                <w:rFonts w:asciiTheme="minorHAnsi" w:hAnsiTheme="minorHAnsi"/>
              </w:rPr>
              <w:t>BNC-fiche afwachten</w:t>
            </w:r>
          </w:p>
        </w:tc>
      </w:tr>
    </w:tbl>
    <w:p w:rsidRPr="00CE1B84" w:rsidR="00561848" w:rsidP="00561848" w:rsidRDefault="00561848">
      <w:pPr>
        <w:pStyle w:val="Voetnoottekst"/>
        <w:rPr>
          <w:rFonts w:asciiTheme="minorHAnsi" w:hAnsiTheme="minorHAnsi"/>
        </w:rPr>
      </w:pPr>
    </w:p>
    <w:p w:rsidR="00561848" w:rsidP="00561848" w:rsidRDefault="00561848"/>
    <w:p w:rsidR="00561848" w:rsidP="00561848" w:rsidRDefault="00561848"/>
    <w:p w:rsidR="00561848" w:rsidP="00561848" w:rsidRDefault="00561848"/>
    <w:p w:rsidR="00561848" w:rsidP="00561848" w:rsidRDefault="00561848"/>
    <w:p w:rsidR="00561848" w:rsidP="00561848" w:rsidRDefault="00561848"/>
    <w:p w:rsidR="00561848" w:rsidP="00561848" w:rsidRDefault="00561848"/>
    <w:p w:rsidR="0046131B" w:rsidRDefault="0046131B"/>
    <w:sectPr w:rsidR="0046131B" w:rsidSect="00BF35EE">
      <w:footerReference w:type="default" r:id="rId1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2B" w:rsidRDefault="008C102E">
      <w:r>
        <w:separator/>
      </w:r>
    </w:p>
  </w:endnote>
  <w:endnote w:type="continuationSeparator" w:id="0">
    <w:p w:rsidR="00725A2B" w:rsidRDefault="008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492A7E">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C26B12">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C26B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2B" w:rsidRDefault="008C102E">
      <w:r>
        <w:separator/>
      </w:r>
    </w:p>
  </w:footnote>
  <w:footnote w:type="continuationSeparator" w:id="0">
    <w:p w:rsidR="00725A2B" w:rsidRDefault="008C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48"/>
    <w:rsid w:val="00084D8C"/>
    <w:rsid w:val="000966D1"/>
    <w:rsid w:val="00234031"/>
    <w:rsid w:val="00433D6E"/>
    <w:rsid w:val="004571AA"/>
    <w:rsid w:val="0046131B"/>
    <w:rsid w:val="00492A7E"/>
    <w:rsid w:val="00561848"/>
    <w:rsid w:val="005D0B6F"/>
    <w:rsid w:val="00725A2B"/>
    <w:rsid w:val="008554F2"/>
    <w:rsid w:val="008C102E"/>
    <w:rsid w:val="009D3665"/>
    <w:rsid w:val="00A50B72"/>
    <w:rsid w:val="00B97785"/>
    <w:rsid w:val="00C26B12"/>
    <w:rsid w:val="00F94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184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61848"/>
    <w:pPr>
      <w:tabs>
        <w:tab w:val="center" w:pos="4536"/>
        <w:tab w:val="right" w:pos="9072"/>
      </w:tabs>
    </w:pPr>
  </w:style>
  <w:style w:type="character" w:customStyle="1" w:styleId="VoettekstChar">
    <w:name w:val="Voettekst Char"/>
    <w:basedOn w:val="Standaardalinea-lettertype"/>
    <w:link w:val="Voettekst"/>
    <w:uiPriority w:val="99"/>
    <w:rsid w:val="00561848"/>
    <w:rPr>
      <w:sz w:val="24"/>
      <w:szCs w:val="24"/>
    </w:rPr>
  </w:style>
  <w:style w:type="character" w:styleId="Hyperlink">
    <w:name w:val="Hyperlink"/>
    <w:basedOn w:val="Standaardalinea-lettertype"/>
    <w:uiPriority w:val="99"/>
    <w:unhideWhenUsed/>
    <w:rsid w:val="00561848"/>
    <w:rPr>
      <w:color w:val="0000FF"/>
      <w:u w:val="single"/>
    </w:rPr>
  </w:style>
  <w:style w:type="character" w:styleId="Zwaar">
    <w:name w:val="Strong"/>
    <w:basedOn w:val="Standaardalinea-lettertype"/>
    <w:uiPriority w:val="22"/>
    <w:qFormat/>
    <w:rsid w:val="00561848"/>
    <w:rPr>
      <w:b/>
      <w:bCs/>
    </w:rPr>
  </w:style>
  <w:style w:type="paragraph" w:styleId="Voetnoottekst">
    <w:name w:val="footnote text"/>
    <w:basedOn w:val="Standaard"/>
    <w:link w:val="VoetnoottekstChar"/>
    <w:rsid w:val="00561848"/>
    <w:rPr>
      <w:sz w:val="20"/>
      <w:szCs w:val="20"/>
    </w:rPr>
  </w:style>
  <w:style w:type="character" w:customStyle="1" w:styleId="VoetnoottekstChar">
    <w:name w:val="Voetnoottekst Char"/>
    <w:basedOn w:val="Standaardalinea-lettertype"/>
    <w:link w:val="Voetnoottekst"/>
    <w:rsid w:val="00561848"/>
  </w:style>
  <w:style w:type="paragraph" w:styleId="Normaalweb">
    <w:name w:val="Normal (Web)"/>
    <w:basedOn w:val="Standaard"/>
    <w:uiPriority w:val="99"/>
    <w:unhideWhenUsed/>
    <w:rsid w:val="00561848"/>
    <w:pPr>
      <w:spacing w:before="100" w:beforeAutospacing="1" w:after="100" w:afterAutospacing="1"/>
    </w:pPr>
  </w:style>
  <w:style w:type="table" w:styleId="Tabelraster">
    <w:name w:val="Table Grid"/>
    <w:basedOn w:val="Standaardtabel"/>
    <w:rsid w:val="0056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1848"/>
    <w:pPr>
      <w:ind w:left="720"/>
    </w:pPr>
    <w:rPr>
      <w:rFonts w:eastAsiaTheme="minorHAnsi"/>
    </w:rPr>
  </w:style>
  <w:style w:type="character" w:styleId="GevolgdeHyperlink">
    <w:name w:val="FollowedHyperlink"/>
    <w:basedOn w:val="Standaardalinea-lettertype"/>
    <w:rsid w:val="008C1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184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61848"/>
    <w:pPr>
      <w:tabs>
        <w:tab w:val="center" w:pos="4536"/>
        <w:tab w:val="right" w:pos="9072"/>
      </w:tabs>
    </w:pPr>
  </w:style>
  <w:style w:type="character" w:customStyle="1" w:styleId="VoettekstChar">
    <w:name w:val="Voettekst Char"/>
    <w:basedOn w:val="Standaardalinea-lettertype"/>
    <w:link w:val="Voettekst"/>
    <w:uiPriority w:val="99"/>
    <w:rsid w:val="00561848"/>
    <w:rPr>
      <w:sz w:val="24"/>
      <w:szCs w:val="24"/>
    </w:rPr>
  </w:style>
  <w:style w:type="character" w:styleId="Hyperlink">
    <w:name w:val="Hyperlink"/>
    <w:basedOn w:val="Standaardalinea-lettertype"/>
    <w:uiPriority w:val="99"/>
    <w:unhideWhenUsed/>
    <w:rsid w:val="00561848"/>
    <w:rPr>
      <w:color w:val="0000FF"/>
      <w:u w:val="single"/>
    </w:rPr>
  </w:style>
  <w:style w:type="character" w:styleId="Zwaar">
    <w:name w:val="Strong"/>
    <w:basedOn w:val="Standaardalinea-lettertype"/>
    <w:uiPriority w:val="22"/>
    <w:qFormat/>
    <w:rsid w:val="00561848"/>
    <w:rPr>
      <w:b/>
      <w:bCs/>
    </w:rPr>
  </w:style>
  <w:style w:type="paragraph" w:styleId="Voetnoottekst">
    <w:name w:val="footnote text"/>
    <w:basedOn w:val="Standaard"/>
    <w:link w:val="VoetnoottekstChar"/>
    <w:rsid w:val="00561848"/>
    <w:rPr>
      <w:sz w:val="20"/>
      <w:szCs w:val="20"/>
    </w:rPr>
  </w:style>
  <w:style w:type="character" w:customStyle="1" w:styleId="VoetnoottekstChar">
    <w:name w:val="Voetnoottekst Char"/>
    <w:basedOn w:val="Standaardalinea-lettertype"/>
    <w:link w:val="Voetnoottekst"/>
    <w:rsid w:val="00561848"/>
  </w:style>
  <w:style w:type="paragraph" w:styleId="Normaalweb">
    <w:name w:val="Normal (Web)"/>
    <w:basedOn w:val="Standaard"/>
    <w:uiPriority w:val="99"/>
    <w:unhideWhenUsed/>
    <w:rsid w:val="00561848"/>
    <w:pPr>
      <w:spacing w:before="100" w:beforeAutospacing="1" w:after="100" w:afterAutospacing="1"/>
    </w:pPr>
  </w:style>
  <w:style w:type="table" w:styleId="Tabelraster">
    <w:name w:val="Table Grid"/>
    <w:basedOn w:val="Standaardtabel"/>
    <w:rsid w:val="0056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1848"/>
    <w:pPr>
      <w:ind w:left="720"/>
    </w:pPr>
    <w:rPr>
      <w:rFonts w:eastAsiaTheme="minorHAnsi"/>
    </w:rPr>
  </w:style>
  <w:style w:type="character" w:styleId="GevolgdeHyperlink">
    <w:name w:val="FollowedHyperlink"/>
    <w:basedOn w:val="Standaardalinea-lettertype"/>
    <w:rsid w:val="008C1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6234">
      <w:bodyDiv w:val="1"/>
      <w:marLeft w:val="0"/>
      <w:marRight w:val="0"/>
      <w:marTop w:val="0"/>
      <w:marBottom w:val="0"/>
      <w:divBdr>
        <w:top w:val="none" w:sz="0" w:space="0" w:color="auto"/>
        <w:left w:val="none" w:sz="0" w:space="0" w:color="auto"/>
        <w:bottom w:val="none" w:sz="0" w:space="0" w:color="auto"/>
        <w:right w:val="none" w:sz="0" w:space="0" w:color="auto"/>
      </w:divBdr>
    </w:div>
    <w:div w:id="214243107">
      <w:bodyDiv w:val="1"/>
      <w:marLeft w:val="0"/>
      <w:marRight w:val="0"/>
      <w:marTop w:val="0"/>
      <w:marBottom w:val="0"/>
      <w:divBdr>
        <w:top w:val="none" w:sz="0" w:space="0" w:color="auto"/>
        <w:left w:val="none" w:sz="0" w:space="0" w:color="auto"/>
        <w:bottom w:val="none" w:sz="0" w:space="0" w:color="auto"/>
        <w:right w:val="none" w:sz="0" w:space="0" w:color="auto"/>
      </w:divBdr>
    </w:div>
    <w:div w:id="227306906">
      <w:bodyDiv w:val="1"/>
      <w:marLeft w:val="0"/>
      <w:marRight w:val="0"/>
      <w:marTop w:val="0"/>
      <w:marBottom w:val="0"/>
      <w:divBdr>
        <w:top w:val="none" w:sz="0" w:space="0" w:color="auto"/>
        <w:left w:val="none" w:sz="0" w:space="0" w:color="auto"/>
        <w:bottom w:val="none" w:sz="0" w:space="0" w:color="auto"/>
        <w:right w:val="none" w:sz="0" w:space="0" w:color="auto"/>
      </w:divBdr>
    </w:div>
    <w:div w:id="310404114">
      <w:bodyDiv w:val="1"/>
      <w:marLeft w:val="0"/>
      <w:marRight w:val="0"/>
      <w:marTop w:val="0"/>
      <w:marBottom w:val="0"/>
      <w:divBdr>
        <w:top w:val="none" w:sz="0" w:space="0" w:color="auto"/>
        <w:left w:val="none" w:sz="0" w:space="0" w:color="auto"/>
        <w:bottom w:val="none" w:sz="0" w:space="0" w:color="auto"/>
        <w:right w:val="none" w:sz="0" w:space="0" w:color="auto"/>
      </w:divBdr>
    </w:div>
    <w:div w:id="374819583">
      <w:bodyDiv w:val="1"/>
      <w:marLeft w:val="0"/>
      <w:marRight w:val="0"/>
      <w:marTop w:val="0"/>
      <w:marBottom w:val="0"/>
      <w:divBdr>
        <w:top w:val="none" w:sz="0" w:space="0" w:color="auto"/>
        <w:left w:val="none" w:sz="0" w:space="0" w:color="auto"/>
        <w:bottom w:val="none" w:sz="0" w:space="0" w:color="auto"/>
        <w:right w:val="none" w:sz="0" w:space="0" w:color="auto"/>
      </w:divBdr>
    </w:div>
    <w:div w:id="503668808">
      <w:bodyDiv w:val="1"/>
      <w:marLeft w:val="0"/>
      <w:marRight w:val="0"/>
      <w:marTop w:val="0"/>
      <w:marBottom w:val="0"/>
      <w:divBdr>
        <w:top w:val="none" w:sz="0" w:space="0" w:color="auto"/>
        <w:left w:val="none" w:sz="0" w:space="0" w:color="auto"/>
        <w:bottom w:val="none" w:sz="0" w:space="0" w:color="auto"/>
        <w:right w:val="none" w:sz="0" w:space="0" w:color="auto"/>
      </w:divBdr>
    </w:div>
    <w:div w:id="678044169">
      <w:bodyDiv w:val="1"/>
      <w:marLeft w:val="0"/>
      <w:marRight w:val="0"/>
      <w:marTop w:val="0"/>
      <w:marBottom w:val="0"/>
      <w:divBdr>
        <w:top w:val="none" w:sz="0" w:space="0" w:color="auto"/>
        <w:left w:val="none" w:sz="0" w:space="0" w:color="auto"/>
        <w:bottom w:val="none" w:sz="0" w:space="0" w:color="auto"/>
        <w:right w:val="none" w:sz="0" w:space="0" w:color="auto"/>
      </w:divBdr>
    </w:div>
    <w:div w:id="690179400">
      <w:bodyDiv w:val="1"/>
      <w:marLeft w:val="0"/>
      <w:marRight w:val="0"/>
      <w:marTop w:val="0"/>
      <w:marBottom w:val="0"/>
      <w:divBdr>
        <w:top w:val="none" w:sz="0" w:space="0" w:color="auto"/>
        <w:left w:val="none" w:sz="0" w:space="0" w:color="auto"/>
        <w:bottom w:val="none" w:sz="0" w:space="0" w:color="auto"/>
        <w:right w:val="none" w:sz="0" w:space="0" w:color="auto"/>
      </w:divBdr>
    </w:div>
    <w:div w:id="741635669">
      <w:bodyDiv w:val="1"/>
      <w:marLeft w:val="0"/>
      <w:marRight w:val="0"/>
      <w:marTop w:val="0"/>
      <w:marBottom w:val="0"/>
      <w:divBdr>
        <w:top w:val="none" w:sz="0" w:space="0" w:color="auto"/>
        <w:left w:val="none" w:sz="0" w:space="0" w:color="auto"/>
        <w:bottom w:val="none" w:sz="0" w:space="0" w:color="auto"/>
        <w:right w:val="none" w:sz="0" w:space="0" w:color="auto"/>
      </w:divBdr>
    </w:div>
    <w:div w:id="749154137">
      <w:bodyDiv w:val="1"/>
      <w:marLeft w:val="0"/>
      <w:marRight w:val="0"/>
      <w:marTop w:val="0"/>
      <w:marBottom w:val="0"/>
      <w:divBdr>
        <w:top w:val="none" w:sz="0" w:space="0" w:color="auto"/>
        <w:left w:val="none" w:sz="0" w:space="0" w:color="auto"/>
        <w:bottom w:val="none" w:sz="0" w:space="0" w:color="auto"/>
        <w:right w:val="none" w:sz="0" w:space="0" w:color="auto"/>
      </w:divBdr>
    </w:div>
    <w:div w:id="788159585">
      <w:bodyDiv w:val="1"/>
      <w:marLeft w:val="0"/>
      <w:marRight w:val="0"/>
      <w:marTop w:val="0"/>
      <w:marBottom w:val="0"/>
      <w:divBdr>
        <w:top w:val="none" w:sz="0" w:space="0" w:color="auto"/>
        <w:left w:val="none" w:sz="0" w:space="0" w:color="auto"/>
        <w:bottom w:val="none" w:sz="0" w:space="0" w:color="auto"/>
        <w:right w:val="none" w:sz="0" w:space="0" w:color="auto"/>
      </w:divBdr>
    </w:div>
    <w:div w:id="933123557">
      <w:bodyDiv w:val="1"/>
      <w:marLeft w:val="0"/>
      <w:marRight w:val="0"/>
      <w:marTop w:val="0"/>
      <w:marBottom w:val="0"/>
      <w:divBdr>
        <w:top w:val="none" w:sz="0" w:space="0" w:color="auto"/>
        <w:left w:val="none" w:sz="0" w:space="0" w:color="auto"/>
        <w:bottom w:val="none" w:sz="0" w:space="0" w:color="auto"/>
        <w:right w:val="none" w:sz="0" w:space="0" w:color="auto"/>
      </w:divBdr>
    </w:div>
    <w:div w:id="992372234">
      <w:bodyDiv w:val="1"/>
      <w:marLeft w:val="0"/>
      <w:marRight w:val="0"/>
      <w:marTop w:val="0"/>
      <w:marBottom w:val="0"/>
      <w:divBdr>
        <w:top w:val="none" w:sz="0" w:space="0" w:color="auto"/>
        <w:left w:val="none" w:sz="0" w:space="0" w:color="auto"/>
        <w:bottom w:val="none" w:sz="0" w:space="0" w:color="auto"/>
        <w:right w:val="none" w:sz="0" w:space="0" w:color="auto"/>
      </w:divBdr>
    </w:div>
    <w:div w:id="1036468968">
      <w:bodyDiv w:val="1"/>
      <w:marLeft w:val="0"/>
      <w:marRight w:val="0"/>
      <w:marTop w:val="0"/>
      <w:marBottom w:val="0"/>
      <w:divBdr>
        <w:top w:val="none" w:sz="0" w:space="0" w:color="auto"/>
        <w:left w:val="none" w:sz="0" w:space="0" w:color="auto"/>
        <w:bottom w:val="none" w:sz="0" w:space="0" w:color="auto"/>
        <w:right w:val="none" w:sz="0" w:space="0" w:color="auto"/>
      </w:divBdr>
    </w:div>
    <w:div w:id="1243486163">
      <w:bodyDiv w:val="1"/>
      <w:marLeft w:val="0"/>
      <w:marRight w:val="0"/>
      <w:marTop w:val="0"/>
      <w:marBottom w:val="0"/>
      <w:divBdr>
        <w:top w:val="none" w:sz="0" w:space="0" w:color="auto"/>
        <w:left w:val="none" w:sz="0" w:space="0" w:color="auto"/>
        <w:bottom w:val="none" w:sz="0" w:space="0" w:color="auto"/>
        <w:right w:val="none" w:sz="0" w:space="0" w:color="auto"/>
      </w:divBdr>
    </w:div>
    <w:div w:id="1545412727">
      <w:bodyDiv w:val="1"/>
      <w:marLeft w:val="0"/>
      <w:marRight w:val="0"/>
      <w:marTop w:val="0"/>
      <w:marBottom w:val="0"/>
      <w:divBdr>
        <w:top w:val="none" w:sz="0" w:space="0" w:color="auto"/>
        <w:left w:val="none" w:sz="0" w:space="0" w:color="auto"/>
        <w:bottom w:val="none" w:sz="0" w:space="0" w:color="auto"/>
        <w:right w:val="none" w:sz="0" w:space="0" w:color="auto"/>
      </w:divBdr>
    </w:div>
    <w:div w:id="1557473035">
      <w:bodyDiv w:val="1"/>
      <w:marLeft w:val="0"/>
      <w:marRight w:val="0"/>
      <w:marTop w:val="0"/>
      <w:marBottom w:val="0"/>
      <w:divBdr>
        <w:top w:val="none" w:sz="0" w:space="0" w:color="auto"/>
        <w:left w:val="none" w:sz="0" w:space="0" w:color="auto"/>
        <w:bottom w:val="none" w:sz="0" w:space="0" w:color="auto"/>
        <w:right w:val="none" w:sz="0" w:space="0" w:color="auto"/>
      </w:divBdr>
    </w:div>
    <w:div w:id="1646736678">
      <w:bodyDiv w:val="1"/>
      <w:marLeft w:val="0"/>
      <w:marRight w:val="0"/>
      <w:marTop w:val="0"/>
      <w:marBottom w:val="0"/>
      <w:divBdr>
        <w:top w:val="none" w:sz="0" w:space="0" w:color="auto"/>
        <w:left w:val="none" w:sz="0" w:space="0" w:color="auto"/>
        <w:bottom w:val="none" w:sz="0" w:space="0" w:color="auto"/>
        <w:right w:val="none" w:sz="0" w:space="0" w:color="auto"/>
      </w:divBdr>
    </w:div>
    <w:div w:id="1649088645">
      <w:bodyDiv w:val="1"/>
      <w:marLeft w:val="0"/>
      <w:marRight w:val="0"/>
      <w:marTop w:val="0"/>
      <w:marBottom w:val="0"/>
      <w:divBdr>
        <w:top w:val="none" w:sz="0" w:space="0" w:color="auto"/>
        <w:left w:val="none" w:sz="0" w:space="0" w:color="auto"/>
        <w:bottom w:val="none" w:sz="0" w:space="0" w:color="auto"/>
        <w:right w:val="none" w:sz="0" w:space="0" w:color="auto"/>
      </w:divBdr>
    </w:div>
    <w:div w:id="1654286276">
      <w:bodyDiv w:val="1"/>
      <w:marLeft w:val="0"/>
      <w:marRight w:val="0"/>
      <w:marTop w:val="0"/>
      <w:marBottom w:val="0"/>
      <w:divBdr>
        <w:top w:val="none" w:sz="0" w:space="0" w:color="auto"/>
        <w:left w:val="none" w:sz="0" w:space="0" w:color="auto"/>
        <w:bottom w:val="none" w:sz="0" w:space="0" w:color="auto"/>
        <w:right w:val="none" w:sz="0" w:space="0" w:color="auto"/>
      </w:divBdr>
    </w:div>
    <w:div w:id="1670251030">
      <w:bodyDiv w:val="1"/>
      <w:marLeft w:val="0"/>
      <w:marRight w:val="0"/>
      <w:marTop w:val="0"/>
      <w:marBottom w:val="0"/>
      <w:divBdr>
        <w:top w:val="none" w:sz="0" w:space="0" w:color="auto"/>
        <w:left w:val="none" w:sz="0" w:space="0" w:color="auto"/>
        <w:bottom w:val="none" w:sz="0" w:space="0" w:color="auto"/>
        <w:right w:val="none" w:sz="0" w:space="0" w:color="auto"/>
      </w:divBdr>
    </w:div>
    <w:div w:id="1785230524">
      <w:bodyDiv w:val="1"/>
      <w:marLeft w:val="0"/>
      <w:marRight w:val="0"/>
      <w:marTop w:val="0"/>
      <w:marBottom w:val="0"/>
      <w:divBdr>
        <w:top w:val="none" w:sz="0" w:space="0" w:color="auto"/>
        <w:left w:val="none" w:sz="0" w:space="0" w:color="auto"/>
        <w:bottom w:val="none" w:sz="0" w:space="0" w:color="auto"/>
        <w:right w:val="none" w:sz="0" w:space="0" w:color="auto"/>
      </w:divBdr>
    </w:div>
    <w:div w:id="1897862364">
      <w:bodyDiv w:val="1"/>
      <w:marLeft w:val="0"/>
      <w:marRight w:val="0"/>
      <w:marTop w:val="0"/>
      <w:marBottom w:val="0"/>
      <w:divBdr>
        <w:top w:val="none" w:sz="0" w:space="0" w:color="auto"/>
        <w:left w:val="none" w:sz="0" w:space="0" w:color="auto"/>
        <w:bottom w:val="none" w:sz="0" w:space="0" w:color="auto"/>
        <w:right w:val="none" w:sz="0" w:space="0" w:color="auto"/>
      </w:divBdr>
    </w:div>
    <w:div w:id="21057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pex.eu/IPEXL-WEB/dossier/document/COM20160053.do" TargetMode="Externa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yperlink" Target="http://www.ipex.eu/IPEXL-WEB/dossier/document/COM20160052.do" TargetMode="External" Id="rId12" /><Relationship Type="http://schemas.openxmlformats.org/officeDocument/2006/relationships/footer" Target="footer1.xml" Id="rId17" /><Relationship Type="http://schemas.openxmlformats.org/officeDocument/2006/relationships/hyperlink" Target="http://ec.europa.eu/yourvoice/consultations/index_nl.htm" TargetMode="External" Id="rId16" /><Relationship Type="http://schemas.openxmlformats.org/officeDocument/2006/relationships/settings" Target="settings.xml" Id="rId6" /><Relationship Type="http://schemas.openxmlformats.org/officeDocument/2006/relationships/hyperlink" Target="http://www.ipex.eu/IPEXL-WEB/dossier/document/COM20160051.do" TargetMode="External" Id="rId11" /><Relationship Type="http://schemas.microsoft.com/office/2007/relationships/stylesWithEffects" Target="stylesWithEffects.xml" Id="rId5" /><Relationship Type="http://schemas.openxmlformats.org/officeDocument/2006/relationships/hyperlink" Target="http://www.ipex.eu/IPEXL-WEB/dossier/document/COM20160087.do" TargetMode="External" Id="rId15" /><Relationship Type="http://schemas.openxmlformats.org/officeDocument/2006/relationships/hyperlink" Target="http://www.ipex.eu/IPEXL-WEB/dossier/document/COM20160049.do"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ec.europa.eu/energy/en/consultations/consultation-streamlining-planning-and-reporting-obligations-part-energy-union"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1485</ap:Words>
  <ap:Characters>9644</ap:Characters>
  <ap:DocSecurity>4</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2016-03-24T08:16:00.0000000Z</dcterms:created>
  <dcterms:modified xsi:type="dcterms:W3CDTF">2016-03-24T08:16:00.0000000Z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