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1D" w:rsidP="00126D2D" w:rsidRDefault="003E3F1D">
      <w:pPr>
        <w:spacing w:before="100" w:beforeAutospacing="1" w:after="100" w:afterAutospacing="1" w:line="240" w:lineRule="auto"/>
        <w:outlineLvl w:val="0"/>
        <w:rPr>
          <w:rFonts w:ascii="Times New Roman" w:hAnsi="Times New Roman" w:eastAsia="Times New Roman" w:cs="Times New Roman"/>
          <w:b/>
          <w:bCs/>
          <w:kern w:val="36"/>
          <w:sz w:val="24"/>
          <w:szCs w:val="24"/>
          <w:lang w:eastAsia="nl-NL"/>
        </w:rPr>
      </w:pPr>
      <w:bookmarkStart w:name="_GoBack" w:id="0"/>
      <w:bookmarkEnd w:id="0"/>
      <w:r>
        <w:rPr>
          <w:rFonts w:ascii="Times New Roman" w:hAnsi="Times New Roman" w:eastAsia="Times New Roman" w:cs="Times New Roman"/>
          <w:b/>
          <w:bCs/>
          <w:kern w:val="36"/>
          <w:sz w:val="24"/>
          <w:szCs w:val="24"/>
          <w:lang w:eastAsia="nl-NL"/>
        </w:rPr>
        <w:t>Korte toelichting op de positie van de Tcbb voor het rondetafelgesprek over het Gaswinningsbesluit Groningen, op maandag 18 januari</w:t>
      </w:r>
    </w:p>
    <w:p w:rsidR="003E3F1D" w:rsidP="00126D2D" w:rsidRDefault="003E3F1D">
      <w:pPr>
        <w:spacing w:before="100" w:beforeAutospacing="1" w:after="100" w:afterAutospacing="1" w:line="240" w:lineRule="auto"/>
        <w:outlineLvl w:val="0"/>
        <w:rPr>
          <w:rFonts w:ascii="Times New Roman" w:hAnsi="Times New Roman" w:eastAsia="Times New Roman" w:cs="Times New Roman"/>
          <w:b/>
          <w:bCs/>
          <w:kern w:val="36"/>
          <w:sz w:val="24"/>
          <w:szCs w:val="24"/>
          <w:lang w:eastAsia="nl-NL"/>
        </w:rPr>
      </w:pPr>
    </w:p>
    <w:p w:rsidRPr="00DE0E5C" w:rsidR="00126D2D" w:rsidP="00126D2D" w:rsidRDefault="00126D2D">
      <w:pPr>
        <w:spacing w:before="100" w:beforeAutospacing="1" w:after="100" w:afterAutospacing="1" w:line="240" w:lineRule="auto"/>
        <w:outlineLvl w:val="0"/>
        <w:rPr>
          <w:rFonts w:ascii="Times New Roman" w:hAnsi="Times New Roman" w:eastAsia="Times New Roman" w:cs="Times New Roman"/>
          <w:b/>
          <w:bCs/>
          <w:kern w:val="36"/>
          <w:lang w:eastAsia="nl-NL"/>
        </w:rPr>
      </w:pPr>
      <w:r w:rsidRPr="00DE0E5C">
        <w:rPr>
          <w:rFonts w:ascii="Times New Roman" w:hAnsi="Times New Roman" w:eastAsia="Times New Roman" w:cs="Times New Roman"/>
          <w:b/>
          <w:bCs/>
          <w:kern w:val="36"/>
          <w:lang w:eastAsia="nl-NL"/>
        </w:rPr>
        <w:t>TAKEN VAN DE TCBB</w:t>
      </w:r>
    </w:p>
    <w:p w:rsidRPr="00DE0E5C" w:rsidR="00126D2D" w:rsidP="00126D2D" w:rsidRDefault="00126D2D">
      <w:pPr>
        <w:spacing w:before="100" w:beforeAutospacing="1" w:after="100" w:afterAutospacing="1" w:line="240" w:lineRule="auto"/>
        <w:rPr>
          <w:rFonts w:ascii="Times New Roman" w:hAnsi="Times New Roman" w:eastAsia="Times New Roman" w:cs="Times New Roman"/>
          <w:lang w:eastAsia="nl-NL"/>
        </w:rPr>
      </w:pPr>
      <w:r w:rsidRPr="00DE0E5C">
        <w:rPr>
          <w:rFonts w:ascii="Times New Roman" w:hAnsi="Times New Roman" w:eastAsia="Times New Roman" w:cs="Times New Roman"/>
          <w:lang w:eastAsia="nl-NL"/>
        </w:rPr>
        <w:t>Het verband tussen opsporing, winning en bodembeweging wordt bekeken door de Technische commissie bodembeweging (Tcbb). De Tcbb is een onafhankelijke commissie met een aantal adviestaken:</w:t>
      </w:r>
    </w:p>
    <w:p w:rsidRPr="00DE0E5C" w:rsidR="00126D2D" w:rsidP="00126D2D" w:rsidRDefault="00126D2D">
      <w:pPr>
        <w:numPr>
          <w:ilvl w:val="0"/>
          <w:numId w:val="1"/>
        </w:numPr>
        <w:spacing w:before="100" w:beforeAutospacing="1" w:after="100" w:afterAutospacing="1" w:line="240" w:lineRule="auto"/>
        <w:rPr>
          <w:rFonts w:ascii="Times New Roman" w:hAnsi="Times New Roman" w:eastAsia="Times New Roman" w:cs="Times New Roman"/>
          <w:lang w:eastAsia="nl-NL"/>
        </w:rPr>
      </w:pPr>
      <w:r w:rsidRPr="00DE0E5C">
        <w:rPr>
          <w:rFonts w:ascii="Times New Roman" w:hAnsi="Times New Roman" w:eastAsia="Times New Roman" w:cs="Times New Roman"/>
          <w:lang w:eastAsia="nl-NL"/>
        </w:rPr>
        <w:t>Advies geven aan de minister van Economische Zaken over de gevolgen van mijnbouw voor beweging van de aardbodem en mogelijk hierdoor ontstane schade;</w:t>
      </w:r>
    </w:p>
    <w:p w:rsidRPr="00DE0E5C" w:rsidR="00126D2D" w:rsidP="00126D2D" w:rsidRDefault="00126D2D">
      <w:pPr>
        <w:numPr>
          <w:ilvl w:val="0"/>
          <w:numId w:val="2"/>
        </w:numPr>
        <w:spacing w:before="100" w:beforeAutospacing="1" w:after="100" w:afterAutospacing="1" w:line="240" w:lineRule="auto"/>
        <w:rPr>
          <w:rFonts w:ascii="Times New Roman" w:hAnsi="Times New Roman" w:eastAsia="Times New Roman" w:cs="Times New Roman"/>
          <w:lang w:eastAsia="nl-NL"/>
        </w:rPr>
      </w:pPr>
      <w:r w:rsidRPr="00DE0E5C">
        <w:rPr>
          <w:rFonts w:ascii="Times New Roman" w:hAnsi="Times New Roman" w:eastAsia="Times New Roman" w:cs="Times New Roman"/>
          <w:lang w:eastAsia="nl-NL"/>
        </w:rPr>
        <w:t>Advies geven over delfstofwinning en de hierdoor veroorzaakte bodembeweging aan burgers die hiermee te maken hebben;</w:t>
      </w:r>
    </w:p>
    <w:p w:rsidRPr="00DE0E5C" w:rsidR="00126D2D" w:rsidP="00126D2D" w:rsidRDefault="00126D2D">
      <w:pPr>
        <w:numPr>
          <w:ilvl w:val="0"/>
          <w:numId w:val="3"/>
        </w:numPr>
        <w:spacing w:before="100" w:beforeAutospacing="1" w:after="100" w:afterAutospacing="1" w:line="240" w:lineRule="auto"/>
        <w:rPr>
          <w:rFonts w:ascii="Times New Roman" w:hAnsi="Times New Roman" w:eastAsia="Times New Roman" w:cs="Times New Roman"/>
          <w:lang w:eastAsia="nl-NL"/>
        </w:rPr>
      </w:pPr>
      <w:r w:rsidRPr="00DE0E5C">
        <w:rPr>
          <w:rFonts w:ascii="Times New Roman" w:hAnsi="Times New Roman" w:eastAsia="Times New Roman" w:cs="Times New Roman"/>
          <w:lang w:eastAsia="nl-NL"/>
        </w:rPr>
        <w:t>Onder voorwaarden advies geven aan burgers die door een dergelijke bodembeweging schade hebben ondervonden over de hoogte van een door de mijnonderneming hiervoor te geven vergoeding. De Tcbb kan dan een technisch onderzoek instellen naar de vraag of, en zo ja in hoeverre de schade is veroorzaakt door bodembeweging als gevolg van mijnbouw.</w:t>
      </w:r>
    </w:p>
    <w:p w:rsidRPr="00DE0E5C" w:rsidR="004660F1" w:rsidRDefault="00126D2D">
      <w:pPr>
        <w:rPr>
          <w:rFonts w:ascii="Times New Roman" w:hAnsi="Times New Roman" w:cs="Times New Roman"/>
        </w:rPr>
      </w:pPr>
      <w:r w:rsidRPr="00DE0E5C">
        <w:rPr>
          <w:rFonts w:ascii="Times New Roman" w:hAnsi="Times New Roman" w:cs="Times New Roman"/>
        </w:rPr>
        <w:t>De Tcbb kan</w:t>
      </w:r>
      <w:r w:rsidRPr="00DE0E5C" w:rsidR="003E3F1D">
        <w:rPr>
          <w:rFonts w:ascii="Times New Roman" w:hAnsi="Times New Roman" w:cs="Times New Roman"/>
        </w:rPr>
        <w:t xml:space="preserve"> </w:t>
      </w:r>
      <w:r w:rsidRPr="00DE0E5C">
        <w:rPr>
          <w:rFonts w:ascii="Times New Roman" w:hAnsi="Times New Roman" w:cs="Times New Roman"/>
        </w:rPr>
        <w:t>een technisch onderzoek instellen naar de vraag of, en zo ja in hoeverre zaakschade is veroorzaakt door bodembeweging als gevolg van mijnbouw. De commissie bestaat uit deskundigen op vele gebieden, zoals delfstofwinning, geologie, seismologie, grondmechanica, hydrologie, constructieleer en juridische aangelegenheden.</w:t>
      </w:r>
    </w:p>
    <w:p w:rsidRPr="00DE0E5C" w:rsidR="00126D2D" w:rsidRDefault="00126D2D">
      <w:pPr>
        <w:rPr>
          <w:rFonts w:ascii="Times New Roman" w:hAnsi="Times New Roman" w:cs="Times New Roman"/>
        </w:rPr>
      </w:pP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b/>
          <w:bCs/>
          <w:sz w:val="22"/>
          <w:szCs w:val="22"/>
        </w:rPr>
        <w:t xml:space="preserve">Werkwijze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De Tcbb vergadert maandelijks. Op de agenda staan steeds de door de minister van EZ gevraagde adviezen en de voortgang van de adviezen aan burgers en rechtspersonen over het oorzakelijk verband tussen mijnbouwactiviteiten en schade.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Iedereen die zaakschade heeft die redelijkerwijs het gevolg kán zijn van mijnbouwactiviteiten, zoals aardgaswinning, zoutwinning of de vroegere steenkoolwinning, kan een verzoek indienen bij de Tcbb om te adviseren over het oorzakelijk verband tussen de mijnbouwactiviteiten en de schade. In het adviesverzoek aan de Tcbb dient zo veel mogelijk informatie over de betreffende schade te worden opgenomen en het verzoek dient gepaard te gaan met documenten betreffend de aansprakelijkheidsstelling en het uitblijven van overeenstemming met de mijnbouwondernemer (zie onder). De Tcbb stelt via haar website www.tcbb.nl ook een formulier beschikbaar, waarmee een verzoek om advies kan worden gedaan.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Na ontvangst stuurt de Tcbb een ontvangstbevestiging waarin wordt aangegeven of de aanvraag voldoet aan de wettelijke criteria en of er eventueel aanvullingen nodig zijn. Zo is vereist dat de betrokkene eerst de mijnbouwondernemer aan wie de schade naar zijn mening kan worden toegerekend, aansprakelijk heeft gesteld en óf een afwijzing heeft ontvangen, óf drie maanden zijn verstreken zonder dat daarover overeenstemming is bereikt.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Voorts dient de betrokkene een bijdrage van € 90 te hebben betaald, indien hij een natuurlijk persoon is, of € 181 voor rechtspersonen. Dit bedrag wordt weer terugbetaald wanneer uit het advies van de Tcbb blijkt dat de schade geheel of gedeeltelijk kan worden toegerekend aan mijnbouwactiviteiten en het door de Tcbb vastgestelde schadebedrag hoger is dan het bedrag dat de mijnbouwondernemer bereid was te betalen.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Tenzij de Tcbb van mening is dat er kennelijk geen verband bestaat tussen de schade en de mijnbouwactiviteiten, vangt het onderzoek van de commissie altijd aan met een bezoek van twee leden van de commissie aan het adres waar de schade is opgetreden. Daarbij inspecteren ze het betreffende </w:t>
      </w:r>
      <w:r w:rsidRPr="00DE0E5C">
        <w:rPr>
          <w:rFonts w:ascii="Times New Roman" w:hAnsi="Times New Roman" w:cs="Times New Roman"/>
          <w:sz w:val="22"/>
          <w:szCs w:val="22"/>
        </w:rPr>
        <w:lastRenderedPageBreak/>
        <w:t xml:space="preserve">pand visueel en spreken zij met de eigenaar/gebruiker om informatie over de geschiedenis van het gebouw en andere belangrijke gegevens te achterhalen.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Als regel onderscheidt de Tcbb afzonderlijk de oorzaak vanuit de diepe ondergrond en die uit de ondiepe ondergrond. Mijnbouw (winning van kolen, gas, zout, olie) vindt als regel in de diepe ondergrond plaats en leidt tot bodemdaling en soms aardbevingen. In Zuid-Limburg is een na-ijleffect van de vroegere kolenwinning dat zich uit als bodemstijging. </w:t>
      </w:r>
    </w:p>
    <w:p w:rsidRPr="00DE0E5C" w:rsidR="00126D2D" w:rsidP="00126D2D" w:rsidRDefault="00126D2D">
      <w:pPr>
        <w:rPr>
          <w:rFonts w:ascii="Times New Roman" w:hAnsi="Times New Roman" w:cs="Times New Roman"/>
        </w:rPr>
      </w:pPr>
      <w:r w:rsidRPr="00DE0E5C">
        <w:rPr>
          <w:rFonts w:ascii="Times New Roman" w:hAnsi="Times New Roman" w:cs="Times New Roman"/>
        </w:rPr>
        <w:t>Als de ondiepe ondergrond de oorzaak is van de schade, is dat het gevolg van een bodemgesteldheid met geringe draagkracht of een funderingskeuze die niet bij de bodemgesteldheid past. De Tcbb zal als regel bodemonderzoek laten doen in de vorm van (hand)boringen en sonderingen en laat veelal lintvoegmetingen of waterpassingen uitvoeren om scheefstand en vervorming van woningen te meten. Voor Zuid-Limburg komt daar archiefonderzoek bij naar de vroegere mijnbouwactiviteiten en vastlegging in kaartmateriaal.</w:t>
      </w:r>
    </w:p>
    <w:p w:rsidRPr="00DE0E5C" w:rsidR="00126D2D" w:rsidP="00126D2D" w:rsidRDefault="00126D2D">
      <w:pPr>
        <w:rPr>
          <w:rFonts w:ascii="Times New Roman" w:hAnsi="Times New Roman" w:cs="Times New Roman"/>
        </w:rPr>
      </w:pP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Los van oorzaken in de diepe of ondiepe ondergrond kan ook autonome schade optreden door veroudering, nalatig onderhoud, verkeerstrillingen of andere oorzaken. De Tcbb zal in haar onderzoek ook hierop bedacht zijn.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Het advies van de Tcbb is niet bindend. Wel is door de bedrijven die gas winnen toegezegd dat zij in principe altijd het advies van de Tcbb opvolgen. Dat is tot op heden ook altijd gebeurd. Mocht dit in een bijzonder geval in de toekomst toch niet gebeuren dan staat nog de weg naar de rechter open. De adviesverzoeker heeft dan als onderbouwing van zijn zaak een deskundig advies van de Tcbb.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In de praktijk wordt bij de schadegevallen in Noord Nederland in het algemeen de volgende werkwijze gevolgd om tot een advies te komen: </w:t>
      </w:r>
    </w:p>
    <w:p w:rsidRPr="00DE0E5C" w:rsidR="00126D2D" w:rsidP="00126D2D" w:rsidRDefault="00126D2D">
      <w:pPr>
        <w:pStyle w:val="Default"/>
        <w:spacing w:after="47"/>
        <w:rPr>
          <w:rFonts w:ascii="Times New Roman" w:hAnsi="Times New Roman" w:cs="Times New Roman"/>
          <w:sz w:val="22"/>
          <w:szCs w:val="22"/>
        </w:rPr>
      </w:pPr>
      <w:r w:rsidRPr="00DE0E5C">
        <w:rPr>
          <w:rFonts w:ascii="Times New Roman" w:hAnsi="Times New Roman" w:cs="Times New Roman"/>
          <w:sz w:val="22"/>
          <w:szCs w:val="22"/>
        </w:rPr>
        <w:t xml:space="preserve">- Uitvoeren van grondonderzoek (in principe op de vier hoekpunten van een pand (woning of boerderij); </w:t>
      </w:r>
    </w:p>
    <w:p w:rsidRPr="00DE0E5C" w:rsidR="00126D2D" w:rsidP="00126D2D" w:rsidRDefault="00126D2D">
      <w:pPr>
        <w:pStyle w:val="Default"/>
        <w:spacing w:after="47"/>
        <w:rPr>
          <w:rFonts w:ascii="Times New Roman" w:hAnsi="Times New Roman" w:cs="Times New Roman"/>
          <w:sz w:val="22"/>
          <w:szCs w:val="22"/>
        </w:rPr>
      </w:pPr>
      <w:r w:rsidRPr="00DE0E5C">
        <w:rPr>
          <w:rFonts w:ascii="Times New Roman" w:hAnsi="Times New Roman" w:cs="Times New Roman"/>
          <w:sz w:val="22"/>
          <w:szCs w:val="22"/>
        </w:rPr>
        <w:t xml:space="preserve">- Uitvoeren van lintvoegwaterpassing van het pand; </w:t>
      </w:r>
    </w:p>
    <w:p w:rsidRPr="00DE0E5C" w:rsidR="00126D2D" w:rsidP="00126D2D" w:rsidRDefault="00126D2D">
      <w:pPr>
        <w:pStyle w:val="Default"/>
        <w:spacing w:after="47"/>
        <w:rPr>
          <w:rFonts w:ascii="Times New Roman" w:hAnsi="Times New Roman" w:cs="Times New Roman"/>
          <w:sz w:val="22"/>
          <w:szCs w:val="22"/>
        </w:rPr>
      </w:pPr>
      <w:r w:rsidRPr="00DE0E5C">
        <w:rPr>
          <w:rFonts w:ascii="Times New Roman" w:hAnsi="Times New Roman" w:cs="Times New Roman"/>
          <w:sz w:val="22"/>
          <w:szCs w:val="22"/>
        </w:rPr>
        <w:t xml:space="preserve">- Verzamelen van info over de omvang van de bodemdaling ter plaatse van het betreffende pand; </w:t>
      </w:r>
    </w:p>
    <w:p w:rsidRPr="00DE0E5C" w:rsidR="00126D2D" w:rsidP="00126D2D" w:rsidRDefault="00126D2D">
      <w:pPr>
        <w:pStyle w:val="Default"/>
        <w:spacing w:after="47"/>
        <w:rPr>
          <w:rFonts w:ascii="Times New Roman" w:hAnsi="Times New Roman" w:cs="Times New Roman"/>
          <w:sz w:val="22"/>
          <w:szCs w:val="22"/>
        </w:rPr>
      </w:pPr>
      <w:r w:rsidRPr="00DE0E5C">
        <w:rPr>
          <w:rFonts w:ascii="Times New Roman" w:hAnsi="Times New Roman" w:cs="Times New Roman"/>
          <w:sz w:val="22"/>
          <w:szCs w:val="22"/>
        </w:rPr>
        <w:t xml:space="preserve">- Verzamelen van info over de gemeten versnellingen tijdens aardbevingen in de buurt van het pand (en een interpolatie of extrapolatie maken naar de locatie van het pand). Hier speelt ook een rol de discussie over het ’contourenbeleid’ dat de NAM bij claims in het verslagjaar heeft gevolgd;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 Verzamelen van info over in het verleden uitgevoerde aanpassingen in het grondwaterpeil(dit speelt in de gemeente Noordenveld, maar ook elders). </w:t>
      </w:r>
    </w:p>
    <w:p w:rsidRPr="00DE0E5C" w:rsidR="00126D2D" w:rsidP="00126D2D" w:rsidRDefault="00126D2D">
      <w:pPr>
        <w:pStyle w:val="Default"/>
        <w:rPr>
          <w:rFonts w:ascii="Times New Roman" w:hAnsi="Times New Roman" w:cs="Times New Roman"/>
          <w:sz w:val="22"/>
          <w:szCs w:val="22"/>
        </w:rPr>
      </w:pP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De eventuele bodemdaling wordt zowel met behulp van peilmerken aan woningen onderzocht, alsook met behulp van satellietmetingen (voor zo ver nodig en beschikbaar).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In Zuid-Limburg is de aanpak vergelijkbaar, alleen speelt daar niet de problematiek van de aardbevingen. Verder is er geen sprake van bodemdaling, maar juist van bodemrijzing. Er is veel aandacht voor de samenstelling van de diepe ondergrond en de mijngeschiedenis onder een woning met daar aan gekoppeld een uitspraak over de kans op schade (door middel van onderzoek in opdracht van de Tcbb, uit te voeren door het Duitse bureau </w:t>
      </w:r>
      <w:proofErr w:type="spellStart"/>
      <w:r w:rsidRPr="00DE0E5C">
        <w:rPr>
          <w:rFonts w:ascii="Times New Roman" w:hAnsi="Times New Roman" w:cs="Times New Roman"/>
          <w:sz w:val="22"/>
          <w:szCs w:val="22"/>
        </w:rPr>
        <w:t>Heitfeld</w:t>
      </w:r>
      <w:proofErr w:type="spellEnd"/>
      <w:r w:rsidRPr="00DE0E5C">
        <w:rPr>
          <w:rFonts w:ascii="Times New Roman" w:hAnsi="Times New Roman" w:cs="Times New Roman"/>
          <w:sz w:val="22"/>
          <w:szCs w:val="22"/>
        </w:rPr>
        <w:t xml:space="preserve"> en </w:t>
      </w:r>
      <w:proofErr w:type="spellStart"/>
      <w:r w:rsidRPr="00DE0E5C">
        <w:rPr>
          <w:rFonts w:ascii="Times New Roman" w:hAnsi="Times New Roman" w:cs="Times New Roman"/>
          <w:sz w:val="22"/>
          <w:szCs w:val="22"/>
        </w:rPr>
        <w:t>Schetelig</w:t>
      </w:r>
      <w:proofErr w:type="spellEnd"/>
      <w:r w:rsidRPr="00DE0E5C">
        <w:rPr>
          <w:rFonts w:ascii="Times New Roman" w:hAnsi="Times New Roman" w:cs="Times New Roman"/>
          <w:sz w:val="22"/>
          <w:szCs w:val="22"/>
        </w:rPr>
        <w:t xml:space="preserve"> (IHS)). In Limburg speelt geen problematiek van peilaanpassingen, maar wel die van stijgend mijnwater. Het IHS-onderzoek is mede daarop gericht, waarbij de geologische gesteldheid in Zuid-Limburg (met verschillende storingen zoals de </w:t>
      </w:r>
      <w:proofErr w:type="spellStart"/>
      <w:r w:rsidRPr="00DE0E5C">
        <w:rPr>
          <w:rFonts w:ascii="Times New Roman" w:hAnsi="Times New Roman" w:cs="Times New Roman"/>
          <w:sz w:val="22"/>
          <w:szCs w:val="22"/>
        </w:rPr>
        <w:t>Feldbiss</w:t>
      </w:r>
      <w:proofErr w:type="spellEnd"/>
      <w:r w:rsidRPr="00DE0E5C">
        <w:rPr>
          <w:rFonts w:ascii="Times New Roman" w:hAnsi="Times New Roman" w:cs="Times New Roman"/>
          <w:sz w:val="22"/>
          <w:szCs w:val="22"/>
        </w:rPr>
        <w:t xml:space="preserve"> en Westelijke Sprong) een belangrijke rol speelt. </w:t>
      </w:r>
    </w:p>
    <w:p w:rsidRPr="00DE0E5C" w:rsidR="00126D2D" w:rsidP="00126D2D" w:rsidRDefault="00126D2D">
      <w:pPr>
        <w:pStyle w:val="Default"/>
        <w:rPr>
          <w:rFonts w:ascii="Times New Roman" w:hAnsi="Times New Roman" w:cs="Times New Roman"/>
          <w:sz w:val="22"/>
          <w:szCs w:val="22"/>
        </w:rPr>
      </w:pPr>
      <w:r w:rsidRPr="00DE0E5C">
        <w:rPr>
          <w:rFonts w:ascii="Times New Roman" w:hAnsi="Times New Roman" w:cs="Times New Roman"/>
          <w:sz w:val="22"/>
          <w:szCs w:val="22"/>
        </w:rPr>
        <w:t xml:space="preserve">Met de resultaten van de inspectie en eventueel onderzoek ter plekke stelt de Tcbb een voorlopig advies op. Zowel de adviesverzoeker als de mijnbouwonderneming krijgen de gelegenheid om hier binnen vier weken op te reageren. Vervolgens stelt de Tcbb haar definitieve advies op. </w:t>
      </w:r>
    </w:p>
    <w:p w:rsidR="00B937A0" w:rsidP="00126D2D" w:rsidRDefault="00B937A0">
      <w:pPr>
        <w:rPr>
          <w:rFonts w:ascii="Times New Roman" w:hAnsi="Times New Roman" w:cs="Times New Roman"/>
          <w:sz w:val="24"/>
          <w:szCs w:val="24"/>
        </w:rPr>
      </w:pPr>
    </w:p>
    <w:p w:rsidR="00DE0E5C" w:rsidP="00126D2D" w:rsidRDefault="00DE0E5C">
      <w:pPr>
        <w:rPr>
          <w:rFonts w:ascii="Times New Roman" w:hAnsi="Times New Roman" w:cs="Times New Roman"/>
          <w:sz w:val="24"/>
          <w:szCs w:val="24"/>
        </w:rPr>
      </w:pPr>
    </w:p>
    <w:p w:rsidR="00DE0E5C" w:rsidP="00126D2D" w:rsidRDefault="00DE0E5C">
      <w:pPr>
        <w:rPr>
          <w:rFonts w:ascii="Times New Roman" w:hAnsi="Times New Roman" w:cs="Times New Roman"/>
          <w:sz w:val="24"/>
          <w:szCs w:val="24"/>
        </w:rPr>
      </w:pPr>
    </w:p>
    <w:p w:rsidR="00B937A0" w:rsidP="00126D2D" w:rsidRDefault="003E3F1D">
      <w:pPr>
        <w:rPr>
          <w:rFonts w:ascii="Times New Roman" w:hAnsi="Times New Roman" w:cs="Times New Roman"/>
          <w:sz w:val="24"/>
          <w:szCs w:val="24"/>
        </w:rPr>
      </w:pPr>
      <w:r>
        <w:rPr>
          <w:rFonts w:ascii="Times New Roman" w:hAnsi="Times New Roman" w:cs="Times New Roman"/>
          <w:sz w:val="24"/>
          <w:szCs w:val="24"/>
        </w:rPr>
        <w:lastRenderedPageBreak/>
        <w:t xml:space="preserve">Bovenstaande informatie uit het jaarverslag van de Tcbb lijkt mij relevant voor de Kamer in de beoordeling van de brief van de minister van </w:t>
      </w:r>
      <w:r w:rsidR="00B650B6">
        <w:rPr>
          <w:rFonts w:ascii="Times New Roman" w:hAnsi="Times New Roman" w:cs="Times New Roman"/>
          <w:sz w:val="24"/>
          <w:szCs w:val="24"/>
        </w:rPr>
        <w:t>E</w:t>
      </w:r>
      <w:r>
        <w:rPr>
          <w:rFonts w:ascii="Times New Roman" w:hAnsi="Times New Roman" w:cs="Times New Roman"/>
          <w:sz w:val="24"/>
          <w:szCs w:val="24"/>
        </w:rPr>
        <w:t xml:space="preserve">conomische </w:t>
      </w:r>
      <w:r w:rsidR="00B650B6">
        <w:rPr>
          <w:rFonts w:ascii="Times New Roman" w:hAnsi="Times New Roman" w:cs="Times New Roman"/>
          <w:sz w:val="24"/>
          <w:szCs w:val="24"/>
        </w:rPr>
        <w:t>Z</w:t>
      </w:r>
      <w:r>
        <w:rPr>
          <w:rFonts w:ascii="Times New Roman" w:hAnsi="Times New Roman" w:cs="Times New Roman"/>
          <w:sz w:val="24"/>
          <w:szCs w:val="24"/>
        </w:rPr>
        <w:t>aken 18</w:t>
      </w:r>
      <w:r w:rsidR="00B650B6">
        <w:rPr>
          <w:rFonts w:ascii="Times New Roman" w:hAnsi="Times New Roman" w:cs="Times New Roman"/>
          <w:sz w:val="24"/>
          <w:szCs w:val="24"/>
        </w:rPr>
        <w:t xml:space="preserve">-12-2015 (33529/212). Het functioneren van de Tcbb is verankerd in de mijnwet. Hoewel de Tcbb niet expliciet in de brief van de minister wordt genoemd, blijft de Tcbb daar waar nodig zijn taken uitoefenen ook in het Groningse. </w:t>
      </w:r>
      <w:r w:rsidR="00881A73">
        <w:rPr>
          <w:rFonts w:ascii="Times New Roman" w:hAnsi="Times New Roman" w:cs="Times New Roman"/>
          <w:sz w:val="24"/>
          <w:szCs w:val="24"/>
        </w:rPr>
        <w:t xml:space="preserve">Weliswaar is een flexibele capaciteit voor de bemiddeling in geschillen, maar de capaciteit is op dit moment niet erg groot. </w:t>
      </w:r>
      <w:r w:rsidR="00B650B6">
        <w:rPr>
          <w:rFonts w:ascii="Times New Roman" w:hAnsi="Times New Roman" w:cs="Times New Roman"/>
          <w:sz w:val="24"/>
          <w:szCs w:val="24"/>
        </w:rPr>
        <w:t>Er staan dus voor de met schade getroffen burger verschillende oplossingen open om met de mijnbouwmaatschappij tot overeenstemming te komen. Hierover is in coördinerende zin gesproken met dhr. Alders in zijn functie als Nationaal Coördinator</w:t>
      </w:r>
      <w:r w:rsidR="00881A73">
        <w:rPr>
          <w:rFonts w:ascii="Times New Roman" w:hAnsi="Times New Roman" w:cs="Times New Roman"/>
          <w:sz w:val="24"/>
          <w:szCs w:val="24"/>
        </w:rPr>
        <w:t xml:space="preserve"> Groningen. Daarbij is ook aan de orde gekomen dat de Tcbb de opgedane kennis en ervaring graag wil delen met de medewerker en experts van de NCG. </w:t>
      </w:r>
    </w:p>
    <w:p w:rsidR="0036235E" w:rsidP="00126D2D" w:rsidRDefault="00881A73">
      <w:pPr>
        <w:rPr>
          <w:rFonts w:ascii="Times New Roman" w:hAnsi="Times New Roman" w:cs="Times New Roman"/>
          <w:sz w:val="24"/>
          <w:szCs w:val="24"/>
        </w:rPr>
      </w:pPr>
      <w:r>
        <w:rPr>
          <w:rFonts w:ascii="Times New Roman" w:hAnsi="Times New Roman" w:cs="Times New Roman"/>
          <w:sz w:val="24"/>
          <w:szCs w:val="24"/>
        </w:rPr>
        <w:t>In de brief van de minister komt ook aan de orde dat</w:t>
      </w:r>
      <w:r w:rsidR="0036235E">
        <w:rPr>
          <w:rFonts w:ascii="Times New Roman" w:hAnsi="Times New Roman" w:cs="Times New Roman"/>
          <w:sz w:val="24"/>
          <w:szCs w:val="24"/>
        </w:rPr>
        <w:t xml:space="preserve"> NAM in de loop van 2016 een nieuw winningsplan zal indienen. Dit winningsplan zal onder meer ook een risicoanalyse bevatten. Dit maakt het mogelijk maatregelen te treffen die preventief de schade</w:t>
      </w:r>
      <w:r w:rsidR="00DE0E5C">
        <w:rPr>
          <w:rFonts w:ascii="Times New Roman" w:hAnsi="Times New Roman" w:cs="Times New Roman"/>
          <w:sz w:val="24"/>
          <w:szCs w:val="24"/>
        </w:rPr>
        <w:t xml:space="preserve"> </w:t>
      </w:r>
      <w:r w:rsidR="0036235E">
        <w:rPr>
          <w:rFonts w:ascii="Times New Roman" w:hAnsi="Times New Roman" w:cs="Times New Roman"/>
          <w:sz w:val="24"/>
          <w:szCs w:val="24"/>
        </w:rPr>
        <w:t>kunnen beperken</w:t>
      </w:r>
      <w:r w:rsidR="00DE0E5C">
        <w:rPr>
          <w:rFonts w:ascii="Times New Roman" w:hAnsi="Times New Roman" w:cs="Times New Roman"/>
          <w:sz w:val="24"/>
          <w:szCs w:val="24"/>
        </w:rPr>
        <w:t xml:space="preserve"> en slachtoffers voorkomen</w:t>
      </w:r>
      <w:r w:rsidR="0036235E">
        <w:rPr>
          <w:rFonts w:ascii="Times New Roman" w:hAnsi="Times New Roman" w:cs="Times New Roman"/>
          <w:sz w:val="24"/>
          <w:szCs w:val="24"/>
        </w:rPr>
        <w:t xml:space="preserve">. De maatregelen kunnen worden genomen in de bouwkundige sfeer en in de wijze waarop de productie wordt vorm gegeven. De Tcbb juicht deze grondige aanpak toe, en merkt ook op dat hiermee nog niet alle onzekerheden verdwenen zijn en dat voortgaande </w:t>
      </w:r>
      <w:r w:rsidR="00DE0E5C">
        <w:rPr>
          <w:rFonts w:ascii="Times New Roman" w:hAnsi="Times New Roman" w:cs="Times New Roman"/>
          <w:sz w:val="24"/>
          <w:szCs w:val="24"/>
        </w:rPr>
        <w:t xml:space="preserve">monitoring en </w:t>
      </w:r>
      <w:r w:rsidR="0036235E">
        <w:rPr>
          <w:rFonts w:ascii="Times New Roman" w:hAnsi="Times New Roman" w:cs="Times New Roman"/>
          <w:sz w:val="24"/>
          <w:szCs w:val="24"/>
        </w:rPr>
        <w:t>kennisvermeerderi</w:t>
      </w:r>
      <w:r w:rsidR="00DE0E5C">
        <w:rPr>
          <w:rFonts w:ascii="Times New Roman" w:hAnsi="Times New Roman" w:cs="Times New Roman"/>
          <w:sz w:val="24"/>
          <w:szCs w:val="24"/>
        </w:rPr>
        <w:t>ng noodzakelijk is.</w:t>
      </w:r>
    </w:p>
    <w:p w:rsidR="00DE0E5C" w:rsidP="00126D2D" w:rsidRDefault="00DE0E5C">
      <w:pPr>
        <w:rPr>
          <w:rFonts w:ascii="Times New Roman" w:hAnsi="Times New Roman" w:cs="Times New Roman"/>
          <w:sz w:val="24"/>
          <w:szCs w:val="24"/>
        </w:rPr>
      </w:pPr>
    </w:p>
    <w:p w:rsidR="00DE0E5C" w:rsidP="00126D2D" w:rsidRDefault="00DE0E5C">
      <w:pPr>
        <w:rPr>
          <w:rFonts w:ascii="Times New Roman" w:hAnsi="Times New Roman" w:cs="Times New Roman"/>
          <w:sz w:val="24"/>
          <w:szCs w:val="24"/>
        </w:rPr>
      </w:pPr>
      <w:r>
        <w:rPr>
          <w:rFonts w:ascii="Times New Roman" w:hAnsi="Times New Roman" w:cs="Times New Roman"/>
          <w:sz w:val="24"/>
          <w:szCs w:val="24"/>
        </w:rPr>
        <w:t xml:space="preserve">Hein </w:t>
      </w:r>
      <w:r w:rsidRPr="00DE0E5C">
        <w:rPr>
          <w:rFonts w:ascii="Times New Roman" w:hAnsi="Times New Roman" w:cs="Times New Roman"/>
          <w:sz w:val="24"/>
          <w:szCs w:val="24"/>
        </w:rPr>
        <w:t xml:space="preserve">Haak, </w:t>
      </w:r>
    </w:p>
    <w:p w:rsidR="00DE0E5C" w:rsidP="00126D2D" w:rsidRDefault="00DE0E5C">
      <w:pPr>
        <w:rPr>
          <w:rFonts w:ascii="Times New Roman" w:hAnsi="Times New Roman" w:cs="Times New Roman"/>
          <w:sz w:val="24"/>
          <w:szCs w:val="24"/>
        </w:rPr>
      </w:pPr>
      <w:r>
        <w:rPr>
          <w:rFonts w:ascii="Times New Roman" w:hAnsi="Times New Roman" w:cs="Times New Roman"/>
          <w:sz w:val="24"/>
          <w:szCs w:val="24"/>
        </w:rPr>
        <w:t>vicevoorzitter Tcbb</w:t>
      </w:r>
    </w:p>
    <w:p w:rsidRPr="009001D9" w:rsidR="00DE0E5C" w:rsidP="00126D2D" w:rsidRDefault="00DE0E5C">
      <w:pPr>
        <w:rPr>
          <w:rFonts w:ascii="Times New Roman" w:hAnsi="Times New Roman" w:cs="Times New Roman"/>
          <w:sz w:val="24"/>
          <w:szCs w:val="24"/>
        </w:rPr>
      </w:pPr>
    </w:p>
    <w:sectPr w:rsidRPr="009001D9" w:rsidR="00DE0E5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4A02"/>
    <w:multiLevelType w:val="multilevel"/>
    <w:tmpl w:val="01B6D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3D08B9"/>
    <w:multiLevelType w:val="multilevel"/>
    <w:tmpl w:val="AD66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7164A4"/>
    <w:multiLevelType w:val="multilevel"/>
    <w:tmpl w:val="5180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D2D"/>
    <w:rsid w:val="00126D2D"/>
    <w:rsid w:val="0036235E"/>
    <w:rsid w:val="003E3F1D"/>
    <w:rsid w:val="004660F1"/>
    <w:rsid w:val="00613861"/>
    <w:rsid w:val="00730732"/>
    <w:rsid w:val="00881A73"/>
    <w:rsid w:val="009001D9"/>
    <w:rsid w:val="009623B7"/>
    <w:rsid w:val="009A46CA"/>
    <w:rsid w:val="00B650B6"/>
    <w:rsid w:val="00B937A0"/>
    <w:rsid w:val="00D272EE"/>
    <w:rsid w:val="00DE0E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2FFB00-8C49-4317-A3E3-8712000A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26D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6D2D"/>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126D2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Default">
    <w:name w:val="Default"/>
    <w:rsid w:val="00126D2D"/>
    <w:pPr>
      <w:autoSpaceDE w:val="0"/>
      <w:autoSpaceDN w:val="0"/>
      <w:adjustRightInd w:val="0"/>
      <w:spacing w:after="0" w:line="240" w:lineRule="auto"/>
    </w:pPr>
    <w:rPr>
      <w:rFonts w:ascii="Verdana" w:hAnsi="Verdana" w:cs="Verdana"/>
      <w:color w:val="000000"/>
      <w:sz w:val="24"/>
      <w:szCs w:val="24"/>
    </w:rPr>
  </w:style>
  <w:style w:type="paragraph" w:styleId="Ballontekst">
    <w:name w:val="Balloon Text"/>
    <w:basedOn w:val="Standaard"/>
    <w:link w:val="BallontekstChar"/>
    <w:uiPriority w:val="99"/>
    <w:semiHidden/>
    <w:unhideWhenUsed/>
    <w:rsid w:val="009A46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46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075588">
      <w:bodyDiv w:val="1"/>
      <w:marLeft w:val="0"/>
      <w:marRight w:val="0"/>
      <w:marTop w:val="0"/>
      <w:marBottom w:val="0"/>
      <w:divBdr>
        <w:top w:val="none" w:sz="0" w:space="0" w:color="auto"/>
        <w:left w:val="none" w:sz="0" w:space="0" w:color="auto"/>
        <w:bottom w:val="none" w:sz="0" w:space="0" w:color="auto"/>
        <w:right w:val="none" w:sz="0" w:space="0" w:color="auto"/>
      </w:divBdr>
      <w:divsChild>
        <w:div w:id="1420904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1313</ap:Words>
  <ap:Characters>7227</ap:Characters>
  <ap:DocSecurity>0</ap:DocSecurity>
  <ap:Lines>60</ap:Lines>
  <ap:Paragraphs>17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2016-01-12T12:31:00.0000000Z</lastPrinted>
  <dcterms:created xsi:type="dcterms:W3CDTF">2016-01-18T08:34:00.0000000Z</dcterms:created>
  <dcterms:modified xsi:type="dcterms:W3CDTF">2016-01-18T08:34:00.0000000Z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0x01010051A314F6A62C3A4C8E67867C51E692B5</vt:lpwstr>
  </property>
</Properties>
</file>