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E73735" w:rsidR="00A129F9" w:rsidP="00E73735" w:rsidRDefault="00A129F9">
      <w:pPr>
        <w:pStyle w:val="Geenafstand"/>
        <w:spacing w:line="276" w:lineRule="auto"/>
        <w:rPr>
          <w:b/>
        </w:rPr>
      </w:pPr>
      <w:r w:rsidRPr="00E73735">
        <w:rPr>
          <w:b/>
        </w:rPr>
        <w:t>Oplossingsrichtingen pensioen in eigen beheer (PEB);</w:t>
      </w:r>
    </w:p>
    <w:p w:rsidRPr="00E73735" w:rsidR="00A129F9" w:rsidP="00E73735" w:rsidRDefault="00A129F9">
      <w:pPr>
        <w:pStyle w:val="Geenafstand"/>
        <w:spacing w:line="276" w:lineRule="auto"/>
        <w:rPr>
          <w:b/>
        </w:rPr>
      </w:pPr>
      <w:proofErr w:type="spellStart"/>
      <w:r w:rsidRPr="00E73735">
        <w:rPr>
          <w:b/>
        </w:rPr>
        <w:t>oudedagssparen</w:t>
      </w:r>
      <w:proofErr w:type="spellEnd"/>
      <w:r w:rsidRPr="00E73735">
        <w:rPr>
          <w:b/>
        </w:rPr>
        <w:t xml:space="preserve"> in eigen beheer of </w:t>
      </w:r>
      <w:r w:rsidR="00E66164">
        <w:rPr>
          <w:b/>
        </w:rPr>
        <w:t>uitfaseren</w:t>
      </w:r>
      <w:r w:rsidRPr="00E73735">
        <w:rPr>
          <w:b/>
        </w:rPr>
        <w:t xml:space="preserve"> van PEB?</w:t>
      </w:r>
    </w:p>
    <w:p w:rsidRPr="00A129F9" w:rsidR="00A129F9" w:rsidP="00E73735" w:rsidRDefault="00A129F9">
      <w:pPr>
        <w:pStyle w:val="Geenafstand"/>
        <w:spacing w:line="276" w:lineRule="auto"/>
      </w:pPr>
    </w:p>
    <w:p w:rsidR="005F2434" w:rsidP="00E73735" w:rsidRDefault="005F2434">
      <w:pPr>
        <w:pStyle w:val="Geenafstand"/>
        <w:spacing w:line="276" w:lineRule="auto"/>
      </w:pPr>
    </w:p>
    <w:p w:rsidR="00E31015" w:rsidP="00E73735" w:rsidRDefault="00E31015">
      <w:pPr>
        <w:pStyle w:val="Geenafstand"/>
        <w:spacing w:line="276" w:lineRule="auto"/>
      </w:pPr>
    </w:p>
    <w:p w:rsidR="009E0B37" w:rsidP="009E0B37" w:rsidRDefault="009E0B37">
      <w:pPr>
        <w:rPr>
          <w:b/>
        </w:rPr>
      </w:pPr>
      <w:r>
        <w:rPr>
          <w:b/>
        </w:rPr>
        <w:t xml:space="preserve">Bijlagen bij de brief van </w:t>
      </w:r>
      <w:r w:rsidR="003E028B">
        <w:rPr>
          <w:b/>
        </w:rPr>
        <w:t>17</w:t>
      </w:r>
      <w:r>
        <w:rPr>
          <w:b/>
        </w:rPr>
        <w:t xml:space="preserve"> december 2015:</w:t>
      </w:r>
    </w:p>
    <w:p w:rsidR="009E0B37" w:rsidP="009E0B37" w:rsidRDefault="009E0B37">
      <w:pPr>
        <w:rPr>
          <w:b/>
        </w:rPr>
      </w:pPr>
    </w:p>
    <w:p w:rsidR="009E0B37" w:rsidP="00365F5C" w:rsidRDefault="009E0B37">
      <w:pPr>
        <w:ind w:left="2124" w:hanging="2124"/>
      </w:pPr>
      <w:r>
        <w:rPr>
          <w:b/>
        </w:rPr>
        <w:t>Bijlage 1</w:t>
      </w:r>
      <w:r>
        <w:tab/>
      </w:r>
      <w:r w:rsidRPr="00905BF1" w:rsidR="00570E20">
        <w:rPr>
          <w:szCs w:val="18"/>
        </w:rPr>
        <w:t>Beantwoording (technische) vragen AO 24 september 2015</w:t>
      </w:r>
    </w:p>
    <w:p w:rsidR="005D0384" w:rsidP="005D0384" w:rsidRDefault="009E0B37">
      <w:pPr>
        <w:ind w:left="2124" w:hanging="2124"/>
      </w:pPr>
      <w:r>
        <w:rPr>
          <w:b/>
        </w:rPr>
        <w:t xml:space="preserve">Bijlage </w:t>
      </w:r>
      <w:r w:rsidR="007774D3">
        <w:rPr>
          <w:b/>
        </w:rPr>
        <w:t>2</w:t>
      </w:r>
      <w:r w:rsidR="008964FA">
        <w:tab/>
      </w:r>
      <w:r w:rsidR="00E41588">
        <w:t>Enkele ander</w:t>
      </w:r>
      <w:r w:rsidR="00C23878">
        <w:t xml:space="preserve">e opties </w:t>
      </w:r>
      <w:r w:rsidR="00FD7109">
        <w:t xml:space="preserve">en </w:t>
      </w:r>
      <w:r w:rsidR="00570E20">
        <w:t xml:space="preserve">een </w:t>
      </w:r>
      <w:r w:rsidR="00FD7109">
        <w:t>aandachtspunt</w:t>
      </w:r>
    </w:p>
    <w:p w:rsidR="009E0B37" w:rsidP="009E0B37" w:rsidRDefault="009E0B37">
      <w:r>
        <w:br w:type="page"/>
      </w:r>
    </w:p>
    <w:p w:rsidRPr="00C23878" w:rsidR="00062D04" w:rsidP="00F04AAF" w:rsidRDefault="009E0B37">
      <w:pPr>
        <w:pStyle w:val="Geenafstand"/>
        <w:rPr>
          <w:b/>
          <w:sz w:val="22"/>
        </w:rPr>
      </w:pPr>
      <w:r w:rsidRPr="00C23878">
        <w:rPr>
          <w:b/>
          <w:sz w:val="22"/>
        </w:rPr>
        <w:lastRenderedPageBreak/>
        <w:t>Bijlage 1.</w:t>
      </w:r>
      <w:r w:rsidRPr="00C23878" w:rsidR="00C23878">
        <w:rPr>
          <w:b/>
          <w:sz w:val="22"/>
        </w:rPr>
        <w:t xml:space="preserve"> </w:t>
      </w:r>
      <w:r w:rsidR="00E31015">
        <w:rPr>
          <w:b/>
          <w:sz w:val="22"/>
        </w:rPr>
        <w:br/>
      </w:r>
      <w:r w:rsidR="008152FB">
        <w:rPr>
          <w:b/>
          <w:sz w:val="22"/>
        </w:rPr>
        <w:t>Beantwoording (technische) vragen AO 24 september 2015</w:t>
      </w:r>
    </w:p>
    <w:p w:rsidR="00C23878" w:rsidP="00F04AAF" w:rsidRDefault="00C23878">
      <w:pPr>
        <w:pStyle w:val="Geenafstand"/>
        <w:rPr>
          <w:b/>
        </w:rPr>
      </w:pPr>
    </w:p>
    <w:p w:rsidR="008152FB" w:rsidP="008152FB" w:rsidRDefault="008152FB">
      <w:pPr>
        <w:pStyle w:val="Geenafstand"/>
        <w:spacing w:line="276" w:lineRule="auto"/>
      </w:pPr>
    </w:p>
    <w:p w:rsidRPr="008152FB" w:rsidR="008152FB" w:rsidP="008152FB" w:rsidRDefault="008152FB">
      <w:pPr>
        <w:pStyle w:val="Geenafstand"/>
        <w:spacing w:line="276" w:lineRule="auto"/>
        <w:rPr>
          <w:b/>
        </w:rPr>
      </w:pPr>
      <w:r>
        <w:t xml:space="preserve">Tijdens het algemeen overleg op 24 september 2015 hebben mevrouw </w:t>
      </w:r>
      <w:proofErr w:type="spellStart"/>
      <w:r>
        <w:t>Neppérus</w:t>
      </w:r>
      <w:proofErr w:type="spellEnd"/>
      <w:r>
        <w:t xml:space="preserve">, de heer Groot, de heer Omtzigt en de heer Krol een aantal technische vragen gesteld. </w:t>
      </w:r>
      <w:r w:rsidR="000B079B">
        <w:t>Deze</w:t>
      </w:r>
      <w:r>
        <w:t xml:space="preserve"> vragen </w:t>
      </w:r>
      <w:r w:rsidR="000B079B">
        <w:t xml:space="preserve">zien met name </w:t>
      </w:r>
      <w:r>
        <w:t>o</w:t>
      </w:r>
      <w:r w:rsidR="00D6364E">
        <w:t>p</w:t>
      </w:r>
      <w:r>
        <w:t xml:space="preserve"> het </w:t>
      </w:r>
      <w:proofErr w:type="spellStart"/>
      <w:r>
        <w:t>oudedagssparen</w:t>
      </w:r>
      <w:proofErr w:type="spellEnd"/>
      <w:r>
        <w:t xml:space="preserve"> in eigen beheer (OSEB) zoals beschreven in mijn brief van 1 juli 2015. In deze bijlage ga ik nader in op deze vragen.</w:t>
      </w:r>
    </w:p>
    <w:p w:rsidR="008152FB" w:rsidP="008152FB" w:rsidRDefault="008152FB">
      <w:pPr>
        <w:pStyle w:val="Geenafstand"/>
        <w:spacing w:line="276" w:lineRule="auto"/>
        <w:rPr>
          <w:b/>
        </w:rPr>
      </w:pPr>
    </w:p>
    <w:p w:rsidRPr="00336A51" w:rsidR="00062D04" w:rsidP="008152FB" w:rsidRDefault="00C23878">
      <w:pPr>
        <w:pStyle w:val="Geenafstand"/>
        <w:spacing w:line="276" w:lineRule="auto"/>
        <w:rPr>
          <w:b/>
        </w:rPr>
      </w:pPr>
      <w:r>
        <w:rPr>
          <w:b/>
        </w:rPr>
        <w:t xml:space="preserve">I. </w:t>
      </w:r>
      <w:r w:rsidR="00062D04">
        <w:rPr>
          <w:b/>
        </w:rPr>
        <w:t>Vergelijking OSEB</w:t>
      </w:r>
      <w:r w:rsidRPr="00336A51" w:rsidR="00062D04">
        <w:rPr>
          <w:b/>
        </w:rPr>
        <w:t xml:space="preserve"> en </w:t>
      </w:r>
      <w:r w:rsidR="00000A21">
        <w:rPr>
          <w:b/>
        </w:rPr>
        <w:t>uitfaseren</w:t>
      </w:r>
      <w:r w:rsidRPr="00336A51" w:rsidR="00062D04">
        <w:rPr>
          <w:b/>
        </w:rPr>
        <w:t xml:space="preserve"> via </w:t>
      </w:r>
      <w:r w:rsidR="00062D04">
        <w:rPr>
          <w:b/>
        </w:rPr>
        <w:t xml:space="preserve">een gefaciliteerde </w:t>
      </w:r>
      <w:r w:rsidRPr="00336A51" w:rsidR="00062D04">
        <w:rPr>
          <w:b/>
        </w:rPr>
        <w:t>afkoop</w:t>
      </w:r>
    </w:p>
    <w:p w:rsidR="008152FB" w:rsidP="008152FB" w:rsidRDefault="008152FB">
      <w:pPr>
        <w:pStyle w:val="Geenafstand"/>
        <w:spacing w:line="276" w:lineRule="auto"/>
      </w:pPr>
    </w:p>
    <w:p w:rsidR="00062D04" w:rsidP="008152FB" w:rsidRDefault="00D6364E">
      <w:pPr>
        <w:pStyle w:val="Geenafstand"/>
        <w:spacing w:line="276" w:lineRule="auto"/>
      </w:pPr>
      <w:r>
        <w:t>Voordat</w:t>
      </w:r>
      <w:r w:rsidR="008152FB">
        <w:t xml:space="preserve"> ik toekom aan de beantwoording van voornoemde technische vragen, ga ik </w:t>
      </w:r>
      <w:r>
        <w:t>na</w:t>
      </w:r>
      <w:r w:rsidR="008152FB">
        <w:t xml:space="preserve">der in op de in de brief </w:t>
      </w:r>
      <w:r w:rsidR="00BD21DB">
        <w:t xml:space="preserve">in </w:t>
      </w:r>
      <w:r w:rsidRPr="00A54F24" w:rsidR="005D0384">
        <w:t xml:space="preserve">paragraaf </w:t>
      </w:r>
      <w:r w:rsidR="00A54F24">
        <w:t>5</w:t>
      </w:r>
      <w:r w:rsidR="00BD21DB">
        <w:t xml:space="preserve"> </w:t>
      </w:r>
      <w:r w:rsidR="008152FB">
        <w:t xml:space="preserve">genoemde weging van </w:t>
      </w:r>
      <w:r w:rsidR="00062D04">
        <w:t xml:space="preserve">de voor- en nadelen van </w:t>
      </w:r>
      <w:r w:rsidR="00A54F24">
        <w:t>uitfaseren</w:t>
      </w:r>
      <w:r w:rsidR="00062D04">
        <w:t xml:space="preserve"> van het </w:t>
      </w:r>
      <w:r w:rsidR="00570E20">
        <w:t>pensioen in eigen beheer (</w:t>
      </w:r>
      <w:r w:rsidR="00062D04">
        <w:t>PEB</w:t>
      </w:r>
      <w:r w:rsidR="00570E20">
        <w:t>)</w:t>
      </w:r>
      <w:r w:rsidR="00062D04">
        <w:t xml:space="preserve"> </w:t>
      </w:r>
      <w:r w:rsidR="004F68BA">
        <w:t xml:space="preserve">via een gefaciliteerde afkoop </w:t>
      </w:r>
      <w:r w:rsidR="00062D04">
        <w:t xml:space="preserve">in vergelijking met </w:t>
      </w:r>
      <w:r w:rsidR="00A54F24">
        <w:t xml:space="preserve">het </w:t>
      </w:r>
      <w:r w:rsidR="00062D04">
        <w:t>OSEB.</w:t>
      </w:r>
      <w:r w:rsidR="008152FB">
        <w:t xml:space="preserve"> De heer Groot</w:t>
      </w:r>
      <w:r w:rsidR="00C24BC4">
        <w:t xml:space="preserve"> </w:t>
      </w:r>
      <w:r w:rsidR="008152FB">
        <w:t>heeft hier</w:t>
      </w:r>
      <w:r>
        <w:t xml:space="preserve"> </w:t>
      </w:r>
      <w:r w:rsidR="008152FB">
        <w:t>na</w:t>
      </w:r>
      <w:r>
        <w:t>ar</w:t>
      </w:r>
      <w:r w:rsidR="008152FB">
        <w:t xml:space="preserve"> gevraagd.</w:t>
      </w:r>
      <w:r w:rsidR="00BD21DB">
        <w:t xml:space="preserve"> Mevrouw </w:t>
      </w:r>
      <w:proofErr w:type="spellStart"/>
      <w:r w:rsidR="00BD21DB">
        <w:t>Neppérus</w:t>
      </w:r>
      <w:proofErr w:type="spellEnd"/>
      <w:r w:rsidR="00BD21DB">
        <w:t>, de heer Omtzigt en de heer Krol sloten zich bij deze vraag aan.</w:t>
      </w:r>
    </w:p>
    <w:p w:rsidR="00062D04" w:rsidP="008152FB" w:rsidRDefault="00062D04">
      <w:pPr>
        <w:pStyle w:val="Geenafstand"/>
        <w:spacing w:line="276" w:lineRule="auto"/>
      </w:pPr>
    </w:p>
    <w:p w:rsidRPr="00336A51" w:rsidR="00062D04" w:rsidP="008152FB" w:rsidRDefault="00C23878">
      <w:pPr>
        <w:pStyle w:val="Geenafstand"/>
        <w:spacing w:line="276" w:lineRule="auto"/>
        <w:rPr>
          <w:b/>
          <w:i/>
        </w:rPr>
      </w:pPr>
      <w:r>
        <w:rPr>
          <w:b/>
          <w:i/>
        </w:rPr>
        <w:t>1</w:t>
      </w:r>
      <w:r w:rsidR="00062D04">
        <w:rPr>
          <w:b/>
          <w:i/>
        </w:rPr>
        <w:t>. OSEB</w:t>
      </w:r>
    </w:p>
    <w:p w:rsidR="00062D04" w:rsidP="008152FB" w:rsidRDefault="00062D04">
      <w:pPr>
        <w:pStyle w:val="Geenafstand"/>
        <w:spacing w:line="276" w:lineRule="auto"/>
      </w:pPr>
    </w:p>
    <w:p w:rsidR="00062D04" w:rsidP="00062D04" w:rsidRDefault="00062D04">
      <w:pPr>
        <w:pStyle w:val="Geenafstand"/>
        <w:spacing w:line="276" w:lineRule="auto"/>
      </w:pPr>
      <w:r w:rsidRPr="0079283B">
        <w:t xml:space="preserve">De onder het huidige recht in eigen beheer opgebouwde </w:t>
      </w:r>
      <w:proofErr w:type="spellStart"/>
      <w:r w:rsidR="004E552C">
        <w:t>PEB-</w:t>
      </w:r>
      <w:r w:rsidRPr="0079283B">
        <w:t>verplichting</w:t>
      </w:r>
      <w:proofErr w:type="spellEnd"/>
      <w:r w:rsidRPr="0079283B">
        <w:t xml:space="preserve"> kan </w:t>
      </w:r>
      <w:r w:rsidR="00570E20">
        <w:t xml:space="preserve">– zoals in mijn brief van 1 juli 2015 is aangegeven - </w:t>
      </w:r>
      <w:r w:rsidRPr="0079283B">
        <w:t xml:space="preserve">zonder het verschuldigd worden van loonheffing of vennootschapsbelasting worden omgezet in een </w:t>
      </w:r>
      <w:proofErr w:type="spellStart"/>
      <w:r w:rsidR="004E552C">
        <w:t>OSEB-</w:t>
      </w:r>
      <w:r w:rsidRPr="0079283B" w:rsidR="004E552C">
        <w:t>verplichting</w:t>
      </w:r>
      <w:proofErr w:type="spellEnd"/>
      <w:r w:rsidRPr="0079283B" w:rsidR="004E552C">
        <w:t xml:space="preserve"> </w:t>
      </w:r>
      <w:r w:rsidRPr="0079283B">
        <w:t xml:space="preserve">ter grootte van </w:t>
      </w:r>
      <w:r>
        <w:t>de fiscale pensioenverplichting</w:t>
      </w:r>
      <w:r w:rsidR="007B2552">
        <w:t xml:space="preserve"> zoals die onder het bestaande </w:t>
      </w:r>
      <w:proofErr w:type="spellStart"/>
      <w:r w:rsidR="007B2552">
        <w:t>PE</w:t>
      </w:r>
      <w:r w:rsidR="00D6364E">
        <w:t>B</w:t>
      </w:r>
      <w:r w:rsidR="007B2552">
        <w:t>-stelsel</w:t>
      </w:r>
      <w:proofErr w:type="spellEnd"/>
      <w:r w:rsidR="007B2552">
        <w:t xml:space="preserve"> is opgebouwd</w:t>
      </w:r>
      <w:r>
        <w:t>. D</w:t>
      </w:r>
      <w:r w:rsidRPr="0079283B">
        <w:t xml:space="preserve">it komt in feite overeen met </w:t>
      </w:r>
      <w:r w:rsidR="00BD21DB">
        <w:t>het gedeeltelijk</w:t>
      </w:r>
      <w:r w:rsidRPr="0079283B">
        <w:t xml:space="preserve"> </w:t>
      </w:r>
      <w:r w:rsidR="00BD21DB">
        <w:t xml:space="preserve">en fiscaalvriendelijk </w:t>
      </w:r>
      <w:r w:rsidRPr="0079283B">
        <w:t xml:space="preserve">afzien van pensioenrechten in combinatie met een </w:t>
      </w:r>
      <w:r w:rsidR="00BD21DB">
        <w:t xml:space="preserve">fiscaal geruisloze </w:t>
      </w:r>
      <w:r w:rsidRPr="0079283B">
        <w:t xml:space="preserve">wijziging van de resterende rechten in een aanspraak ter zake van </w:t>
      </w:r>
      <w:proofErr w:type="spellStart"/>
      <w:r w:rsidRPr="0079283B">
        <w:t>oudedagssparen</w:t>
      </w:r>
      <w:proofErr w:type="spellEnd"/>
      <w:r w:rsidRPr="0079283B">
        <w:t xml:space="preserve">. Dit </w:t>
      </w:r>
      <w:r w:rsidR="00BD21DB">
        <w:t xml:space="preserve">kan niet dwingend worden opgelegd maar </w:t>
      </w:r>
      <w:r w:rsidRPr="0079283B">
        <w:t>vereist instemmen</w:t>
      </w:r>
      <w:r w:rsidR="00C24BC4">
        <w:t xml:space="preserve"> en </w:t>
      </w:r>
      <w:r w:rsidRPr="0079283B">
        <w:t>meetekenen van de DGA en diens partner.</w:t>
      </w:r>
      <w:r>
        <w:t xml:space="preserve"> Omdat de overgang van</w:t>
      </w:r>
      <w:r w:rsidR="00C24BC4">
        <w:t xml:space="preserve"> het</w:t>
      </w:r>
      <w:r>
        <w:t xml:space="preserve"> PEB naar het OSEB fiscaal geruisloos geschiedt, kunnen ook vennootschappen met een </w:t>
      </w:r>
      <w:proofErr w:type="spellStart"/>
      <w:r>
        <w:t>PEB-verplichting</w:t>
      </w:r>
      <w:proofErr w:type="spellEnd"/>
      <w:r>
        <w:t xml:space="preserve"> die een minder goede financiële positie hebben of over weinig of geen liquide middelen beschikken, zonder belemmering meedoen.</w:t>
      </w:r>
    </w:p>
    <w:p w:rsidR="00062D04" w:rsidP="00062D04" w:rsidRDefault="00062D04">
      <w:pPr>
        <w:pStyle w:val="Geenafstand"/>
        <w:spacing w:line="276" w:lineRule="auto"/>
      </w:pPr>
    </w:p>
    <w:p w:rsidR="00062D04" w:rsidP="00062D04" w:rsidRDefault="00062D04">
      <w:pPr>
        <w:pStyle w:val="Geenafstand"/>
        <w:spacing w:line="276" w:lineRule="auto"/>
      </w:pPr>
      <w:r>
        <w:t xml:space="preserve">Via het OSEB kan men een oudedagsvoorziening in eigen beheer opbouwen, waarbij de </w:t>
      </w:r>
      <w:proofErr w:type="spellStart"/>
      <w:r>
        <w:t>oudedagsspaarverplichting</w:t>
      </w:r>
      <w:proofErr w:type="spellEnd"/>
      <w:r>
        <w:t xml:space="preserve"> zowel fiscaal als commercieel vreemd vermogen voor de bv vormt. Hoogstwaarschijnlijk is er bij het OSEB geen verschil tussen de fiscale en de commerciële waardering.</w:t>
      </w:r>
    </w:p>
    <w:p w:rsidR="00062D04" w:rsidP="00062D04" w:rsidRDefault="00062D04">
      <w:pPr>
        <w:pStyle w:val="Geenafstand"/>
        <w:spacing w:line="276" w:lineRule="auto"/>
      </w:pPr>
    </w:p>
    <w:p w:rsidR="00062D04" w:rsidP="00062D04" w:rsidRDefault="00062D04">
      <w:pPr>
        <w:pStyle w:val="Geenafstand"/>
        <w:spacing w:line="276" w:lineRule="auto"/>
      </w:pPr>
      <w:r>
        <w:t>De in de bv aanwezige activa blijven volledig beschikbaar voor de bv</w:t>
      </w:r>
      <w:r w:rsidR="00C24BC4">
        <w:t>,</w:t>
      </w:r>
      <w:r>
        <w:t xml:space="preserve"> tenzij </w:t>
      </w:r>
      <w:r w:rsidR="00C966BD">
        <w:t xml:space="preserve">men een </w:t>
      </w:r>
      <w:r w:rsidR="00570E20">
        <w:t xml:space="preserve">externe </w:t>
      </w:r>
      <w:r w:rsidR="00C966BD">
        <w:t xml:space="preserve">voorziening wil treffen ter waarborging van de belangen van de partner en kinderen. Daarvoor </w:t>
      </w:r>
      <w:r w:rsidR="00570E20">
        <w:t>kan</w:t>
      </w:r>
      <w:r w:rsidR="00C966BD">
        <w:t xml:space="preserve"> </w:t>
      </w:r>
      <w:r>
        <w:t xml:space="preserve">een externe </w:t>
      </w:r>
      <w:r w:rsidR="004F68BA">
        <w:t>lijfrente (risicoverzekering)</w:t>
      </w:r>
      <w:r w:rsidR="00A32CF7">
        <w:t xml:space="preserve"> </w:t>
      </w:r>
      <w:r>
        <w:t>word</w:t>
      </w:r>
      <w:r w:rsidR="00C966BD">
        <w:t>en</w:t>
      </w:r>
      <w:r>
        <w:t xml:space="preserve"> bedongen, bijvoorbeeld ter afdekking van het vooroverlijdensrisico </w:t>
      </w:r>
      <w:r w:rsidR="004F68BA">
        <w:t>(risico-overlijdensdekking pensioen)</w:t>
      </w:r>
      <w:r>
        <w:t xml:space="preserve">. Bij de omzetting van </w:t>
      </w:r>
      <w:r w:rsidR="00C24BC4">
        <w:t xml:space="preserve">het </w:t>
      </w:r>
      <w:r>
        <w:t xml:space="preserve">PEB in de </w:t>
      </w:r>
      <w:proofErr w:type="spellStart"/>
      <w:r>
        <w:t>oudedagsspaarverplichting</w:t>
      </w:r>
      <w:proofErr w:type="spellEnd"/>
      <w:r>
        <w:t xml:space="preserve"> </w:t>
      </w:r>
      <w:r w:rsidR="00C24BC4">
        <w:t xml:space="preserve">neemt </w:t>
      </w:r>
      <w:r>
        <w:t>ook de dividendruimte toe, doordat de</w:t>
      </w:r>
      <w:r w:rsidR="006B06F9">
        <w:t xml:space="preserve"> pensioenverplichting </w:t>
      </w:r>
      <w:r w:rsidR="00A32CF7">
        <w:t xml:space="preserve">tot de fiscale waarde </w:t>
      </w:r>
      <w:r w:rsidR="00C24BC4">
        <w:t xml:space="preserve">wordt </w:t>
      </w:r>
      <w:r w:rsidR="006B06F9">
        <w:t>afgestempeld</w:t>
      </w:r>
      <w:r>
        <w:t xml:space="preserve">. Zowel de fiscale als de civielrechtelijke </w:t>
      </w:r>
      <w:proofErr w:type="spellStart"/>
      <w:r>
        <w:t>dividenduitkeringstoets</w:t>
      </w:r>
      <w:proofErr w:type="spellEnd"/>
      <w:r>
        <w:t xml:space="preserve"> is inzichtelijk, waarbij de ruimte voor dividenduitkeringen makkelijk is te bepalen. Er kan geregeld worden dat de partner van de DGA recht krijgt op een deel van de </w:t>
      </w:r>
      <w:proofErr w:type="spellStart"/>
      <w:r>
        <w:t>oudedagsspaarpot</w:t>
      </w:r>
      <w:proofErr w:type="spellEnd"/>
      <w:r>
        <w:t xml:space="preserve"> in geval van scheiding. Zowel in de opbouwfase als in de afbouwfase zijn er juridisch afdwingbare rechten.</w:t>
      </w:r>
    </w:p>
    <w:p w:rsidR="00062D04" w:rsidP="00062D04" w:rsidRDefault="00062D04">
      <w:pPr>
        <w:pStyle w:val="Geenafstand"/>
        <w:spacing w:line="276" w:lineRule="auto"/>
      </w:pPr>
    </w:p>
    <w:p w:rsidR="00062D04" w:rsidP="00062D04" w:rsidRDefault="00062D04">
      <w:pPr>
        <w:pStyle w:val="Geenafstand"/>
        <w:spacing w:line="276" w:lineRule="auto"/>
      </w:pPr>
      <w:r>
        <w:t>Het O</w:t>
      </w:r>
      <w:r w:rsidR="00D5004A">
        <w:t>S</w:t>
      </w:r>
      <w:r>
        <w:t>EB vereist</w:t>
      </w:r>
      <w:r w:rsidR="00406584">
        <w:t xml:space="preserve">, zoals in de brief van 1 juli 2015 al </w:t>
      </w:r>
      <w:r w:rsidR="005F2468">
        <w:t xml:space="preserve">is </w:t>
      </w:r>
      <w:r w:rsidR="00406584">
        <w:t>aangegeven</w:t>
      </w:r>
      <w:r w:rsidR="005F2468">
        <w:t>,</w:t>
      </w:r>
      <w:r>
        <w:t xml:space="preserve"> </w:t>
      </w:r>
      <w:r w:rsidR="00406584">
        <w:t>extra</w:t>
      </w:r>
      <w:r>
        <w:t xml:space="preserve"> wet- en regelgeving, hetgeen </w:t>
      </w:r>
      <w:r w:rsidR="00C966BD">
        <w:t>in zoverre</w:t>
      </w:r>
      <w:r>
        <w:t xml:space="preserve"> geen vereenvoudiging met zich brengt</w:t>
      </w:r>
      <w:r w:rsidR="006C7397">
        <w:t xml:space="preserve"> ten opzichte van het huidige PEB</w:t>
      </w:r>
      <w:r>
        <w:t>. Dat neemt niet weg dat de regeling voor het OSEB voor zowel de DGA als de Belastingdienst goed uitvoerbaar en begrijpelijk is, zeker in v</w:t>
      </w:r>
      <w:r w:rsidR="006B06F9">
        <w:t>ergelijking tot het huidige PEB.</w:t>
      </w:r>
      <w:r w:rsidR="00C966BD">
        <w:t xml:space="preserve"> Dat komt doordat </w:t>
      </w:r>
      <w:r w:rsidRPr="00A54F24" w:rsidR="00570E20">
        <w:t xml:space="preserve">het </w:t>
      </w:r>
      <w:proofErr w:type="spellStart"/>
      <w:r w:rsidRPr="00A54F24" w:rsidR="00570E20">
        <w:t>oudedagsspaarpotje</w:t>
      </w:r>
      <w:proofErr w:type="spellEnd"/>
      <w:r w:rsidRPr="00A54F24" w:rsidR="00570E20">
        <w:t xml:space="preserve"> is wat het is, niet meer en niet minder, zonder actuariële exercitie.</w:t>
      </w:r>
    </w:p>
    <w:p w:rsidR="006B06F9" w:rsidP="00062D04" w:rsidRDefault="006B06F9">
      <w:pPr>
        <w:pStyle w:val="Geenafstand"/>
        <w:spacing w:line="276" w:lineRule="auto"/>
      </w:pPr>
    </w:p>
    <w:p w:rsidR="00842BA3" w:rsidP="00062D04" w:rsidRDefault="00062D04">
      <w:pPr>
        <w:pStyle w:val="Geenafstand"/>
        <w:spacing w:line="276" w:lineRule="auto"/>
      </w:pPr>
      <w:r>
        <w:t xml:space="preserve">In internationaal verband is er met betrekking tot het OSEB wel extra aandacht nodig voor </w:t>
      </w:r>
      <w:r w:rsidR="006C7397">
        <w:t xml:space="preserve">onder andere </w:t>
      </w:r>
      <w:r>
        <w:t xml:space="preserve">emigratiesituaties. De benodigde aansprakelijkheidswetgeving lijkt vergelijkbaar met die voor het huidige PEB. Naar verwachting dalen bij het OSEB de uitvoeringskosten met € 2,7 miljoen </w:t>
      </w:r>
      <w:r>
        <w:lastRenderedPageBreak/>
        <w:t xml:space="preserve">en de administratieve lasten met € 3 miljoen. De incidentele kosten voor de Belastingdienst bedragen € 1,6 miljoen. Budgettair kan een wetsvoorstel inzake het </w:t>
      </w:r>
      <w:r w:rsidR="006B06F9">
        <w:t>OSEB neutraal worden ingericht.</w:t>
      </w:r>
    </w:p>
    <w:p w:rsidR="006B06F9" w:rsidP="00062D04" w:rsidRDefault="006B06F9">
      <w:pPr>
        <w:pStyle w:val="Geenafstand"/>
        <w:spacing w:line="276" w:lineRule="auto"/>
      </w:pPr>
    </w:p>
    <w:p w:rsidRPr="00336A51" w:rsidR="00062D04" w:rsidP="00062D04" w:rsidRDefault="00C23878">
      <w:pPr>
        <w:pStyle w:val="Geenafstand"/>
        <w:spacing w:line="276" w:lineRule="auto"/>
        <w:rPr>
          <w:b/>
          <w:i/>
        </w:rPr>
      </w:pPr>
      <w:r>
        <w:rPr>
          <w:b/>
          <w:i/>
        </w:rPr>
        <w:t>2</w:t>
      </w:r>
      <w:r w:rsidRPr="00336A51" w:rsidR="00062D04">
        <w:rPr>
          <w:b/>
          <w:i/>
        </w:rPr>
        <w:t xml:space="preserve">. </w:t>
      </w:r>
      <w:r w:rsidR="00A54F24">
        <w:rPr>
          <w:b/>
          <w:i/>
        </w:rPr>
        <w:t>Uitfaseren</w:t>
      </w:r>
      <w:r w:rsidRPr="00336A51" w:rsidR="00062D04">
        <w:rPr>
          <w:b/>
          <w:i/>
        </w:rPr>
        <w:t xml:space="preserve"> via </w:t>
      </w:r>
      <w:r w:rsidR="00062D04">
        <w:rPr>
          <w:b/>
          <w:i/>
        </w:rPr>
        <w:t xml:space="preserve">een gefaciliteerde </w:t>
      </w:r>
      <w:r w:rsidRPr="00336A51" w:rsidR="00062D04">
        <w:rPr>
          <w:b/>
          <w:i/>
        </w:rPr>
        <w:t>afkoop</w:t>
      </w:r>
    </w:p>
    <w:p w:rsidR="00062D04" w:rsidP="00062D04" w:rsidRDefault="00062D04">
      <w:pPr>
        <w:pStyle w:val="Geenafstand"/>
        <w:spacing w:line="276" w:lineRule="auto"/>
      </w:pPr>
    </w:p>
    <w:p w:rsidR="006B06F9" w:rsidP="00062D04" w:rsidRDefault="00062D04">
      <w:pPr>
        <w:pStyle w:val="Geenafstand"/>
        <w:spacing w:line="276" w:lineRule="auto"/>
      </w:pPr>
      <w:r w:rsidRPr="00E761AD">
        <w:t xml:space="preserve">Bij </w:t>
      </w:r>
      <w:r w:rsidR="00000A21">
        <w:t>uitfasering</w:t>
      </w:r>
      <w:r w:rsidR="006B06F9">
        <w:t xml:space="preserve"> van het PEB </w:t>
      </w:r>
      <w:r w:rsidR="006C7397">
        <w:t xml:space="preserve">zonder dat daarvoor iets in de plaats komt, </w:t>
      </w:r>
      <w:r w:rsidR="006B06F9">
        <w:t xml:space="preserve">komt een einde aan de </w:t>
      </w:r>
      <w:r w:rsidR="006C02E3">
        <w:t>conflicteren</w:t>
      </w:r>
      <w:r w:rsidR="006B06F9">
        <w:t xml:space="preserve">de belangen van het opbouwen van een veilige oudedagsvoorziening en de financieringsbehoefte van de onderneming. De DGA kan – net als andere werknemers – nog steeds een fiscaal gefaciliteerde oudedagsvoorziening opbouwen bij een professionele </w:t>
      </w:r>
      <w:r w:rsidR="00570E20">
        <w:t>aanbie</w:t>
      </w:r>
      <w:r w:rsidR="006B06F9">
        <w:t>der, waarbij de oudedagsvoorziening buite</w:t>
      </w:r>
      <w:r w:rsidR="006C02E3">
        <w:t>n</w:t>
      </w:r>
      <w:r w:rsidR="006B06F9">
        <w:t xml:space="preserve"> de risicosfeer van de onderneming wordt gebracht.</w:t>
      </w:r>
    </w:p>
    <w:p w:rsidR="006B06F9" w:rsidP="00062D04" w:rsidRDefault="006B06F9">
      <w:pPr>
        <w:pStyle w:val="Geenafstand"/>
        <w:spacing w:line="276" w:lineRule="auto"/>
      </w:pPr>
    </w:p>
    <w:p w:rsidR="007E7D53" w:rsidP="00062D04" w:rsidRDefault="006B06F9">
      <w:pPr>
        <w:pStyle w:val="Geenafstand"/>
        <w:spacing w:line="276" w:lineRule="auto"/>
        <w:rPr>
          <w:bCs/>
        </w:rPr>
      </w:pPr>
      <w:r>
        <w:t xml:space="preserve">Wanneer voor het </w:t>
      </w:r>
      <w:r w:rsidR="00E66164">
        <w:t>uitfaseren</w:t>
      </w:r>
      <w:r>
        <w:t xml:space="preserve"> </w:t>
      </w:r>
      <w:r w:rsidRPr="00E761AD" w:rsidR="00062D04">
        <w:t>gebruik</w:t>
      </w:r>
      <w:r>
        <w:t xml:space="preserve"> wordt ge</w:t>
      </w:r>
      <w:r w:rsidRPr="00E761AD" w:rsidR="00062D04">
        <w:t>ma</w:t>
      </w:r>
      <w:r>
        <w:t>a</w:t>
      </w:r>
      <w:r w:rsidRPr="00E761AD" w:rsidR="00062D04">
        <w:t>k</w:t>
      </w:r>
      <w:r>
        <w:t>t</w:t>
      </w:r>
      <w:r w:rsidRPr="00E761AD" w:rsidR="00062D04">
        <w:t xml:space="preserve"> van de </w:t>
      </w:r>
      <w:r w:rsidR="007B2552">
        <w:t>in de brief</w:t>
      </w:r>
      <w:r w:rsidRPr="00E761AD" w:rsidR="007B2552">
        <w:t xml:space="preserve"> </w:t>
      </w:r>
      <w:r w:rsidRPr="00E761AD" w:rsidR="00062D04">
        <w:t xml:space="preserve">geschetste gefaciliteerde afkoopmogelijkheid </w:t>
      </w:r>
      <w:r w:rsidRPr="00E761AD" w:rsidR="00062D04">
        <w:rPr>
          <w:bCs/>
        </w:rPr>
        <w:t xml:space="preserve">wordt ter zake van deze afkoop loonheffing </w:t>
      </w:r>
      <w:r w:rsidR="00062D04">
        <w:rPr>
          <w:bCs/>
        </w:rPr>
        <w:t xml:space="preserve">(met een tarief van maximaal 52%) </w:t>
      </w:r>
      <w:r w:rsidRPr="00E761AD" w:rsidR="00062D04">
        <w:rPr>
          <w:bCs/>
        </w:rPr>
        <w:t xml:space="preserve">geheven met als grondslag 80% </w:t>
      </w:r>
      <w:r w:rsidR="00062D04">
        <w:rPr>
          <w:bCs/>
        </w:rPr>
        <w:t xml:space="preserve">van de afkoopsom </w:t>
      </w:r>
      <w:r w:rsidRPr="00E761AD" w:rsidR="00062D04">
        <w:rPr>
          <w:bCs/>
        </w:rPr>
        <w:t xml:space="preserve">ten bedrage van de eerdergenoemde fiscale waarde </w:t>
      </w:r>
      <w:r w:rsidR="00062D04">
        <w:rPr>
          <w:bCs/>
        </w:rPr>
        <w:t xml:space="preserve">van de pensioenverplichting </w:t>
      </w:r>
      <w:r w:rsidRPr="00E761AD" w:rsidR="00062D04">
        <w:rPr>
          <w:bCs/>
        </w:rPr>
        <w:t>vóór afstempeling.</w:t>
      </w:r>
      <w:r w:rsidR="00062D04">
        <w:rPr>
          <w:bCs/>
        </w:rPr>
        <w:t xml:space="preserve"> Deze loonheffing moet worden ingehouden en afgedragen aan de Belastingdienst. Het netto ontvangen bedrag van de afkoopsom kan de DGA als kapitaal terugstorten in de bv, teruglenen aan de bv</w:t>
      </w:r>
      <w:r w:rsidRPr="007E1F50" w:rsidR="00062D04">
        <w:rPr>
          <w:rStyle w:val="Voetnootmarkering"/>
          <w:bCs/>
          <w:szCs w:val="18"/>
        </w:rPr>
        <w:footnoteReference w:id="1"/>
      </w:r>
      <w:r w:rsidR="00062D04">
        <w:rPr>
          <w:bCs/>
        </w:rPr>
        <w:t xml:space="preserve"> dan wel consumeren of anderszins aanwenden.</w:t>
      </w:r>
    </w:p>
    <w:p w:rsidRPr="00BF4423" w:rsidR="00062D04" w:rsidP="00062D04" w:rsidRDefault="00062D04">
      <w:pPr>
        <w:pStyle w:val="Geenafstand"/>
        <w:spacing w:line="276" w:lineRule="auto"/>
      </w:pPr>
      <w:r w:rsidRPr="00E761AD">
        <w:br/>
      </w:r>
      <w:r>
        <w:rPr>
          <w:bCs/>
        </w:rPr>
        <w:t>Doordat de loonheffing moet worden ingehouden en afgedragen aan de Belastingdienst</w:t>
      </w:r>
      <w:r w:rsidRPr="00403195">
        <w:t xml:space="preserve"> </w:t>
      </w:r>
      <w:r>
        <w:t>is een deel van de in de bv aanwezige activa niet meer beschikbaar voor de bv.</w:t>
      </w:r>
      <w:r w:rsidRPr="00403195">
        <w:t xml:space="preserve"> </w:t>
      </w:r>
      <w:r w:rsidR="00406584">
        <w:t xml:space="preserve">In de volgende situaties zou geen gebruik kunnen worden gemaakt van de afkoopfaciliteit: </w:t>
      </w:r>
      <w:r w:rsidR="005F2468">
        <w:t>b</w:t>
      </w:r>
      <w:r>
        <w:t xml:space="preserve">ij vennootschappen met een </w:t>
      </w:r>
      <w:proofErr w:type="spellStart"/>
      <w:r>
        <w:t>PEB-verplichting</w:t>
      </w:r>
      <w:proofErr w:type="spellEnd"/>
      <w:r>
        <w:t xml:space="preserve"> die een minder goede financiële positie hebben</w:t>
      </w:r>
      <w:r w:rsidR="00406584">
        <w:t xml:space="preserve"> dan wel</w:t>
      </w:r>
      <w:r>
        <w:t xml:space="preserve"> over weinig of geen liquide middelen beschikken en daarbij onvoldoende leencapaciteit hebben, en waarbij de DGA niet in staat c.q. bereid is een extra kapitaalstorting in de vennootschap te doen. Hierbij kan</w:t>
      </w:r>
      <w:r w:rsidR="00406584">
        <w:t xml:space="preserve"> bijvoorbeeld</w:t>
      </w:r>
      <w:r>
        <w:t xml:space="preserve"> worden gedacht aan de door de heer Omtzigt geopperde problematiek van </w:t>
      </w:r>
      <w:proofErr w:type="spellStart"/>
      <w:r>
        <w:t>bv’s</w:t>
      </w:r>
      <w:proofErr w:type="spellEnd"/>
      <w:r>
        <w:t xml:space="preserve"> met</w:t>
      </w:r>
      <w:r w:rsidRPr="00ED096F">
        <w:t xml:space="preserve"> lege</w:t>
      </w:r>
      <w:r>
        <w:t xml:space="preserve"> winkelpanden, voor zover deze </w:t>
      </w:r>
      <w:proofErr w:type="spellStart"/>
      <w:r>
        <w:t>bv’s</w:t>
      </w:r>
      <w:proofErr w:type="spellEnd"/>
      <w:r>
        <w:t xml:space="preserve"> onvoldoende leencapaciteit hebben, en waarbij de DGA niet in staat c.q. bereid is een extra kapitaalstorting in de vennootschap te doen.</w:t>
      </w:r>
      <w:r w:rsidR="0021747D">
        <w:rPr>
          <w:rStyle w:val="Voetnootmarkering"/>
        </w:rPr>
        <w:footnoteReference w:id="2"/>
      </w:r>
    </w:p>
    <w:p w:rsidR="00062D04" w:rsidP="00062D04" w:rsidRDefault="00062D04">
      <w:pPr>
        <w:pStyle w:val="Geenafstand"/>
        <w:spacing w:line="276" w:lineRule="auto"/>
      </w:pPr>
    </w:p>
    <w:p w:rsidR="00062D04" w:rsidP="00062D04" w:rsidRDefault="00062D04">
      <w:pPr>
        <w:pStyle w:val="Geenafstand"/>
        <w:spacing w:line="276" w:lineRule="auto"/>
        <w:rPr>
          <w:bCs/>
        </w:rPr>
      </w:pPr>
      <w:r>
        <w:t xml:space="preserve">Na afkoop van het in eigen beheer opgebouwde pensioen is de vennootschap volledig bevrijd van een </w:t>
      </w:r>
      <w:r w:rsidRPr="00337D04">
        <w:t>pensioenverplichting.</w:t>
      </w:r>
      <w:r w:rsidRPr="00337D04">
        <w:rPr>
          <w:bCs/>
        </w:rPr>
        <w:t xml:space="preserve"> </w:t>
      </w:r>
      <w:r>
        <w:t xml:space="preserve">Wanneer men iets ten behoeve van de oude dag wil regelen, kan dat - met betrekking tot nieuwe dienstjaren - net als bij een </w:t>
      </w:r>
      <w:r w:rsidR="006C02E3">
        <w:t>‘</w:t>
      </w:r>
      <w:r>
        <w:t>normale</w:t>
      </w:r>
      <w:r w:rsidR="006C02E3">
        <w:t>’</w:t>
      </w:r>
      <w:r w:rsidR="00660150">
        <w:t xml:space="preserve"> werknemer</w:t>
      </w:r>
      <w:r>
        <w:t>, niet DGA zijnde, extern buiten de risicosfeer van de onderneming van de vennootschap in de tweede of derde pijler geschieden.</w:t>
      </w:r>
      <w:r w:rsidRPr="00255BC4">
        <w:t xml:space="preserve"> </w:t>
      </w:r>
      <w:r>
        <w:t xml:space="preserve">Men kan </w:t>
      </w:r>
      <w:r w:rsidRPr="0096530D">
        <w:t>de gelden van de on</w:t>
      </w:r>
      <w:r>
        <w:t xml:space="preserve">derneming in de eigen bv ook </w:t>
      </w:r>
      <w:r w:rsidRPr="0096530D">
        <w:t>zien als het spaarpotje voor de oude dag</w:t>
      </w:r>
      <w:r>
        <w:t>.</w:t>
      </w:r>
      <w:r w:rsidRPr="0096530D">
        <w:t xml:space="preserve"> </w:t>
      </w:r>
      <w:r>
        <w:t>D</w:t>
      </w:r>
      <w:r w:rsidRPr="0096530D">
        <w:t xml:space="preserve">aarbij </w:t>
      </w:r>
      <w:r>
        <w:t xml:space="preserve">heeft </w:t>
      </w:r>
      <w:r w:rsidRPr="0096530D">
        <w:t xml:space="preserve">men in de voorfase minder pensioenkosten en de bv dienovereenkomstig meer – tegen een vennootschapsbelastingtarief van 20-25% te belasten </w:t>
      </w:r>
      <w:r>
        <w:t>–</w:t>
      </w:r>
      <w:r w:rsidRPr="0096530D">
        <w:t xml:space="preserve"> winst</w:t>
      </w:r>
      <w:r>
        <w:t>.</w:t>
      </w:r>
      <w:r>
        <w:rPr>
          <w:rStyle w:val="Voetnootmarkering"/>
        </w:rPr>
        <w:footnoteReference w:id="3"/>
      </w:r>
      <w:r w:rsidRPr="0096530D">
        <w:t xml:space="preserve"> Bij het zien van de eigen bv als spaarpotje voor de oude dag is er ook veel meer flexibiliteit; men kan zelf bepalen of men het geld langer in de bv wil laten of eerder als dividend wil uitkeren, zonder last te hebben van de pensioenregelgeving (beklemming).</w:t>
      </w:r>
      <w:r>
        <w:t xml:space="preserve"> </w:t>
      </w:r>
      <w:r w:rsidRPr="00337D04">
        <w:rPr>
          <w:bCs/>
        </w:rPr>
        <w:t xml:space="preserve">Door het </w:t>
      </w:r>
      <w:r w:rsidR="00E66164">
        <w:rPr>
          <w:bCs/>
        </w:rPr>
        <w:t>uitfaseren</w:t>
      </w:r>
      <w:r w:rsidRPr="00337D04">
        <w:rPr>
          <w:bCs/>
        </w:rPr>
        <w:t xml:space="preserve"> van het PEB ontstaat er meer ruimte voor dividenduitkeringen. </w:t>
      </w:r>
      <w:r w:rsidR="00003B38">
        <w:rPr>
          <w:bCs/>
        </w:rPr>
        <w:t>De DGA</w:t>
      </w:r>
      <w:r w:rsidRPr="00337D04">
        <w:rPr>
          <w:bCs/>
        </w:rPr>
        <w:t xml:space="preserve"> kan naar believen kiezen voor het (netto-)reserveren in eigen beheer of (gedeeltelijk) afstorten bij een bank</w:t>
      </w:r>
      <w:r>
        <w:rPr>
          <w:bCs/>
        </w:rPr>
        <w:t xml:space="preserve"> of verzekeraar</w:t>
      </w:r>
      <w:r w:rsidRPr="00337D04">
        <w:rPr>
          <w:bCs/>
        </w:rPr>
        <w:t xml:space="preserve">, teneinde dat deel </w:t>
      </w:r>
      <w:r w:rsidR="007D5F4A">
        <w:rPr>
          <w:bCs/>
        </w:rPr>
        <w:t>uit de risicosfeer van de onderneming in de eigen bv te halen</w:t>
      </w:r>
      <w:r w:rsidRPr="00792B9B">
        <w:rPr>
          <w:bCs/>
        </w:rPr>
        <w:t xml:space="preserve">. </w:t>
      </w:r>
      <w:r>
        <w:rPr>
          <w:bCs/>
        </w:rPr>
        <w:t>De</w:t>
      </w:r>
      <w:r w:rsidRPr="00792B9B">
        <w:rPr>
          <w:bCs/>
        </w:rPr>
        <w:t xml:space="preserve"> solvabiliteit</w:t>
      </w:r>
      <w:r>
        <w:rPr>
          <w:bCs/>
        </w:rPr>
        <w:t xml:space="preserve"> van de bv</w:t>
      </w:r>
      <w:r w:rsidRPr="00792B9B">
        <w:rPr>
          <w:bCs/>
        </w:rPr>
        <w:t xml:space="preserve"> (verhouding eigen vermogen – vreemd vermogen) verbetert. De aandelen in de bv worden ook makkelijker verhandelbaar en een eventuele bedrijfsopvolging wordt </w:t>
      </w:r>
      <w:r w:rsidR="00660150">
        <w:rPr>
          <w:bCs/>
        </w:rPr>
        <w:t>eenvoudiger</w:t>
      </w:r>
      <w:r w:rsidRPr="00792B9B">
        <w:rPr>
          <w:bCs/>
        </w:rPr>
        <w:t>.</w:t>
      </w:r>
    </w:p>
    <w:p w:rsidR="00CE5A16" w:rsidP="00062D04" w:rsidRDefault="00CE5A16">
      <w:pPr>
        <w:pStyle w:val="Geenafstand"/>
        <w:spacing w:line="276" w:lineRule="auto"/>
        <w:rPr>
          <w:bCs/>
        </w:rPr>
      </w:pPr>
    </w:p>
    <w:p w:rsidR="00062D04" w:rsidP="00062D04" w:rsidRDefault="00062D04">
      <w:pPr>
        <w:pStyle w:val="Geenafstand"/>
        <w:spacing w:line="276" w:lineRule="auto"/>
      </w:pPr>
      <w:r>
        <w:t xml:space="preserve">Het </w:t>
      </w:r>
      <w:r w:rsidR="00E66164">
        <w:t>uitfaseren</w:t>
      </w:r>
      <w:r>
        <w:t xml:space="preserve"> van</w:t>
      </w:r>
      <w:r w:rsidR="00C24BC4">
        <w:t xml:space="preserve"> het</w:t>
      </w:r>
      <w:r>
        <w:t xml:space="preserve"> PEB betekent een behoorlijke vereenvoudiging, zowel voor de Belastingdienst als voor de DGA. Voor de </w:t>
      </w:r>
      <w:r w:rsidR="00000A21">
        <w:t>uitfasering</w:t>
      </w:r>
      <w:r>
        <w:t xml:space="preserve"> van </w:t>
      </w:r>
      <w:r w:rsidR="00C24BC4">
        <w:t xml:space="preserve">het </w:t>
      </w:r>
      <w:r>
        <w:t>PEB in combinatie met de afkoopfaciliteit is beperkte wet- en regelgeving noodzakelijk.</w:t>
      </w:r>
    </w:p>
    <w:p w:rsidR="0021747D" w:rsidP="0021747D" w:rsidRDefault="0021747D">
      <w:pPr>
        <w:pStyle w:val="Geenafstand"/>
        <w:spacing w:line="276" w:lineRule="auto"/>
      </w:pPr>
      <w:r>
        <w:lastRenderedPageBreak/>
        <w:t xml:space="preserve">Naar verwachting dalen bij het </w:t>
      </w:r>
      <w:r w:rsidR="00E66164">
        <w:t>uitfaseren</w:t>
      </w:r>
      <w:r>
        <w:t xml:space="preserve"> van </w:t>
      </w:r>
      <w:r w:rsidR="00E66164">
        <w:t xml:space="preserve">het </w:t>
      </w:r>
      <w:r>
        <w:t xml:space="preserve">PEB in combinatie met de afkoopfaciliteit de uitvoeringskosten </w:t>
      </w:r>
      <w:r w:rsidR="00480FBE">
        <w:t xml:space="preserve">bij de Belastingdienst </w:t>
      </w:r>
      <w:r>
        <w:t>met € 2,5 miljoen</w:t>
      </w:r>
      <w:r w:rsidR="00480FBE">
        <w:t xml:space="preserve">. </w:t>
      </w:r>
      <w:r>
        <w:t xml:space="preserve"> De incidentele kosten voor de Belastingdienst bedragen € 20.000.</w:t>
      </w:r>
      <w:r w:rsidR="00480FBE">
        <w:t xml:space="preserve"> De administratieve lasten voor bedrijven zullen naar verwachting op de korte termijn afnemen met circa € 3 miljoen en met circa 10 miljoen op de langere termijn. </w:t>
      </w:r>
    </w:p>
    <w:p w:rsidR="004447D6" w:rsidP="00062D04" w:rsidRDefault="004447D6">
      <w:pPr>
        <w:pStyle w:val="Geenafstand"/>
        <w:spacing w:line="276" w:lineRule="auto"/>
      </w:pPr>
    </w:p>
    <w:p w:rsidR="004447D6" w:rsidP="00062D04" w:rsidRDefault="001812A1">
      <w:pPr>
        <w:pStyle w:val="Geenafstand"/>
        <w:spacing w:line="276" w:lineRule="auto"/>
        <w:rPr>
          <w:szCs w:val="18"/>
        </w:rPr>
      </w:pPr>
      <w:r>
        <w:rPr>
          <w:szCs w:val="18"/>
        </w:rPr>
        <w:t xml:space="preserve">In mijn brief van 2 juni 2014 heb ik een aantal uitgangspunten en randvoorwaarden genoemd, waaraan een oplossing moet voldoen. Ook de hier geschetste oplossingsmogelijkheid van het </w:t>
      </w:r>
      <w:r w:rsidR="00E66164">
        <w:rPr>
          <w:szCs w:val="18"/>
        </w:rPr>
        <w:t>uitfaseren</w:t>
      </w:r>
      <w:r>
        <w:rPr>
          <w:szCs w:val="18"/>
        </w:rPr>
        <w:t xml:space="preserve"> via een gefaciliteerde afkoop heb ik daaraan getoetst. Door het </w:t>
      </w:r>
      <w:r w:rsidR="00E66164">
        <w:rPr>
          <w:szCs w:val="18"/>
        </w:rPr>
        <w:t>uitfaseren</w:t>
      </w:r>
      <w:r>
        <w:rPr>
          <w:szCs w:val="18"/>
        </w:rPr>
        <w:t xml:space="preserve"> wordt in ieder geval de wet- en regelgeving structureel eenvoudiger en de ingewikkelde verschillen tussen fiscale en civielrechtelijke waarderingsregels komen voor de toekomst te vervallen. </w:t>
      </w:r>
      <w:r w:rsidR="006C7397">
        <w:rPr>
          <w:szCs w:val="18"/>
        </w:rPr>
        <w:t xml:space="preserve">De voorgestelde </w:t>
      </w:r>
      <w:r w:rsidR="00000A21">
        <w:rPr>
          <w:szCs w:val="18"/>
        </w:rPr>
        <w:t>uitfasering</w:t>
      </w:r>
      <w:r w:rsidR="006C7397">
        <w:rPr>
          <w:szCs w:val="18"/>
        </w:rPr>
        <w:t xml:space="preserve"> met gefaciliteerde afkoop kan budgettair</w:t>
      </w:r>
      <w:r w:rsidR="0021747D">
        <w:rPr>
          <w:szCs w:val="18"/>
        </w:rPr>
        <w:t xml:space="preserve"> </w:t>
      </w:r>
      <w:r w:rsidR="006C7397">
        <w:rPr>
          <w:szCs w:val="18"/>
        </w:rPr>
        <w:t>neutraal worden vorm</w:t>
      </w:r>
      <w:r w:rsidR="0021747D">
        <w:rPr>
          <w:szCs w:val="18"/>
        </w:rPr>
        <w:t xml:space="preserve"> </w:t>
      </w:r>
      <w:r w:rsidR="006C7397">
        <w:rPr>
          <w:szCs w:val="18"/>
        </w:rPr>
        <w:t>gegeven</w:t>
      </w:r>
      <w:r>
        <w:rPr>
          <w:szCs w:val="18"/>
        </w:rPr>
        <w:t xml:space="preserve">. Verder worden door het </w:t>
      </w:r>
      <w:r w:rsidR="00E66164">
        <w:rPr>
          <w:szCs w:val="18"/>
        </w:rPr>
        <w:t>uitfaseren</w:t>
      </w:r>
      <w:r>
        <w:rPr>
          <w:szCs w:val="18"/>
        </w:rPr>
        <w:t xml:space="preserve"> van het PEB de huidige problemen in de uitvoering en de begrijpelijkheid zowel voor de DGA als de Belastingdienst opgelost. De voor de afkoop benodigde middelen worden echter in beginsel aan de bv onttrokken. De netto afkoopsom kan echter wel beschikbaar blijven voor de financiering van de onderneming van de bv wanneer de DGA deze weer als (in)formeel kapitaal terugstort. Ook voor nabestaanden kan iets worden geregeld, echter niet in de sfeer van de bv, maar extern.</w:t>
      </w:r>
    </w:p>
    <w:p w:rsidR="007E7D53" w:rsidP="00062D04" w:rsidRDefault="007E7D53">
      <w:pPr>
        <w:pStyle w:val="Geenafstand"/>
        <w:spacing w:line="276" w:lineRule="auto"/>
        <w:rPr>
          <w:szCs w:val="18"/>
        </w:rPr>
      </w:pPr>
    </w:p>
    <w:p w:rsidR="00062D04" w:rsidP="00062D04" w:rsidRDefault="00062D04">
      <w:pPr>
        <w:pStyle w:val="Geenafstand"/>
        <w:rPr>
          <w:b/>
        </w:rPr>
      </w:pPr>
      <w:r>
        <w:t xml:space="preserve">Hierna is een schema opgenomen met daarin een vergelijking van het OSEB met het </w:t>
      </w:r>
      <w:r w:rsidR="00E66164">
        <w:t>uitfaseren</w:t>
      </w:r>
      <w:r>
        <w:t xml:space="preserve"> van </w:t>
      </w:r>
      <w:r w:rsidR="00E66164">
        <w:t xml:space="preserve">het </w:t>
      </w:r>
      <w:r>
        <w:t>PEB via afkoop.</w:t>
      </w:r>
      <w:r w:rsidR="00CE5A16">
        <w:t xml:space="preserve"> De kolom van het OSEB is </w:t>
      </w:r>
      <w:r w:rsidR="005F2468">
        <w:t>g</w:t>
      </w:r>
      <w:r w:rsidR="00CE5A16">
        <w:t>ekopieerd uit de brief van 1 juli 2015</w:t>
      </w:r>
      <w:r w:rsidR="00DA647A">
        <w:t xml:space="preserve"> en iets uitgebreid</w:t>
      </w:r>
      <w:r w:rsidR="00CE5A16">
        <w:t>.</w:t>
      </w:r>
    </w:p>
    <w:p w:rsidR="00062D04" w:rsidP="00F04AAF" w:rsidRDefault="00062D04">
      <w:pPr>
        <w:pStyle w:val="Geenafstand"/>
        <w:rPr>
          <w:b/>
        </w:rPr>
      </w:pPr>
    </w:p>
    <w:p w:rsidR="00062D04" w:rsidRDefault="00062D04">
      <w:pPr>
        <w:rPr>
          <w:b/>
        </w:rPr>
      </w:pPr>
      <w:r>
        <w:rPr>
          <w:b/>
        </w:rPr>
        <w:br w:type="page"/>
      </w:r>
    </w:p>
    <w:p w:rsidRPr="00F04AAF" w:rsidR="009E0B37" w:rsidP="00F04AAF" w:rsidRDefault="00C23878">
      <w:pPr>
        <w:pStyle w:val="Geenafstand"/>
        <w:rPr>
          <w:b/>
        </w:rPr>
      </w:pPr>
      <w:r>
        <w:rPr>
          <w:b/>
        </w:rPr>
        <w:lastRenderedPageBreak/>
        <w:t xml:space="preserve">3. </w:t>
      </w:r>
      <w:r w:rsidRPr="00F04AAF" w:rsidR="007774D3">
        <w:rPr>
          <w:b/>
        </w:rPr>
        <w:t>Schema met vergelijking OSEB</w:t>
      </w:r>
      <w:r w:rsidRPr="00F04AAF" w:rsidR="009E0B37">
        <w:rPr>
          <w:b/>
        </w:rPr>
        <w:t xml:space="preserve"> en </w:t>
      </w:r>
      <w:r w:rsidR="00E66164">
        <w:rPr>
          <w:b/>
        </w:rPr>
        <w:t>uitfaseren</w:t>
      </w:r>
      <w:r w:rsidRPr="00F04AAF" w:rsidR="009E0B37">
        <w:rPr>
          <w:b/>
        </w:rPr>
        <w:t xml:space="preserve"> PEB via afkoop</w:t>
      </w:r>
      <w:r w:rsidR="002C644A">
        <w:rPr>
          <w:b/>
        </w:rPr>
        <w:t xml:space="preserve"> met het PEB</w:t>
      </w:r>
    </w:p>
    <w:p w:rsidR="009E0B37" w:rsidP="009E0B37" w:rsidRDefault="009E0B37">
      <w:pPr>
        <w:spacing w:after="0" w:line="240" w:lineRule="auto"/>
      </w:pPr>
    </w:p>
    <w:p w:rsidR="008964FA" w:rsidP="009E0B37" w:rsidRDefault="008964FA">
      <w:pPr>
        <w:spacing w:after="0" w:line="240" w:lineRule="auto"/>
      </w:pPr>
    </w:p>
    <w:tbl>
      <w:tblPr>
        <w:tblW w:w="8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595"/>
        <w:gridCol w:w="2758"/>
        <w:gridCol w:w="2835"/>
      </w:tblGrid>
      <w:tr w:rsidRPr="000B436C" w:rsidR="009E0B37" w:rsidTr="009A57A2">
        <w:tc>
          <w:tcPr>
            <w:tcW w:w="2595" w:type="dxa"/>
          </w:tcPr>
          <w:p w:rsidRPr="000B436C" w:rsidR="009E0B37" w:rsidP="009A57A2" w:rsidRDefault="009E0B37">
            <w:pPr>
              <w:spacing w:line="240" w:lineRule="auto"/>
              <w:jc w:val="center"/>
              <w:rPr>
                <w:b/>
                <w:sz w:val="16"/>
                <w:szCs w:val="16"/>
              </w:rPr>
            </w:pPr>
          </w:p>
        </w:tc>
        <w:tc>
          <w:tcPr>
            <w:tcW w:w="2758" w:type="dxa"/>
          </w:tcPr>
          <w:p w:rsidRPr="000B436C" w:rsidR="009E0B37" w:rsidP="009A57A2" w:rsidRDefault="009E0B37">
            <w:pPr>
              <w:spacing w:line="240" w:lineRule="auto"/>
              <w:jc w:val="center"/>
              <w:rPr>
                <w:b/>
                <w:sz w:val="16"/>
                <w:szCs w:val="16"/>
              </w:rPr>
            </w:pPr>
            <w:r w:rsidRPr="000B436C">
              <w:rPr>
                <w:b/>
                <w:sz w:val="16"/>
                <w:szCs w:val="16"/>
              </w:rPr>
              <w:t>O</w:t>
            </w:r>
            <w:r w:rsidR="007774D3">
              <w:rPr>
                <w:b/>
                <w:sz w:val="16"/>
                <w:szCs w:val="16"/>
              </w:rPr>
              <w:t>SEB</w:t>
            </w:r>
          </w:p>
        </w:tc>
        <w:tc>
          <w:tcPr>
            <w:tcW w:w="2835" w:type="dxa"/>
          </w:tcPr>
          <w:p w:rsidRPr="000B436C" w:rsidR="009E0B37" w:rsidP="009A57A2" w:rsidRDefault="00E66164">
            <w:pPr>
              <w:spacing w:line="240" w:lineRule="auto"/>
              <w:jc w:val="center"/>
              <w:rPr>
                <w:b/>
                <w:sz w:val="16"/>
                <w:szCs w:val="16"/>
              </w:rPr>
            </w:pPr>
            <w:r>
              <w:rPr>
                <w:b/>
                <w:sz w:val="16"/>
                <w:szCs w:val="16"/>
              </w:rPr>
              <w:t>Uitfaseren</w:t>
            </w:r>
            <w:r w:rsidR="009E0B37">
              <w:rPr>
                <w:b/>
                <w:sz w:val="16"/>
                <w:szCs w:val="16"/>
              </w:rPr>
              <w:t xml:space="preserve"> PEB via afkoop</w:t>
            </w:r>
          </w:p>
        </w:tc>
      </w:tr>
      <w:tr w:rsidRPr="000B436C" w:rsidR="009E0B37" w:rsidTr="009A57A2">
        <w:tc>
          <w:tcPr>
            <w:tcW w:w="2595" w:type="dxa"/>
          </w:tcPr>
          <w:p w:rsidRPr="00AB167D" w:rsidR="009E0B37" w:rsidP="009A57A2" w:rsidRDefault="009E0B37">
            <w:pPr>
              <w:spacing w:line="240" w:lineRule="auto"/>
              <w:rPr>
                <w:sz w:val="16"/>
                <w:szCs w:val="16"/>
              </w:rPr>
            </w:pPr>
            <w:r w:rsidRPr="00AB167D">
              <w:rPr>
                <w:sz w:val="16"/>
                <w:szCs w:val="16"/>
              </w:rPr>
              <w:t>Wet</w:t>
            </w:r>
            <w:r>
              <w:rPr>
                <w:sz w:val="16"/>
                <w:szCs w:val="16"/>
              </w:rPr>
              <w:t>-</w:t>
            </w:r>
            <w:r w:rsidRPr="00AB167D">
              <w:rPr>
                <w:sz w:val="16"/>
                <w:szCs w:val="16"/>
              </w:rPr>
              <w:t xml:space="preserve"> en rege</w:t>
            </w:r>
            <w:r>
              <w:rPr>
                <w:sz w:val="16"/>
                <w:szCs w:val="16"/>
              </w:rPr>
              <w:t>lgeving structureel eenvoudiger?</w:t>
            </w:r>
          </w:p>
        </w:tc>
        <w:tc>
          <w:tcPr>
            <w:tcW w:w="2758" w:type="dxa"/>
            <w:shd w:val="clear" w:color="auto" w:fill="FF0000"/>
          </w:tcPr>
          <w:p w:rsidRPr="00AB167D" w:rsidR="009E0B37" w:rsidP="009A57A2" w:rsidRDefault="009E0B37">
            <w:pPr>
              <w:spacing w:line="240" w:lineRule="auto"/>
              <w:rPr>
                <w:sz w:val="16"/>
                <w:szCs w:val="16"/>
              </w:rPr>
            </w:pPr>
            <w:r w:rsidRPr="00AB167D">
              <w:rPr>
                <w:sz w:val="16"/>
                <w:szCs w:val="16"/>
              </w:rPr>
              <w:t>Nee</w:t>
            </w:r>
            <w:r>
              <w:rPr>
                <w:sz w:val="16"/>
                <w:szCs w:val="16"/>
              </w:rPr>
              <w:t>.</w:t>
            </w:r>
          </w:p>
        </w:tc>
        <w:tc>
          <w:tcPr>
            <w:tcW w:w="2835" w:type="dxa"/>
            <w:shd w:val="clear" w:color="auto" w:fill="92D050"/>
          </w:tcPr>
          <w:p w:rsidRPr="00AB167D" w:rsidR="009E0B37" w:rsidP="009A57A2" w:rsidRDefault="009E0B37">
            <w:pPr>
              <w:spacing w:line="240" w:lineRule="auto"/>
              <w:rPr>
                <w:sz w:val="16"/>
                <w:szCs w:val="16"/>
              </w:rPr>
            </w:pPr>
            <w:r>
              <w:rPr>
                <w:sz w:val="16"/>
                <w:szCs w:val="16"/>
              </w:rPr>
              <w:t>Ja.</w:t>
            </w:r>
          </w:p>
        </w:tc>
      </w:tr>
      <w:tr w:rsidRPr="000B436C" w:rsidR="009E0B37" w:rsidTr="009A57A2">
        <w:tc>
          <w:tcPr>
            <w:tcW w:w="2595" w:type="dxa"/>
          </w:tcPr>
          <w:p w:rsidRPr="00AB167D" w:rsidR="009E0B37" w:rsidP="009A57A2" w:rsidRDefault="009E0B37">
            <w:pPr>
              <w:spacing w:line="240" w:lineRule="auto"/>
              <w:rPr>
                <w:sz w:val="16"/>
                <w:szCs w:val="16"/>
              </w:rPr>
            </w:pPr>
            <w:r>
              <w:rPr>
                <w:sz w:val="16"/>
                <w:szCs w:val="16"/>
              </w:rPr>
              <w:t>Uitvoerbaar en begrijpelijk voor zowel DGA als Belastingdienst?</w:t>
            </w:r>
          </w:p>
        </w:tc>
        <w:tc>
          <w:tcPr>
            <w:tcW w:w="2758" w:type="dxa"/>
            <w:shd w:val="clear" w:color="auto" w:fill="92D050"/>
          </w:tcPr>
          <w:p w:rsidRPr="00AB167D" w:rsidR="009E0B37" w:rsidP="009A57A2" w:rsidRDefault="009E0B37">
            <w:pPr>
              <w:spacing w:line="240" w:lineRule="auto"/>
              <w:rPr>
                <w:sz w:val="16"/>
                <w:szCs w:val="16"/>
              </w:rPr>
            </w:pPr>
            <w:r>
              <w:rPr>
                <w:sz w:val="16"/>
                <w:szCs w:val="16"/>
              </w:rPr>
              <w:t>Ja.</w:t>
            </w:r>
          </w:p>
        </w:tc>
        <w:tc>
          <w:tcPr>
            <w:tcW w:w="2835" w:type="dxa"/>
            <w:shd w:val="clear" w:color="auto" w:fill="92D050"/>
          </w:tcPr>
          <w:p w:rsidR="009E0B37" w:rsidP="009A57A2" w:rsidRDefault="009E0B37">
            <w:pPr>
              <w:spacing w:line="240" w:lineRule="auto"/>
              <w:rPr>
                <w:sz w:val="16"/>
                <w:szCs w:val="16"/>
              </w:rPr>
            </w:pPr>
            <w:r>
              <w:rPr>
                <w:sz w:val="16"/>
                <w:szCs w:val="16"/>
              </w:rPr>
              <w:t>Ja.</w:t>
            </w:r>
          </w:p>
        </w:tc>
      </w:tr>
      <w:tr w:rsidRPr="000B436C" w:rsidR="009E0B37" w:rsidTr="009A57A2">
        <w:tc>
          <w:tcPr>
            <w:tcW w:w="2595" w:type="dxa"/>
          </w:tcPr>
          <w:p w:rsidRPr="00AB167D" w:rsidR="009E0B37" w:rsidP="009A57A2" w:rsidRDefault="009E0B37">
            <w:pPr>
              <w:spacing w:line="240" w:lineRule="auto"/>
              <w:rPr>
                <w:sz w:val="16"/>
                <w:szCs w:val="16"/>
              </w:rPr>
            </w:pPr>
            <w:r>
              <w:rPr>
                <w:sz w:val="16"/>
                <w:szCs w:val="16"/>
              </w:rPr>
              <w:t>Beëindiging ingewikkelde verschillen tussen fiscale en civiele waarderingsregels?</w:t>
            </w:r>
          </w:p>
        </w:tc>
        <w:tc>
          <w:tcPr>
            <w:tcW w:w="2758" w:type="dxa"/>
            <w:shd w:val="clear" w:color="auto" w:fill="92D050"/>
          </w:tcPr>
          <w:p w:rsidRPr="00AB167D" w:rsidR="009E0B37" w:rsidP="009A57A2" w:rsidRDefault="009E0B37">
            <w:pPr>
              <w:spacing w:line="240" w:lineRule="auto"/>
              <w:rPr>
                <w:sz w:val="16"/>
                <w:szCs w:val="16"/>
              </w:rPr>
            </w:pPr>
            <w:r>
              <w:rPr>
                <w:sz w:val="16"/>
                <w:szCs w:val="16"/>
              </w:rPr>
              <w:t>Ja.</w:t>
            </w:r>
          </w:p>
        </w:tc>
        <w:tc>
          <w:tcPr>
            <w:tcW w:w="2835" w:type="dxa"/>
            <w:shd w:val="clear" w:color="auto" w:fill="92D050"/>
          </w:tcPr>
          <w:p w:rsidR="009E0B37" w:rsidP="009A57A2" w:rsidRDefault="009E0B37">
            <w:pPr>
              <w:spacing w:line="240" w:lineRule="auto"/>
              <w:rPr>
                <w:sz w:val="16"/>
                <w:szCs w:val="16"/>
              </w:rPr>
            </w:pPr>
            <w:r>
              <w:rPr>
                <w:sz w:val="16"/>
                <w:szCs w:val="16"/>
              </w:rPr>
              <w:t>Ja (geen pensioenverplichting meer).</w:t>
            </w:r>
          </w:p>
        </w:tc>
      </w:tr>
      <w:tr w:rsidRPr="000B436C" w:rsidR="009E0B37" w:rsidTr="009A57A2">
        <w:tc>
          <w:tcPr>
            <w:tcW w:w="2595" w:type="dxa"/>
          </w:tcPr>
          <w:p w:rsidR="009E0B37" w:rsidP="009A57A2" w:rsidRDefault="009E0B37">
            <w:pPr>
              <w:spacing w:line="240" w:lineRule="auto"/>
              <w:rPr>
                <w:sz w:val="16"/>
                <w:szCs w:val="16"/>
              </w:rPr>
            </w:pPr>
            <w:r>
              <w:rPr>
                <w:sz w:val="16"/>
                <w:szCs w:val="16"/>
              </w:rPr>
              <w:t xml:space="preserve">Geschiktheid faciliteit voor alle </w:t>
            </w:r>
            <w:proofErr w:type="spellStart"/>
            <w:r>
              <w:rPr>
                <w:sz w:val="16"/>
                <w:szCs w:val="16"/>
              </w:rPr>
              <w:t>bv’s</w:t>
            </w:r>
            <w:proofErr w:type="spellEnd"/>
            <w:r>
              <w:rPr>
                <w:sz w:val="16"/>
                <w:szCs w:val="16"/>
              </w:rPr>
              <w:t>?</w:t>
            </w:r>
          </w:p>
        </w:tc>
        <w:tc>
          <w:tcPr>
            <w:tcW w:w="2758" w:type="dxa"/>
            <w:shd w:val="clear" w:color="auto" w:fill="92D050"/>
          </w:tcPr>
          <w:p w:rsidR="009E0B37" w:rsidP="009A57A2" w:rsidRDefault="009E0B37">
            <w:pPr>
              <w:spacing w:line="240" w:lineRule="auto"/>
              <w:rPr>
                <w:sz w:val="16"/>
                <w:szCs w:val="16"/>
              </w:rPr>
            </w:pPr>
            <w:r>
              <w:rPr>
                <w:sz w:val="16"/>
                <w:szCs w:val="16"/>
              </w:rPr>
              <w:t>Ja</w:t>
            </w:r>
            <w:r w:rsidR="001938D8">
              <w:rPr>
                <w:sz w:val="16"/>
                <w:szCs w:val="16"/>
              </w:rPr>
              <w:t>.</w:t>
            </w:r>
          </w:p>
        </w:tc>
        <w:tc>
          <w:tcPr>
            <w:tcW w:w="2835" w:type="dxa"/>
            <w:shd w:val="clear" w:color="auto" w:fill="FF0000"/>
          </w:tcPr>
          <w:p w:rsidRPr="00542C65" w:rsidR="009E0B37" w:rsidP="009A57A2" w:rsidRDefault="009E0B37">
            <w:pPr>
              <w:spacing w:line="240" w:lineRule="auto"/>
              <w:rPr>
                <w:sz w:val="16"/>
                <w:szCs w:val="16"/>
              </w:rPr>
            </w:pPr>
            <w:r w:rsidRPr="00542C65">
              <w:rPr>
                <w:sz w:val="16"/>
                <w:szCs w:val="16"/>
              </w:rPr>
              <w:t xml:space="preserve">Nee, </w:t>
            </w:r>
            <w:r>
              <w:rPr>
                <w:sz w:val="16"/>
                <w:szCs w:val="16"/>
              </w:rPr>
              <w:t xml:space="preserve">niet voor </w:t>
            </w:r>
            <w:proofErr w:type="spellStart"/>
            <w:r>
              <w:rPr>
                <w:sz w:val="16"/>
                <w:szCs w:val="16"/>
              </w:rPr>
              <w:t>bv’s</w:t>
            </w:r>
            <w:proofErr w:type="spellEnd"/>
            <w:r>
              <w:rPr>
                <w:sz w:val="16"/>
                <w:szCs w:val="16"/>
              </w:rPr>
              <w:t xml:space="preserve"> met </w:t>
            </w:r>
            <w:r w:rsidRPr="00542C65">
              <w:rPr>
                <w:sz w:val="16"/>
                <w:szCs w:val="16"/>
              </w:rPr>
              <w:t>een minder</w:t>
            </w:r>
            <w:r>
              <w:rPr>
                <w:sz w:val="16"/>
                <w:szCs w:val="16"/>
              </w:rPr>
              <w:t xml:space="preserve"> goede financiële positie, </w:t>
            </w:r>
            <w:proofErr w:type="spellStart"/>
            <w:r>
              <w:rPr>
                <w:sz w:val="16"/>
                <w:szCs w:val="16"/>
              </w:rPr>
              <w:t>bv’s</w:t>
            </w:r>
            <w:proofErr w:type="spellEnd"/>
            <w:r>
              <w:rPr>
                <w:sz w:val="16"/>
                <w:szCs w:val="16"/>
              </w:rPr>
              <w:t xml:space="preserve"> met</w:t>
            </w:r>
            <w:r w:rsidRPr="00542C65">
              <w:rPr>
                <w:sz w:val="16"/>
                <w:szCs w:val="16"/>
              </w:rPr>
              <w:t xml:space="preserve"> weinig of </w:t>
            </w:r>
            <w:r>
              <w:rPr>
                <w:sz w:val="16"/>
                <w:szCs w:val="16"/>
              </w:rPr>
              <w:t>geen liquide middelen</w:t>
            </w:r>
            <w:r w:rsidRPr="00542C65">
              <w:rPr>
                <w:sz w:val="16"/>
                <w:szCs w:val="16"/>
              </w:rPr>
              <w:t xml:space="preserve"> en daarbij o</w:t>
            </w:r>
            <w:r>
              <w:rPr>
                <w:sz w:val="16"/>
                <w:szCs w:val="16"/>
              </w:rPr>
              <w:t>nvoldoende leencapaciteit, en waarbij</w:t>
            </w:r>
            <w:r w:rsidRPr="00542C65">
              <w:rPr>
                <w:sz w:val="16"/>
                <w:szCs w:val="16"/>
              </w:rPr>
              <w:t xml:space="preserve"> DGA niet in staat c.q. bereid is een extra kapit</w:t>
            </w:r>
            <w:r>
              <w:rPr>
                <w:sz w:val="16"/>
                <w:szCs w:val="16"/>
              </w:rPr>
              <w:t>aalstorting in de bv</w:t>
            </w:r>
            <w:r w:rsidRPr="00542C65">
              <w:rPr>
                <w:sz w:val="16"/>
                <w:szCs w:val="16"/>
              </w:rPr>
              <w:t xml:space="preserve"> te doen</w:t>
            </w:r>
            <w:r>
              <w:rPr>
                <w:sz w:val="16"/>
                <w:szCs w:val="16"/>
              </w:rPr>
              <w:t>.</w:t>
            </w:r>
            <w:r w:rsidR="00CC6569">
              <w:rPr>
                <w:rStyle w:val="Voetnootmarkering"/>
                <w:sz w:val="16"/>
                <w:szCs w:val="16"/>
              </w:rPr>
              <w:footnoteReference w:id="4"/>
            </w:r>
          </w:p>
        </w:tc>
      </w:tr>
      <w:tr w:rsidRPr="000B436C" w:rsidR="009E0B37" w:rsidTr="00370835">
        <w:tc>
          <w:tcPr>
            <w:tcW w:w="2595" w:type="dxa"/>
          </w:tcPr>
          <w:p w:rsidRPr="00AB167D" w:rsidR="009E0B37" w:rsidP="009A57A2" w:rsidRDefault="009E0B37">
            <w:pPr>
              <w:spacing w:line="240" w:lineRule="auto"/>
              <w:rPr>
                <w:sz w:val="16"/>
                <w:szCs w:val="16"/>
              </w:rPr>
            </w:pPr>
            <w:r>
              <w:rPr>
                <w:sz w:val="16"/>
                <w:szCs w:val="16"/>
              </w:rPr>
              <w:t>Kunnen door DGA ingelegde</w:t>
            </w:r>
            <w:r w:rsidR="00370835">
              <w:rPr>
                <w:sz w:val="16"/>
                <w:szCs w:val="16"/>
              </w:rPr>
              <w:t xml:space="preserve"> dan wel door afkoop vrijgekomen</w:t>
            </w:r>
            <w:r>
              <w:rPr>
                <w:sz w:val="16"/>
                <w:szCs w:val="16"/>
              </w:rPr>
              <w:t xml:space="preserve"> middelen</w:t>
            </w:r>
            <w:r w:rsidR="00370835">
              <w:rPr>
                <w:sz w:val="16"/>
                <w:szCs w:val="16"/>
              </w:rPr>
              <w:t xml:space="preserve"> </w:t>
            </w:r>
            <w:r>
              <w:rPr>
                <w:sz w:val="16"/>
                <w:szCs w:val="16"/>
              </w:rPr>
              <w:t>beschikbaar blijven voor (financiering van) onderneming van eigen bv?</w:t>
            </w:r>
          </w:p>
        </w:tc>
        <w:tc>
          <w:tcPr>
            <w:tcW w:w="2758" w:type="dxa"/>
            <w:shd w:val="clear" w:color="auto" w:fill="92D050"/>
          </w:tcPr>
          <w:p w:rsidRPr="00AB167D" w:rsidR="009E0B37" w:rsidP="009A57A2" w:rsidRDefault="009E0B37">
            <w:pPr>
              <w:spacing w:line="240" w:lineRule="auto"/>
              <w:rPr>
                <w:sz w:val="16"/>
                <w:szCs w:val="16"/>
              </w:rPr>
            </w:pPr>
            <w:r>
              <w:rPr>
                <w:sz w:val="16"/>
                <w:szCs w:val="16"/>
              </w:rPr>
              <w:t>Ja, tenzij externe lijfrente wordt bedongen.</w:t>
            </w:r>
          </w:p>
        </w:tc>
        <w:tc>
          <w:tcPr>
            <w:tcW w:w="2835" w:type="dxa"/>
            <w:shd w:val="clear" w:color="auto" w:fill="D99594" w:themeFill="accent2" w:themeFillTint="99"/>
          </w:tcPr>
          <w:p w:rsidR="009E0B37" w:rsidP="009A57A2" w:rsidRDefault="009E0B37">
            <w:pPr>
              <w:spacing w:line="240" w:lineRule="auto"/>
              <w:rPr>
                <w:sz w:val="16"/>
                <w:szCs w:val="16"/>
              </w:rPr>
            </w:pPr>
            <w:r>
              <w:rPr>
                <w:sz w:val="16"/>
                <w:szCs w:val="16"/>
              </w:rPr>
              <w:t>Door afdracht loonheffing over afkoopsom</w:t>
            </w:r>
            <w:r w:rsidR="002C644A">
              <w:rPr>
                <w:sz w:val="16"/>
                <w:szCs w:val="16"/>
              </w:rPr>
              <w:t xml:space="preserve"> en uitbetaling afkoopsom aan de DGA</w:t>
            </w:r>
            <w:r>
              <w:rPr>
                <w:sz w:val="16"/>
                <w:szCs w:val="16"/>
              </w:rPr>
              <w:t xml:space="preserve"> minder middelen beschikbaar in bv</w:t>
            </w:r>
            <w:r w:rsidR="002A6BAE">
              <w:rPr>
                <w:sz w:val="16"/>
                <w:szCs w:val="16"/>
              </w:rPr>
              <w:t xml:space="preserve"> (wel mogelijkheid om netto bedrag weer in de bv te storten)</w:t>
            </w:r>
            <w:r>
              <w:rPr>
                <w:sz w:val="16"/>
                <w:szCs w:val="16"/>
              </w:rPr>
              <w:t>.</w:t>
            </w:r>
            <w:r w:rsidR="002A6BAE">
              <w:rPr>
                <w:sz w:val="16"/>
                <w:szCs w:val="16"/>
              </w:rPr>
              <w:t xml:space="preserve"> Door gefaciliteerde afstempeling naar fiscale waarde is bv bevrijd van deel schuld.</w:t>
            </w:r>
            <w:r>
              <w:rPr>
                <w:sz w:val="16"/>
                <w:szCs w:val="16"/>
              </w:rPr>
              <w:br/>
              <w:t xml:space="preserve">Vervolgens i.v.m. </w:t>
            </w:r>
            <w:proofErr w:type="spellStart"/>
            <w:r>
              <w:rPr>
                <w:sz w:val="16"/>
                <w:szCs w:val="16"/>
              </w:rPr>
              <w:t>niet-doteren</w:t>
            </w:r>
            <w:proofErr w:type="spellEnd"/>
            <w:r>
              <w:rPr>
                <w:sz w:val="16"/>
                <w:szCs w:val="16"/>
              </w:rPr>
              <w:t xml:space="preserve"> voor oudedagsvoorziening, mist bv liquiditeitsvoordeel van meestal 20%, soms 25% </w:t>
            </w:r>
            <w:proofErr w:type="spellStart"/>
            <w:r>
              <w:rPr>
                <w:sz w:val="16"/>
                <w:szCs w:val="16"/>
              </w:rPr>
              <w:t>Vpb</w:t>
            </w:r>
            <w:proofErr w:type="spellEnd"/>
            <w:r>
              <w:rPr>
                <w:sz w:val="16"/>
                <w:szCs w:val="16"/>
              </w:rPr>
              <w:t>. Indien gekozen wordt voor extern werknemerspensioen middelen niet beschikbaar.</w:t>
            </w:r>
          </w:p>
        </w:tc>
      </w:tr>
      <w:tr w:rsidRPr="000B436C" w:rsidR="009E0B37" w:rsidTr="00BC0983">
        <w:tc>
          <w:tcPr>
            <w:tcW w:w="2595" w:type="dxa"/>
          </w:tcPr>
          <w:p w:rsidR="009E0B37" w:rsidP="009A57A2" w:rsidRDefault="009E0B37">
            <w:pPr>
              <w:spacing w:line="240" w:lineRule="auto"/>
              <w:rPr>
                <w:sz w:val="16"/>
                <w:szCs w:val="16"/>
              </w:rPr>
            </w:pPr>
            <w:r>
              <w:rPr>
                <w:sz w:val="16"/>
                <w:szCs w:val="16"/>
              </w:rPr>
              <w:t>Solvabiliteit en flexibiliteit</w:t>
            </w:r>
          </w:p>
        </w:tc>
        <w:tc>
          <w:tcPr>
            <w:tcW w:w="2758" w:type="dxa"/>
            <w:shd w:val="clear" w:color="auto" w:fill="D99594" w:themeFill="accent2" w:themeFillTint="99"/>
          </w:tcPr>
          <w:p w:rsidR="009E0B37" w:rsidP="009A57A2" w:rsidRDefault="009E0B37">
            <w:pPr>
              <w:spacing w:line="240" w:lineRule="auto"/>
              <w:rPr>
                <w:sz w:val="16"/>
                <w:szCs w:val="16"/>
              </w:rPr>
            </w:pPr>
            <w:proofErr w:type="spellStart"/>
            <w:r>
              <w:rPr>
                <w:sz w:val="16"/>
                <w:szCs w:val="16"/>
              </w:rPr>
              <w:t>Oudedagsspaarverplichting</w:t>
            </w:r>
            <w:proofErr w:type="spellEnd"/>
            <w:r>
              <w:rPr>
                <w:sz w:val="16"/>
                <w:szCs w:val="16"/>
              </w:rPr>
              <w:t xml:space="preserve"> is vreemd vermogen voor de bv. Beklemming en daardoor minder flexibiliteit.</w:t>
            </w:r>
          </w:p>
        </w:tc>
        <w:tc>
          <w:tcPr>
            <w:tcW w:w="2835" w:type="dxa"/>
            <w:shd w:val="clear" w:color="auto" w:fill="92D050"/>
          </w:tcPr>
          <w:p w:rsidR="009E0B37" w:rsidP="009A57A2" w:rsidRDefault="009E0B37">
            <w:pPr>
              <w:spacing w:line="240" w:lineRule="auto"/>
              <w:rPr>
                <w:sz w:val="16"/>
                <w:szCs w:val="16"/>
              </w:rPr>
            </w:pPr>
            <w:r>
              <w:rPr>
                <w:sz w:val="16"/>
                <w:szCs w:val="16"/>
              </w:rPr>
              <w:t>Solvabiliteit verbetert. Geen beklemming en daardoor grotere flexibiliteit.</w:t>
            </w:r>
          </w:p>
        </w:tc>
      </w:tr>
      <w:tr w:rsidRPr="000B436C" w:rsidR="009E0B37" w:rsidTr="009A57A2">
        <w:tc>
          <w:tcPr>
            <w:tcW w:w="2595" w:type="dxa"/>
          </w:tcPr>
          <w:p w:rsidR="009E0B37" w:rsidP="009A57A2" w:rsidRDefault="009E0B37">
            <w:pPr>
              <w:spacing w:line="240" w:lineRule="auto"/>
              <w:rPr>
                <w:sz w:val="16"/>
                <w:szCs w:val="16"/>
              </w:rPr>
            </w:pPr>
            <w:r>
              <w:rPr>
                <w:sz w:val="16"/>
                <w:szCs w:val="16"/>
              </w:rPr>
              <w:t>Kan iets geregeld worden voor de (potentiële) nabestaanden?</w:t>
            </w:r>
          </w:p>
        </w:tc>
        <w:tc>
          <w:tcPr>
            <w:tcW w:w="2758" w:type="dxa"/>
            <w:shd w:val="clear" w:color="auto" w:fill="auto"/>
          </w:tcPr>
          <w:p w:rsidR="009E0B37" w:rsidP="00254798" w:rsidRDefault="009E0B37">
            <w:pPr>
              <w:spacing w:line="240" w:lineRule="auto"/>
              <w:rPr>
                <w:sz w:val="16"/>
                <w:szCs w:val="16"/>
              </w:rPr>
            </w:pPr>
            <w:r>
              <w:rPr>
                <w:sz w:val="16"/>
                <w:szCs w:val="16"/>
              </w:rPr>
              <w:t xml:space="preserve">Ja, zowel in eigen beheer als extern. </w:t>
            </w:r>
            <w:r w:rsidR="002C644A">
              <w:rPr>
                <w:sz w:val="16"/>
                <w:szCs w:val="16"/>
              </w:rPr>
              <w:t>Extern geeft betere waarborgen voor nabestaanden.</w:t>
            </w:r>
          </w:p>
        </w:tc>
        <w:tc>
          <w:tcPr>
            <w:tcW w:w="2835" w:type="dxa"/>
            <w:shd w:val="clear" w:color="auto" w:fill="auto"/>
          </w:tcPr>
          <w:p w:rsidR="009E0B37" w:rsidP="009A57A2" w:rsidRDefault="009E0B37">
            <w:pPr>
              <w:spacing w:line="240" w:lineRule="auto"/>
              <w:rPr>
                <w:sz w:val="16"/>
                <w:szCs w:val="16"/>
              </w:rPr>
            </w:pPr>
            <w:r>
              <w:rPr>
                <w:sz w:val="16"/>
                <w:szCs w:val="16"/>
              </w:rPr>
              <w:t>Ja, alleen extern. Fiscaal gefaciliteerd in tweede of derde pijler.</w:t>
            </w:r>
            <w:r w:rsidR="002C644A">
              <w:rPr>
                <w:sz w:val="16"/>
                <w:szCs w:val="16"/>
              </w:rPr>
              <w:t xml:space="preserve"> Extern geeft betere waarborgen voor nabestaanden.</w:t>
            </w:r>
          </w:p>
        </w:tc>
      </w:tr>
      <w:tr w:rsidRPr="000B436C" w:rsidR="009E0B37" w:rsidTr="009A57A2">
        <w:tc>
          <w:tcPr>
            <w:tcW w:w="2595" w:type="dxa"/>
          </w:tcPr>
          <w:p w:rsidR="009E0B37" w:rsidP="009A57A2" w:rsidRDefault="009E0B37">
            <w:pPr>
              <w:rPr>
                <w:sz w:val="16"/>
                <w:szCs w:val="16"/>
              </w:rPr>
            </w:pPr>
            <w:r>
              <w:rPr>
                <w:sz w:val="16"/>
                <w:szCs w:val="16"/>
              </w:rPr>
              <w:t>Dotatie</w:t>
            </w:r>
          </w:p>
        </w:tc>
        <w:tc>
          <w:tcPr>
            <w:tcW w:w="2758" w:type="dxa"/>
          </w:tcPr>
          <w:p w:rsidR="009E0B37" w:rsidP="009A57A2" w:rsidRDefault="009E0B37">
            <w:pPr>
              <w:rPr>
                <w:sz w:val="16"/>
                <w:szCs w:val="16"/>
              </w:rPr>
            </w:pPr>
            <w:r>
              <w:rPr>
                <w:sz w:val="16"/>
                <w:szCs w:val="16"/>
              </w:rPr>
              <w:t>Vast dan wel in staffel opgenomen percentage.</w:t>
            </w:r>
          </w:p>
        </w:tc>
        <w:tc>
          <w:tcPr>
            <w:tcW w:w="2835" w:type="dxa"/>
          </w:tcPr>
          <w:p w:rsidR="009E0B37" w:rsidP="009A57A2" w:rsidRDefault="009E0B37">
            <w:pPr>
              <w:rPr>
                <w:sz w:val="16"/>
                <w:szCs w:val="16"/>
              </w:rPr>
            </w:pPr>
            <w:r>
              <w:rPr>
                <w:sz w:val="16"/>
                <w:szCs w:val="16"/>
              </w:rPr>
              <w:t>N.v.t.</w:t>
            </w:r>
          </w:p>
        </w:tc>
      </w:tr>
      <w:tr w:rsidRPr="003A31A4" w:rsidR="009E0B37" w:rsidTr="002C644A">
        <w:trPr>
          <w:trHeight w:val="995"/>
        </w:trPr>
        <w:tc>
          <w:tcPr>
            <w:tcW w:w="2595" w:type="dxa"/>
          </w:tcPr>
          <w:p w:rsidRPr="003A31A4" w:rsidR="009E0B37" w:rsidP="009A57A2" w:rsidRDefault="009E0B37">
            <w:pPr>
              <w:spacing w:line="240" w:lineRule="auto"/>
              <w:rPr>
                <w:sz w:val="16"/>
                <w:szCs w:val="16"/>
              </w:rPr>
            </w:pPr>
            <w:r w:rsidRPr="003A31A4">
              <w:rPr>
                <w:sz w:val="16"/>
                <w:szCs w:val="16"/>
              </w:rPr>
              <w:t>Kwalificatie</w:t>
            </w:r>
          </w:p>
        </w:tc>
        <w:tc>
          <w:tcPr>
            <w:tcW w:w="2758" w:type="dxa"/>
            <w:shd w:val="clear" w:color="auto" w:fill="auto"/>
          </w:tcPr>
          <w:p w:rsidRPr="003A31A4" w:rsidR="009E0B37" w:rsidP="009A57A2" w:rsidRDefault="00561E6F">
            <w:pPr>
              <w:spacing w:line="240" w:lineRule="auto"/>
              <w:rPr>
                <w:sz w:val="16"/>
                <w:szCs w:val="16"/>
              </w:rPr>
            </w:pPr>
            <w:proofErr w:type="spellStart"/>
            <w:r>
              <w:rPr>
                <w:sz w:val="16"/>
                <w:szCs w:val="16"/>
              </w:rPr>
              <w:t>Oudedagsspaarverplichting</w:t>
            </w:r>
            <w:proofErr w:type="spellEnd"/>
            <w:r>
              <w:rPr>
                <w:sz w:val="16"/>
                <w:szCs w:val="16"/>
              </w:rPr>
              <w:t xml:space="preserve"> is “s</w:t>
            </w:r>
            <w:r w:rsidRPr="003A31A4" w:rsidR="009E0B37">
              <w:rPr>
                <w:sz w:val="16"/>
                <w:szCs w:val="16"/>
              </w:rPr>
              <w:t>paarpotje” ten behoeve van de DGA = vreemd vermogen voor de bv</w:t>
            </w:r>
            <w:r w:rsidR="009E0B37">
              <w:rPr>
                <w:sz w:val="16"/>
                <w:szCs w:val="16"/>
              </w:rPr>
              <w:t xml:space="preserve"> (fiscaal en commercieel)</w:t>
            </w:r>
            <w:r w:rsidRPr="003A31A4" w:rsidR="009E0B37">
              <w:rPr>
                <w:sz w:val="16"/>
                <w:szCs w:val="16"/>
              </w:rPr>
              <w:t>.</w:t>
            </w:r>
          </w:p>
        </w:tc>
        <w:tc>
          <w:tcPr>
            <w:tcW w:w="2835" w:type="dxa"/>
          </w:tcPr>
          <w:p w:rsidRPr="003A31A4" w:rsidR="009E0B37" w:rsidP="009A57A2" w:rsidRDefault="009E0B37">
            <w:pPr>
              <w:spacing w:line="240" w:lineRule="auto"/>
              <w:rPr>
                <w:sz w:val="16"/>
                <w:szCs w:val="16"/>
              </w:rPr>
            </w:pPr>
            <w:r>
              <w:rPr>
                <w:sz w:val="16"/>
                <w:szCs w:val="16"/>
              </w:rPr>
              <w:t>Eigen bv (als geheel) zien als “spaarpotje” voor de oude dag (tenzij pensioen extern wordt ondergebracht).</w:t>
            </w:r>
          </w:p>
        </w:tc>
      </w:tr>
      <w:tr w:rsidRPr="003A31A4" w:rsidR="009E0B37" w:rsidTr="009A57A2">
        <w:tc>
          <w:tcPr>
            <w:tcW w:w="2595" w:type="dxa"/>
          </w:tcPr>
          <w:p w:rsidRPr="003A31A4" w:rsidR="009E0B37" w:rsidP="009A57A2" w:rsidRDefault="009E0B37">
            <w:pPr>
              <w:spacing w:line="240" w:lineRule="auto"/>
              <w:rPr>
                <w:sz w:val="16"/>
                <w:szCs w:val="16"/>
              </w:rPr>
            </w:pPr>
            <w:r w:rsidRPr="003A31A4">
              <w:rPr>
                <w:sz w:val="16"/>
                <w:szCs w:val="16"/>
              </w:rPr>
              <w:t>Juridisch afdwingbare rechten voor de DGA en zijn/haar partner</w:t>
            </w:r>
          </w:p>
        </w:tc>
        <w:tc>
          <w:tcPr>
            <w:tcW w:w="2758" w:type="dxa"/>
            <w:shd w:val="clear" w:color="auto" w:fill="92D050"/>
          </w:tcPr>
          <w:p w:rsidRPr="003A31A4" w:rsidR="009E0B37" w:rsidP="009A57A2" w:rsidRDefault="009E0B37">
            <w:pPr>
              <w:spacing w:line="240" w:lineRule="auto"/>
              <w:rPr>
                <w:sz w:val="16"/>
                <w:szCs w:val="16"/>
              </w:rPr>
            </w:pPr>
            <w:r w:rsidRPr="003A31A4">
              <w:rPr>
                <w:sz w:val="16"/>
                <w:szCs w:val="16"/>
              </w:rPr>
              <w:t>Ja, al in de opbouwfase.</w:t>
            </w:r>
          </w:p>
        </w:tc>
        <w:tc>
          <w:tcPr>
            <w:tcW w:w="2835" w:type="dxa"/>
            <w:shd w:val="clear" w:color="auto" w:fill="auto"/>
          </w:tcPr>
          <w:p w:rsidRPr="003A31A4" w:rsidR="009E0B37" w:rsidP="009A57A2" w:rsidRDefault="009E0B37">
            <w:pPr>
              <w:spacing w:line="240" w:lineRule="auto"/>
              <w:rPr>
                <w:sz w:val="16"/>
                <w:szCs w:val="16"/>
              </w:rPr>
            </w:pPr>
            <w:r>
              <w:rPr>
                <w:sz w:val="16"/>
                <w:szCs w:val="16"/>
              </w:rPr>
              <w:t>Nee, tenzij men extern iets bedingt.</w:t>
            </w:r>
          </w:p>
        </w:tc>
      </w:tr>
      <w:tr w:rsidRPr="003A31A4" w:rsidR="002A6BAE" w:rsidTr="00A13BDE">
        <w:tc>
          <w:tcPr>
            <w:tcW w:w="2595" w:type="dxa"/>
          </w:tcPr>
          <w:p w:rsidRPr="003A31A4" w:rsidR="002A6BAE" w:rsidP="009A57A2" w:rsidRDefault="002A6BAE">
            <w:pPr>
              <w:spacing w:line="240" w:lineRule="auto"/>
              <w:rPr>
                <w:sz w:val="16"/>
                <w:szCs w:val="16"/>
              </w:rPr>
            </w:pPr>
          </w:p>
        </w:tc>
        <w:tc>
          <w:tcPr>
            <w:tcW w:w="2758" w:type="dxa"/>
            <w:shd w:val="clear" w:color="auto" w:fill="auto"/>
          </w:tcPr>
          <w:p w:rsidR="00E0192A" w:rsidRDefault="002A6BAE">
            <w:pPr>
              <w:spacing w:line="240" w:lineRule="auto"/>
              <w:jc w:val="center"/>
              <w:rPr>
                <w:sz w:val="16"/>
                <w:szCs w:val="16"/>
              </w:rPr>
            </w:pPr>
            <w:r w:rsidRPr="00F04AAF">
              <w:rPr>
                <w:b/>
                <w:sz w:val="16"/>
                <w:szCs w:val="16"/>
              </w:rPr>
              <w:t>OSEB</w:t>
            </w:r>
          </w:p>
        </w:tc>
        <w:tc>
          <w:tcPr>
            <w:tcW w:w="2835" w:type="dxa"/>
            <w:shd w:val="clear" w:color="auto" w:fill="auto"/>
          </w:tcPr>
          <w:p w:rsidR="00E0192A" w:rsidRDefault="00E66164">
            <w:pPr>
              <w:spacing w:line="240" w:lineRule="auto"/>
              <w:jc w:val="center"/>
              <w:rPr>
                <w:sz w:val="16"/>
                <w:szCs w:val="16"/>
              </w:rPr>
            </w:pPr>
            <w:r>
              <w:rPr>
                <w:b/>
                <w:sz w:val="16"/>
                <w:szCs w:val="16"/>
              </w:rPr>
              <w:t>Uitfaseren</w:t>
            </w:r>
            <w:r w:rsidR="002A6BAE">
              <w:rPr>
                <w:b/>
                <w:sz w:val="16"/>
                <w:szCs w:val="16"/>
              </w:rPr>
              <w:t xml:space="preserve"> PEB via afkoop</w:t>
            </w:r>
          </w:p>
        </w:tc>
      </w:tr>
      <w:tr w:rsidRPr="003A31A4" w:rsidR="009E0B37" w:rsidTr="009A57A2">
        <w:tc>
          <w:tcPr>
            <w:tcW w:w="2595" w:type="dxa"/>
          </w:tcPr>
          <w:p w:rsidRPr="003A31A4" w:rsidR="009E0B37" w:rsidP="009A57A2" w:rsidRDefault="009E0B37">
            <w:pPr>
              <w:spacing w:line="240" w:lineRule="auto"/>
              <w:rPr>
                <w:sz w:val="16"/>
                <w:szCs w:val="16"/>
              </w:rPr>
            </w:pPr>
            <w:r>
              <w:rPr>
                <w:sz w:val="16"/>
                <w:szCs w:val="16"/>
              </w:rPr>
              <w:t xml:space="preserve">Positie </w:t>
            </w:r>
            <w:r w:rsidR="002C644A">
              <w:rPr>
                <w:sz w:val="16"/>
                <w:szCs w:val="16"/>
              </w:rPr>
              <w:t xml:space="preserve">DGA als </w:t>
            </w:r>
            <w:r>
              <w:rPr>
                <w:sz w:val="16"/>
                <w:szCs w:val="16"/>
              </w:rPr>
              <w:t>minderheidsaandeelhouder</w:t>
            </w:r>
          </w:p>
        </w:tc>
        <w:tc>
          <w:tcPr>
            <w:tcW w:w="2758" w:type="dxa"/>
            <w:shd w:val="clear" w:color="auto" w:fill="92D050"/>
          </w:tcPr>
          <w:p w:rsidRPr="003A31A4" w:rsidR="009E0B37" w:rsidP="009A57A2" w:rsidRDefault="009E0B37">
            <w:pPr>
              <w:spacing w:line="240" w:lineRule="auto"/>
              <w:rPr>
                <w:sz w:val="16"/>
                <w:szCs w:val="16"/>
              </w:rPr>
            </w:pPr>
            <w:r>
              <w:rPr>
                <w:sz w:val="16"/>
                <w:szCs w:val="16"/>
              </w:rPr>
              <w:t>Sterk (juridisch afdwingbaar recht).</w:t>
            </w:r>
          </w:p>
        </w:tc>
        <w:tc>
          <w:tcPr>
            <w:tcW w:w="2835" w:type="dxa"/>
            <w:shd w:val="clear" w:color="auto" w:fill="auto"/>
          </w:tcPr>
          <w:p w:rsidR="009E0B37" w:rsidP="009A57A2" w:rsidRDefault="009E0B37">
            <w:pPr>
              <w:spacing w:line="240" w:lineRule="auto"/>
              <w:rPr>
                <w:sz w:val="16"/>
                <w:szCs w:val="16"/>
              </w:rPr>
            </w:pPr>
            <w:r>
              <w:rPr>
                <w:sz w:val="16"/>
                <w:szCs w:val="16"/>
              </w:rPr>
              <w:t>Geen bijzonderheden.</w:t>
            </w:r>
          </w:p>
        </w:tc>
      </w:tr>
      <w:tr w:rsidRPr="000B436C" w:rsidR="009E0B37" w:rsidTr="009A57A2">
        <w:tc>
          <w:tcPr>
            <w:tcW w:w="2595" w:type="dxa"/>
          </w:tcPr>
          <w:p w:rsidRPr="000B436C" w:rsidR="009E0B37" w:rsidP="009A57A2" w:rsidRDefault="009E0B37">
            <w:pPr>
              <w:spacing w:line="240" w:lineRule="auto"/>
              <w:rPr>
                <w:sz w:val="16"/>
                <w:szCs w:val="16"/>
              </w:rPr>
            </w:pPr>
            <w:r>
              <w:rPr>
                <w:sz w:val="16"/>
                <w:szCs w:val="16"/>
              </w:rPr>
              <w:t>Fiscale</w:t>
            </w:r>
            <w:r w:rsidRPr="008A4BAD">
              <w:rPr>
                <w:sz w:val="16"/>
                <w:szCs w:val="16"/>
              </w:rPr>
              <w:t xml:space="preserve"> </w:t>
            </w:r>
            <w:proofErr w:type="spellStart"/>
            <w:r w:rsidRPr="008A4BAD">
              <w:rPr>
                <w:sz w:val="16"/>
                <w:szCs w:val="16"/>
              </w:rPr>
              <w:t>dividenduitkering</w:t>
            </w:r>
            <w:r>
              <w:rPr>
                <w:sz w:val="16"/>
                <w:szCs w:val="16"/>
              </w:rPr>
              <w:t>stoets</w:t>
            </w:r>
            <w:proofErr w:type="spellEnd"/>
            <w:r w:rsidDel="00BE2C06">
              <w:rPr>
                <w:sz w:val="16"/>
                <w:szCs w:val="16"/>
              </w:rPr>
              <w:t xml:space="preserve"> </w:t>
            </w:r>
          </w:p>
        </w:tc>
        <w:tc>
          <w:tcPr>
            <w:tcW w:w="2758" w:type="dxa"/>
            <w:shd w:val="clear" w:color="auto" w:fill="92D050"/>
          </w:tcPr>
          <w:p w:rsidRPr="000B436C" w:rsidR="009E0B37" w:rsidP="00EE2B4B" w:rsidRDefault="009E0B37">
            <w:pPr>
              <w:spacing w:line="240" w:lineRule="auto"/>
              <w:rPr>
                <w:sz w:val="16"/>
                <w:szCs w:val="16"/>
              </w:rPr>
            </w:pPr>
            <w:r w:rsidRPr="00036F8C">
              <w:rPr>
                <w:sz w:val="16"/>
                <w:szCs w:val="16"/>
              </w:rPr>
              <w:t>Inzichtelijk, ruimte voor uitkeringen</w:t>
            </w:r>
            <w:r w:rsidR="00CE364E">
              <w:rPr>
                <w:sz w:val="16"/>
                <w:szCs w:val="16"/>
              </w:rPr>
              <w:t xml:space="preserve"> makkelijk</w:t>
            </w:r>
            <w:r w:rsidRPr="00036F8C">
              <w:rPr>
                <w:sz w:val="16"/>
                <w:szCs w:val="16"/>
              </w:rPr>
              <w:t xml:space="preserve"> te bepalen.</w:t>
            </w:r>
          </w:p>
        </w:tc>
        <w:tc>
          <w:tcPr>
            <w:tcW w:w="2835" w:type="dxa"/>
            <w:shd w:val="clear" w:color="auto" w:fill="92D050"/>
          </w:tcPr>
          <w:p w:rsidRPr="00036F8C" w:rsidR="009E0B37" w:rsidP="009A57A2" w:rsidRDefault="009E0B37">
            <w:pPr>
              <w:spacing w:line="240" w:lineRule="auto"/>
              <w:rPr>
                <w:sz w:val="16"/>
                <w:szCs w:val="16"/>
              </w:rPr>
            </w:pPr>
            <w:r>
              <w:rPr>
                <w:sz w:val="16"/>
                <w:szCs w:val="16"/>
              </w:rPr>
              <w:t>Geen probleem meer.</w:t>
            </w:r>
          </w:p>
        </w:tc>
      </w:tr>
      <w:tr w:rsidRPr="000B436C" w:rsidR="008964FA" w:rsidTr="008964FA">
        <w:tc>
          <w:tcPr>
            <w:tcW w:w="2595" w:type="dxa"/>
          </w:tcPr>
          <w:p w:rsidR="008964FA" w:rsidP="009A57A2" w:rsidRDefault="008964FA">
            <w:pPr>
              <w:spacing w:line="240" w:lineRule="auto"/>
            </w:pPr>
            <w:r>
              <w:rPr>
                <w:sz w:val="16"/>
                <w:szCs w:val="16"/>
              </w:rPr>
              <w:t xml:space="preserve">Civielrechtelijke </w:t>
            </w:r>
            <w:proofErr w:type="spellStart"/>
            <w:r>
              <w:rPr>
                <w:sz w:val="16"/>
                <w:szCs w:val="16"/>
              </w:rPr>
              <w:t>dividenduitkeringstoets</w:t>
            </w:r>
            <w:proofErr w:type="spellEnd"/>
          </w:p>
        </w:tc>
        <w:tc>
          <w:tcPr>
            <w:tcW w:w="2758" w:type="dxa"/>
            <w:shd w:val="clear" w:color="auto" w:fill="92D050"/>
          </w:tcPr>
          <w:p w:rsidRPr="00F04AAF" w:rsidR="008964FA" w:rsidP="00FB58CB" w:rsidRDefault="008964FA">
            <w:r w:rsidRPr="00036F8C">
              <w:rPr>
                <w:sz w:val="16"/>
                <w:szCs w:val="16"/>
              </w:rPr>
              <w:t>Inzichtelijk, ruimte voor uitkeringen makkelijk te bepalen.</w:t>
            </w:r>
          </w:p>
        </w:tc>
        <w:tc>
          <w:tcPr>
            <w:tcW w:w="2835" w:type="dxa"/>
            <w:shd w:val="clear" w:color="auto" w:fill="92D050"/>
          </w:tcPr>
          <w:p w:rsidRPr="00F04AAF" w:rsidR="008964FA" w:rsidP="00FB58CB" w:rsidRDefault="008964FA">
            <w:r>
              <w:rPr>
                <w:sz w:val="16"/>
                <w:szCs w:val="16"/>
              </w:rPr>
              <w:t xml:space="preserve">Inzichtelijk. In beginsel meer ruimte om dividend uit te keren dan bij </w:t>
            </w:r>
            <w:r w:rsidR="00000A21">
              <w:rPr>
                <w:sz w:val="16"/>
                <w:szCs w:val="16"/>
              </w:rPr>
              <w:t xml:space="preserve">het </w:t>
            </w:r>
            <w:r>
              <w:rPr>
                <w:sz w:val="16"/>
                <w:szCs w:val="16"/>
              </w:rPr>
              <w:t>OSEB.</w:t>
            </w:r>
          </w:p>
        </w:tc>
      </w:tr>
      <w:tr w:rsidRPr="000B436C" w:rsidR="008964FA" w:rsidTr="009A57A2">
        <w:tc>
          <w:tcPr>
            <w:tcW w:w="2595" w:type="dxa"/>
          </w:tcPr>
          <w:p w:rsidR="008964FA" w:rsidP="009A57A2" w:rsidRDefault="008964FA">
            <w:pPr>
              <w:spacing w:line="240" w:lineRule="auto"/>
              <w:rPr>
                <w:sz w:val="16"/>
                <w:szCs w:val="16"/>
              </w:rPr>
            </w:pPr>
            <w:r>
              <w:rPr>
                <w:sz w:val="16"/>
                <w:szCs w:val="16"/>
              </w:rPr>
              <w:t>Aanwending</w:t>
            </w:r>
          </w:p>
        </w:tc>
        <w:tc>
          <w:tcPr>
            <w:tcW w:w="2758" w:type="dxa"/>
          </w:tcPr>
          <w:p w:rsidR="008964FA" w:rsidP="009A57A2" w:rsidRDefault="008964FA">
            <w:pPr>
              <w:spacing w:line="240" w:lineRule="auto"/>
              <w:rPr>
                <w:sz w:val="16"/>
                <w:szCs w:val="16"/>
              </w:rPr>
            </w:pPr>
            <w:r>
              <w:rPr>
                <w:sz w:val="16"/>
                <w:szCs w:val="16"/>
              </w:rPr>
              <w:t xml:space="preserve">Verwerving lijfrente, lijfrentespaarrekening of </w:t>
            </w:r>
            <w:proofErr w:type="spellStart"/>
            <w:r>
              <w:rPr>
                <w:sz w:val="16"/>
                <w:szCs w:val="16"/>
              </w:rPr>
              <w:t>lijfrentebeleggingsrecht</w:t>
            </w:r>
            <w:proofErr w:type="spellEnd"/>
            <w:r>
              <w:rPr>
                <w:sz w:val="16"/>
                <w:szCs w:val="16"/>
              </w:rPr>
              <w:t xml:space="preserve"> extern of omzetting in 20-jarige periodieke uitkering vanuit </w:t>
            </w:r>
            <w:proofErr w:type="spellStart"/>
            <w:r>
              <w:rPr>
                <w:sz w:val="16"/>
                <w:szCs w:val="16"/>
              </w:rPr>
              <w:t>eigenbeheerlichaam</w:t>
            </w:r>
            <w:proofErr w:type="spellEnd"/>
            <w:r>
              <w:rPr>
                <w:sz w:val="16"/>
                <w:szCs w:val="16"/>
              </w:rPr>
              <w:t>.</w:t>
            </w:r>
          </w:p>
        </w:tc>
        <w:tc>
          <w:tcPr>
            <w:tcW w:w="2835" w:type="dxa"/>
          </w:tcPr>
          <w:p w:rsidR="008964FA" w:rsidP="009A57A2" w:rsidRDefault="008964FA">
            <w:pPr>
              <w:spacing w:line="240" w:lineRule="auto"/>
              <w:rPr>
                <w:sz w:val="16"/>
                <w:szCs w:val="16"/>
              </w:rPr>
            </w:pPr>
            <w:r>
              <w:rPr>
                <w:sz w:val="16"/>
                <w:szCs w:val="16"/>
              </w:rPr>
              <w:t xml:space="preserve">Bv zien als “spaarpotje” voor de oude dag. Verder alleen extern pensioen of voor DGA mogelijkheid derde pijler te benutten. </w:t>
            </w:r>
          </w:p>
        </w:tc>
      </w:tr>
      <w:tr w:rsidRPr="000B436C" w:rsidR="008964FA" w:rsidTr="009A57A2">
        <w:tc>
          <w:tcPr>
            <w:tcW w:w="2595" w:type="dxa"/>
          </w:tcPr>
          <w:p w:rsidRPr="000B436C" w:rsidR="008964FA" w:rsidP="009A57A2" w:rsidRDefault="008964FA">
            <w:pPr>
              <w:spacing w:line="240" w:lineRule="auto"/>
              <w:rPr>
                <w:sz w:val="16"/>
                <w:szCs w:val="16"/>
              </w:rPr>
            </w:pPr>
            <w:r>
              <w:rPr>
                <w:sz w:val="16"/>
                <w:szCs w:val="16"/>
              </w:rPr>
              <w:t>Emigratie</w:t>
            </w:r>
          </w:p>
        </w:tc>
        <w:tc>
          <w:tcPr>
            <w:tcW w:w="2758" w:type="dxa"/>
            <w:shd w:val="clear" w:color="auto" w:fill="92D050"/>
          </w:tcPr>
          <w:p w:rsidRPr="000B436C" w:rsidR="008964FA" w:rsidP="009A57A2" w:rsidRDefault="008964FA">
            <w:pPr>
              <w:spacing w:line="240" w:lineRule="auto"/>
              <w:rPr>
                <w:sz w:val="16"/>
                <w:szCs w:val="16"/>
              </w:rPr>
            </w:pPr>
            <w:r>
              <w:rPr>
                <w:sz w:val="16"/>
                <w:szCs w:val="16"/>
              </w:rPr>
              <w:t>Conserverende aanslag mogelijk.</w:t>
            </w:r>
          </w:p>
        </w:tc>
        <w:tc>
          <w:tcPr>
            <w:tcW w:w="2835" w:type="dxa"/>
            <w:shd w:val="clear" w:color="auto" w:fill="92D050"/>
          </w:tcPr>
          <w:p w:rsidR="008964FA" w:rsidP="009A57A2" w:rsidRDefault="008964FA">
            <w:pPr>
              <w:spacing w:line="240" w:lineRule="auto"/>
              <w:rPr>
                <w:sz w:val="16"/>
                <w:szCs w:val="16"/>
              </w:rPr>
            </w:pPr>
            <w:r>
              <w:rPr>
                <w:sz w:val="16"/>
                <w:szCs w:val="16"/>
              </w:rPr>
              <w:t xml:space="preserve">Conserverende aanslag m.b.t. fictieve vervreemding </w:t>
            </w:r>
            <w:proofErr w:type="spellStart"/>
            <w:r>
              <w:rPr>
                <w:sz w:val="16"/>
                <w:szCs w:val="16"/>
              </w:rPr>
              <w:t>aanmerkelijkbelangaandelen</w:t>
            </w:r>
            <w:proofErr w:type="spellEnd"/>
            <w:r>
              <w:rPr>
                <w:sz w:val="16"/>
                <w:szCs w:val="16"/>
              </w:rPr>
              <w:t>.</w:t>
            </w:r>
          </w:p>
        </w:tc>
      </w:tr>
      <w:tr w:rsidRPr="000B436C" w:rsidR="008964FA" w:rsidTr="009A57A2">
        <w:tc>
          <w:tcPr>
            <w:tcW w:w="2595" w:type="dxa"/>
          </w:tcPr>
          <w:p w:rsidRPr="000B436C" w:rsidR="008964FA" w:rsidP="009A57A2" w:rsidRDefault="008964FA">
            <w:pPr>
              <w:spacing w:line="240" w:lineRule="auto"/>
              <w:rPr>
                <w:sz w:val="16"/>
                <w:szCs w:val="16"/>
              </w:rPr>
            </w:pPr>
            <w:r>
              <w:rPr>
                <w:sz w:val="16"/>
                <w:szCs w:val="16"/>
              </w:rPr>
              <w:t>Aansprakelijkheidswetgeving</w:t>
            </w:r>
          </w:p>
        </w:tc>
        <w:tc>
          <w:tcPr>
            <w:tcW w:w="2758" w:type="dxa"/>
            <w:shd w:val="clear" w:color="auto" w:fill="92D050"/>
          </w:tcPr>
          <w:p w:rsidRPr="000B436C" w:rsidR="008964FA" w:rsidP="009A57A2" w:rsidRDefault="008964FA">
            <w:pPr>
              <w:spacing w:line="240" w:lineRule="auto"/>
              <w:rPr>
                <w:sz w:val="16"/>
                <w:szCs w:val="16"/>
              </w:rPr>
            </w:pPr>
            <w:r>
              <w:rPr>
                <w:sz w:val="16"/>
                <w:szCs w:val="16"/>
              </w:rPr>
              <w:t xml:space="preserve">Vergelijkbaar met </w:t>
            </w:r>
            <w:r w:rsidR="00000A21">
              <w:rPr>
                <w:sz w:val="16"/>
                <w:szCs w:val="16"/>
              </w:rPr>
              <w:t xml:space="preserve">het </w:t>
            </w:r>
            <w:r>
              <w:rPr>
                <w:sz w:val="16"/>
                <w:szCs w:val="16"/>
              </w:rPr>
              <w:t>huidig</w:t>
            </w:r>
            <w:r w:rsidR="00000A21">
              <w:rPr>
                <w:sz w:val="16"/>
                <w:szCs w:val="16"/>
              </w:rPr>
              <w:t>e</w:t>
            </w:r>
            <w:r>
              <w:rPr>
                <w:sz w:val="16"/>
                <w:szCs w:val="16"/>
              </w:rPr>
              <w:t xml:space="preserve"> PEB.</w:t>
            </w:r>
          </w:p>
        </w:tc>
        <w:tc>
          <w:tcPr>
            <w:tcW w:w="2835" w:type="dxa"/>
            <w:shd w:val="clear" w:color="auto" w:fill="92D050"/>
          </w:tcPr>
          <w:p w:rsidR="008964FA" w:rsidP="009A57A2" w:rsidRDefault="008964FA">
            <w:pPr>
              <w:spacing w:line="240" w:lineRule="auto"/>
              <w:rPr>
                <w:sz w:val="16"/>
                <w:szCs w:val="16"/>
              </w:rPr>
            </w:pPr>
            <w:r>
              <w:rPr>
                <w:sz w:val="16"/>
                <w:szCs w:val="16"/>
              </w:rPr>
              <w:t>Geen probleem.</w:t>
            </w:r>
          </w:p>
        </w:tc>
      </w:tr>
      <w:tr w:rsidRPr="000B436C" w:rsidR="008964FA" w:rsidTr="009A57A2">
        <w:tc>
          <w:tcPr>
            <w:tcW w:w="2595" w:type="dxa"/>
          </w:tcPr>
          <w:p w:rsidRPr="000B436C" w:rsidR="008964FA" w:rsidP="009A57A2" w:rsidRDefault="008964FA">
            <w:pPr>
              <w:spacing w:line="240" w:lineRule="auto"/>
              <w:rPr>
                <w:sz w:val="16"/>
                <w:szCs w:val="16"/>
              </w:rPr>
            </w:pPr>
            <w:r>
              <w:rPr>
                <w:sz w:val="16"/>
                <w:szCs w:val="16"/>
              </w:rPr>
              <w:t>Uitvoeringskosten</w:t>
            </w:r>
          </w:p>
        </w:tc>
        <w:tc>
          <w:tcPr>
            <w:tcW w:w="2758" w:type="dxa"/>
          </w:tcPr>
          <w:p w:rsidRPr="000B436C" w:rsidR="008964FA" w:rsidP="009A57A2" w:rsidRDefault="008964FA">
            <w:pPr>
              <w:spacing w:line="240" w:lineRule="auto"/>
              <w:rPr>
                <w:sz w:val="16"/>
                <w:szCs w:val="16"/>
              </w:rPr>
            </w:pPr>
            <w:r>
              <w:rPr>
                <w:sz w:val="16"/>
                <w:szCs w:val="16"/>
              </w:rPr>
              <w:t>Sterke daling (€ 2,7 mln.)</w:t>
            </w:r>
          </w:p>
        </w:tc>
        <w:tc>
          <w:tcPr>
            <w:tcW w:w="2835" w:type="dxa"/>
          </w:tcPr>
          <w:p w:rsidRPr="00CE364E" w:rsidR="008964FA" w:rsidP="009A57A2" w:rsidRDefault="00CE364E">
            <w:pPr>
              <w:spacing w:line="240" w:lineRule="auto"/>
              <w:rPr>
                <w:sz w:val="16"/>
                <w:szCs w:val="16"/>
              </w:rPr>
            </w:pPr>
            <w:r w:rsidRPr="00CE364E">
              <w:rPr>
                <w:sz w:val="16"/>
                <w:szCs w:val="16"/>
              </w:rPr>
              <w:t xml:space="preserve">Sterke daling </w:t>
            </w:r>
            <w:r>
              <w:rPr>
                <w:sz w:val="16"/>
                <w:szCs w:val="16"/>
              </w:rPr>
              <w:t>(</w:t>
            </w:r>
            <w:r w:rsidRPr="00CE364E">
              <w:rPr>
                <w:sz w:val="16"/>
                <w:szCs w:val="16"/>
              </w:rPr>
              <w:t>€ 2,5 mln.</w:t>
            </w:r>
            <w:r>
              <w:rPr>
                <w:sz w:val="16"/>
                <w:szCs w:val="16"/>
              </w:rPr>
              <w:t>)</w:t>
            </w:r>
          </w:p>
        </w:tc>
      </w:tr>
      <w:tr w:rsidRPr="000B436C" w:rsidR="008964FA" w:rsidTr="006F41A7">
        <w:tc>
          <w:tcPr>
            <w:tcW w:w="2595" w:type="dxa"/>
          </w:tcPr>
          <w:p w:rsidRPr="000B436C" w:rsidR="008964FA" w:rsidP="009A57A2" w:rsidRDefault="008964FA">
            <w:pPr>
              <w:spacing w:line="240" w:lineRule="auto"/>
              <w:rPr>
                <w:sz w:val="16"/>
                <w:szCs w:val="16"/>
              </w:rPr>
            </w:pPr>
            <w:r>
              <w:rPr>
                <w:sz w:val="16"/>
                <w:szCs w:val="16"/>
              </w:rPr>
              <w:t>Administratieve lasten</w:t>
            </w:r>
          </w:p>
        </w:tc>
        <w:tc>
          <w:tcPr>
            <w:tcW w:w="2758" w:type="dxa"/>
          </w:tcPr>
          <w:p w:rsidRPr="000B436C" w:rsidR="008964FA" w:rsidP="009A57A2" w:rsidRDefault="008964FA">
            <w:pPr>
              <w:spacing w:line="240" w:lineRule="auto"/>
              <w:rPr>
                <w:sz w:val="16"/>
                <w:szCs w:val="16"/>
              </w:rPr>
            </w:pPr>
            <w:r>
              <w:rPr>
                <w:sz w:val="16"/>
                <w:szCs w:val="16"/>
              </w:rPr>
              <w:t>Sterke daling (€ 3 mln.)</w:t>
            </w:r>
          </w:p>
        </w:tc>
        <w:tc>
          <w:tcPr>
            <w:tcW w:w="2835" w:type="dxa"/>
            <w:shd w:val="clear" w:color="auto" w:fill="auto"/>
          </w:tcPr>
          <w:p w:rsidRPr="00D5004A" w:rsidR="008964FA" w:rsidP="00480FBE" w:rsidRDefault="00480FBE">
            <w:pPr>
              <w:spacing w:line="240" w:lineRule="auto"/>
              <w:rPr>
                <w:b/>
                <w:i/>
                <w:sz w:val="16"/>
                <w:szCs w:val="16"/>
              </w:rPr>
            </w:pPr>
            <w:r>
              <w:rPr>
                <w:sz w:val="16"/>
                <w:szCs w:val="16"/>
              </w:rPr>
              <w:t>Sterke daling (€ 3 mln. op korte termijn, € 10 mln. op langere termijn)</w:t>
            </w:r>
          </w:p>
        </w:tc>
      </w:tr>
      <w:tr w:rsidRPr="000B436C" w:rsidR="008964FA" w:rsidTr="009A57A2">
        <w:tc>
          <w:tcPr>
            <w:tcW w:w="2595" w:type="dxa"/>
          </w:tcPr>
          <w:p w:rsidR="008964FA" w:rsidP="009A57A2" w:rsidRDefault="008964FA">
            <w:pPr>
              <w:spacing w:line="240" w:lineRule="auto"/>
              <w:rPr>
                <w:sz w:val="16"/>
                <w:szCs w:val="16"/>
              </w:rPr>
            </w:pPr>
            <w:r>
              <w:rPr>
                <w:sz w:val="16"/>
                <w:szCs w:val="16"/>
              </w:rPr>
              <w:t>Incidentele kosten voor de Belastingdienst</w:t>
            </w:r>
          </w:p>
        </w:tc>
        <w:tc>
          <w:tcPr>
            <w:tcW w:w="2758" w:type="dxa"/>
            <w:shd w:val="clear" w:color="auto" w:fill="auto"/>
          </w:tcPr>
          <w:p w:rsidRPr="00036F8C" w:rsidR="008964FA" w:rsidP="009A57A2" w:rsidRDefault="008964FA">
            <w:pPr>
              <w:spacing w:line="240" w:lineRule="auto"/>
              <w:rPr>
                <w:sz w:val="16"/>
                <w:szCs w:val="16"/>
              </w:rPr>
            </w:pPr>
            <w:r w:rsidRPr="00036F8C">
              <w:rPr>
                <w:sz w:val="16"/>
                <w:szCs w:val="16"/>
              </w:rPr>
              <w:t>€</w:t>
            </w:r>
            <w:r>
              <w:rPr>
                <w:sz w:val="16"/>
                <w:szCs w:val="16"/>
              </w:rPr>
              <w:t xml:space="preserve"> 1</w:t>
            </w:r>
            <w:r w:rsidRPr="00036F8C">
              <w:rPr>
                <w:sz w:val="16"/>
                <w:szCs w:val="16"/>
              </w:rPr>
              <w:t>,</w:t>
            </w:r>
            <w:r>
              <w:rPr>
                <w:sz w:val="16"/>
                <w:szCs w:val="16"/>
              </w:rPr>
              <w:t>6</w:t>
            </w:r>
            <w:r w:rsidRPr="00036F8C">
              <w:rPr>
                <w:sz w:val="16"/>
                <w:szCs w:val="16"/>
              </w:rPr>
              <w:t xml:space="preserve"> mln.</w:t>
            </w:r>
          </w:p>
        </w:tc>
        <w:tc>
          <w:tcPr>
            <w:tcW w:w="2835" w:type="dxa"/>
          </w:tcPr>
          <w:p w:rsidRPr="00CE364E" w:rsidR="008964FA" w:rsidP="009A57A2" w:rsidRDefault="00CE364E">
            <w:pPr>
              <w:spacing w:line="240" w:lineRule="auto"/>
              <w:rPr>
                <w:sz w:val="16"/>
                <w:szCs w:val="16"/>
              </w:rPr>
            </w:pPr>
            <w:r>
              <w:rPr>
                <w:sz w:val="16"/>
                <w:szCs w:val="16"/>
              </w:rPr>
              <w:t>€ 20.000.</w:t>
            </w:r>
          </w:p>
        </w:tc>
      </w:tr>
      <w:tr w:rsidR="008964FA" w:rsidTr="009A57A2">
        <w:tc>
          <w:tcPr>
            <w:tcW w:w="2595" w:type="dxa"/>
          </w:tcPr>
          <w:p w:rsidR="008964FA" w:rsidP="009A57A2" w:rsidRDefault="008964FA">
            <w:pPr>
              <w:spacing w:line="240" w:lineRule="auto"/>
              <w:rPr>
                <w:sz w:val="16"/>
                <w:szCs w:val="16"/>
              </w:rPr>
            </w:pPr>
            <w:r>
              <w:rPr>
                <w:sz w:val="16"/>
                <w:szCs w:val="16"/>
              </w:rPr>
              <w:t>Budgettaire gevolgen</w:t>
            </w:r>
          </w:p>
        </w:tc>
        <w:tc>
          <w:tcPr>
            <w:tcW w:w="2758" w:type="dxa"/>
            <w:shd w:val="clear" w:color="auto" w:fill="92D050"/>
          </w:tcPr>
          <w:p w:rsidR="008964FA" w:rsidP="009A57A2" w:rsidRDefault="008964FA">
            <w:pPr>
              <w:spacing w:line="240" w:lineRule="auto"/>
              <w:rPr>
                <w:sz w:val="16"/>
                <w:szCs w:val="16"/>
              </w:rPr>
            </w:pPr>
            <w:r>
              <w:rPr>
                <w:sz w:val="16"/>
                <w:szCs w:val="16"/>
              </w:rPr>
              <w:t>Kan neutraal worden ingericht.</w:t>
            </w:r>
          </w:p>
        </w:tc>
        <w:tc>
          <w:tcPr>
            <w:tcW w:w="2835" w:type="dxa"/>
            <w:shd w:val="clear" w:color="auto" w:fill="92D050"/>
          </w:tcPr>
          <w:p w:rsidR="008964FA" w:rsidP="009A57A2" w:rsidRDefault="008964FA">
            <w:pPr>
              <w:spacing w:line="240" w:lineRule="auto"/>
              <w:rPr>
                <w:sz w:val="16"/>
                <w:szCs w:val="16"/>
              </w:rPr>
            </w:pPr>
            <w:r>
              <w:rPr>
                <w:sz w:val="16"/>
                <w:szCs w:val="16"/>
              </w:rPr>
              <w:t>Kan neutraal worden ingericht.</w:t>
            </w:r>
          </w:p>
        </w:tc>
      </w:tr>
      <w:tr w:rsidR="008964FA" w:rsidTr="009A57A2">
        <w:tc>
          <w:tcPr>
            <w:tcW w:w="2595" w:type="dxa"/>
          </w:tcPr>
          <w:p w:rsidR="008964FA" w:rsidP="009A57A2" w:rsidRDefault="008964FA">
            <w:pPr>
              <w:spacing w:line="240" w:lineRule="auto"/>
              <w:rPr>
                <w:sz w:val="16"/>
                <w:szCs w:val="16"/>
              </w:rPr>
            </w:pPr>
          </w:p>
        </w:tc>
        <w:tc>
          <w:tcPr>
            <w:tcW w:w="2758" w:type="dxa"/>
          </w:tcPr>
          <w:p w:rsidR="008964FA" w:rsidP="009A57A2" w:rsidRDefault="008964FA">
            <w:pPr>
              <w:spacing w:line="240" w:lineRule="auto"/>
              <w:rPr>
                <w:sz w:val="16"/>
                <w:szCs w:val="16"/>
              </w:rPr>
            </w:pPr>
          </w:p>
        </w:tc>
        <w:tc>
          <w:tcPr>
            <w:tcW w:w="2835" w:type="dxa"/>
          </w:tcPr>
          <w:p w:rsidR="008964FA" w:rsidP="009A57A2" w:rsidRDefault="008964FA">
            <w:pPr>
              <w:spacing w:line="240" w:lineRule="auto"/>
              <w:rPr>
                <w:sz w:val="16"/>
                <w:szCs w:val="16"/>
              </w:rPr>
            </w:pPr>
          </w:p>
        </w:tc>
      </w:tr>
      <w:tr w:rsidR="008964FA" w:rsidTr="009A57A2">
        <w:tc>
          <w:tcPr>
            <w:tcW w:w="2595" w:type="dxa"/>
          </w:tcPr>
          <w:p w:rsidR="008964FA" w:rsidP="009A57A2" w:rsidRDefault="008964FA">
            <w:pPr>
              <w:spacing w:line="240" w:lineRule="auto"/>
              <w:rPr>
                <w:sz w:val="16"/>
                <w:szCs w:val="16"/>
              </w:rPr>
            </w:pPr>
            <w:r>
              <w:rPr>
                <w:sz w:val="16"/>
                <w:szCs w:val="16"/>
              </w:rPr>
              <w:t>(geen kleur)</w:t>
            </w:r>
          </w:p>
        </w:tc>
        <w:tc>
          <w:tcPr>
            <w:tcW w:w="2758" w:type="dxa"/>
          </w:tcPr>
          <w:p w:rsidR="008964FA" w:rsidP="009A57A2" w:rsidRDefault="008964FA">
            <w:pPr>
              <w:spacing w:line="240" w:lineRule="auto"/>
              <w:rPr>
                <w:sz w:val="16"/>
                <w:szCs w:val="16"/>
              </w:rPr>
            </w:pPr>
            <w:r>
              <w:rPr>
                <w:sz w:val="16"/>
                <w:szCs w:val="16"/>
              </w:rPr>
              <w:t>= neutraal</w:t>
            </w:r>
          </w:p>
        </w:tc>
        <w:tc>
          <w:tcPr>
            <w:tcW w:w="2835" w:type="dxa"/>
          </w:tcPr>
          <w:p w:rsidR="008964FA" w:rsidP="009A57A2" w:rsidRDefault="008964FA">
            <w:pPr>
              <w:spacing w:line="240" w:lineRule="auto"/>
              <w:rPr>
                <w:sz w:val="16"/>
                <w:szCs w:val="16"/>
              </w:rPr>
            </w:pPr>
          </w:p>
        </w:tc>
      </w:tr>
      <w:tr w:rsidR="008964FA" w:rsidTr="009A57A2">
        <w:tc>
          <w:tcPr>
            <w:tcW w:w="2595" w:type="dxa"/>
            <w:shd w:val="clear" w:color="auto" w:fill="FF0000"/>
          </w:tcPr>
          <w:p w:rsidR="008964FA" w:rsidP="009A57A2" w:rsidRDefault="008964FA">
            <w:pPr>
              <w:spacing w:line="240" w:lineRule="auto"/>
              <w:rPr>
                <w:sz w:val="16"/>
                <w:szCs w:val="16"/>
              </w:rPr>
            </w:pPr>
          </w:p>
        </w:tc>
        <w:tc>
          <w:tcPr>
            <w:tcW w:w="2758" w:type="dxa"/>
          </w:tcPr>
          <w:p w:rsidR="008964FA" w:rsidP="009A57A2" w:rsidRDefault="008964FA">
            <w:pPr>
              <w:spacing w:line="240" w:lineRule="auto"/>
              <w:rPr>
                <w:sz w:val="16"/>
                <w:szCs w:val="16"/>
              </w:rPr>
            </w:pPr>
            <w:r>
              <w:rPr>
                <w:sz w:val="16"/>
                <w:szCs w:val="16"/>
              </w:rPr>
              <w:t>= nadelig</w:t>
            </w:r>
          </w:p>
        </w:tc>
        <w:tc>
          <w:tcPr>
            <w:tcW w:w="2835" w:type="dxa"/>
          </w:tcPr>
          <w:p w:rsidR="008964FA" w:rsidP="009A57A2" w:rsidRDefault="008964FA">
            <w:pPr>
              <w:spacing w:line="240" w:lineRule="auto"/>
              <w:rPr>
                <w:sz w:val="16"/>
                <w:szCs w:val="16"/>
              </w:rPr>
            </w:pPr>
          </w:p>
        </w:tc>
      </w:tr>
      <w:tr w:rsidR="008964FA" w:rsidTr="00266409">
        <w:tc>
          <w:tcPr>
            <w:tcW w:w="2595" w:type="dxa"/>
            <w:shd w:val="clear" w:color="auto" w:fill="D99594" w:themeFill="accent2" w:themeFillTint="99"/>
          </w:tcPr>
          <w:p w:rsidR="008964FA" w:rsidP="009A57A2" w:rsidRDefault="008964FA">
            <w:pPr>
              <w:spacing w:line="240" w:lineRule="auto"/>
              <w:rPr>
                <w:sz w:val="16"/>
                <w:szCs w:val="16"/>
              </w:rPr>
            </w:pPr>
          </w:p>
        </w:tc>
        <w:tc>
          <w:tcPr>
            <w:tcW w:w="2758" w:type="dxa"/>
          </w:tcPr>
          <w:p w:rsidR="008964FA" w:rsidP="009A57A2" w:rsidRDefault="008964FA">
            <w:pPr>
              <w:spacing w:line="240" w:lineRule="auto"/>
              <w:rPr>
                <w:sz w:val="16"/>
                <w:szCs w:val="16"/>
              </w:rPr>
            </w:pPr>
            <w:r>
              <w:rPr>
                <w:sz w:val="16"/>
                <w:szCs w:val="16"/>
              </w:rPr>
              <w:t>= licht nadelig</w:t>
            </w:r>
          </w:p>
        </w:tc>
        <w:tc>
          <w:tcPr>
            <w:tcW w:w="2835" w:type="dxa"/>
          </w:tcPr>
          <w:p w:rsidR="008964FA" w:rsidP="009A57A2" w:rsidRDefault="008964FA">
            <w:pPr>
              <w:spacing w:line="240" w:lineRule="auto"/>
              <w:rPr>
                <w:sz w:val="16"/>
                <w:szCs w:val="16"/>
              </w:rPr>
            </w:pPr>
          </w:p>
        </w:tc>
      </w:tr>
      <w:tr w:rsidR="008964FA" w:rsidTr="009A57A2">
        <w:tc>
          <w:tcPr>
            <w:tcW w:w="2595" w:type="dxa"/>
            <w:shd w:val="clear" w:color="auto" w:fill="92D050"/>
          </w:tcPr>
          <w:p w:rsidR="008964FA" w:rsidP="009A57A2" w:rsidRDefault="008964FA">
            <w:pPr>
              <w:spacing w:line="240" w:lineRule="auto"/>
              <w:rPr>
                <w:sz w:val="16"/>
                <w:szCs w:val="16"/>
              </w:rPr>
            </w:pPr>
          </w:p>
        </w:tc>
        <w:tc>
          <w:tcPr>
            <w:tcW w:w="2758" w:type="dxa"/>
          </w:tcPr>
          <w:p w:rsidR="008964FA" w:rsidP="009A57A2" w:rsidRDefault="008964FA">
            <w:pPr>
              <w:spacing w:line="240" w:lineRule="auto"/>
              <w:rPr>
                <w:sz w:val="16"/>
                <w:szCs w:val="16"/>
              </w:rPr>
            </w:pPr>
            <w:r>
              <w:rPr>
                <w:sz w:val="16"/>
                <w:szCs w:val="16"/>
              </w:rPr>
              <w:t>= voordelig</w:t>
            </w:r>
          </w:p>
        </w:tc>
        <w:tc>
          <w:tcPr>
            <w:tcW w:w="2835" w:type="dxa"/>
          </w:tcPr>
          <w:p w:rsidR="008964FA" w:rsidP="009A57A2" w:rsidRDefault="008964FA">
            <w:pPr>
              <w:spacing w:line="240" w:lineRule="auto"/>
              <w:rPr>
                <w:sz w:val="16"/>
                <w:szCs w:val="16"/>
              </w:rPr>
            </w:pPr>
          </w:p>
        </w:tc>
      </w:tr>
    </w:tbl>
    <w:p w:rsidR="009E0B37" w:rsidP="009E0B37" w:rsidRDefault="009E0B37">
      <w:pPr>
        <w:spacing w:after="0"/>
        <w:rPr>
          <w:rFonts w:cs="Times New Roman"/>
          <w:szCs w:val="18"/>
        </w:rPr>
      </w:pPr>
    </w:p>
    <w:p w:rsidR="009E0B37" w:rsidP="009E0B37" w:rsidRDefault="009E0B37">
      <w:r>
        <w:br w:type="page"/>
      </w:r>
    </w:p>
    <w:p w:rsidRPr="00EF03FB" w:rsidR="009E0B37" w:rsidP="009E0B37" w:rsidRDefault="00C23878">
      <w:pPr>
        <w:pStyle w:val="Geenafstand"/>
        <w:spacing w:line="276" w:lineRule="auto"/>
        <w:rPr>
          <w:b/>
        </w:rPr>
      </w:pPr>
      <w:r>
        <w:rPr>
          <w:b/>
        </w:rPr>
        <w:lastRenderedPageBreak/>
        <w:t xml:space="preserve">II. </w:t>
      </w:r>
      <w:r w:rsidR="008964FA">
        <w:rPr>
          <w:b/>
        </w:rPr>
        <w:t>OSEB</w:t>
      </w:r>
      <w:r>
        <w:rPr>
          <w:b/>
        </w:rPr>
        <w:t>:</w:t>
      </w:r>
      <w:r w:rsidR="009E0B37">
        <w:rPr>
          <w:b/>
        </w:rPr>
        <w:t xml:space="preserve"> f</w:t>
      </w:r>
      <w:r w:rsidRPr="00727700" w:rsidR="009E0B37">
        <w:rPr>
          <w:b/>
        </w:rPr>
        <w:t>lexibiliteit rondom de ingangsdatum en de looptijd van 20 jaar</w:t>
      </w:r>
    </w:p>
    <w:p w:rsidR="009E0B37" w:rsidP="009E0B37" w:rsidRDefault="009E0B37">
      <w:pPr>
        <w:pStyle w:val="Geenafstand"/>
        <w:spacing w:line="276" w:lineRule="auto"/>
      </w:pPr>
    </w:p>
    <w:p w:rsidR="009E0B37" w:rsidP="009E0B37" w:rsidRDefault="00DC3A35">
      <w:pPr>
        <w:pStyle w:val="Geenafstand"/>
        <w:spacing w:line="276" w:lineRule="auto"/>
      </w:pPr>
      <w:r>
        <w:t>D</w:t>
      </w:r>
      <w:r w:rsidR="00F85F01">
        <w:t xml:space="preserve">e </w:t>
      </w:r>
      <w:r w:rsidR="009E0B37">
        <w:t xml:space="preserve">heer Krol </w:t>
      </w:r>
      <w:r>
        <w:t>heeft</w:t>
      </w:r>
      <w:r w:rsidRPr="000224A3" w:rsidR="009E0B37">
        <w:t xml:space="preserve"> gevraagd aandacht te besteden aan de flexibiliteit rondom de ingangsdatum </w:t>
      </w:r>
      <w:r>
        <w:t xml:space="preserve">van </w:t>
      </w:r>
      <w:r w:rsidR="00000A21">
        <w:t xml:space="preserve">het </w:t>
      </w:r>
      <w:r>
        <w:t xml:space="preserve">OSEB </w:t>
      </w:r>
      <w:r w:rsidRPr="000224A3" w:rsidR="009E0B37">
        <w:t>en de loop</w:t>
      </w:r>
      <w:r w:rsidR="009E0B37">
        <w:t>tijd van 20 jaar.</w:t>
      </w:r>
    </w:p>
    <w:p w:rsidR="009E0B37" w:rsidP="009E0B37" w:rsidRDefault="009E0B37">
      <w:pPr>
        <w:pStyle w:val="Geenafstand"/>
        <w:spacing w:line="276" w:lineRule="auto"/>
      </w:pPr>
    </w:p>
    <w:p w:rsidR="009E0B37" w:rsidP="009E0B37" w:rsidRDefault="009E0B37">
      <w:pPr>
        <w:pStyle w:val="Geenafstand"/>
        <w:spacing w:line="276" w:lineRule="auto"/>
      </w:pPr>
      <w:r w:rsidRPr="000224A3">
        <w:t xml:space="preserve">Zoals in de brief van 1 juli 2015 reeds is aangegeven, kan de </w:t>
      </w:r>
      <w:proofErr w:type="spellStart"/>
      <w:r w:rsidRPr="000224A3">
        <w:t>oudedagsspaarverplichting</w:t>
      </w:r>
      <w:proofErr w:type="spellEnd"/>
      <w:r w:rsidRPr="000224A3">
        <w:t xml:space="preserve"> worden gebruikt voor het extern bedingen van een lijfrente (inclusief lijfrentespaarrekening en </w:t>
      </w:r>
      <w:proofErr w:type="spellStart"/>
      <w:r w:rsidRPr="000224A3">
        <w:t>lijfrentebeleggingsrecht</w:t>
      </w:r>
      <w:proofErr w:type="spellEnd"/>
      <w:r w:rsidRPr="000224A3">
        <w:t xml:space="preserve">) voor de DGA of voor gelijkmatige uitkeringen gedurende 20 jaren aan de DGA </w:t>
      </w:r>
      <w:r>
        <w:t xml:space="preserve">vanuit het </w:t>
      </w:r>
      <w:proofErr w:type="spellStart"/>
      <w:r>
        <w:t>eigenbeheerlichaam</w:t>
      </w:r>
      <w:proofErr w:type="spellEnd"/>
      <w:r>
        <w:t>.</w:t>
      </w:r>
    </w:p>
    <w:p w:rsidR="009E0B37" w:rsidP="009E0B37" w:rsidRDefault="009E0B37">
      <w:pPr>
        <w:pStyle w:val="Geenafstand"/>
        <w:spacing w:line="276" w:lineRule="auto"/>
      </w:pPr>
    </w:p>
    <w:p w:rsidR="009E0B37" w:rsidP="009E0B37" w:rsidRDefault="009E0B37">
      <w:pPr>
        <w:pStyle w:val="Geenafstand"/>
        <w:spacing w:line="276" w:lineRule="auto"/>
      </w:pPr>
      <w:r w:rsidRPr="000224A3">
        <w:t xml:space="preserve">Verplichte aanwending van de </w:t>
      </w:r>
      <w:proofErr w:type="spellStart"/>
      <w:r w:rsidRPr="000224A3">
        <w:t>oudedagsspaarverplichting</w:t>
      </w:r>
      <w:proofErr w:type="spellEnd"/>
      <w:r w:rsidRPr="000224A3">
        <w:t xml:space="preserve"> ten behoeve van </w:t>
      </w:r>
      <w:r>
        <w:t xml:space="preserve">de DGA vindt uiterlijk plaats: </w:t>
      </w:r>
    </w:p>
    <w:p w:rsidR="009E0B37" w:rsidP="009E0B37" w:rsidRDefault="009E0B37">
      <w:pPr>
        <w:pStyle w:val="Geenafstand"/>
        <w:numPr>
          <w:ilvl w:val="0"/>
          <w:numId w:val="12"/>
        </w:numPr>
        <w:spacing w:line="276" w:lineRule="auto"/>
      </w:pPr>
      <w:r w:rsidRPr="000224A3">
        <w:t>binnen twee maanden nadat de DGA de pensioengerechtigde leeftijd, bedoeld in artikel 7a, eerste lid, van de Algemene O</w:t>
      </w:r>
      <w:r>
        <w:t xml:space="preserve">uderdomswet, heeft bereikt; of </w:t>
      </w:r>
    </w:p>
    <w:p w:rsidR="009E0B37" w:rsidP="009E0B37" w:rsidRDefault="009E0B37">
      <w:pPr>
        <w:pStyle w:val="Geenafstand"/>
        <w:numPr>
          <w:ilvl w:val="0"/>
          <w:numId w:val="12"/>
        </w:numPr>
        <w:spacing w:line="276" w:lineRule="auto"/>
      </w:pPr>
      <w:r w:rsidRPr="000224A3">
        <w:t xml:space="preserve">maximaal vijf jaar </w:t>
      </w:r>
      <w:r w:rsidR="002C644A">
        <w:t xml:space="preserve">nadat de DGA </w:t>
      </w:r>
      <w:r w:rsidR="00B4525F">
        <w:t>voornoem</w:t>
      </w:r>
      <w:r w:rsidR="002C644A">
        <w:t>de pensioengerechtigde leeftijd heeft bereikt,</w:t>
      </w:r>
      <w:r w:rsidRPr="000224A3" w:rsidR="002C644A">
        <w:t xml:space="preserve"> </w:t>
      </w:r>
      <w:r w:rsidRPr="000224A3">
        <w:t>indien en zolang de DGA (reëel) loon geniet (voor gemiddeld ten min</w:t>
      </w:r>
      <w:r>
        <w:t xml:space="preserve">ste een dag per week werken). </w:t>
      </w:r>
    </w:p>
    <w:p w:rsidR="009E0B37" w:rsidP="009E0B37" w:rsidRDefault="009E0B37">
      <w:pPr>
        <w:pStyle w:val="Geenafstand"/>
        <w:spacing w:line="276" w:lineRule="auto"/>
      </w:pPr>
    </w:p>
    <w:p w:rsidR="009E0B37" w:rsidP="009E0B37" w:rsidRDefault="009E0B37">
      <w:pPr>
        <w:pStyle w:val="Geenafstand"/>
        <w:spacing w:line="276" w:lineRule="auto"/>
      </w:pPr>
      <w:r w:rsidRPr="000224A3">
        <w:t xml:space="preserve">Als de DGA voortijdig overlijdt, vindt binnen twaalf maanden na dat overlijden verplichte aanwending van de </w:t>
      </w:r>
      <w:proofErr w:type="spellStart"/>
      <w:r w:rsidRPr="000224A3">
        <w:t>oudedagsspaarverplichting</w:t>
      </w:r>
      <w:proofErr w:type="spellEnd"/>
      <w:r w:rsidRPr="000224A3">
        <w:t xml:space="preserve"> plaats ten behoeve van de partner en de kinderen (zonder leeftijdsbeperking), volgens een bepaalde verdeelsleutel, of indien de DGA geen partner of kinderen had, ten behoeve van de erfgena</w:t>
      </w:r>
      <w:r>
        <w:t>men/natuurlijke personen. Daarbij vinden de uitkeringen plaats gedurende een periode van 20 jaar te vermeerderen met de</w:t>
      </w:r>
      <w:r w:rsidRPr="000224A3">
        <w:t xml:space="preserve"> periode</w:t>
      </w:r>
      <w:r>
        <w:t xml:space="preserve"> vóór de </w:t>
      </w:r>
      <w:proofErr w:type="spellStart"/>
      <w:r>
        <w:t>AOW-ingangsdatum</w:t>
      </w:r>
      <w:proofErr w:type="spellEnd"/>
      <w:r>
        <w:t xml:space="preserve"> van de betreffende DGA.</w:t>
      </w:r>
    </w:p>
    <w:p w:rsidR="009E0B37" w:rsidP="009E0B37" w:rsidRDefault="009E0B37">
      <w:pPr>
        <w:pStyle w:val="Geenafstand"/>
        <w:spacing w:line="276" w:lineRule="auto"/>
      </w:pPr>
    </w:p>
    <w:p w:rsidR="009E0B37" w:rsidP="009E0B37" w:rsidRDefault="009E0B37">
      <w:pPr>
        <w:pStyle w:val="Geenafstand"/>
        <w:spacing w:line="276" w:lineRule="auto"/>
      </w:pPr>
      <w:r w:rsidRPr="000224A3">
        <w:t>Het</w:t>
      </w:r>
      <w:r w:rsidR="000C54E4">
        <w:t xml:space="preserve"> wordt</w:t>
      </w:r>
      <w:r w:rsidRPr="000224A3">
        <w:t xml:space="preserve"> mogelijk </w:t>
      </w:r>
      <w:r w:rsidR="000C54E4">
        <w:t xml:space="preserve">gemaakt </w:t>
      </w:r>
      <w:r w:rsidRPr="000224A3">
        <w:t xml:space="preserve">de </w:t>
      </w:r>
      <w:proofErr w:type="spellStart"/>
      <w:r w:rsidRPr="000224A3">
        <w:t>oudedagsspaarverplichting</w:t>
      </w:r>
      <w:proofErr w:type="spellEnd"/>
      <w:r w:rsidRPr="000224A3">
        <w:t xml:space="preserve"> vóór de genoemde verplichte aanwendingsmom</w:t>
      </w:r>
      <w:r>
        <w:t>enten vrijwillig aan te wenden.</w:t>
      </w:r>
      <w:r w:rsidR="00F85F01">
        <w:t xml:space="preserve"> Aanwending beteken</w:t>
      </w:r>
      <w:r w:rsidR="00C50F85">
        <w:t>t</w:t>
      </w:r>
      <w:r w:rsidR="00F85F01">
        <w:t xml:space="preserve"> dat de verplichting wordt omgezet in een juridisch afdwingbaar recht, bijvoorbeeld door </w:t>
      </w:r>
      <w:r w:rsidR="005E4908">
        <w:t>een overeenkomst met een professionele aanbieder of met de eigen bv</w:t>
      </w:r>
      <w:r w:rsidR="00C50F85">
        <w:t>, waarbij met name</w:t>
      </w:r>
      <w:r w:rsidR="005E4908">
        <w:t xml:space="preserve"> de hoogte, het </w:t>
      </w:r>
      <w:r w:rsidR="00C50F85">
        <w:t>aanvangstijdstip</w:t>
      </w:r>
      <w:r w:rsidR="005E4908">
        <w:t xml:space="preserve"> en de looptijd van </w:t>
      </w:r>
      <w:r w:rsidR="00C50F85">
        <w:t>d</w:t>
      </w:r>
      <w:r w:rsidR="005E4908">
        <w:t>e periodieke uitkeringen</w:t>
      </w:r>
      <w:r w:rsidR="00C50F85">
        <w:t xml:space="preserve"> wordt vastgelegd</w:t>
      </w:r>
      <w:r w:rsidR="005E4908">
        <w:t>.</w:t>
      </w:r>
      <w:r w:rsidR="00C23878">
        <w:t xml:space="preserve"> </w:t>
      </w:r>
      <w:r w:rsidRPr="000224A3">
        <w:rPr>
          <w:rFonts w:cs="Times New Roman"/>
        </w:rPr>
        <w:t>Het aanwendingsmoment ziet op het moment van omzetting in een ju</w:t>
      </w:r>
      <w:r w:rsidR="00C4570D">
        <w:rPr>
          <w:rFonts w:cs="Times New Roman"/>
        </w:rPr>
        <w:t>ridisch afdwingbaar recht. Zo wordt</w:t>
      </w:r>
      <w:r w:rsidRPr="000224A3">
        <w:rPr>
          <w:rFonts w:cs="Times New Roman"/>
        </w:rPr>
        <w:t xml:space="preserve"> het mogelijk dat de </w:t>
      </w:r>
      <w:proofErr w:type="spellStart"/>
      <w:r w:rsidRPr="000224A3">
        <w:rPr>
          <w:rFonts w:cs="Times New Roman"/>
        </w:rPr>
        <w:t>oudedagsspaarverplichting</w:t>
      </w:r>
      <w:proofErr w:type="spellEnd"/>
      <w:r w:rsidRPr="000224A3">
        <w:rPr>
          <w:rFonts w:cs="Times New Roman"/>
        </w:rPr>
        <w:t xml:space="preserve"> bijvoorbeeld op vijftigjarige leeftijd vrijwillig wordt aangewend, maar waarbij wordt toegezegd dat de uitkeringen op </w:t>
      </w:r>
      <w:proofErr w:type="spellStart"/>
      <w:r w:rsidR="00C50F85">
        <w:rPr>
          <w:rFonts w:cs="Times New Roman"/>
        </w:rPr>
        <w:t>AOW-ingangsdatum</w:t>
      </w:r>
      <w:proofErr w:type="spellEnd"/>
      <w:r w:rsidR="00C50F85">
        <w:rPr>
          <w:rFonts w:cs="Times New Roman"/>
        </w:rPr>
        <w:t xml:space="preserve"> </w:t>
      </w:r>
      <w:r w:rsidRPr="000224A3">
        <w:rPr>
          <w:rFonts w:cs="Times New Roman"/>
        </w:rPr>
        <w:t>ingaan.</w:t>
      </w:r>
      <w:r w:rsidRPr="000224A3">
        <w:t xml:space="preserve"> Het recht op periodieke uitkeringen hoeft derhalve niet direct op het</w:t>
      </w:r>
      <w:r>
        <w:t xml:space="preserve"> aanwendingsmoment in te gaan.</w:t>
      </w:r>
    </w:p>
    <w:p w:rsidR="009E0B37" w:rsidP="009E0B37" w:rsidRDefault="009E0B37">
      <w:pPr>
        <w:pStyle w:val="Geenafstand"/>
        <w:spacing w:line="276" w:lineRule="auto"/>
      </w:pPr>
    </w:p>
    <w:p w:rsidR="009E0B37" w:rsidP="009E0B37" w:rsidRDefault="00C4570D">
      <w:pPr>
        <w:pStyle w:val="Geenafstand"/>
        <w:spacing w:line="276" w:lineRule="auto"/>
      </w:pPr>
      <w:r>
        <w:t>Het wordt</w:t>
      </w:r>
      <w:r w:rsidRPr="000224A3" w:rsidR="009E0B37">
        <w:t xml:space="preserve"> mogelijk het opgebouwde </w:t>
      </w:r>
      <w:proofErr w:type="spellStart"/>
      <w:r w:rsidR="005E4908">
        <w:t>OSEB-</w:t>
      </w:r>
      <w:r w:rsidRPr="000224A3" w:rsidR="009E0B37">
        <w:t>kapitaal</w:t>
      </w:r>
      <w:proofErr w:type="spellEnd"/>
      <w:r w:rsidRPr="000224A3" w:rsidR="009E0B37">
        <w:t xml:space="preserve"> in het </w:t>
      </w:r>
      <w:proofErr w:type="spellStart"/>
      <w:r w:rsidRPr="000224A3" w:rsidR="009E0B37">
        <w:t>eigenbeheerlichaam</w:t>
      </w:r>
      <w:proofErr w:type="spellEnd"/>
      <w:r w:rsidRPr="000224A3" w:rsidR="009E0B37">
        <w:t xml:space="preserve"> af te bouwen in een periode van 20 jaar, vermeerderd met het aantal jaren tussen het tijdstip van het uitkeren van de eerste termijn en de pensioengerechtigde leeftijd, bedoeld in artikel 7a, eerste lid, van de Algemene Ouderdomswet, door het doen van (afgezien van de </w:t>
      </w:r>
      <w:proofErr w:type="spellStart"/>
      <w:r w:rsidRPr="000224A3" w:rsidR="009E0B37">
        <w:t>oprenting</w:t>
      </w:r>
      <w:proofErr w:type="spellEnd"/>
      <w:r w:rsidRPr="000224A3" w:rsidR="009E0B37">
        <w:t xml:space="preserve">) gelijkmatige uitkeringen. Ingeval de DGA de termijnen bijvoorbeeld vijf jaar </w:t>
      </w:r>
      <w:r w:rsidR="002C644A">
        <w:t xml:space="preserve">vóór </w:t>
      </w:r>
      <w:r w:rsidRPr="000224A3" w:rsidR="009E0B37">
        <w:t xml:space="preserve">de </w:t>
      </w:r>
      <w:proofErr w:type="spellStart"/>
      <w:r w:rsidR="00C50F85">
        <w:t>AOW-ingangsdatum</w:t>
      </w:r>
      <w:proofErr w:type="spellEnd"/>
      <w:r w:rsidR="00C50F85">
        <w:t xml:space="preserve"> </w:t>
      </w:r>
      <w:r w:rsidRPr="000224A3" w:rsidR="009E0B37">
        <w:t>wil laten ingaan, dan kan dat en wel ged</w:t>
      </w:r>
      <w:r w:rsidR="009E0B37">
        <w:t>urende een periode van 25 jaar.</w:t>
      </w:r>
    </w:p>
    <w:p w:rsidR="009E0B37" w:rsidP="009E0B37" w:rsidRDefault="009E0B37">
      <w:pPr>
        <w:pStyle w:val="Geenafstand"/>
        <w:spacing w:line="276" w:lineRule="auto"/>
      </w:pPr>
    </w:p>
    <w:p w:rsidR="009E0B37" w:rsidP="009E0B37" w:rsidRDefault="009E0B37">
      <w:pPr>
        <w:pStyle w:val="Geenafstand"/>
        <w:spacing w:line="276" w:lineRule="auto"/>
      </w:pPr>
      <w:r>
        <w:t xml:space="preserve">Wanneer de DGA </w:t>
      </w:r>
      <w:r w:rsidR="00C23878">
        <w:t xml:space="preserve">bijvoorbeeld </w:t>
      </w:r>
      <w:r>
        <w:t xml:space="preserve">nog vijf jaar </w:t>
      </w:r>
      <w:r w:rsidR="00CE364E">
        <w:t xml:space="preserve">(het eerdergenoemde maximum) </w:t>
      </w:r>
      <w:r>
        <w:t xml:space="preserve">doorwerkt na het bereiken van de </w:t>
      </w:r>
      <w:proofErr w:type="spellStart"/>
      <w:r w:rsidR="00C50F85">
        <w:t>AOW-ingangsdatum</w:t>
      </w:r>
      <w:proofErr w:type="spellEnd"/>
      <w:r w:rsidR="00C50F85">
        <w:t xml:space="preserve"> </w:t>
      </w:r>
      <w:r w:rsidR="00C4570D">
        <w:t>(en reëel loon geniet), wordt</w:t>
      </w:r>
      <w:r>
        <w:t xml:space="preserve"> het mogelijk </w:t>
      </w:r>
      <w:r w:rsidRPr="000224A3">
        <w:t xml:space="preserve">het opgebouwde </w:t>
      </w:r>
      <w:proofErr w:type="spellStart"/>
      <w:r w:rsidR="005E4908">
        <w:t>OSEB-</w:t>
      </w:r>
      <w:r w:rsidRPr="000224A3">
        <w:t>kapitaal</w:t>
      </w:r>
      <w:proofErr w:type="spellEnd"/>
      <w:r w:rsidRPr="000224A3">
        <w:t xml:space="preserve"> in het </w:t>
      </w:r>
      <w:proofErr w:type="spellStart"/>
      <w:r w:rsidRPr="000224A3">
        <w:t>eigenbeheerlichaam</w:t>
      </w:r>
      <w:proofErr w:type="spellEnd"/>
      <w:r w:rsidRPr="000224A3">
        <w:t xml:space="preserve"> </w:t>
      </w:r>
      <w:r>
        <w:t xml:space="preserve">vanaf het moment van stoppen met werken </w:t>
      </w:r>
      <w:r w:rsidRPr="000224A3">
        <w:t>af te bouwen in een periode van 20 jaar</w:t>
      </w:r>
      <w:r>
        <w:t>.</w:t>
      </w:r>
    </w:p>
    <w:p w:rsidR="009E0B37" w:rsidP="009E0B37" w:rsidRDefault="009E0B37">
      <w:pPr>
        <w:pStyle w:val="Geenafstand"/>
        <w:spacing w:line="276" w:lineRule="auto"/>
      </w:pPr>
    </w:p>
    <w:p w:rsidR="009E0B37" w:rsidP="009E0B37" w:rsidRDefault="009E0B37">
      <w:pPr>
        <w:pStyle w:val="Geenafstand"/>
        <w:spacing w:line="276" w:lineRule="auto"/>
      </w:pPr>
      <w:r w:rsidRPr="000224A3">
        <w:t>Indien de DGA overlijdt op het moment dat de uitkeringen reeds zijn ingegaan, gaat het recht op de nog niet uitgekeerde termijnen over op de partner en kinderen (zonder leeftijdsbeperking), volgens een bepaalde verdeelsleutel, en bij afwezigheid daarvan op de er</w:t>
      </w:r>
      <w:r>
        <w:t>fgenamen/natuurlijke personen.</w:t>
      </w:r>
    </w:p>
    <w:p w:rsidR="009E0B37" w:rsidP="009E0B37" w:rsidRDefault="009E0B37">
      <w:pPr>
        <w:pStyle w:val="Geenafstand"/>
        <w:spacing w:line="276" w:lineRule="auto"/>
      </w:pPr>
    </w:p>
    <w:p w:rsidR="009E0B37" w:rsidP="009E0B37" w:rsidRDefault="009E0B37">
      <w:pPr>
        <w:pStyle w:val="Geenafstand"/>
        <w:spacing w:line="276" w:lineRule="auto"/>
      </w:pPr>
      <w:r w:rsidRPr="000224A3">
        <w:t>Ook ingeval de uitkeringen vanuit eige</w:t>
      </w:r>
      <w:r w:rsidR="00C4570D">
        <w:t>n beheer reeds zijn ingegaan, wordt</w:t>
      </w:r>
      <w:r w:rsidRPr="000224A3">
        <w:t xml:space="preserve"> het mogelijk het resterende saldo af te storten bij een professionele verzekeraar et cetera om daar een kwalific</w:t>
      </w:r>
      <w:r>
        <w:t xml:space="preserve">erende lijfrente te bedingen. </w:t>
      </w:r>
    </w:p>
    <w:p w:rsidR="009E0B37" w:rsidP="009E0B37" w:rsidRDefault="009E0B37">
      <w:pPr>
        <w:pStyle w:val="Geenafstand"/>
        <w:spacing w:line="276" w:lineRule="auto"/>
      </w:pPr>
    </w:p>
    <w:p w:rsidR="009E0B37" w:rsidP="009E0B37" w:rsidRDefault="009E0B37">
      <w:pPr>
        <w:pStyle w:val="Geenafstand"/>
        <w:spacing w:line="276" w:lineRule="auto"/>
      </w:pPr>
      <w:r w:rsidRPr="000224A3">
        <w:lastRenderedPageBreak/>
        <w:t xml:space="preserve">Eventueel kan ervoor worden gekozen een deel van het saldo van de </w:t>
      </w:r>
      <w:proofErr w:type="spellStart"/>
      <w:r w:rsidRPr="000224A3">
        <w:t>oudedagsspaarverplichting</w:t>
      </w:r>
      <w:proofErr w:type="spellEnd"/>
      <w:r w:rsidRPr="000224A3">
        <w:t xml:space="preserve"> aan te wenden voor een externe afdekking van het vooroverlijdensrisico of het extern bedingen van een andere kwalificerende lijfrente voor de partner en kinderen van de DGA. In </w:t>
      </w:r>
      <w:r w:rsidR="00EE2B4B">
        <w:t>vrijwel alle</w:t>
      </w:r>
      <w:r w:rsidRPr="000224A3">
        <w:t xml:space="preserve"> gevallen is </w:t>
      </w:r>
      <w:r w:rsidR="007859E2">
        <w:t xml:space="preserve">het </w:t>
      </w:r>
      <w:r w:rsidRPr="000224A3">
        <w:t xml:space="preserve">verstandiger het vooroverlijdensrisico </w:t>
      </w:r>
      <w:r w:rsidR="00EE2B4B">
        <w:t xml:space="preserve">af te dekken </w:t>
      </w:r>
      <w:r w:rsidR="007859E2">
        <w:t>door</w:t>
      </w:r>
      <w:r w:rsidR="00EE2B4B">
        <w:t xml:space="preserve"> </w:t>
      </w:r>
      <w:r w:rsidRPr="000224A3">
        <w:t>een externe lijfrente te bedingen (veelal in de vorm van een aflopende risicoverzekering). Dat geldt ook vo</w:t>
      </w:r>
      <w:r>
        <w:t>or het huidige PEB.</w:t>
      </w:r>
    </w:p>
    <w:p w:rsidR="009E0B37" w:rsidP="009E0B37" w:rsidRDefault="009E0B37">
      <w:pPr>
        <w:pStyle w:val="Geenafstand"/>
        <w:spacing w:line="276" w:lineRule="auto"/>
      </w:pPr>
    </w:p>
    <w:p w:rsidRPr="0015161B" w:rsidR="009E0B37" w:rsidP="009E0B37" w:rsidRDefault="009E0B37">
      <w:pPr>
        <w:pStyle w:val="Geenafstand"/>
        <w:spacing w:line="276" w:lineRule="auto"/>
        <w:rPr>
          <w:b/>
        </w:rPr>
      </w:pPr>
    </w:p>
    <w:p w:rsidR="009E0B37" w:rsidP="009E0B37" w:rsidRDefault="009E0B37">
      <w:pPr>
        <w:rPr>
          <w:b/>
        </w:rPr>
      </w:pPr>
      <w:r>
        <w:rPr>
          <w:b/>
        </w:rPr>
        <w:br w:type="page"/>
      </w:r>
    </w:p>
    <w:p w:rsidRPr="00336A51" w:rsidR="009E0B37" w:rsidP="009E0B37" w:rsidRDefault="00C23878">
      <w:pPr>
        <w:pStyle w:val="Geenafstand"/>
        <w:spacing w:line="276" w:lineRule="auto"/>
        <w:rPr>
          <w:b/>
        </w:rPr>
      </w:pPr>
      <w:r>
        <w:rPr>
          <w:b/>
        </w:rPr>
        <w:lastRenderedPageBreak/>
        <w:t>III. OSEB:</w:t>
      </w:r>
      <w:r w:rsidR="00C4570D">
        <w:rPr>
          <w:b/>
        </w:rPr>
        <w:t xml:space="preserve"> p</w:t>
      </w:r>
      <w:r w:rsidRPr="00336A51" w:rsidR="009E0B37">
        <w:rPr>
          <w:b/>
        </w:rPr>
        <w:t>ositie van de partner van de DGA</w:t>
      </w:r>
    </w:p>
    <w:p w:rsidR="009E0B37" w:rsidP="009E0B37" w:rsidRDefault="009E0B37">
      <w:pPr>
        <w:pStyle w:val="Geenafstand"/>
        <w:spacing w:line="276" w:lineRule="auto"/>
      </w:pPr>
    </w:p>
    <w:p w:rsidR="009E0B37" w:rsidP="009E0B37" w:rsidRDefault="0017272E">
      <w:pPr>
        <w:pStyle w:val="Geenafstand"/>
        <w:spacing w:line="276" w:lineRule="auto"/>
      </w:pPr>
      <w:r>
        <w:t>D</w:t>
      </w:r>
      <w:r w:rsidR="00C24BC4">
        <w:t xml:space="preserve">e </w:t>
      </w:r>
      <w:r w:rsidR="009E0B37">
        <w:t xml:space="preserve">heer Krol </w:t>
      </w:r>
      <w:r>
        <w:t>heeft</w:t>
      </w:r>
      <w:r w:rsidR="009E0B37">
        <w:t xml:space="preserve"> </w:t>
      </w:r>
      <w:r>
        <w:t xml:space="preserve">in het kader van </w:t>
      </w:r>
      <w:r w:rsidR="00000A21">
        <w:t xml:space="preserve">het </w:t>
      </w:r>
      <w:r>
        <w:t xml:space="preserve">OSEB </w:t>
      </w:r>
      <w:r w:rsidR="009E0B37">
        <w:t>tevens</w:t>
      </w:r>
      <w:r w:rsidRPr="000224A3" w:rsidR="009E0B37">
        <w:t xml:space="preserve"> gevraagd</w:t>
      </w:r>
      <w:r w:rsidR="009E0B37">
        <w:t xml:space="preserve"> naar de positie van de partner van de DGA. Daar wordt hierna nader op ingegaan.</w:t>
      </w:r>
    </w:p>
    <w:p w:rsidR="009E0B37" w:rsidP="009E0B37" w:rsidRDefault="009E0B37">
      <w:pPr>
        <w:pStyle w:val="Geenafstand"/>
        <w:spacing w:line="276" w:lineRule="auto"/>
      </w:pPr>
    </w:p>
    <w:p w:rsidRPr="00336A51" w:rsidR="009E0B37" w:rsidP="009E0B37" w:rsidRDefault="009E0B37">
      <w:pPr>
        <w:pStyle w:val="Geenafstand"/>
        <w:spacing w:line="276" w:lineRule="auto"/>
        <w:rPr>
          <w:b/>
          <w:i/>
        </w:rPr>
      </w:pPr>
      <w:r>
        <w:rPr>
          <w:b/>
          <w:i/>
        </w:rPr>
        <w:t>1</w:t>
      </w:r>
      <w:r w:rsidRPr="00336A51">
        <w:rPr>
          <w:b/>
          <w:i/>
        </w:rPr>
        <w:t xml:space="preserve">. In </w:t>
      </w:r>
      <w:r>
        <w:rPr>
          <w:b/>
          <w:i/>
        </w:rPr>
        <w:t xml:space="preserve">het </w:t>
      </w:r>
      <w:r w:rsidRPr="00336A51">
        <w:rPr>
          <w:b/>
          <w:i/>
        </w:rPr>
        <w:t>huidig</w:t>
      </w:r>
      <w:r>
        <w:rPr>
          <w:b/>
          <w:i/>
        </w:rPr>
        <w:t>e</w:t>
      </w:r>
      <w:r w:rsidRPr="00336A51">
        <w:rPr>
          <w:b/>
          <w:i/>
        </w:rPr>
        <w:t xml:space="preserve"> systeem van pensioen in eigen beheer</w:t>
      </w:r>
    </w:p>
    <w:p w:rsidR="009E0B37" w:rsidP="009E0B37" w:rsidRDefault="009E0B37">
      <w:pPr>
        <w:pStyle w:val="Geenafstand"/>
        <w:spacing w:line="276" w:lineRule="auto"/>
      </w:pPr>
    </w:p>
    <w:p w:rsidR="009E0B37" w:rsidP="009E0B37" w:rsidRDefault="009E0B37">
      <w:pPr>
        <w:pStyle w:val="Geenafstand"/>
        <w:spacing w:line="276" w:lineRule="auto"/>
        <w:rPr>
          <w:rFonts w:eastAsia="Times New Roman" w:cs="Times New Roman"/>
          <w:color w:val="000000"/>
          <w:lang w:eastAsia="nl-NL"/>
        </w:rPr>
      </w:pPr>
      <w:r>
        <w:t xml:space="preserve">Kort samengevat heeft de partner van de DGA krachtens de Wet verevening pensioenrechten bij scheiding (Wet </w:t>
      </w:r>
      <w:proofErr w:type="spellStart"/>
      <w:r>
        <w:t>Vps</w:t>
      </w:r>
      <w:proofErr w:type="spellEnd"/>
      <w:r>
        <w:t>) in het algemeen recht op de helft van het tijdens het huwelijk opgebouwde ouderdomspensioen en op 100% van het partnerpensioen. In beginsel is daarbij externe uitvoering verplicht, omdat de ex-partner niet het risico hoeft te lopen dat de vennootschap (van de DGA) het bijzonder partnerpensioen en het recht op uitbetaling niet correct uitvoert.</w:t>
      </w:r>
      <w:r>
        <w:rPr>
          <w:rStyle w:val="Voetnootmarkering"/>
          <w:szCs w:val="18"/>
        </w:rPr>
        <w:footnoteReference w:id="5"/>
      </w:r>
      <w:r>
        <w:t xml:space="preserve"> In geval van een verliesgevende onderneming in de bv met </w:t>
      </w:r>
      <w:proofErr w:type="spellStart"/>
      <w:r>
        <w:t>liquiditeits</w:t>
      </w:r>
      <w:proofErr w:type="spellEnd"/>
      <w:r>
        <w:t xml:space="preserve">- </w:t>
      </w:r>
      <w:r w:rsidRPr="00266D4A">
        <w:t>en solvabiliteitsproblemen kan de rechter concluderen dat er geen verplichting tot externe uitvoering is.</w:t>
      </w:r>
      <w:r w:rsidRPr="00266D4A">
        <w:rPr>
          <w:rStyle w:val="Voetnootmarkering"/>
          <w:szCs w:val="18"/>
        </w:rPr>
        <w:footnoteReference w:id="6"/>
      </w:r>
      <w:r w:rsidRPr="00266D4A">
        <w:rPr>
          <w:color w:val="000000"/>
        </w:rPr>
        <w:t xml:space="preserve"> </w:t>
      </w:r>
      <w:r w:rsidRPr="00266D4A">
        <w:rPr>
          <w:rFonts w:eastAsia="Times New Roman" w:cs="Times New Roman"/>
          <w:color w:val="000000"/>
          <w:lang w:eastAsia="nl-NL"/>
        </w:rPr>
        <w:t>Teneinde vast t</w:t>
      </w:r>
      <w:r>
        <w:rPr>
          <w:rFonts w:eastAsia="Times New Roman" w:cs="Times New Roman"/>
          <w:color w:val="000000"/>
          <w:lang w:eastAsia="nl-NL"/>
        </w:rPr>
        <w:t xml:space="preserve">e kunnen stellen of kan worden voldaan aan het verzoek </w:t>
      </w:r>
      <w:r w:rsidRPr="00266D4A">
        <w:rPr>
          <w:rFonts w:eastAsia="Times New Roman" w:cs="Times New Roman"/>
          <w:color w:val="000000"/>
          <w:lang w:eastAsia="nl-NL"/>
        </w:rPr>
        <w:t xml:space="preserve">om de verplichting tot afstorting van het kapitaal dat nodig is om de </w:t>
      </w:r>
      <w:r>
        <w:rPr>
          <w:rFonts w:eastAsia="Times New Roman" w:cs="Times New Roman"/>
          <w:color w:val="000000"/>
          <w:lang w:eastAsia="nl-NL"/>
        </w:rPr>
        <w:t>pensioenaanspraken van de ex-partner</w:t>
      </w:r>
      <w:r w:rsidRPr="00266D4A">
        <w:rPr>
          <w:rFonts w:eastAsia="Times New Roman" w:cs="Times New Roman"/>
          <w:color w:val="000000"/>
          <w:lang w:eastAsia="nl-NL"/>
        </w:rPr>
        <w:t xml:space="preserve"> na te komen, dienen de navolgende vragen te worden beantwoord</w:t>
      </w:r>
      <w:r>
        <w:rPr>
          <w:rFonts w:eastAsia="Times New Roman" w:cs="Times New Roman"/>
          <w:color w:val="000000"/>
          <w:lang w:eastAsia="nl-NL"/>
        </w:rPr>
        <w:t>:</w:t>
      </w:r>
    </w:p>
    <w:p w:rsidR="009E0B37" w:rsidP="009E0B37" w:rsidRDefault="009E0B37">
      <w:pPr>
        <w:pStyle w:val="Geenafstand"/>
        <w:spacing w:line="276" w:lineRule="auto"/>
        <w:rPr>
          <w:rFonts w:eastAsia="Times New Roman" w:cs="Times New Roman"/>
          <w:color w:val="000000"/>
          <w:lang w:eastAsia="nl-NL"/>
        </w:rPr>
      </w:pPr>
    </w:p>
    <w:p w:rsidR="009E0B37" w:rsidP="009E0B37" w:rsidRDefault="009E0B37">
      <w:pPr>
        <w:pStyle w:val="Geenafstand"/>
        <w:numPr>
          <w:ilvl w:val="0"/>
          <w:numId w:val="11"/>
        </w:numPr>
        <w:spacing w:line="276" w:lineRule="auto"/>
        <w:rPr>
          <w:rFonts w:eastAsia="Times New Roman" w:cs="Times New Roman"/>
          <w:color w:val="000000"/>
          <w:lang w:eastAsia="nl-NL"/>
        </w:rPr>
      </w:pPr>
      <w:r w:rsidRPr="00266D4A">
        <w:rPr>
          <w:rFonts w:eastAsia="Times New Roman" w:cs="Times New Roman"/>
          <w:color w:val="000000"/>
          <w:lang w:eastAsia="nl-NL"/>
        </w:rPr>
        <w:t>komt de continuïteit van de onderneming ten gevolge van afstorting van het pensioen, bij een daartoe aangewezen verzekeraar, niet in gevaar;</w:t>
      </w:r>
    </w:p>
    <w:p w:rsidR="009E0B37" w:rsidP="009E0B37" w:rsidRDefault="009E0B37">
      <w:pPr>
        <w:pStyle w:val="Geenafstand"/>
        <w:numPr>
          <w:ilvl w:val="0"/>
          <w:numId w:val="11"/>
        </w:numPr>
        <w:spacing w:line="276" w:lineRule="auto"/>
        <w:rPr>
          <w:rFonts w:eastAsia="Times New Roman" w:cs="Times New Roman"/>
          <w:color w:val="000000"/>
          <w:lang w:eastAsia="nl-NL"/>
        </w:rPr>
      </w:pPr>
      <w:r w:rsidRPr="00266D4A">
        <w:rPr>
          <w:rFonts w:eastAsia="Times New Roman" w:cs="Times New Roman"/>
          <w:color w:val="000000"/>
          <w:lang w:eastAsia="nl-NL"/>
        </w:rPr>
        <w:t>blijft, in geval van afstorting, de onderneming beschikken over voldoende weerstand</w:t>
      </w:r>
      <w:r w:rsidR="009C4293">
        <w:rPr>
          <w:rFonts w:eastAsia="Times New Roman" w:cs="Times New Roman"/>
          <w:color w:val="000000"/>
          <w:lang w:eastAsia="nl-NL"/>
        </w:rPr>
        <w:t>s</w:t>
      </w:r>
      <w:r w:rsidRPr="00266D4A">
        <w:rPr>
          <w:rFonts w:eastAsia="Times New Roman" w:cs="Times New Roman"/>
          <w:color w:val="000000"/>
          <w:lang w:eastAsia="nl-NL"/>
        </w:rPr>
        <w:t>vermogen;</w:t>
      </w:r>
    </w:p>
    <w:p w:rsidRPr="00C818AA" w:rsidR="009E0B37" w:rsidP="009E0B37" w:rsidRDefault="009E0B37">
      <w:pPr>
        <w:pStyle w:val="Geenafstand"/>
        <w:numPr>
          <w:ilvl w:val="0"/>
          <w:numId w:val="11"/>
        </w:numPr>
        <w:spacing w:line="276" w:lineRule="auto"/>
        <w:rPr>
          <w:rFonts w:eastAsia="Times New Roman" w:cs="Times New Roman"/>
          <w:lang w:eastAsia="nl-NL"/>
        </w:rPr>
      </w:pPr>
      <w:r w:rsidRPr="00266D4A">
        <w:rPr>
          <w:rFonts w:eastAsia="Times New Roman" w:cs="Times New Roman"/>
          <w:lang w:eastAsia="nl-NL"/>
        </w:rPr>
        <w:t>is de verhouding tussen eigen en vreemd vermogen in overeenstemming met wat in de branche gebruikelijk is.</w:t>
      </w:r>
      <w:r w:rsidRPr="00C818AA">
        <w:rPr>
          <w:rStyle w:val="Voetnootmarkering"/>
          <w:rFonts w:eastAsia="Times New Roman" w:cs="Times New Roman"/>
          <w:szCs w:val="18"/>
          <w:lang w:eastAsia="nl-NL"/>
        </w:rPr>
        <w:footnoteReference w:id="7"/>
      </w:r>
      <w:r w:rsidRPr="00266D4A">
        <w:rPr>
          <w:rFonts w:eastAsia="Times New Roman" w:cs="Times New Roman"/>
          <w:lang w:eastAsia="nl-NL"/>
        </w:rPr>
        <w:t xml:space="preserve"> </w:t>
      </w:r>
    </w:p>
    <w:p w:rsidR="009E0B37" w:rsidP="009E0B37" w:rsidRDefault="009E0B37">
      <w:pPr>
        <w:pStyle w:val="Geenafstand"/>
        <w:spacing w:line="276" w:lineRule="auto"/>
        <w:rPr>
          <w:rFonts w:eastAsia="Times New Roman" w:cs="Times New Roman"/>
          <w:lang w:eastAsia="nl-NL"/>
        </w:rPr>
      </w:pPr>
    </w:p>
    <w:p w:rsidR="009E0B37" w:rsidP="009E0B37" w:rsidRDefault="009E0B37">
      <w:pPr>
        <w:pStyle w:val="Geenafstand"/>
        <w:spacing w:line="276" w:lineRule="auto"/>
        <w:rPr>
          <w:rFonts w:eastAsia="Times New Roman" w:cs="Times New Roman"/>
          <w:lang w:eastAsia="nl-NL"/>
        </w:rPr>
      </w:pPr>
      <w:r w:rsidRPr="00C818AA">
        <w:rPr>
          <w:rFonts w:eastAsia="Times New Roman" w:cs="Times New Roman"/>
          <w:lang w:eastAsia="nl-NL"/>
        </w:rPr>
        <w:t>In de situatie van een</w:t>
      </w:r>
      <w:r w:rsidRPr="00C818AA">
        <w:t xml:space="preserve"> </w:t>
      </w:r>
      <w:proofErr w:type="spellStart"/>
      <w:r w:rsidRPr="00C818AA">
        <w:t>pensioen-bv</w:t>
      </w:r>
      <w:proofErr w:type="spellEnd"/>
      <w:r w:rsidRPr="00C818AA">
        <w:t xml:space="preserve"> met onvoldoende dekkingsvermogen werd in de uitspraak van Hof Den Haag van 17 september 2014</w:t>
      </w:r>
      <w:r>
        <w:rPr>
          <w:rStyle w:val="Voetnootmarkering"/>
          <w:szCs w:val="18"/>
        </w:rPr>
        <w:footnoteReference w:id="8"/>
      </w:r>
      <w:r w:rsidRPr="00C818AA">
        <w:t xml:space="preserve"> in het kader van de postrelationele solidariteit tussen de ex-echtgenoten het dekkingstekort gelijk tussen de echtgenoten verdeeld. Daarbij werd tevens het verzoek tot afstorting van pensioenrechten van de ex-echtgenote van de DGA afgewezen.</w:t>
      </w:r>
    </w:p>
    <w:p w:rsidR="009E0B37" w:rsidP="009E0B37" w:rsidRDefault="009E0B37">
      <w:pPr>
        <w:pStyle w:val="Geenafstand"/>
        <w:spacing w:line="276" w:lineRule="auto"/>
        <w:rPr>
          <w:rFonts w:eastAsia="Times New Roman" w:cs="Times New Roman"/>
          <w:lang w:eastAsia="nl-NL"/>
        </w:rPr>
      </w:pPr>
    </w:p>
    <w:p w:rsidR="009E0B37" w:rsidP="009E0B37" w:rsidRDefault="009E0B37">
      <w:pPr>
        <w:pStyle w:val="Geenafstand"/>
        <w:spacing w:line="276" w:lineRule="auto"/>
      </w:pPr>
      <w:r>
        <w:t xml:space="preserve">In de Wet </w:t>
      </w:r>
      <w:proofErr w:type="spellStart"/>
      <w:r>
        <w:t>Vps</w:t>
      </w:r>
      <w:proofErr w:type="spellEnd"/>
      <w:r>
        <w:rPr>
          <w:rStyle w:val="Voetnootmarkering"/>
        </w:rPr>
        <w:footnoteReference w:id="9"/>
      </w:r>
      <w:r>
        <w:t xml:space="preserve"> wordt daarenboven bepaald dat de aanspraak op partnerpensioen ten behoeve van de echtgenoot van een DGA zonder toestemming van die echtgenoot niet bij overeenkomst tussen de DGA en het uitvoeringsorgaan of de werkgever kan worden verminderd.</w:t>
      </w:r>
    </w:p>
    <w:p w:rsidR="009E0B37" w:rsidP="009E0B37" w:rsidRDefault="009E0B37">
      <w:pPr>
        <w:pStyle w:val="Geenafstand"/>
        <w:spacing w:line="276" w:lineRule="auto"/>
      </w:pPr>
    </w:p>
    <w:p w:rsidRPr="00336A51" w:rsidR="009E0B37" w:rsidP="009E0B37" w:rsidRDefault="009E0B37">
      <w:pPr>
        <w:pStyle w:val="Geenafstand"/>
        <w:spacing w:line="276" w:lineRule="auto"/>
        <w:rPr>
          <w:b/>
        </w:rPr>
      </w:pPr>
      <w:r>
        <w:rPr>
          <w:b/>
          <w:i/>
        </w:rPr>
        <w:t>2</w:t>
      </w:r>
      <w:r w:rsidRPr="00336A51">
        <w:rPr>
          <w:b/>
          <w:i/>
        </w:rPr>
        <w:t xml:space="preserve">. Bij overgang van PEB naar </w:t>
      </w:r>
      <w:proofErr w:type="spellStart"/>
      <w:r w:rsidRPr="00336A51">
        <w:rPr>
          <w:b/>
          <w:i/>
        </w:rPr>
        <w:t>oudedagssparen</w:t>
      </w:r>
      <w:proofErr w:type="spellEnd"/>
      <w:r w:rsidRPr="00336A51">
        <w:rPr>
          <w:b/>
          <w:i/>
        </w:rPr>
        <w:t xml:space="preserve"> in eigen beheer</w:t>
      </w:r>
    </w:p>
    <w:p w:rsidR="009E0B37" w:rsidP="009E0B37" w:rsidRDefault="009E0B37">
      <w:pPr>
        <w:pStyle w:val="Geenafstand"/>
        <w:spacing w:line="276" w:lineRule="auto"/>
      </w:pPr>
    </w:p>
    <w:p w:rsidR="009E0B37" w:rsidP="009E0B37" w:rsidRDefault="009E0B37">
      <w:pPr>
        <w:pStyle w:val="Geenafstand"/>
        <w:spacing w:line="276" w:lineRule="auto"/>
      </w:pPr>
      <w:r w:rsidRPr="000224A3">
        <w:t xml:space="preserve">De onder het huidige recht in eigen beheer opgebouwde fiscale pensioenverplichting kan zonder het verschuldigd worden van loonheffing of vennootschapsbelasting worden omgezet in een </w:t>
      </w:r>
      <w:proofErr w:type="spellStart"/>
      <w:r w:rsidRPr="000224A3">
        <w:t>oudedagsspaarverplichting</w:t>
      </w:r>
      <w:proofErr w:type="spellEnd"/>
      <w:r w:rsidRPr="000224A3">
        <w:t xml:space="preserve"> ter grootte van de fiscale </w:t>
      </w:r>
      <w:proofErr w:type="spellStart"/>
      <w:r w:rsidR="00C50F85">
        <w:t>PEB-</w:t>
      </w:r>
      <w:r w:rsidRPr="000224A3">
        <w:t>verplichting</w:t>
      </w:r>
      <w:proofErr w:type="spellEnd"/>
      <w:r w:rsidRPr="000224A3">
        <w:t xml:space="preserve">; dit komt in feite overeen met </w:t>
      </w:r>
      <w:r w:rsidR="0017272E">
        <w:t>gedeeltelijk</w:t>
      </w:r>
      <w:r w:rsidRPr="000224A3">
        <w:t xml:space="preserve"> afzien van pensioenrechten in combinatie met een wijziging van de resterende rechten in een aanspraak ter zake van </w:t>
      </w:r>
      <w:proofErr w:type="spellStart"/>
      <w:r w:rsidRPr="000224A3">
        <w:t>oudedagssparen</w:t>
      </w:r>
      <w:proofErr w:type="spellEnd"/>
      <w:r w:rsidRPr="000224A3">
        <w:t xml:space="preserve">. Dit vereist instemmen/meetekenen van de DGA en diens partner. De partner raakt daarbij </w:t>
      </w:r>
      <w:r>
        <w:t xml:space="preserve">in beginsel al </w:t>
      </w:r>
      <w:r w:rsidRPr="000224A3">
        <w:t xml:space="preserve">zijn </w:t>
      </w:r>
      <w:r>
        <w:t xml:space="preserve">pensioenaanspraken kwijt, tenzij wordt geregeld dat de partner in geval van scheiding bijvoorbeeld recht krijgt op de helft van de gedurende de huwelijkse periode opgebouwde </w:t>
      </w:r>
      <w:proofErr w:type="spellStart"/>
      <w:r>
        <w:t>oudedagsspaarpot</w:t>
      </w:r>
      <w:proofErr w:type="spellEnd"/>
      <w:r>
        <w:t xml:space="preserve">. De rechten uit hoofde van het </w:t>
      </w:r>
      <w:proofErr w:type="spellStart"/>
      <w:r>
        <w:t>oudedagssparen</w:t>
      </w:r>
      <w:proofErr w:type="spellEnd"/>
      <w:r>
        <w:t xml:space="preserve"> vallen niet onder het huidige begrip pensioen of partnerpensioen van de Wet </w:t>
      </w:r>
      <w:proofErr w:type="spellStart"/>
      <w:r>
        <w:t>Vps</w:t>
      </w:r>
      <w:proofErr w:type="spellEnd"/>
      <w:r>
        <w:t xml:space="preserve">. </w:t>
      </w:r>
      <w:r w:rsidR="00A25236">
        <w:t>Eventueel</w:t>
      </w:r>
      <w:r w:rsidR="00583580">
        <w:t xml:space="preserve"> zal bezien </w:t>
      </w:r>
      <w:r w:rsidR="00A25236">
        <w:t xml:space="preserve">kunnen </w:t>
      </w:r>
      <w:r w:rsidR="00583580">
        <w:t>worden of</w:t>
      </w:r>
      <w:r>
        <w:t xml:space="preserve"> de Wet </w:t>
      </w:r>
      <w:proofErr w:type="spellStart"/>
      <w:r>
        <w:t>Vps</w:t>
      </w:r>
      <w:proofErr w:type="spellEnd"/>
      <w:r>
        <w:t xml:space="preserve"> op dit punt </w:t>
      </w:r>
      <w:r w:rsidR="00A25236">
        <w:t xml:space="preserve">kan worden </w:t>
      </w:r>
      <w:r w:rsidR="00583580">
        <w:t>aangepast</w:t>
      </w:r>
      <w:r w:rsidRPr="00422865">
        <w:t xml:space="preserve">. </w:t>
      </w:r>
      <w:r w:rsidR="00583580">
        <w:t>Dit laat onverlet dat partners in huwelijkse voorwaarden of anderszins hierover afspraken kunnen maken</w:t>
      </w:r>
      <w:r w:rsidRPr="00422865">
        <w:t>.</w:t>
      </w:r>
    </w:p>
    <w:p w:rsidR="00C23878" w:rsidRDefault="00C23878">
      <w:pPr>
        <w:rPr>
          <w:b/>
          <w:i/>
        </w:rPr>
      </w:pPr>
      <w:r>
        <w:rPr>
          <w:b/>
          <w:i/>
        </w:rPr>
        <w:br w:type="page"/>
      </w:r>
    </w:p>
    <w:p w:rsidRPr="00336A51" w:rsidR="009E0B37" w:rsidP="009E0B37" w:rsidRDefault="009E0B37">
      <w:pPr>
        <w:pStyle w:val="Geenafstand"/>
        <w:spacing w:line="276" w:lineRule="auto"/>
        <w:rPr>
          <w:b/>
        </w:rPr>
      </w:pPr>
      <w:r>
        <w:rPr>
          <w:b/>
          <w:i/>
        </w:rPr>
        <w:lastRenderedPageBreak/>
        <w:t>3</w:t>
      </w:r>
      <w:r w:rsidRPr="00336A51">
        <w:rPr>
          <w:b/>
          <w:i/>
        </w:rPr>
        <w:t xml:space="preserve">. Bij </w:t>
      </w:r>
      <w:proofErr w:type="spellStart"/>
      <w:r w:rsidRPr="00336A51">
        <w:rPr>
          <w:b/>
          <w:i/>
        </w:rPr>
        <w:t>oudedagssparen</w:t>
      </w:r>
      <w:proofErr w:type="spellEnd"/>
      <w:r w:rsidRPr="00336A51">
        <w:rPr>
          <w:b/>
          <w:i/>
        </w:rPr>
        <w:t xml:space="preserve"> in eigen beheer als nieuw systeem</w:t>
      </w:r>
    </w:p>
    <w:p w:rsidR="009E0B37" w:rsidP="009E0B37" w:rsidRDefault="009E0B37">
      <w:pPr>
        <w:pStyle w:val="Geenafstand"/>
        <w:spacing w:line="276" w:lineRule="auto"/>
      </w:pPr>
    </w:p>
    <w:p w:rsidRPr="00A87338" w:rsidR="009E0B37" w:rsidP="009E0B37" w:rsidRDefault="009E0B37">
      <w:pPr>
        <w:pStyle w:val="Geenafstand"/>
        <w:spacing w:line="276" w:lineRule="auto"/>
        <w:rPr>
          <w:rFonts w:eastAsia="Times New Roman" w:cs="Times New Roman"/>
          <w:lang w:eastAsia="nl-NL"/>
        </w:rPr>
      </w:pPr>
      <w:r w:rsidRPr="000224A3">
        <w:t xml:space="preserve">Een deel van de ruimte voor de </w:t>
      </w:r>
      <w:proofErr w:type="spellStart"/>
      <w:r w:rsidRPr="000224A3">
        <w:t>oudedagsspaarverplichting</w:t>
      </w:r>
      <w:proofErr w:type="spellEnd"/>
      <w:r w:rsidRPr="000224A3">
        <w:t xml:space="preserve"> mag worden gebruikt om extern het vooroverlijdensrisico af te dekken of een andere kwalificerende lijfrente te bedingen, ter waarborging van de belangen van partners en kinderen. </w:t>
      </w:r>
    </w:p>
    <w:p w:rsidR="009E0B37" w:rsidP="009E0B37" w:rsidRDefault="009E0B37">
      <w:pPr>
        <w:pStyle w:val="Geenafstand"/>
        <w:spacing w:line="276" w:lineRule="auto"/>
      </w:pPr>
      <w:r w:rsidRPr="00EB3DEC">
        <w:t xml:space="preserve">Het </w:t>
      </w:r>
      <w:proofErr w:type="spellStart"/>
      <w:r w:rsidRPr="00EB3DEC">
        <w:t>oudedagssparen</w:t>
      </w:r>
      <w:proofErr w:type="spellEnd"/>
      <w:r w:rsidRPr="00EB3DEC">
        <w:t xml:space="preserve"> is </w:t>
      </w:r>
      <w:r>
        <w:t xml:space="preserve">– zoals hiervoor is aangegeven - </w:t>
      </w:r>
      <w:r w:rsidRPr="00EB3DEC">
        <w:t xml:space="preserve">op basis van de huidige definitie geen pensioen </w:t>
      </w:r>
      <w:r>
        <w:t xml:space="preserve">of partnerpensioen in de zin van de Wet </w:t>
      </w:r>
      <w:proofErr w:type="spellStart"/>
      <w:r>
        <w:t>Vps</w:t>
      </w:r>
      <w:proofErr w:type="spellEnd"/>
      <w:r w:rsidRPr="00EB3DEC">
        <w:t xml:space="preserve">; de partner heeft derhalve geen zelfstandige rechten met betrekking tot een niet-aangewende </w:t>
      </w:r>
      <w:proofErr w:type="spellStart"/>
      <w:r w:rsidRPr="00EB3DEC">
        <w:t>oudedagsspaarverplichting</w:t>
      </w:r>
      <w:proofErr w:type="spellEnd"/>
      <w:r w:rsidRPr="00EB3DEC">
        <w:t xml:space="preserve"> en bij aanwending hangt het van de aanwend</w:t>
      </w:r>
      <w:r>
        <w:t xml:space="preserve">ing af. </w:t>
      </w:r>
      <w:r w:rsidR="00A25236">
        <w:t xml:space="preserve">Eventueel zal bezien kunnen worden of de Wet </w:t>
      </w:r>
      <w:proofErr w:type="spellStart"/>
      <w:r w:rsidR="00A25236">
        <w:t>Vps</w:t>
      </w:r>
      <w:proofErr w:type="spellEnd"/>
      <w:r w:rsidR="00A25236">
        <w:t xml:space="preserve"> op dit punt kan worden aangepast</w:t>
      </w:r>
      <w:r w:rsidRPr="00422865" w:rsidR="00A25236">
        <w:t xml:space="preserve">. </w:t>
      </w:r>
      <w:r w:rsidR="00003B38">
        <w:t>Dit laat onverlet dat partners in huwelijkse voorwaarden of anderszins hierover afspraken kunnen maken</w:t>
      </w:r>
      <w:r w:rsidRPr="00422865" w:rsidR="00003B38">
        <w:t>.</w:t>
      </w:r>
    </w:p>
    <w:p w:rsidR="009E0B37" w:rsidP="009E0B37" w:rsidRDefault="009E0B37">
      <w:pPr>
        <w:pStyle w:val="Geenafstand"/>
        <w:spacing w:line="276" w:lineRule="auto"/>
      </w:pPr>
    </w:p>
    <w:p w:rsidRPr="00336A51" w:rsidR="009E0B37" w:rsidP="009E0B37" w:rsidRDefault="009E0B37">
      <w:pPr>
        <w:pStyle w:val="Geenafstand"/>
        <w:spacing w:line="276" w:lineRule="auto"/>
        <w:rPr>
          <w:b/>
        </w:rPr>
      </w:pPr>
      <w:r>
        <w:rPr>
          <w:b/>
          <w:i/>
        </w:rPr>
        <w:t>4</w:t>
      </w:r>
      <w:r w:rsidRPr="00336A51">
        <w:rPr>
          <w:b/>
          <w:i/>
        </w:rPr>
        <w:t>. De positie van een (veel) jongere partner</w:t>
      </w:r>
      <w:r>
        <w:rPr>
          <w:b/>
          <w:i/>
        </w:rPr>
        <w:t xml:space="preserve"> bij het OSEB</w:t>
      </w:r>
    </w:p>
    <w:p w:rsidR="009E0B37" w:rsidP="009E0B37" w:rsidRDefault="009E0B37">
      <w:pPr>
        <w:pStyle w:val="Geenafstand"/>
        <w:spacing w:line="276" w:lineRule="auto"/>
      </w:pPr>
    </w:p>
    <w:p w:rsidR="009E0B37" w:rsidP="009E0B37" w:rsidRDefault="009E0B37">
      <w:pPr>
        <w:pStyle w:val="Geenafstand"/>
        <w:spacing w:line="276" w:lineRule="auto"/>
      </w:pPr>
      <w:r w:rsidRPr="000224A3">
        <w:t xml:space="preserve">Tijdens voornoemd algemeen overleg werd </w:t>
      </w:r>
      <w:r>
        <w:t xml:space="preserve">door heer Krol </w:t>
      </w:r>
      <w:r w:rsidRPr="000224A3">
        <w:t>ook g</w:t>
      </w:r>
      <w:r w:rsidR="00C4570D">
        <w:t>evraagd hoe bij het OSEB</w:t>
      </w:r>
      <w:r w:rsidRPr="000224A3">
        <w:t xml:space="preserve"> moet worden omgegaan met de positie van een (veel) jongere partner. </w:t>
      </w:r>
      <w:r w:rsidR="008F317C">
        <w:t>H</w:t>
      </w:r>
      <w:r w:rsidRPr="000224A3">
        <w:t xml:space="preserve">et </w:t>
      </w:r>
      <w:r w:rsidR="008F317C">
        <w:t xml:space="preserve">is </w:t>
      </w:r>
      <w:r w:rsidRPr="000224A3">
        <w:t xml:space="preserve">veelal verstandig een deel van het saldo van de </w:t>
      </w:r>
      <w:proofErr w:type="spellStart"/>
      <w:r w:rsidRPr="000224A3">
        <w:t>oudedagsspaarverplichting</w:t>
      </w:r>
      <w:proofErr w:type="spellEnd"/>
      <w:r w:rsidRPr="000224A3">
        <w:t xml:space="preserve"> aan te wenden voor een externe afdekking van het vooroverlijdensrisico of het extern bedingen van een andere kwalificerende lijfrente voor de partner (en </w:t>
      </w:r>
      <w:r>
        <w:t xml:space="preserve">eventuele </w:t>
      </w:r>
      <w:r w:rsidRPr="000224A3">
        <w:t xml:space="preserve">kinderen) van de DGA. </w:t>
      </w:r>
      <w:r w:rsidR="008F317C">
        <w:t>Immers</w:t>
      </w:r>
      <w:r w:rsidR="00B933A9">
        <w:t>,</w:t>
      </w:r>
      <w:r w:rsidR="008F317C">
        <w:t xml:space="preserve"> dergelijke risico’s </w:t>
      </w:r>
      <w:r w:rsidR="00B933A9">
        <w:t xml:space="preserve">zijn </w:t>
      </w:r>
      <w:r w:rsidR="008F317C">
        <w:t xml:space="preserve">voor een vennootschap veelal niet te dragen, zodat het voortbestaan van de in die bv gedreven onderneming wordt bedreigd dan wel de partner achterblijft zonder toekomstvoorziening. </w:t>
      </w:r>
      <w:r w:rsidRPr="000224A3">
        <w:t xml:space="preserve">Voor het overige gelden de normale regels. De 20-jaarsperiode is gekoppeld aan de </w:t>
      </w:r>
      <w:proofErr w:type="spellStart"/>
      <w:r w:rsidR="00C50F85">
        <w:t>AOW-ingangsdatum</w:t>
      </w:r>
      <w:proofErr w:type="spellEnd"/>
      <w:r w:rsidR="00C50F85">
        <w:t xml:space="preserve"> </w:t>
      </w:r>
      <w:r w:rsidRPr="000224A3">
        <w:t xml:space="preserve">van de DGA (en dus niet aan de </w:t>
      </w:r>
      <w:proofErr w:type="spellStart"/>
      <w:r w:rsidR="00C50F85">
        <w:t>AOW-ingangsdatum</w:t>
      </w:r>
      <w:proofErr w:type="spellEnd"/>
      <w:r w:rsidR="00C50F85">
        <w:t xml:space="preserve"> </w:t>
      </w:r>
      <w:r w:rsidRPr="000224A3">
        <w:t xml:space="preserve">van de partner van de DGA). </w:t>
      </w:r>
    </w:p>
    <w:p w:rsidR="009E0B37" w:rsidP="009E0B37" w:rsidRDefault="009E0B37">
      <w:pPr>
        <w:pStyle w:val="Geenafstand"/>
        <w:spacing w:line="276" w:lineRule="auto"/>
      </w:pPr>
    </w:p>
    <w:p w:rsidR="009E0B37" w:rsidP="009E0B37" w:rsidRDefault="009E0B37">
      <w:pPr>
        <w:pStyle w:val="Geenafstand"/>
        <w:spacing w:line="276" w:lineRule="auto"/>
      </w:pPr>
      <w:r w:rsidRPr="000224A3">
        <w:t xml:space="preserve">Wanneer de uitkeringen afhankelijk zouden worden gemaakt van de levensverwachting van de partner, zouden allerlei waarderingsproblemen weer in de regeling worden geïntroduceerd. Voor een jongere partner heeft </w:t>
      </w:r>
      <w:r w:rsidR="00F227B3">
        <w:t>de DGA</w:t>
      </w:r>
      <w:r w:rsidRPr="000224A3">
        <w:t xml:space="preserve"> derhalve de </w:t>
      </w:r>
      <w:proofErr w:type="spellStart"/>
      <w:r w:rsidR="00B540F8">
        <w:t>OSEB-</w:t>
      </w:r>
      <w:r w:rsidRPr="000224A3">
        <w:t>mogelijkheden</w:t>
      </w:r>
      <w:proofErr w:type="spellEnd"/>
      <w:r w:rsidRPr="000224A3">
        <w:t xml:space="preserve"> gekoppeld aan de </w:t>
      </w:r>
      <w:proofErr w:type="spellStart"/>
      <w:r w:rsidR="00C50F85">
        <w:t>AOW-ingangsdatum</w:t>
      </w:r>
      <w:proofErr w:type="spellEnd"/>
      <w:r w:rsidR="00C50F85">
        <w:t xml:space="preserve"> </w:t>
      </w:r>
      <w:r w:rsidRPr="000224A3">
        <w:t>van de DGA</w:t>
      </w:r>
      <w:r w:rsidR="005E4908">
        <w:t>.</w:t>
      </w:r>
      <w:r w:rsidRPr="000224A3">
        <w:t xml:space="preserve"> </w:t>
      </w:r>
      <w:r w:rsidR="005E4908">
        <w:t xml:space="preserve">Deze nieuwe mogelijkheden zijn </w:t>
      </w:r>
      <w:r w:rsidRPr="000224A3">
        <w:t xml:space="preserve">het aanwenden van een deel van het saldo van de </w:t>
      </w:r>
      <w:proofErr w:type="spellStart"/>
      <w:r w:rsidRPr="000224A3">
        <w:t>oudedagsspaarverplichting</w:t>
      </w:r>
      <w:proofErr w:type="spellEnd"/>
      <w:r w:rsidRPr="000224A3">
        <w:t xml:space="preserve"> voor een externe afdekking van het vooroverlijdensrisico </w:t>
      </w:r>
      <w:r w:rsidR="005E4908">
        <w:t>en</w:t>
      </w:r>
      <w:r w:rsidRPr="000224A3" w:rsidR="005E4908">
        <w:t xml:space="preserve"> </w:t>
      </w:r>
      <w:r w:rsidRPr="000224A3">
        <w:t xml:space="preserve">het extern bedingen van een andere kwalificerende lijfrente voor de partner (en </w:t>
      </w:r>
      <w:r>
        <w:t xml:space="preserve">eventuele </w:t>
      </w:r>
      <w:r w:rsidRPr="000224A3">
        <w:t>kinderen) van de DGA</w:t>
      </w:r>
      <w:r w:rsidR="005E4908">
        <w:t>.</w:t>
      </w:r>
      <w:r w:rsidRPr="000224A3">
        <w:t xml:space="preserve"> </w:t>
      </w:r>
      <w:r w:rsidR="005E4908">
        <w:t>Daar</w:t>
      </w:r>
      <w:r>
        <w:t>naast</w:t>
      </w:r>
      <w:r w:rsidR="005E4908">
        <w:t xml:space="preserve"> kan ook voor een van</w:t>
      </w:r>
      <w:r>
        <w:t xml:space="preserve"> de reeds bestaande mogelijkheden</w:t>
      </w:r>
      <w:r w:rsidR="005E4908">
        <w:t xml:space="preserve"> worden gekozen,</w:t>
      </w:r>
      <w:r>
        <w:t xml:space="preserve"> zoals </w:t>
      </w:r>
      <w:r w:rsidRPr="000224A3">
        <w:t xml:space="preserve">het op basis van het </w:t>
      </w:r>
      <w:proofErr w:type="spellStart"/>
      <w:r w:rsidRPr="000224A3">
        <w:t>huwelijksgoederenregime</w:t>
      </w:r>
      <w:proofErr w:type="spellEnd"/>
      <w:r w:rsidRPr="000224A3">
        <w:t xml:space="preserve"> en het erfrecht toekomende deel van (de waarde van) de aandelen in de bv</w:t>
      </w:r>
      <w:r w:rsidR="00B540F8">
        <w:t xml:space="preserve"> aanwenden voor de oude dag van de betreffende partner</w:t>
      </w:r>
      <w:r w:rsidRPr="000224A3">
        <w:t xml:space="preserve">, het beleggen in box 3 (van onder andere een deel van het </w:t>
      </w:r>
      <w:proofErr w:type="spellStart"/>
      <w:r w:rsidRPr="000224A3">
        <w:t>DGA-salaris</w:t>
      </w:r>
      <w:proofErr w:type="spellEnd"/>
      <w:r w:rsidRPr="000224A3">
        <w:t xml:space="preserve"> of van door de bv uitgekeerd dividend)</w:t>
      </w:r>
      <w:r w:rsidR="005E4908">
        <w:t xml:space="preserve"> en</w:t>
      </w:r>
      <w:r w:rsidRPr="000224A3">
        <w:t xml:space="preserve"> het benutten van een eventuele ruimte in de derde pijler</w:t>
      </w:r>
      <w:r w:rsidR="005E4908">
        <w:t>.</w:t>
      </w:r>
      <w:r w:rsidRPr="000224A3">
        <w:t xml:space="preserve"> </w:t>
      </w:r>
      <w:r w:rsidR="005E4908">
        <w:t>Verder kan ook met</w:t>
      </w:r>
      <w:r w:rsidRPr="000224A3">
        <w:t xml:space="preserve"> de eigen verdiencapaciteit </w:t>
      </w:r>
      <w:r>
        <w:t>en vermogenspositie</w:t>
      </w:r>
      <w:r w:rsidRPr="000224A3">
        <w:t xml:space="preserve"> van de partner van de DGA en diens eigen oudedagsvoorziening (pensioenopbouw e.d.)</w:t>
      </w:r>
      <w:r w:rsidR="005E4908">
        <w:t xml:space="preserve"> rekening worden gehouden</w:t>
      </w:r>
      <w:r w:rsidRPr="000224A3">
        <w:t xml:space="preserve">. </w:t>
      </w:r>
    </w:p>
    <w:p w:rsidR="009E0B37" w:rsidP="009E0B37" w:rsidRDefault="009E0B37">
      <w:pPr>
        <w:pStyle w:val="Geenafstand"/>
        <w:spacing w:line="276" w:lineRule="auto"/>
      </w:pPr>
    </w:p>
    <w:p w:rsidR="009E0B37" w:rsidP="009E0B37" w:rsidRDefault="009E0B37">
      <w:pPr>
        <w:pStyle w:val="Geenafstand"/>
        <w:spacing w:line="276" w:lineRule="auto"/>
      </w:pPr>
      <w:r w:rsidRPr="000224A3">
        <w:rPr>
          <w:rFonts w:cs="Times New Roman"/>
        </w:rPr>
        <w:t xml:space="preserve">In de praktijk </w:t>
      </w:r>
      <w:r>
        <w:rPr>
          <w:rFonts w:cs="Times New Roman"/>
        </w:rPr>
        <w:t>komt he</w:t>
      </w:r>
      <w:r w:rsidRPr="000224A3">
        <w:rPr>
          <w:rFonts w:cs="Times New Roman"/>
        </w:rPr>
        <w:t xml:space="preserve">t </w:t>
      </w:r>
      <w:r>
        <w:rPr>
          <w:rFonts w:cs="Times New Roman"/>
        </w:rPr>
        <w:t xml:space="preserve">ook </w:t>
      </w:r>
      <w:r w:rsidRPr="000224A3">
        <w:rPr>
          <w:rFonts w:cs="Times New Roman"/>
        </w:rPr>
        <w:t xml:space="preserve">bij </w:t>
      </w:r>
      <w:r w:rsidR="005E4908">
        <w:rPr>
          <w:rFonts w:cs="Times New Roman"/>
        </w:rPr>
        <w:t>andere</w:t>
      </w:r>
      <w:r w:rsidRPr="000224A3" w:rsidR="005E4908">
        <w:rPr>
          <w:rFonts w:cs="Times New Roman"/>
        </w:rPr>
        <w:t xml:space="preserve"> </w:t>
      </w:r>
      <w:r w:rsidRPr="000224A3">
        <w:rPr>
          <w:rFonts w:cs="Times New Roman"/>
        </w:rPr>
        <w:t xml:space="preserve">werknemers </w:t>
      </w:r>
      <w:r w:rsidR="000207A8">
        <w:rPr>
          <w:rFonts w:cs="Times New Roman"/>
        </w:rPr>
        <w:t>dan de</w:t>
      </w:r>
      <w:r w:rsidRPr="000224A3">
        <w:rPr>
          <w:rFonts w:cs="Times New Roman"/>
        </w:rPr>
        <w:t xml:space="preserve"> DGA steeds vaker </w:t>
      </w:r>
      <w:r>
        <w:rPr>
          <w:rFonts w:cs="Times New Roman"/>
        </w:rPr>
        <w:t xml:space="preserve">voor dat er </w:t>
      </w:r>
      <w:r w:rsidRPr="000224A3">
        <w:rPr>
          <w:rFonts w:cs="Times New Roman"/>
        </w:rPr>
        <w:t>alleen pensioenopbouw is voor de werknemer en dus geen opbouw voor de partner, waarbij voor de partner alleen een risicoverzekering (voor het vooroverlijdensrisico) wordt gesloten zolang de werknemer in dienst is. Op pensioeningangsdatum kan een deel van het opgebouwde ouderdomspensioen worden aangewend voor een partnerpensioen (en bij een veel jongere partner zal dat resulteren in een</w:t>
      </w:r>
      <w:r>
        <w:rPr>
          <w:rFonts w:cs="Times New Roman"/>
        </w:rPr>
        <w:t xml:space="preserve"> fors lager ouderdomspensioen).</w:t>
      </w:r>
    </w:p>
    <w:p w:rsidR="009E0B37" w:rsidP="009E0B37" w:rsidRDefault="009E0B37">
      <w:pPr>
        <w:pStyle w:val="Geenafstand"/>
        <w:spacing w:line="276" w:lineRule="auto"/>
      </w:pPr>
    </w:p>
    <w:p w:rsidRPr="00336A51" w:rsidR="009E0B37" w:rsidP="009E0B37" w:rsidRDefault="009E0B37">
      <w:pPr>
        <w:pStyle w:val="Geenafstand"/>
        <w:spacing w:line="276" w:lineRule="auto"/>
        <w:rPr>
          <w:b/>
        </w:rPr>
      </w:pPr>
      <w:r>
        <w:rPr>
          <w:b/>
          <w:i/>
        </w:rPr>
        <w:t>5</w:t>
      </w:r>
      <w:r w:rsidRPr="00336A51">
        <w:rPr>
          <w:b/>
          <w:i/>
        </w:rPr>
        <w:t xml:space="preserve">. Bij </w:t>
      </w:r>
      <w:r w:rsidR="00000A21">
        <w:rPr>
          <w:b/>
          <w:i/>
        </w:rPr>
        <w:t>uitfaseren</w:t>
      </w:r>
      <w:r w:rsidRPr="00336A51">
        <w:rPr>
          <w:b/>
          <w:i/>
        </w:rPr>
        <w:t xml:space="preserve"> PEB, derhalve na afkoop</w:t>
      </w:r>
    </w:p>
    <w:p w:rsidRPr="00C76988" w:rsidR="009E0B37" w:rsidP="009E0B37" w:rsidRDefault="009E0B37">
      <w:pPr>
        <w:pStyle w:val="Geenafstand"/>
        <w:spacing w:line="276" w:lineRule="auto"/>
      </w:pPr>
    </w:p>
    <w:p w:rsidR="009E0B37" w:rsidP="009E0B37" w:rsidRDefault="009E0B37">
      <w:pPr>
        <w:pStyle w:val="Geenafstand"/>
        <w:spacing w:line="276" w:lineRule="auto"/>
      </w:pPr>
      <w:r>
        <w:t xml:space="preserve">Bij </w:t>
      </w:r>
      <w:r w:rsidR="00E66164">
        <w:t>uitfaseren</w:t>
      </w:r>
      <w:r>
        <w:t xml:space="preserve"> van pensioen in eigen beheer verkrijgt de partner van de DGA geen aanspraken. Partners zouden in huwelijksvoorwaarden of anderszins (civielrechtelijk) afspraken kunnen maken over een zekere compensatie, bijvoorbeeld een recht op een deel van de waarde van de aandelen in de bv.</w:t>
      </w:r>
    </w:p>
    <w:p w:rsidR="009E0B37" w:rsidP="009E0B37" w:rsidRDefault="009E0B37">
      <w:pPr>
        <w:pStyle w:val="Geenafstand"/>
        <w:spacing w:line="276" w:lineRule="auto"/>
      </w:pPr>
    </w:p>
    <w:p w:rsidR="00076D42" w:rsidRDefault="00076D42">
      <w:pPr>
        <w:rPr>
          <w:b/>
        </w:rPr>
      </w:pPr>
      <w:r>
        <w:rPr>
          <w:b/>
        </w:rPr>
        <w:br w:type="page"/>
      </w:r>
    </w:p>
    <w:p w:rsidRPr="00965979" w:rsidR="00076D42" w:rsidP="00076D42" w:rsidRDefault="00C23878">
      <w:pPr>
        <w:pStyle w:val="Geenafstand"/>
        <w:spacing w:line="276" w:lineRule="auto"/>
        <w:rPr>
          <w:b/>
        </w:rPr>
      </w:pPr>
      <w:r>
        <w:rPr>
          <w:b/>
        </w:rPr>
        <w:lastRenderedPageBreak/>
        <w:t xml:space="preserve">IV. </w:t>
      </w:r>
      <w:r w:rsidRPr="00965979" w:rsidR="00076D42">
        <w:rPr>
          <w:b/>
        </w:rPr>
        <w:t>Beantwoording van overige vragen tijdens het algemeen ove</w:t>
      </w:r>
      <w:r w:rsidR="00076D42">
        <w:rPr>
          <w:b/>
        </w:rPr>
        <w:t>rleg</w:t>
      </w:r>
    </w:p>
    <w:p w:rsidR="00076D42" w:rsidP="00076D42" w:rsidRDefault="00076D42">
      <w:pPr>
        <w:pStyle w:val="Geenafstand"/>
        <w:spacing w:line="276" w:lineRule="auto"/>
      </w:pPr>
    </w:p>
    <w:p w:rsidR="00C23878" w:rsidP="00076D42" w:rsidRDefault="00076D42">
      <w:pPr>
        <w:pStyle w:val="Geenafstand"/>
        <w:spacing w:line="276" w:lineRule="auto"/>
        <w:rPr>
          <w:szCs w:val="18"/>
        </w:rPr>
      </w:pPr>
      <w:r w:rsidRPr="00F84E86">
        <w:rPr>
          <w:szCs w:val="18"/>
        </w:rPr>
        <w:t xml:space="preserve">De heer Groot informeerde </w:t>
      </w:r>
      <w:r w:rsidR="00B933A9">
        <w:rPr>
          <w:szCs w:val="18"/>
        </w:rPr>
        <w:t xml:space="preserve">voorts </w:t>
      </w:r>
      <w:r w:rsidRPr="00F84E86">
        <w:rPr>
          <w:szCs w:val="18"/>
        </w:rPr>
        <w:t>naar de gevolgen voor de latente belastingclaim die op de opgebouwde pensioenrechten rust</w:t>
      </w:r>
      <w:r w:rsidR="00C23878">
        <w:rPr>
          <w:szCs w:val="18"/>
        </w:rPr>
        <w:t>.</w:t>
      </w:r>
      <w:r w:rsidRPr="00F84E86">
        <w:rPr>
          <w:szCs w:val="18"/>
        </w:rPr>
        <w:t xml:space="preserve"> Als gevolg van het voorstel om </w:t>
      </w:r>
      <w:r w:rsidR="00F227B3">
        <w:rPr>
          <w:szCs w:val="18"/>
        </w:rPr>
        <w:t xml:space="preserve">– in het kader van de overgangsregeling – </w:t>
      </w:r>
      <w:r w:rsidRPr="00F84E86">
        <w:rPr>
          <w:szCs w:val="18"/>
        </w:rPr>
        <w:t>de pensioenverplichting van de waarde in</w:t>
      </w:r>
      <w:r>
        <w:rPr>
          <w:szCs w:val="18"/>
        </w:rPr>
        <w:t xml:space="preserve"> het</w:t>
      </w:r>
      <w:r w:rsidRPr="00F84E86">
        <w:rPr>
          <w:szCs w:val="18"/>
        </w:rPr>
        <w:t xml:space="preserve"> economisch</w:t>
      </w:r>
      <w:r>
        <w:rPr>
          <w:szCs w:val="18"/>
        </w:rPr>
        <w:t>e</w:t>
      </w:r>
      <w:r w:rsidRPr="00F84E86">
        <w:rPr>
          <w:szCs w:val="18"/>
        </w:rPr>
        <w:t xml:space="preserve"> verkeer af te </w:t>
      </w:r>
      <w:r w:rsidR="00DC5DF4">
        <w:rPr>
          <w:szCs w:val="18"/>
        </w:rPr>
        <w:t>stempelen</w:t>
      </w:r>
      <w:r w:rsidRPr="00F84E86" w:rsidR="00DC5DF4">
        <w:rPr>
          <w:szCs w:val="18"/>
        </w:rPr>
        <w:t xml:space="preserve"> </w:t>
      </w:r>
      <w:r w:rsidRPr="00F84E86">
        <w:rPr>
          <w:szCs w:val="18"/>
        </w:rPr>
        <w:t>naar de fiscale waarde gaat in ieder geval het gedeelte van de latente belastingclaim</w:t>
      </w:r>
      <w:r w:rsidR="00C23878">
        <w:rPr>
          <w:szCs w:val="18"/>
        </w:rPr>
        <w:t xml:space="preserve"> in de loonsfeer</w:t>
      </w:r>
      <w:r w:rsidRPr="00F84E86">
        <w:rPr>
          <w:szCs w:val="18"/>
        </w:rPr>
        <w:t xml:space="preserve"> dat op dat verschil rust ve</w:t>
      </w:r>
      <w:r>
        <w:rPr>
          <w:szCs w:val="18"/>
        </w:rPr>
        <w:t xml:space="preserve">rloren. </w:t>
      </w:r>
      <w:r w:rsidR="00F93631">
        <w:rPr>
          <w:szCs w:val="18"/>
        </w:rPr>
        <w:t>Daar</w:t>
      </w:r>
      <w:r w:rsidR="00AD1028">
        <w:rPr>
          <w:szCs w:val="18"/>
        </w:rPr>
        <w:t xml:space="preserve"> </w:t>
      </w:r>
      <w:r w:rsidR="00F93631">
        <w:rPr>
          <w:szCs w:val="18"/>
        </w:rPr>
        <w:t>tegenover staat dat dit deel in de onderneming</w:t>
      </w:r>
      <w:r w:rsidR="00AD1028">
        <w:rPr>
          <w:szCs w:val="18"/>
        </w:rPr>
        <w:t xml:space="preserve"> van de </w:t>
      </w:r>
      <w:proofErr w:type="spellStart"/>
      <w:r w:rsidR="00AD1028">
        <w:rPr>
          <w:szCs w:val="18"/>
        </w:rPr>
        <w:t>bv’s</w:t>
      </w:r>
      <w:proofErr w:type="spellEnd"/>
      <w:r w:rsidR="00F93631">
        <w:rPr>
          <w:szCs w:val="18"/>
        </w:rPr>
        <w:t xml:space="preserve"> blijft en (op termijn) als winst uitgekeerd gaat worden zodat er vennootschap</w:t>
      </w:r>
      <w:r w:rsidR="00C24BC4">
        <w:rPr>
          <w:szCs w:val="18"/>
        </w:rPr>
        <w:t>s</w:t>
      </w:r>
      <w:r w:rsidR="00F93631">
        <w:rPr>
          <w:szCs w:val="18"/>
        </w:rPr>
        <w:t>belasting, dividendbelasting en box 2-heffing geheven wordt.</w:t>
      </w:r>
    </w:p>
    <w:p w:rsidR="00C23878" w:rsidP="00076D42" w:rsidRDefault="00C23878">
      <w:pPr>
        <w:pStyle w:val="Geenafstand"/>
        <w:spacing w:line="276" w:lineRule="auto"/>
        <w:rPr>
          <w:szCs w:val="18"/>
        </w:rPr>
      </w:pPr>
    </w:p>
    <w:p w:rsidR="00076D42" w:rsidP="00076D42" w:rsidRDefault="00C23878">
      <w:pPr>
        <w:pStyle w:val="Geenafstand"/>
        <w:spacing w:line="276" w:lineRule="auto"/>
        <w:rPr>
          <w:i/>
          <w:szCs w:val="18"/>
        </w:rPr>
      </w:pPr>
      <w:r>
        <w:rPr>
          <w:szCs w:val="18"/>
        </w:rPr>
        <w:t>Verder vraagt de heer Groot</w:t>
      </w:r>
      <w:r w:rsidRPr="00F84E86">
        <w:rPr>
          <w:szCs w:val="18"/>
        </w:rPr>
        <w:t xml:space="preserve"> naar de hoogte van de belastinginkomsten, wanneer gebruik kan worden gemaakt van een overgangsregeling. </w:t>
      </w:r>
      <w:r w:rsidR="00076D42">
        <w:rPr>
          <w:szCs w:val="18"/>
        </w:rPr>
        <w:t>Zoals in de brief van 1 </w:t>
      </w:r>
      <w:r w:rsidRPr="00F84E86" w:rsidR="00076D42">
        <w:rPr>
          <w:szCs w:val="18"/>
        </w:rPr>
        <w:t xml:space="preserve">juli 2015 </w:t>
      </w:r>
      <w:r w:rsidR="00AD1028">
        <w:rPr>
          <w:szCs w:val="18"/>
        </w:rPr>
        <w:t xml:space="preserve">is </w:t>
      </w:r>
      <w:r w:rsidRPr="00F84E86" w:rsidR="00076D42">
        <w:rPr>
          <w:szCs w:val="18"/>
        </w:rPr>
        <w:t>aangegeven, zal het nieuwe stelsel budget</w:t>
      </w:r>
      <w:r w:rsidR="00076D42">
        <w:rPr>
          <w:szCs w:val="18"/>
        </w:rPr>
        <w:t xml:space="preserve">tair </w:t>
      </w:r>
      <w:r w:rsidRPr="00F84E86" w:rsidR="00076D42">
        <w:rPr>
          <w:szCs w:val="18"/>
        </w:rPr>
        <w:t xml:space="preserve">neutraal </w:t>
      </w:r>
      <w:r w:rsidR="00076D42">
        <w:rPr>
          <w:szCs w:val="18"/>
        </w:rPr>
        <w:t>worden vormgegeven</w:t>
      </w:r>
      <w:r w:rsidRPr="00F84E86" w:rsidR="00076D42">
        <w:rPr>
          <w:szCs w:val="18"/>
        </w:rPr>
        <w:t xml:space="preserve">. </w:t>
      </w:r>
      <w:r w:rsidR="0000780A">
        <w:rPr>
          <w:szCs w:val="18"/>
        </w:rPr>
        <w:t xml:space="preserve">Daarbij is meegenomen dat </w:t>
      </w:r>
      <w:proofErr w:type="spellStart"/>
      <w:r w:rsidR="0000780A">
        <w:rPr>
          <w:szCs w:val="18"/>
        </w:rPr>
        <w:t>PEB-aanspraken</w:t>
      </w:r>
      <w:proofErr w:type="spellEnd"/>
      <w:r w:rsidR="0000780A">
        <w:rPr>
          <w:szCs w:val="18"/>
        </w:rPr>
        <w:t xml:space="preserve"> </w:t>
      </w:r>
      <w:r w:rsidR="00A25236">
        <w:rPr>
          <w:szCs w:val="18"/>
        </w:rPr>
        <w:t xml:space="preserve">worden </w:t>
      </w:r>
      <w:r w:rsidR="0000780A">
        <w:rPr>
          <w:szCs w:val="18"/>
        </w:rPr>
        <w:t xml:space="preserve">omgezet in </w:t>
      </w:r>
      <w:proofErr w:type="spellStart"/>
      <w:r w:rsidR="0000780A">
        <w:rPr>
          <w:szCs w:val="18"/>
        </w:rPr>
        <w:t>OSEB-aanspraken</w:t>
      </w:r>
      <w:proofErr w:type="spellEnd"/>
      <w:r w:rsidR="0000780A">
        <w:rPr>
          <w:szCs w:val="18"/>
        </w:rPr>
        <w:t>.</w:t>
      </w:r>
    </w:p>
    <w:p w:rsidR="00C340F9" w:rsidP="00076D42" w:rsidRDefault="00C340F9">
      <w:pPr>
        <w:pStyle w:val="Geenafstand"/>
        <w:spacing w:line="276" w:lineRule="auto"/>
      </w:pPr>
    </w:p>
    <w:p w:rsidR="00076D42" w:rsidP="00076D42" w:rsidRDefault="00C340F9">
      <w:pPr>
        <w:pStyle w:val="Geenafstand"/>
        <w:spacing w:line="276" w:lineRule="auto"/>
      </w:pPr>
      <w:r>
        <w:t>D</w:t>
      </w:r>
      <w:r w:rsidR="00076D42">
        <w:t xml:space="preserve">e heer Krol </w:t>
      </w:r>
      <w:r>
        <w:t xml:space="preserve">vraagt </w:t>
      </w:r>
      <w:r w:rsidR="00076D42">
        <w:t>waarom inhaaldotaties in het regime van het OSEB niet mogelijk zullen zijn. Dit hangt samen met de bedoelde vereenvoudiging. Wanneer inhaaldotaties wel mogelijk zouden zijn, brengt dit een enorme uitvoeringslast voor de Belastingdienst met zich. Om te kunnen controleren of en in hoeverre inhaaldotatie</w:t>
      </w:r>
      <w:r w:rsidR="00C24BC4">
        <w:t>s</w:t>
      </w:r>
      <w:r w:rsidR="00076D42">
        <w:t xml:space="preserve"> mogelijk zijn, zou de Belastingdienst veel gegevens moeten opvragen om dit bij te kunnen houden. Dit strookt niet met de beoogde vereenvoudiging. Tevens leidt het mogelijk maken van inhaaldotaties tot extra fiscale planningsmogelijkheden, hetgeen ook gevolgen voor de schatkist kan hebben.</w:t>
      </w:r>
      <w:r w:rsidR="00254798">
        <w:t xml:space="preserve"> Ook bij de fiscale oudedagsreserve wordt geen ruimte voor inhaal geboden. Omdat geen geld hoeft te worden onttrokken aan de onderneming, is er in beginsel geen enkele reden om de toepassing van de faciliteit in enig belastingjaar achterwege te laten.</w:t>
      </w:r>
    </w:p>
    <w:p w:rsidR="00076D42" w:rsidP="00076D42" w:rsidRDefault="00076D42">
      <w:pPr>
        <w:pStyle w:val="Geenafstand"/>
        <w:spacing w:line="276" w:lineRule="auto"/>
      </w:pPr>
    </w:p>
    <w:p w:rsidR="00076D42" w:rsidP="00076D42" w:rsidRDefault="00076D42">
      <w:pPr>
        <w:pStyle w:val="Geenafstand"/>
        <w:spacing w:line="276" w:lineRule="auto"/>
      </w:pPr>
      <w:r>
        <w:t>Verder maakt de heer Krol zich er zorgen over of het beoogde overgangrecht van het PEB naar het OSEB een goed begaanbare marsroute is. Zoals in de brief</w:t>
      </w:r>
      <w:r w:rsidR="00C24BC4">
        <w:t xml:space="preserve"> van 1 juli 2015</w:t>
      </w:r>
      <w:r>
        <w:t xml:space="preserve"> is toegelicht, is het de bedoeling om de overstap van het PEB naar het OSEB fiscaal geruisloos mogelijk te maken. Daarmee is bedoeld </w:t>
      </w:r>
      <w:r w:rsidR="00AD1028">
        <w:t xml:space="preserve">dat </w:t>
      </w:r>
      <w:r>
        <w:t xml:space="preserve">de overstap </w:t>
      </w:r>
      <w:r w:rsidR="00693ED2">
        <w:t>voor de DGA niet leidt tot een afrekening voor de loonheffing, inkomstenbelasting/premies volksverzekeringen</w:t>
      </w:r>
      <w:r>
        <w:t xml:space="preserve"> en </w:t>
      </w:r>
      <w:r w:rsidR="00693ED2">
        <w:t xml:space="preserve">voor </w:t>
      </w:r>
      <w:r>
        <w:t xml:space="preserve">de bv </w:t>
      </w:r>
      <w:r w:rsidR="00693ED2">
        <w:t>ook niet tot een afrekening voor wat betreft de vennootschapsbelasting leidt</w:t>
      </w:r>
      <w:r>
        <w:t>. Dit is in ieder geval een goed begaanbare marsroute. Alleen het instemmen en meetekenen van de partner van de DGA kan een probleem opleveren, net zoals dat bij alle andere oplossingsmogelijkheden het geval zal zijn.</w:t>
      </w:r>
    </w:p>
    <w:p w:rsidR="00076D42" w:rsidP="00076D42" w:rsidRDefault="00076D42">
      <w:pPr>
        <w:pStyle w:val="Geenafstand"/>
        <w:spacing w:line="276" w:lineRule="auto"/>
      </w:pPr>
    </w:p>
    <w:p w:rsidR="00076D42" w:rsidP="00076D42" w:rsidRDefault="00076D42">
      <w:pPr>
        <w:pStyle w:val="Geenafstand"/>
        <w:spacing w:line="276" w:lineRule="auto"/>
        <w:rPr>
          <w:szCs w:val="18"/>
        </w:rPr>
      </w:pPr>
      <w:r>
        <w:rPr>
          <w:szCs w:val="18"/>
        </w:rPr>
        <w:t xml:space="preserve">Met betrekking tot de </w:t>
      </w:r>
      <w:proofErr w:type="spellStart"/>
      <w:r>
        <w:rPr>
          <w:szCs w:val="18"/>
        </w:rPr>
        <w:t>oprenting</w:t>
      </w:r>
      <w:proofErr w:type="spellEnd"/>
      <w:r>
        <w:rPr>
          <w:szCs w:val="18"/>
        </w:rPr>
        <w:t xml:space="preserve"> van de spaarpot bij het OSEB informeert de heer Krol waarom dit niet kan op basis van een andere rente dan het </w:t>
      </w:r>
      <w:proofErr w:type="spellStart"/>
      <w:r>
        <w:rPr>
          <w:szCs w:val="18"/>
        </w:rPr>
        <w:t>U-rendement</w:t>
      </w:r>
      <w:proofErr w:type="spellEnd"/>
      <w:r>
        <w:rPr>
          <w:szCs w:val="18"/>
        </w:rPr>
        <w:t xml:space="preserve">. Het </w:t>
      </w:r>
      <w:proofErr w:type="spellStart"/>
      <w:r>
        <w:rPr>
          <w:szCs w:val="18"/>
        </w:rPr>
        <w:t>U-rendement</w:t>
      </w:r>
      <w:proofErr w:type="spellEnd"/>
      <w:r>
        <w:rPr>
          <w:szCs w:val="18"/>
        </w:rPr>
        <w:t xml:space="preserve"> vertegenwoordig</w:t>
      </w:r>
      <w:r w:rsidR="00802A79">
        <w:rPr>
          <w:szCs w:val="18"/>
        </w:rPr>
        <w:t>t</w:t>
      </w:r>
      <w:r>
        <w:rPr>
          <w:szCs w:val="18"/>
        </w:rPr>
        <w:t xml:space="preserve"> een in de pensioenwereld veel gehanteerde marktrente. Daarom wordt hier in het voorgestelde </w:t>
      </w:r>
      <w:proofErr w:type="spellStart"/>
      <w:r>
        <w:rPr>
          <w:szCs w:val="18"/>
        </w:rPr>
        <w:t>OSEB-stelsel</w:t>
      </w:r>
      <w:proofErr w:type="spellEnd"/>
      <w:r>
        <w:rPr>
          <w:szCs w:val="18"/>
        </w:rPr>
        <w:t xml:space="preserve"> bij aangesloten.</w:t>
      </w:r>
    </w:p>
    <w:p w:rsidR="00076D42" w:rsidP="00076D42" w:rsidRDefault="00076D42">
      <w:pPr>
        <w:pStyle w:val="Geenafstand"/>
        <w:spacing w:line="276" w:lineRule="auto"/>
      </w:pPr>
    </w:p>
    <w:p w:rsidR="003579D5" w:rsidP="00853F04" w:rsidRDefault="00CA62C0">
      <w:pPr>
        <w:pStyle w:val="Geenafstand"/>
        <w:spacing w:line="276" w:lineRule="auto"/>
      </w:pPr>
      <w:r>
        <w:t>De heer Groot informeert in hoeverre het geld dat met</w:t>
      </w:r>
      <w:r w:rsidR="00000A21">
        <w:t xml:space="preserve"> het</w:t>
      </w:r>
      <w:r>
        <w:t xml:space="preserve"> OSEB in de onderneming blijft van belang is voor investeringen en werkgelegenheid.</w:t>
      </w:r>
      <w:r w:rsidR="001344C3">
        <w:t xml:space="preserve"> </w:t>
      </w:r>
      <w:r>
        <w:t xml:space="preserve">Aan een opbouw </w:t>
      </w:r>
      <w:r w:rsidR="00DF27E8">
        <w:t xml:space="preserve">van een oudedagsvoorziening </w:t>
      </w:r>
      <w:r>
        <w:t xml:space="preserve">in eigen beheer </w:t>
      </w:r>
      <w:r w:rsidR="0078748A">
        <w:t xml:space="preserve">zoals </w:t>
      </w:r>
      <w:r w:rsidR="00000A21">
        <w:t xml:space="preserve">het </w:t>
      </w:r>
      <w:r w:rsidR="0078748A">
        <w:t xml:space="preserve">OSEB </w:t>
      </w:r>
      <w:r>
        <w:t xml:space="preserve">kleven voor- en nadelen. Voordeel is dat het </w:t>
      </w:r>
      <w:r w:rsidRPr="00BB544B">
        <w:t xml:space="preserve">geld </w:t>
      </w:r>
      <w:r w:rsidR="00DF27E8">
        <w:t xml:space="preserve">dat tegenover de </w:t>
      </w:r>
      <w:proofErr w:type="spellStart"/>
      <w:r w:rsidR="00DF27E8">
        <w:t>oudedagsverplichting</w:t>
      </w:r>
      <w:proofErr w:type="spellEnd"/>
      <w:r w:rsidR="00DF27E8">
        <w:t xml:space="preserve"> staat </w:t>
      </w:r>
      <w:r w:rsidRPr="00BB544B">
        <w:t xml:space="preserve">beschikbaar </w:t>
      </w:r>
      <w:r w:rsidR="0078748A">
        <w:t xml:space="preserve">blijft </w:t>
      </w:r>
      <w:r>
        <w:t xml:space="preserve">voor gebruik in het bedrijf. </w:t>
      </w:r>
      <w:r w:rsidR="00DF27E8">
        <w:t>Een oudedagsvoorziening</w:t>
      </w:r>
      <w:r>
        <w:t xml:space="preserve"> opbouwen in eigen beheer via </w:t>
      </w:r>
      <w:r w:rsidR="00000A21">
        <w:t xml:space="preserve">het </w:t>
      </w:r>
      <w:r>
        <w:t xml:space="preserve">OSEB </w:t>
      </w:r>
      <w:r w:rsidR="0078748A">
        <w:t xml:space="preserve">(maar ook </w:t>
      </w:r>
      <w:r>
        <w:t xml:space="preserve">netto vermogensopbouw in de </w:t>
      </w:r>
      <w:r w:rsidR="0078748A">
        <w:t>bv)</w:t>
      </w:r>
      <w:r>
        <w:t xml:space="preserve"> zorgt dus op dit punt voor een liquiditeitsverruiming voor de </w:t>
      </w:r>
      <w:r w:rsidR="0078748A">
        <w:t xml:space="preserve">onderneming </w:t>
      </w:r>
      <w:r>
        <w:t xml:space="preserve">ten opzichte van een </w:t>
      </w:r>
      <w:r w:rsidR="00DF27E8">
        <w:t>oudedagsvoorziening</w:t>
      </w:r>
      <w:r>
        <w:t xml:space="preserve"> extern opbouwen bij een bank of verzekeraar dan wel een </w:t>
      </w:r>
      <w:r w:rsidR="00DF27E8">
        <w:t>voorziening voor de oude dag</w:t>
      </w:r>
      <w:r>
        <w:t xml:space="preserve"> opbouwen in de privésfeer </w:t>
      </w:r>
      <w:r w:rsidR="008C468E">
        <w:t>(</w:t>
      </w:r>
      <w:r>
        <w:t>box 3</w:t>
      </w:r>
      <w:r w:rsidR="008C468E">
        <w:t>)</w:t>
      </w:r>
      <w:r>
        <w:t>. Indien opbouw</w:t>
      </w:r>
      <w:r w:rsidR="00DF27E8">
        <w:t xml:space="preserve"> van een oudedagsvoorziening</w:t>
      </w:r>
      <w:r>
        <w:t xml:space="preserve"> in eigen beheer fi</w:t>
      </w:r>
      <w:r w:rsidR="00000A21">
        <w:t>scaal wordt gefaciliteerd (</w:t>
      </w:r>
      <w:r>
        <w:t xml:space="preserve">OSEB) biedt </w:t>
      </w:r>
      <w:r w:rsidR="00DF27E8">
        <w:t>he</w:t>
      </w:r>
      <w:r>
        <w:t xml:space="preserve">t </w:t>
      </w:r>
      <w:r w:rsidR="008C468E">
        <w:t xml:space="preserve">daaraan verbonden </w:t>
      </w:r>
      <w:r w:rsidR="00DF27E8">
        <w:t xml:space="preserve">belastinguitstel </w:t>
      </w:r>
      <w:r>
        <w:t xml:space="preserve">nog eens extra liquiditeit voor de </w:t>
      </w:r>
      <w:r w:rsidR="00DF27E8">
        <w:t>bv</w:t>
      </w:r>
      <w:r>
        <w:t>.</w:t>
      </w:r>
    </w:p>
    <w:p w:rsidRPr="00E44E45" w:rsidR="00CA62C0" w:rsidP="00853F04" w:rsidRDefault="00CA62C0">
      <w:pPr>
        <w:pStyle w:val="Geenafstand"/>
        <w:spacing w:line="276" w:lineRule="auto"/>
      </w:pPr>
      <w:r>
        <w:t>Tegenover deze voordelen van een opbouw</w:t>
      </w:r>
      <w:r w:rsidR="00DF27E8">
        <w:t xml:space="preserve"> van een oudedagsvoorziening</w:t>
      </w:r>
      <w:r>
        <w:t xml:space="preserve"> in eigen beheer staan ook nadelen. </w:t>
      </w:r>
      <w:r w:rsidR="00DF27E8">
        <w:t>De oudedagsvoorziening</w:t>
      </w:r>
      <w:r>
        <w:t xml:space="preserve"> is in eigen beheer immers niet </w:t>
      </w:r>
      <w:r w:rsidR="008C468E">
        <w:t>zo veilig als het onderbrengen van de voorziening bij een professionele aanbieder</w:t>
      </w:r>
      <w:r>
        <w:t xml:space="preserve">. </w:t>
      </w:r>
      <w:r w:rsidR="008C468E">
        <w:t>Over de oudedagsvoorziening wordt bijvoorbeeld faillissementsrisico gelopen. H</w:t>
      </w:r>
      <w:r>
        <w:t>et risico</w:t>
      </w:r>
      <w:r w:rsidR="00CC6F3A">
        <w:t xml:space="preserve"> </w:t>
      </w:r>
      <w:r w:rsidR="008C468E">
        <w:t xml:space="preserve">is reëel </w:t>
      </w:r>
      <w:r>
        <w:t xml:space="preserve">dat er </w:t>
      </w:r>
      <w:r w:rsidR="003579D5">
        <w:t xml:space="preserve">onvoldoende </w:t>
      </w:r>
      <w:r>
        <w:t xml:space="preserve">middelen opzij zijn gezet om </w:t>
      </w:r>
      <w:r w:rsidR="00CC6F3A">
        <w:t>de oudedagsvoorziening</w:t>
      </w:r>
      <w:r>
        <w:t xml:space="preserve"> </w:t>
      </w:r>
      <w:r w:rsidR="008C468E">
        <w:t>na te komen</w:t>
      </w:r>
      <w:r>
        <w:t xml:space="preserve"> en om aan de uitgestelde </w:t>
      </w:r>
      <w:r>
        <w:lastRenderedPageBreak/>
        <w:t xml:space="preserve">belastingbetalingsverplichting te voldoen. Ook </w:t>
      </w:r>
      <w:r w:rsidR="008C468E">
        <w:t xml:space="preserve">als </w:t>
      </w:r>
      <w:r>
        <w:t xml:space="preserve">wel </w:t>
      </w:r>
      <w:r w:rsidR="003579D5">
        <w:t xml:space="preserve">voldoende </w:t>
      </w:r>
      <w:r>
        <w:t>vermogen wordt opgebouwd</w:t>
      </w:r>
      <w:r w:rsidR="00E32B37">
        <w:t>,</w:t>
      </w:r>
      <w:r>
        <w:t xml:space="preserve"> kan het</w:t>
      </w:r>
      <w:r w:rsidRPr="00E44E45">
        <w:t xml:space="preserve"> vermogen </w:t>
      </w:r>
      <w:r>
        <w:t xml:space="preserve">niet </w:t>
      </w:r>
      <w:r w:rsidR="0002310F">
        <w:t xml:space="preserve">altijd </w:t>
      </w:r>
      <w:r w:rsidR="008C468E">
        <w:t xml:space="preserve">optimaal </w:t>
      </w:r>
      <w:r w:rsidRPr="00E44E45">
        <w:t xml:space="preserve">worden ingezet </w:t>
      </w:r>
      <w:r w:rsidR="008C468E">
        <w:t xml:space="preserve">(bijvoorbeeld vanwege het zogenoemde </w:t>
      </w:r>
      <w:proofErr w:type="spellStart"/>
      <w:r w:rsidR="008C468E">
        <w:t>lock-in</w:t>
      </w:r>
      <w:proofErr w:type="spellEnd"/>
      <w:r w:rsidR="008C468E">
        <w:t xml:space="preserve"> effect of omdat een ander risicoprofiel moet worden gekozen dan op grond van de leeftijd van de </w:t>
      </w:r>
      <w:proofErr w:type="spellStart"/>
      <w:r w:rsidR="008C468E">
        <w:t>dga</w:t>
      </w:r>
      <w:proofErr w:type="spellEnd"/>
      <w:r w:rsidR="008C468E">
        <w:t xml:space="preserve"> verantwoord is)</w:t>
      </w:r>
      <w:r>
        <w:t xml:space="preserve">. </w:t>
      </w:r>
    </w:p>
    <w:p w:rsidRPr="00152505" w:rsidR="005D0384" w:rsidP="005D0384" w:rsidRDefault="00CA62C0">
      <w:pPr>
        <w:pStyle w:val="Geenafstand"/>
        <w:spacing w:line="276" w:lineRule="auto"/>
      </w:pPr>
      <w:r>
        <w:rPr>
          <w:szCs w:val="18"/>
        </w:rPr>
        <w:t xml:space="preserve">De aantrekkelijkheid van opbouw </w:t>
      </w:r>
      <w:r w:rsidR="00BB631F">
        <w:rPr>
          <w:szCs w:val="18"/>
        </w:rPr>
        <w:t xml:space="preserve">van een oudedagsvoorziening </w:t>
      </w:r>
      <w:r>
        <w:rPr>
          <w:szCs w:val="18"/>
        </w:rPr>
        <w:t xml:space="preserve">in eigen beheer ten opzichte van een externe pensioenopbouw kan voor elke DGA anders liggen. Het hangt af van de vermogendheid en winstgevendheid van de </w:t>
      </w:r>
      <w:r w:rsidR="00BB631F">
        <w:rPr>
          <w:szCs w:val="18"/>
        </w:rPr>
        <w:t>bv</w:t>
      </w:r>
      <w:r>
        <w:rPr>
          <w:szCs w:val="18"/>
        </w:rPr>
        <w:t xml:space="preserve">. </w:t>
      </w:r>
      <w:r w:rsidR="00083501">
        <w:rPr>
          <w:szCs w:val="18"/>
        </w:rPr>
        <w:t xml:space="preserve">Het hangt af van de aard van de in de bv gedreven onderneming (kapitaalintensiteit). </w:t>
      </w:r>
      <w:r>
        <w:rPr>
          <w:szCs w:val="18"/>
        </w:rPr>
        <w:t xml:space="preserve">Het hangt af van de partner. Het hangt af </w:t>
      </w:r>
      <w:r w:rsidR="00BB631F">
        <w:rPr>
          <w:szCs w:val="18"/>
        </w:rPr>
        <w:t xml:space="preserve">van </w:t>
      </w:r>
      <w:r>
        <w:rPr>
          <w:szCs w:val="18"/>
        </w:rPr>
        <w:t xml:space="preserve">hoeveel </w:t>
      </w:r>
      <w:r w:rsidR="00083501">
        <w:rPr>
          <w:szCs w:val="18"/>
        </w:rPr>
        <w:t xml:space="preserve">waarde </w:t>
      </w:r>
      <w:r>
        <w:rPr>
          <w:szCs w:val="18"/>
        </w:rPr>
        <w:t xml:space="preserve">de DGA hecht aan </w:t>
      </w:r>
      <w:r w:rsidR="00083501">
        <w:rPr>
          <w:szCs w:val="18"/>
        </w:rPr>
        <w:t xml:space="preserve">zekerheid bij </w:t>
      </w:r>
      <w:r>
        <w:rPr>
          <w:szCs w:val="18"/>
        </w:rPr>
        <w:t xml:space="preserve">een </w:t>
      </w:r>
      <w:r w:rsidR="00BB631F">
        <w:rPr>
          <w:szCs w:val="18"/>
        </w:rPr>
        <w:t>oudedagsvoorziening</w:t>
      </w:r>
      <w:r>
        <w:rPr>
          <w:szCs w:val="18"/>
        </w:rPr>
        <w:t xml:space="preserve">. Het hangt af van de mate van vrijheid die een DGA wenst bij het opbouwen van </w:t>
      </w:r>
      <w:r w:rsidR="00083501">
        <w:rPr>
          <w:szCs w:val="18"/>
        </w:rPr>
        <w:t>een voorziening</w:t>
      </w:r>
      <w:r>
        <w:rPr>
          <w:szCs w:val="18"/>
        </w:rPr>
        <w:t>. D</w:t>
      </w:r>
      <w:r w:rsidR="00083501">
        <w:rPr>
          <w:szCs w:val="18"/>
        </w:rPr>
        <w:t xml:space="preserve">it alles </w:t>
      </w:r>
      <w:r>
        <w:rPr>
          <w:szCs w:val="18"/>
        </w:rPr>
        <w:t>is nu reeds het geval</w:t>
      </w:r>
      <w:r w:rsidR="00017A0E">
        <w:rPr>
          <w:szCs w:val="18"/>
        </w:rPr>
        <w:t xml:space="preserve"> bij </w:t>
      </w:r>
      <w:r w:rsidR="00000A21">
        <w:rPr>
          <w:szCs w:val="18"/>
        </w:rPr>
        <w:t xml:space="preserve">het </w:t>
      </w:r>
      <w:r w:rsidR="00017A0E">
        <w:rPr>
          <w:szCs w:val="18"/>
        </w:rPr>
        <w:t>PEB</w:t>
      </w:r>
      <w:r>
        <w:rPr>
          <w:szCs w:val="18"/>
        </w:rPr>
        <w:t xml:space="preserve">. Het niet langer fiscaal gefaciliteerd kunnen opbouwen van een </w:t>
      </w:r>
      <w:r w:rsidR="00BB631F">
        <w:rPr>
          <w:szCs w:val="18"/>
        </w:rPr>
        <w:t>oudedagsvoorziening</w:t>
      </w:r>
      <w:r>
        <w:rPr>
          <w:szCs w:val="18"/>
        </w:rPr>
        <w:t xml:space="preserve"> in eigen beheer heeft als voordeel dat gemiddeld genomen de keuze voor de wijze waarop </w:t>
      </w:r>
      <w:r w:rsidR="00BB631F">
        <w:rPr>
          <w:szCs w:val="18"/>
        </w:rPr>
        <w:t>een oudedagsvoorziening</w:t>
      </w:r>
      <w:r>
        <w:rPr>
          <w:szCs w:val="18"/>
        </w:rPr>
        <w:t xml:space="preserve"> wordt opgebouwd bewuster zal worden gemaakt en niet puur fiscaal wordt gedreven.</w:t>
      </w:r>
      <w:r w:rsidRPr="00083501" w:rsidR="00083501">
        <w:t xml:space="preserve"> </w:t>
      </w:r>
      <w:r w:rsidR="00083501">
        <w:t xml:space="preserve">Daar staat tegenover dat </w:t>
      </w:r>
      <w:r w:rsidR="00127B1B">
        <w:t xml:space="preserve">het voordeel van </w:t>
      </w:r>
      <w:r w:rsidR="00083501">
        <w:t xml:space="preserve">belastinguitstel </w:t>
      </w:r>
      <w:r w:rsidR="00127B1B">
        <w:t>(</w:t>
      </w:r>
      <w:proofErr w:type="spellStart"/>
      <w:r w:rsidR="00127B1B">
        <w:t>Vpb</w:t>
      </w:r>
      <w:proofErr w:type="spellEnd"/>
      <w:r w:rsidR="00127B1B">
        <w:t xml:space="preserve">) over de waarde van de </w:t>
      </w:r>
      <w:r w:rsidR="00083501">
        <w:t xml:space="preserve">oudedagsvoorziening in eigen beheer </w:t>
      </w:r>
      <w:r w:rsidR="00127B1B">
        <w:t>(liquiditeitsvoordeel) verdwijnt.</w:t>
      </w:r>
      <w:r w:rsidR="00152505">
        <w:t xml:space="preserve"> De verwachte effecten </w:t>
      </w:r>
      <w:r w:rsidR="008A3C6C">
        <w:t xml:space="preserve">daarvan </w:t>
      </w:r>
      <w:r w:rsidR="00152505">
        <w:t xml:space="preserve">op de investeringen en werkgelegenheid </w:t>
      </w:r>
      <w:r w:rsidR="008A3C6C">
        <w:t xml:space="preserve">zijn op macroniveau beperkt. </w:t>
      </w:r>
    </w:p>
    <w:p w:rsidR="004C53EE" w:rsidRDefault="004C53EE">
      <w:pPr>
        <w:rPr>
          <w:b/>
          <w:szCs w:val="18"/>
        </w:rPr>
      </w:pPr>
      <w:r>
        <w:rPr>
          <w:b/>
          <w:szCs w:val="18"/>
        </w:rPr>
        <w:br w:type="page"/>
      </w:r>
    </w:p>
    <w:p w:rsidRPr="00E31015" w:rsidR="009E0B37" w:rsidP="00896000" w:rsidRDefault="00C23878">
      <w:pPr>
        <w:rPr>
          <w:b/>
          <w:sz w:val="22"/>
        </w:rPr>
      </w:pPr>
      <w:r w:rsidRPr="00E31015">
        <w:rPr>
          <w:b/>
          <w:sz w:val="22"/>
        </w:rPr>
        <w:lastRenderedPageBreak/>
        <w:t xml:space="preserve">Bijlage </w:t>
      </w:r>
      <w:r w:rsidR="0002310F">
        <w:rPr>
          <w:b/>
          <w:sz w:val="22"/>
        </w:rPr>
        <w:t>2</w:t>
      </w:r>
      <w:r w:rsidRPr="00E31015" w:rsidR="009E0B37">
        <w:rPr>
          <w:b/>
          <w:sz w:val="22"/>
        </w:rPr>
        <w:t xml:space="preserve">. </w:t>
      </w:r>
      <w:r w:rsidRPr="00E31015" w:rsidR="009E0B37">
        <w:rPr>
          <w:b/>
          <w:sz w:val="22"/>
        </w:rPr>
        <w:br/>
      </w:r>
      <w:r w:rsidR="00E41588">
        <w:rPr>
          <w:b/>
          <w:sz w:val="22"/>
        </w:rPr>
        <w:t>Enkele ander</w:t>
      </w:r>
      <w:r w:rsidRPr="00E31015" w:rsidR="009E0B37">
        <w:rPr>
          <w:b/>
          <w:sz w:val="22"/>
        </w:rPr>
        <w:t>e opties</w:t>
      </w:r>
      <w:r w:rsidRPr="00E31015" w:rsidR="000207A8">
        <w:rPr>
          <w:b/>
          <w:sz w:val="22"/>
        </w:rPr>
        <w:t xml:space="preserve"> en </w:t>
      </w:r>
      <w:r w:rsidRPr="00E31015" w:rsidR="00571723">
        <w:rPr>
          <w:b/>
          <w:sz w:val="22"/>
        </w:rPr>
        <w:t xml:space="preserve">een </w:t>
      </w:r>
      <w:r w:rsidRPr="00E31015" w:rsidR="000207A8">
        <w:rPr>
          <w:b/>
          <w:sz w:val="22"/>
        </w:rPr>
        <w:t>aandachtspunt</w:t>
      </w:r>
    </w:p>
    <w:p w:rsidRPr="003934DB" w:rsidR="009E0B37" w:rsidP="009E0B37" w:rsidRDefault="009E0B37">
      <w:pPr>
        <w:pStyle w:val="Geenafstand"/>
        <w:spacing w:line="276" w:lineRule="auto"/>
        <w:rPr>
          <w:szCs w:val="18"/>
        </w:rPr>
      </w:pPr>
      <w:r>
        <w:rPr>
          <w:szCs w:val="18"/>
        </w:rPr>
        <w:t xml:space="preserve">Naast de in de brief en de voorgaande bijlage geschetste oplossingsmogelijkheden breng ik hier aanvullend nog twee bijkomende opties </w:t>
      </w:r>
      <w:r w:rsidR="00230C7C">
        <w:rPr>
          <w:szCs w:val="18"/>
        </w:rPr>
        <w:t xml:space="preserve">en een aandachtspunt </w:t>
      </w:r>
      <w:r>
        <w:rPr>
          <w:szCs w:val="18"/>
        </w:rPr>
        <w:t>onder de aandacht van uw Kamer.</w:t>
      </w:r>
    </w:p>
    <w:p w:rsidR="000207A8" w:rsidP="009E0B37" w:rsidRDefault="000207A8">
      <w:pPr>
        <w:pStyle w:val="Geenafstand"/>
        <w:spacing w:line="276" w:lineRule="auto"/>
        <w:rPr>
          <w:b/>
          <w:szCs w:val="18"/>
        </w:rPr>
      </w:pPr>
    </w:p>
    <w:p w:rsidR="000207A8" w:rsidP="009E0B37" w:rsidRDefault="000207A8">
      <w:pPr>
        <w:pStyle w:val="Geenafstand"/>
        <w:spacing w:line="276" w:lineRule="auto"/>
        <w:rPr>
          <w:b/>
          <w:szCs w:val="18"/>
        </w:rPr>
      </w:pPr>
      <w:r>
        <w:rPr>
          <w:b/>
          <w:szCs w:val="18"/>
        </w:rPr>
        <w:t>I. Overige opties</w:t>
      </w:r>
    </w:p>
    <w:p w:rsidRPr="00C503B5" w:rsidR="009E0B37" w:rsidP="009E0B37" w:rsidRDefault="009E0B37">
      <w:pPr>
        <w:pStyle w:val="Geenafstand"/>
        <w:spacing w:line="276" w:lineRule="auto"/>
        <w:rPr>
          <w:i/>
          <w:szCs w:val="18"/>
        </w:rPr>
      </w:pPr>
      <w:r>
        <w:rPr>
          <w:b/>
          <w:szCs w:val="18"/>
        </w:rPr>
        <w:br/>
      </w:r>
      <w:r w:rsidRPr="00C503B5">
        <w:rPr>
          <w:b/>
          <w:i/>
          <w:szCs w:val="18"/>
        </w:rPr>
        <w:t>1. Onderbrengen bij een professionele verzekeraar</w:t>
      </w:r>
    </w:p>
    <w:p w:rsidR="009E0B37" w:rsidP="009E0B37" w:rsidRDefault="009E0B37">
      <w:pPr>
        <w:pStyle w:val="Geenafstand"/>
        <w:spacing w:line="276" w:lineRule="auto"/>
        <w:rPr>
          <w:szCs w:val="18"/>
        </w:rPr>
      </w:pPr>
    </w:p>
    <w:p w:rsidR="009E0B37" w:rsidP="009E0B37" w:rsidRDefault="009E0B37">
      <w:pPr>
        <w:pStyle w:val="Geenafstand"/>
        <w:spacing w:line="276" w:lineRule="auto"/>
      </w:pPr>
      <w:r>
        <w:rPr>
          <w:bCs/>
          <w:szCs w:val="18"/>
        </w:rPr>
        <w:t>De mogelijkheid de in eigen beheer opgebouwde pensioenverplichting onder te brengen bij een professionele verzekeraar bestaat nu al, zij het thans alleen met betrekking tot de waarde in het economische verkeer. Dit betekent dat de bv een bedrag ter grootte van de waarde in het economische verkeer van de pensioenverplichting moet storten bij de professionele verzekeraar en het verschil tussen dat bedrag en de fiscale waarde op de balans ten laste van haar winst mag brengen (aftrekpost voor de vennootschapsbelasting). In de meeste gevallen heeft de bv het voor afstorting benodigde bedrag niet beschikbaar dan wel kan men een dergelijk bedrag niet missen (bijvoorbeeld omdat het bedrag nodig is voor ondernemingsactiviteiten).</w:t>
      </w:r>
      <w:r>
        <w:rPr>
          <w:bCs/>
          <w:szCs w:val="18"/>
        </w:rPr>
        <w:br/>
        <w:t xml:space="preserve">Eventueel zou er voor kunnen worden gekozen </w:t>
      </w:r>
      <w:r>
        <w:rPr>
          <w:szCs w:val="18"/>
        </w:rPr>
        <w:t xml:space="preserve">als eerste stap – met instemming van de DGA en diens eventuele partner - het in eigen beheer opgebouwde pensioen </w:t>
      </w:r>
      <w:r>
        <w:rPr>
          <w:bCs/>
          <w:szCs w:val="18"/>
        </w:rPr>
        <w:t>z</w:t>
      </w:r>
      <w:r w:rsidRPr="00EA5AA9">
        <w:rPr>
          <w:bCs/>
          <w:szCs w:val="18"/>
        </w:rPr>
        <w:t xml:space="preserve">onder </w:t>
      </w:r>
      <w:r>
        <w:rPr>
          <w:bCs/>
          <w:szCs w:val="18"/>
        </w:rPr>
        <w:t>fiscale consequenties</w:t>
      </w:r>
      <w:r w:rsidRPr="00EA5AA9">
        <w:rPr>
          <w:bCs/>
          <w:szCs w:val="18"/>
        </w:rPr>
        <w:t xml:space="preserve"> </w:t>
      </w:r>
      <w:r>
        <w:rPr>
          <w:bCs/>
          <w:szCs w:val="18"/>
        </w:rPr>
        <w:t xml:space="preserve">(zonder loonheffing, revisierente en vennootschapsbelasting) </w:t>
      </w:r>
      <w:r w:rsidRPr="00EA5AA9">
        <w:rPr>
          <w:bCs/>
          <w:szCs w:val="18"/>
        </w:rPr>
        <w:t>af</w:t>
      </w:r>
      <w:r>
        <w:rPr>
          <w:bCs/>
          <w:szCs w:val="18"/>
        </w:rPr>
        <w:t xml:space="preserve"> te stempelen</w:t>
      </w:r>
      <w:r w:rsidRPr="00EA5AA9">
        <w:rPr>
          <w:bCs/>
          <w:szCs w:val="18"/>
        </w:rPr>
        <w:t xml:space="preserve"> naar </w:t>
      </w:r>
      <w:r>
        <w:rPr>
          <w:bCs/>
          <w:szCs w:val="18"/>
        </w:rPr>
        <w:t xml:space="preserve">het niveau van de </w:t>
      </w:r>
      <w:r w:rsidRPr="00EA5AA9">
        <w:rPr>
          <w:bCs/>
          <w:szCs w:val="18"/>
        </w:rPr>
        <w:t>fiscale waarde</w:t>
      </w:r>
      <w:r>
        <w:rPr>
          <w:bCs/>
          <w:szCs w:val="18"/>
        </w:rPr>
        <w:t>, de waarde van de pensioenverplichting op de balans voor de heffing van vennootschapsbelasting</w:t>
      </w:r>
      <w:r w:rsidR="00583580">
        <w:rPr>
          <w:bCs/>
          <w:szCs w:val="18"/>
        </w:rPr>
        <w:t>, en o</w:t>
      </w:r>
      <w:r w:rsidR="00853F04">
        <w:rPr>
          <w:bCs/>
          <w:szCs w:val="18"/>
        </w:rPr>
        <w:t>m</w:t>
      </w:r>
      <w:r w:rsidR="00583580">
        <w:rPr>
          <w:bCs/>
          <w:szCs w:val="18"/>
        </w:rPr>
        <w:t xml:space="preserve"> te zetten </w:t>
      </w:r>
      <w:r w:rsidR="00853F04">
        <w:rPr>
          <w:bCs/>
          <w:szCs w:val="18"/>
        </w:rPr>
        <w:t>i</w:t>
      </w:r>
      <w:r w:rsidR="00583580">
        <w:rPr>
          <w:bCs/>
          <w:szCs w:val="18"/>
        </w:rPr>
        <w:t xml:space="preserve">n een </w:t>
      </w:r>
      <w:proofErr w:type="spellStart"/>
      <w:r w:rsidR="00583580">
        <w:rPr>
          <w:bCs/>
          <w:szCs w:val="18"/>
        </w:rPr>
        <w:t>OSEB-verplichting</w:t>
      </w:r>
      <w:proofErr w:type="spellEnd"/>
      <w:r>
        <w:rPr>
          <w:bCs/>
          <w:szCs w:val="18"/>
        </w:rPr>
        <w:t xml:space="preserve">. Als tweede stap </w:t>
      </w:r>
      <w:r w:rsidR="00853F04">
        <w:rPr>
          <w:bCs/>
          <w:szCs w:val="18"/>
        </w:rPr>
        <w:t>zou</w:t>
      </w:r>
      <w:r>
        <w:rPr>
          <w:bCs/>
          <w:szCs w:val="18"/>
        </w:rPr>
        <w:t xml:space="preserve"> het bedrag ter grootte van de waarde </w:t>
      </w:r>
      <w:r w:rsidR="00583580">
        <w:rPr>
          <w:bCs/>
          <w:szCs w:val="18"/>
        </w:rPr>
        <w:t xml:space="preserve">van de </w:t>
      </w:r>
      <w:proofErr w:type="spellStart"/>
      <w:r w:rsidR="00583580">
        <w:rPr>
          <w:bCs/>
          <w:szCs w:val="18"/>
        </w:rPr>
        <w:t>OSEB-verplichting</w:t>
      </w:r>
      <w:proofErr w:type="spellEnd"/>
      <w:r w:rsidR="00583580">
        <w:rPr>
          <w:bCs/>
          <w:szCs w:val="18"/>
        </w:rPr>
        <w:t xml:space="preserve"> </w:t>
      </w:r>
      <w:r>
        <w:rPr>
          <w:bCs/>
          <w:szCs w:val="18"/>
        </w:rPr>
        <w:t xml:space="preserve">dan afgestort </w:t>
      </w:r>
      <w:r w:rsidR="00853F04">
        <w:rPr>
          <w:bCs/>
          <w:szCs w:val="18"/>
        </w:rPr>
        <w:t xml:space="preserve">kunnen worden </w:t>
      </w:r>
      <w:r>
        <w:rPr>
          <w:bCs/>
          <w:szCs w:val="18"/>
        </w:rPr>
        <w:t xml:space="preserve">bij </w:t>
      </w:r>
      <w:r w:rsidR="00C24BC4">
        <w:rPr>
          <w:bCs/>
          <w:szCs w:val="18"/>
        </w:rPr>
        <w:t>een</w:t>
      </w:r>
      <w:r>
        <w:rPr>
          <w:bCs/>
          <w:szCs w:val="18"/>
        </w:rPr>
        <w:t xml:space="preserve"> professionele verzekeraar, waarbij de rechten van de DGA (en eventueel diens partner) een stuk minder zijn dan vóór de afstempeling. Het is de vraag of de bv het voor afstorting benodigde bedrag ter grootte van het bedrag van de fiscale balanswaarde wel kan missen.</w:t>
      </w:r>
    </w:p>
    <w:p w:rsidR="009E0B37" w:rsidP="009E0B37" w:rsidRDefault="009E0B37">
      <w:pPr>
        <w:pStyle w:val="Geenafstand"/>
        <w:spacing w:line="276" w:lineRule="auto"/>
      </w:pPr>
    </w:p>
    <w:p w:rsidRPr="00C503B5" w:rsidR="009E0B37" w:rsidP="009E0B37" w:rsidRDefault="009E0B37">
      <w:pPr>
        <w:pStyle w:val="Geenafstand"/>
        <w:spacing w:line="276" w:lineRule="auto"/>
        <w:rPr>
          <w:b/>
          <w:i/>
        </w:rPr>
      </w:pPr>
      <w:r w:rsidRPr="00C503B5">
        <w:rPr>
          <w:b/>
          <w:i/>
        </w:rPr>
        <w:t xml:space="preserve">2. Spaarvariant bij </w:t>
      </w:r>
      <w:r w:rsidR="00000A21">
        <w:rPr>
          <w:b/>
          <w:i/>
        </w:rPr>
        <w:t>uitfasering</w:t>
      </w:r>
    </w:p>
    <w:p w:rsidR="009E0B37" w:rsidP="009E0B37" w:rsidRDefault="009E0B37">
      <w:pPr>
        <w:pStyle w:val="Geenafstand"/>
        <w:spacing w:line="276" w:lineRule="auto"/>
      </w:pPr>
    </w:p>
    <w:p w:rsidR="009E0B37" w:rsidP="009E0B37" w:rsidRDefault="009E0B37">
      <w:pPr>
        <w:pStyle w:val="Geenafstand"/>
        <w:spacing w:line="276" w:lineRule="auto"/>
      </w:pPr>
      <w:r w:rsidRPr="000224A3">
        <w:t xml:space="preserve">Wanneer men pensioen in eigen beheer zou willen </w:t>
      </w:r>
      <w:r w:rsidR="00E66164">
        <w:t>uitfaseren</w:t>
      </w:r>
      <w:r w:rsidRPr="000224A3">
        <w:t xml:space="preserve"> en acute belastingheffing zou willen voorkomen, terwijl men de tegenover de verplichting staande activa graag in de bv wil houden voor de ondernemingsuitoefening, kan gedacht worden aan een variant op het </w:t>
      </w:r>
      <w:proofErr w:type="spellStart"/>
      <w:r w:rsidRPr="000224A3">
        <w:t>oudedagssparen</w:t>
      </w:r>
      <w:proofErr w:type="spellEnd"/>
      <w:r w:rsidRPr="000224A3">
        <w:t xml:space="preserve"> in eigen beheer. Daarbij kan de fiscale pensioenverplichting zonder het verschuldigd worden van loonheffing of vennootschapsbelasting worden omgezet in een </w:t>
      </w:r>
      <w:proofErr w:type="spellStart"/>
      <w:r w:rsidRPr="000224A3">
        <w:t>oudedagsspaarverplichting</w:t>
      </w:r>
      <w:proofErr w:type="spellEnd"/>
      <w:r w:rsidRPr="000224A3">
        <w:t xml:space="preserve"> ter grootte van de fiscale pensioenverplichting; dit komt in feite overeen met een stuk afzien van pensioenrechten in combinatie met een wijziging van de resterende rechten in een aanspraak ter zake van </w:t>
      </w:r>
      <w:proofErr w:type="spellStart"/>
      <w:r w:rsidRPr="000224A3">
        <w:t>oudedagssparen</w:t>
      </w:r>
      <w:proofErr w:type="spellEnd"/>
      <w:r w:rsidRPr="000224A3">
        <w:t xml:space="preserve">. Dit vereist instemmen/meetekenen van de </w:t>
      </w:r>
      <w:r>
        <w:t xml:space="preserve">DGA en diens partner. </w:t>
      </w:r>
      <w:r w:rsidRPr="000224A3">
        <w:t xml:space="preserve">In afwijking van het in de brief van 1 juli 2015 in paragraaf 3 beschreven </w:t>
      </w:r>
      <w:proofErr w:type="spellStart"/>
      <w:r w:rsidRPr="000224A3">
        <w:t>oudedagssparen</w:t>
      </w:r>
      <w:proofErr w:type="spellEnd"/>
      <w:r w:rsidRPr="000224A3">
        <w:t xml:space="preserve"> in eigen beheer zullen er echter daarna geen verdere dotaties kunnen plaatsvinden (de jaarlijkse </w:t>
      </w:r>
      <w:proofErr w:type="spellStart"/>
      <w:r w:rsidRPr="000224A3">
        <w:t>oprenting</w:t>
      </w:r>
      <w:proofErr w:type="spellEnd"/>
      <w:r w:rsidRPr="000224A3">
        <w:t xml:space="preserve"> vindt natuurlijk wel gewoon plaats). De aanwending van de </w:t>
      </w:r>
      <w:proofErr w:type="spellStart"/>
      <w:r w:rsidRPr="000224A3">
        <w:t>oudedagsspaarverplichting</w:t>
      </w:r>
      <w:proofErr w:type="spellEnd"/>
      <w:r w:rsidRPr="000224A3">
        <w:t xml:space="preserve"> en de uitkeringsmogelijkheden e.d. komen verder overeen met het in voornoemde paragraaf beschreven </w:t>
      </w:r>
      <w:proofErr w:type="spellStart"/>
      <w:r w:rsidRPr="000224A3">
        <w:t>o</w:t>
      </w:r>
      <w:r>
        <w:t>udedagssparen</w:t>
      </w:r>
      <w:proofErr w:type="spellEnd"/>
      <w:r>
        <w:t xml:space="preserve"> in eigen beheer.</w:t>
      </w:r>
    </w:p>
    <w:p w:rsidR="002764F6" w:rsidP="009E0B37" w:rsidRDefault="002764F6">
      <w:pPr>
        <w:pStyle w:val="Geenafstand"/>
        <w:spacing w:line="276" w:lineRule="auto"/>
      </w:pPr>
    </w:p>
    <w:p w:rsidR="002764F6" w:rsidP="002764F6" w:rsidRDefault="000207A8">
      <w:pPr>
        <w:pStyle w:val="Geenafstand"/>
        <w:spacing w:line="276" w:lineRule="auto"/>
      </w:pPr>
      <w:r>
        <w:rPr>
          <w:b/>
        </w:rPr>
        <w:t xml:space="preserve">II. Aandachtspunt: </w:t>
      </w:r>
      <w:r w:rsidR="00571723">
        <w:rPr>
          <w:b/>
        </w:rPr>
        <w:t>m</w:t>
      </w:r>
      <w:r w:rsidRPr="000207A8" w:rsidR="002764F6">
        <w:rPr>
          <w:b/>
        </w:rPr>
        <w:t>ogelijke uitstraling naar de fiscale oudedagsreserve</w:t>
      </w:r>
    </w:p>
    <w:p w:rsidR="002764F6" w:rsidP="002764F6" w:rsidRDefault="002764F6">
      <w:pPr>
        <w:pStyle w:val="Geenafstand"/>
        <w:spacing w:line="276" w:lineRule="auto"/>
      </w:pPr>
    </w:p>
    <w:p w:rsidRPr="002764F6" w:rsidR="002764F6" w:rsidP="002764F6" w:rsidRDefault="002764F6">
      <w:pPr>
        <w:pStyle w:val="Geenafstand"/>
        <w:spacing w:line="276" w:lineRule="auto"/>
      </w:pPr>
      <w:r w:rsidRPr="002764F6">
        <w:t xml:space="preserve">Kort gezegd is de </w:t>
      </w:r>
      <w:r w:rsidR="00E552A1">
        <w:t>fiscale oudedagsreserve (</w:t>
      </w:r>
      <w:r w:rsidRPr="002764F6">
        <w:t>FOR</w:t>
      </w:r>
      <w:r w:rsidR="00E552A1">
        <w:t>)</w:t>
      </w:r>
      <w:r w:rsidRPr="002764F6">
        <w:t xml:space="preserve"> een faciliteit in de inkomstenbelasting voor </w:t>
      </w:r>
      <w:proofErr w:type="spellStart"/>
      <w:r w:rsidRPr="002764F6">
        <w:t>IB-ondernemers</w:t>
      </w:r>
      <w:proofErr w:type="spellEnd"/>
      <w:r w:rsidRPr="002764F6">
        <w:t xml:space="preserve"> waarbij jaarlijks een bepaald percentage van de ondernemingswinst (tot een bepaald maximumbedrag) kan worden gereserveerd om uiteindelijk een kwalificerende lijfrente aan te kunnen kopen. </w:t>
      </w:r>
      <w:r w:rsidR="00E552A1">
        <w:t xml:space="preserve">Afhankelijk van de te kiezen oplossingsrichting voor het </w:t>
      </w:r>
      <w:r w:rsidR="002E0EC4">
        <w:t>PEB</w:t>
      </w:r>
      <w:r w:rsidRPr="002764F6">
        <w:t xml:space="preserve"> </w:t>
      </w:r>
      <w:r w:rsidR="00E552A1">
        <w:t xml:space="preserve">lijkt uitstraling naar de FOR </w:t>
      </w:r>
      <w:r w:rsidR="002E0EC4">
        <w:t>ook in beeld te kunnen komen</w:t>
      </w:r>
      <w:r w:rsidR="00E552A1">
        <w:t>.</w:t>
      </w:r>
    </w:p>
    <w:p w:rsidR="00F655BE" w:rsidP="00076D42" w:rsidRDefault="00F655BE">
      <w:pPr>
        <w:rPr>
          <w:szCs w:val="18"/>
        </w:rPr>
      </w:pPr>
    </w:p>
    <w:sectPr w:rsidR="00F655BE" w:rsidSect="00A17C6E">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A99" w:rsidRDefault="00B10A99" w:rsidP="002E7534">
      <w:pPr>
        <w:spacing w:after="0" w:line="240" w:lineRule="auto"/>
      </w:pPr>
      <w:r>
        <w:separator/>
      </w:r>
    </w:p>
  </w:endnote>
  <w:endnote w:type="continuationSeparator" w:id="0">
    <w:p w:rsidR="00B10A99" w:rsidRDefault="00B10A99" w:rsidP="002E75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63584"/>
      <w:docPartObj>
        <w:docPartGallery w:val="Page Numbers (Bottom of Page)"/>
        <w:docPartUnique/>
      </w:docPartObj>
    </w:sdtPr>
    <w:sdtContent>
      <w:p w:rsidR="00E66164" w:rsidRDefault="0030244B">
        <w:pPr>
          <w:pStyle w:val="Voettekst"/>
          <w:jc w:val="right"/>
        </w:pPr>
        <w:fldSimple w:instr=" PAGE   \* MERGEFORMAT ">
          <w:r w:rsidR="00CB279D">
            <w:rPr>
              <w:noProof/>
            </w:rPr>
            <w:t>1</w:t>
          </w:r>
        </w:fldSimple>
      </w:p>
    </w:sdtContent>
  </w:sdt>
  <w:p w:rsidR="00E66164" w:rsidRDefault="00E6616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A99" w:rsidRDefault="00B10A99" w:rsidP="002E7534">
      <w:pPr>
        <w:spacing w:after="0" w:line="240" w:lineRule="auto"/>
      </w:pPr>
      <w:r>
        <w:separator/>
      </w:r>
    </w:p>
  </w:footnote>
  <w:footnote w:type="continuationSeparator" w:id="0">
    <w:p w:rsidR="00B10A99" w:rsidRDefault="00B10A99" w:rsidP="002E7534">
      <w:pPr>
        <w:spacing w:after="0" w:line="240" w:lineRule="auto"/>
      </w:pPr>
      <w:r>
        <w:continuationSeparator/>
      </w:r>
    </w:p>
  </w:footnote>
  <w:footnote w:id="1">
    <w:p w:rsidR="00E66164" w:rsidRPr="00784E9B" w:rsidRDefault="00E66164" w:rsidP="00062D04">
      <w:pPr>
        <w:pStyle w:val="Voetnoottekst"/>
        <w:rPr>
          <w:sz w:val="13"/>
          <w:szCs w:val="13"/>
        </w:rPr>
      </w:pPr>
      <w:r>
        <w:rPr>
          <w:rStyle w:val="Voetnootmarkering"/>
          <w:sz w:val="13"/>
          <w:szCs w:val="13"/>
        </w:rPr>
        <w:footnoteRef/>
      </w:r>
      <w:r w:rsidRPr="00975901">
        <w:rPr>
          <w:sz w:val="13"/>
          <w:szCs w:val="13"/>
        </w:rPr>
        <w:t xml:space="preserve"> De Belastingdienst zal een dergelijke leenovereenkomst wel moeten toetsen op zakelijkheid. Wanneer de lening zakelijk is, zal de lening normaliter onder de </w:t>
      </w:r>
      <w:proofErr w:type="spellStart"/>
      <w:r w:rsidRPr="00975901">
        <w:rPr>
          <w:sz w:val="13"/>
          <w:szCs w:val="13"/>
        </w:rPr>
        <w:t>terbeschikkingstellingsregeling</w:t>
      </w:r>
      <w:proofErr w:type="spellEnd"/>
      <w:r w:rsidRPr="00975901">
        <w:rPr>
          <w:sz w:val="13"/>
          <w:szCs w:val="13"/>
        </w:rPr>
        <w:t xml:space="preserve"> van artikel 3.92 van de Wet IB 2001 vallen.</w:t>
      </w:r>
    </w:p>
  </w:footnote>
  <w:footnote w:id="2">
    <w:p w:rsidR="00E66164" w:rsidRPr="0021747D" w:rsidRDefault="00E66164">
      <w:pPr>
        <w:pStyle w:val="Voetnoottekst"/>
        <w:rPr>
          <w:sz w:val="13"/>
          <w:szCs w:val="13"/>
        </w:rPr>
      </w:pPr>
      <w:r w:rsidRPr="0021747D">
        <w:rPr>
          <w:rStyle w:val="Voetnootmarkering"/>
          <w:sz w:val="13"/>
          <w:szCs w:val="13"/>
        </w:rPr>
        <w:footnoteRef/>
      </w:r>
      <w:r w:rsidRPr="0021747D">
        <w:rPr>
          <w:sz w:val="13"/>
          <w:szCs w:val="13"/>
        </w:rPr>
        <w:t xml:space="preserve"> </w:t>
      </w:r>
      <w:r>
        <w:rPr>
          <w:sz w:val="13"/>
          <w:szCs w:val="13"/>
        </w:rPr>
        <w:t xml:space="preserve">Daardoor </w:t>
      </w:r>
      <w:r w:rsidR="00AD1367">
        <w:rPr>
          <w:sz w:val="13"/>
          <w:szCs w:val="13"/>
        </w:rPr>
        <w:t xml:space="preserve">valt </w:t>
      </w:r>
      <w:r>
        <w:rPr>
          <w:sz w:val="13"/>
          <w:szCs w:val="13"/>
        </w:rPr>
        <w:t xml:space="preserve">te </w:t>
      </w:r>
      <w:r w:rsidRPr="0021747D">
        <w:rPr>
          <w:sz w:val="13"/>
          <w:szCs w:val="13"/>
        </w:rPr>
        <w:t xml:space="preserve">verwachten dat een </w:t>
      </w:r>
      <w:r>
        <w:rPr>
          <w:sz w:val="13"/>
          <w:szCs w:val="13"/>
        </w:rPr>
        <w:t>groter deel van de huidige ‘</w:t>
      </w:r>
      <w:proofErr w:type="spellStart"/>
      <w:r>
        <w:rPr>
          <w:sz w:val="13"/>
          <w:szCs w:val="13"/>
        </w:rPr>
        <w:t>PEB-</w:t>
      </w:r>
      <w:r w:rsidRPr="0021747D">
        <w:rPr>
          <w:sz w:val="13"/>
          <w:szCs w:val="13"/>
        </w:rPr>
        <w:t>populatie</w:t>
      </w:r>
      <w:proofErr w:type="spellEnd"/>
      <w:r w:rsidRPr="0021747D">
        <w:rPr>
          <w:sz w:val="13"/>
          <w:szCs w:val="13"/>
        </w:rPr>
        <w:t>’ gebruik zal kunnen maken van</w:t>
      </w:r>
      <w:r>
        <w:rPr>
          <w:sz w:val="13"/>
          <w:szCs w:val="13"/>
        </w:rPr>
        <w:t xml:space="preserve"> OSEB dan van het uitfaseren door middel van een</w:t>
      </w:r>
      <w:r w:rsidRPr="0021747D">
        <w:rPr>
          <w:sz w:val="13"/>
          <w:szCs w:val="13"/>
        </w:rPr>
        <w:t xml:space="preserve"> gefaciliteerde afkoop.</w:t>
      </w:r>
      <w:r>
        <w:rPr>
          <w:sz w:val="13"/>
          <w:szCs w:val="13"/>
        </w:rPr>
        <w:t xml:space="preserve"> Als alternatief voor de gefaciliteerde afkoop kan ook worden gedacht aan de spaarvariant bij afschaffing, die in bijlage 2, paragraaf I, onder 2, is toegelicht.</w:t>
      </w:r>
    </w:p>
  </w:footnote>
  <w:footnote w:id="3">
    <w:p w:rsidR="00E66164" w:rsidRPr="00784E9B" w:rsidRDefault="00E66164" w:rsidP="00062D04">
      <w:pPr>
        <w:pStyle w:val="Voetnoottekst"/>
        <w:rPr>
          <w:sz w:val="13"/>
          <w:szCs w:val="13"/>
        </w:rPr>
      </w:pPr>
      <w:r>
        <w:rPr>
          <w:rStyle w:val="Voetnootmarkering"/>
          <w:sz w:val="13"/>
          <w:szCs w:val="13"/>
        </w:rPr>
        <w:footnoteRef/>
      </w:r>
      <w:r w:rsidRPr="00975901">
        <w:rPr>
          <w:sz w:val="13"/>
          <w:szCs w:val="13"/>
        </w:rPr>
        <w:t xml:space="preserve"> Tenzij de bv normaal te belasten loon aan de </w:t>
      </w:r>
      <w:proofErr w:type="spellStart"/>
      <w:r w:rsidRPr="00975901">
        <w:rPr>
          <w:sz w:val="13"/>
          <w:szCs w:val="13"/>
        </w:rPr>
        <w:t>dga</w:t>
      </w:r>
      <w:proofErr w:type="spellEnd"/>
      <w:r w:rsidRPr="00975901">
        <w:rPr>
          <w:sz w:val="13"/>
          <w:szCs w:val="13"/>
        </w:rPr>
        <w:t xml:space="preserve"> uitkeert ter compensatie van het niet toekennen van pensioenaanspraken (denk ook aan de </w:t>
      </w:r>
      <w:proofErr w:type="spellStart"/>
      <w:r w:rsidRPr="00975901">
        <w:rPr>
          <w:sz w:val="13"/>
          <w:szCs w:val="13"/>
        </w:rPr>
        <w:t>gebruikelijkloonregeling</w:t>
      </w:r>
      <w:proofErr w:type="spellEnd"/>
      <w:r w:rsidRPr="00975901">
        <w:rPr>
          <w:sz w:val="13"/>
          <w:szCs w:val="13"/>
        </w:rPr>
        <w:t xml:space="preserve">). </w:t>
      </w:r>
    </w:p>
  </w:footnote>
  <w:footnote w:id="4">
    <w:p w:rsidR="00E66164" w:rsidRPr="00784E9B" w:rsidRDefault="00E66164">
      <w:pPr>
        <w:pStyle w:val="Voetnoottekst"/>
        <w:rPr>
          <w:sz w:val="13"/>
          <w:szCs w:val="13"/>
        </w:rPr>
      </w:pPr>
      <w:r>
        <w:rPr>
          <w:rStyle w:val="Voetnootmarkering"/>
          <w:sz w:val="13"/>
          <w:szCs w:val="13"/>
        </w:rPr>
        <w:footnoteRef/>
      </w:r>
      <w:r w:rsidRPr="000C3170">
        <w:rPr>
          <w:sz w:val="13"/>
          <w:szCs w:val="13"/>
        </w:rPr>
        <w:t xml:space="preserve"> Voor deze groep zou bij gewenste afschaffing van</w:t>
      </w:r>
      <w:r w:rsidR="00AD1367">
        <w:rPr>
          <w:sz w:val="13"/>
          <w:szCs w:val="13"/>
        </w:rPr>
        <w:t xml:space="preserve"> het</w:t>
      </w:r>
      <w:r w:rsidRPr="000C3170">
        <w:rPr>
          <w:sz w:val="13"/>
          <w:szCs w:val="13"/>
        </w:rPr>
        <w:t xml:space="preserve"> PEB juist de in bijlage </w:t>
      </w:r>
      <w:r>
        <w:rPr>
          <w:sz w:val="13"/>
          <w:szCs w:val="13"/>
        </w:rPr>
        <w:t>2</w:t>
      </w:r>
      <w:r w:rsidRPr="000C3170">
        <w:rPr>
          <w:sz w:val="13"/>
          <w:szCs w:val="13"/>
        </w:rPr>
        <w:t xml:space="preserve">, </w:t>
      </w:r>
      <w:r>
        <w:rPr>
          <w:sz w:val="13"/>
          <w:szCs w:val="13"/>
        </w:rPr>
        <w:t>paragraaf I, onder 2</w:t>
      </w:r>
      <w:r w:rsidRPr="000C3170">
        <w:rPr>
          <w:sz w:val="13"/>
          <w:szCs w:val="13"/>
        </w:rPr>
        <w:t>, opgenomen spaarvariant bij afschaffing geschikt kunnen zijn.</w:t>
      </w:r>
    </w:p>
  </w:footnote>
  <w:footnote w:id="5">
    <w:p w:rsidR="00E66164" w:rsidRPr="00784E9B" w:rsidRDefault="00E66164" w:rsidP="009E0B37">
      <w:pPr>
        <w:pStyle w:val="Voetnoottekst"/>
        <w:rPr>
          <w:sz w:val="13"/>
          <w:szCs w:val="13"/>
        </w:rPr>
      </w:pPr>
      <w:r>
        <w:rPr>
          <w:rStyle w:val="Voetnootmarkering"/>
          <w:sz w:val="13"/>
          <w:szCs w:val="13"/>
        </w:rPr>
        <w:footnoteRef/>
      </w:r>
      <w:r w:rsidRPr="000C3170">
        <w:rPr>
          <w:sz w:val="13"/>
          <w:szCs w:val="13"/>
        </w:rPr>
        <w:t xml:space="preserve"> HR 12 maart 2004, nr. C02/319HR, ECLI:NL:HR:2994:AO1289, alsmede voor het bijzonder partnerpensioen HR 20 maart 2009, nr. C07/201, HR, ECLI:NL:HR:2009:BG9458.</w:t>
      </w:r>
    </w:p>
  </w:footnote>
  <w:footnote w:id="6">
    <w:p w:rsidR="00E66164" w:rsidRPr="00784E9B" w:rsidRDefault="00E66164" w:rsidP="009E0B37">
      <w:pPr>
        <w:pStyle w:val="Voetnoottekst"/>
        <w:rPr>
          <w:sz w:val="13"/>
          <w:szCs w:val="13"/>
        </w:rPr>
      </w:pPr>
      <w:r>
        <w:rPr>
          <w:rStyle w:val="Voetnootmarkering"/>
          <w:sz w:val="13"/>
          <w:szCs w:val="13"/>
        </w:rPr>
        <w:footnoteRef/>
      </w:r>
      <w:r w:rsidRPr="000C3170">
        <w:rPr>
          <w:sz w:val="13"/>
          <w:szCs w:val="13"/>
        </w:rPr>
        <w:t xml:space="preserve"> Hof ’s-Hertogenbosch 5 augustus 2014, nr. HD 200.111.988_01, ECLI:GHSHE:2014:2650.</w:t>
      </w:r>
    </w:p>
  </w:footnote>
  <w:footnote w:id="7">
    <w:p w:rsidR="00E66164" w:rsidRPr="00784E9B" w:rsidRDefault="00E66164" w:rsidP="009E0B37">
      <w:pPr>
        <w:pStyle w:val="Voetnoottekst"/>
        <w:rPr>
          <w:sz w:val="13"/>
          <w:szCs w:val="13"/>
        </w:rPr>
      </w:pPr>
      <w:r>
        <w:rPr>
          <w:rStyle w:val="Voetnootmarkering"/>
          <w:sz w:val="13"/>
          <w:szCs w:val="13"/>
        </w:rPr>
        <w:footnoteRef/>
      </w:r>
      <w:r w:rsidRPr="000C3170">
        <w:rPr>
          <w:sz w:val="13"/>
          <w:szCs w:val="13"/>
        </w:rPr>
        <w:t xml:space="preserve"> Rechtbank Rotterdam 23 februari 2011, nr. 300521 – HA ZA 08-340, ECLI:NL:RBROT:2011:BP6657.</w:t>
      </w:r>
    </w:p>
  </w:footnote>
  <w:footnote w:id="8">
    <w:p w:rsidR="00E66164" w:rsidRPr="00784E9B" w:rsidRDefault="00E66164" w:rsidP="009E0B37">
      <w:pPr>
        <w:pStyle w:val="Voetnoottekst"/>
        <w:rPr>
          <w:sz w:val="13"/>
          <w:szCs w:val="13"/>
        </w:rPr>
      </w:pPr>
      <w:r>
        <w:rPr>
          <w:rStyle w:val="Voetnootmarkering"/>
          <w:sz w:val="13"/>
          <w:szCs w:val="13"/>
        </w:rPr>
        <w:footnoteRef/>
      </w:r>
      <w:r w:rsidRPr="000C3170">
        <w:rPr>
          <w:sz w:val="13"/>
          <w:szCs w:val="13"/>
        </w:rPr>
        <w:t xml:space="preserve"> Nr. 105.012.193/01, ECLI:NL:GHDHA:2014:3016.</w:t>
      </w:r>
    </w:p>
  </w:footnote>
  <w:footnote w:id="9">
    <w:p w:rsidR="00E66164" w:rsidRPr="00784E9B" w:rsidRDefault="00E66164" w:rsidP="009E0B37">
      <w:pPr>
        <w:pStyle w:val="Voetnoottekst"/>
        <w:rPr>
          <w:sz w:val="13"/>
          <w:szCs w:val="13"/>
        </w:rPr>
      </w:pPr>
      <w:r>
        <w:rPr>
          <w:rStyle w:val="Voetnootmarkering"/>
          <w:sz w:val="13"/>
          <w:szCs w:val="13"/>
        </w:rPr>
        <w:footnoteRef/>
      </w:r>
      <w:r w:rsidRPr="000C3170">
        <w:rPr>
          <w:sz w:val="13"/>
          <w:szCs w:val="13"/>
        </w:rPr>
        <w:t xml:space="preserve"> Artikel 3a, zesde lid, Wet </w:t>
      </w:r>
      <w:proofErr w:type="spellStart"/>
      <w:r w:rsidRPr="000C3170">
        <w:rPr>
          <w:sz w:val="13"/>
          <w:szCs w:val="13"/>
        </w:rPr>
        <w:t>Vps</w:t>
      </w:r>
      <w:proofErr w:type="spellEnd"/>
      <w:r w:rsidRPr="000C3170">
        <w:rPr>
          <w:sz w:val="13"/>
          <w:szCs w:val="13"/>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534"/>
    <w:multiLevelType w:val="hybridMultilevel"/>
    <w:tmpl w:val="ED684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289770A"/>
    <w:multiLevelType w:val="hybridMultilevel"/>
    <w:tmpl w:val="12BC1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3E1C4D"/>
    <w:multiLevelType w:val="hybridMultilevel"/>
    <w:tmpl w:val="D0B2C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28C3D75"/>
    <w:multiLevelType w:val="multilevel"/>
    <w:tmpl w:val="F1807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3D3D63"/>
    <w:multiLevelType w:val="hybridMultilevel"/>
    <w:tmpl w:val="60E214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22C87B3A"/>
    <w:multiLevelType w:val="hybridMultilevel"/>
    <w:tmpl w:val="49B4063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2D2D4E05"/>
    <w:multiLevelType w:val="hybridMultilevel"/>
    <w:tmpl w:val="755608A2"/>
    <w:lvl w:ilvl="0" w:tplc="356E2B9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8A01944"/>
    <w:multiLevelType w:val="hybridMultilevel"/>
    <w:tmpl w:val="220685A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8">
    <w:nsid w:val="3C815D61"/>
    <w:multiLevelType w:val="hybridMultilevel"/>
    <w:tmpl w:val="4BDC86E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nsid w:val="43E904EA"/>
    <w:multiLevelType w:val="hybridMultilevel"/>
    <w:tmpl w:val="7F72DEE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nsid w:val="463F2064"/>
    <w:multiLevelType w:val="hybridMultilevel"/>
    <w:tmpl w:val="DCBCDA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7A42019"/>
    <w:multiLevelType w:val="hybridMultilevel"/>
    <w:tmpl w:val="D3A63508"/>
    <w:lvl w:ilvl="0" w:tplc="FA227B1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1480A4A"/>
    <w:multiLevelType w:val="hybridMultilevel"/>
    <w:tmpl w:val="DB9C8286"/>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nsid w:val="51B3067A"/>
    <w:multiLevelType w:val="hybridMultilevel"/>
    <w:tmpl w:val="BE8221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3B25CAB"/>
    <w:multiLevelType w:val="hybridMultilevel"/>
    <w:tmpl w:val="B3E25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6965AAE"/>
    <w:multiLevelType w:val="hybridMultilevel"/>
    <w:tmpl w:val="3328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A20F02"/>
    <w:multiLevelType w:val="hybridMultilevel"/>
    <w:tmpl w:val="EFF2A0D8"/>
    <w:lvl w:ilvl="0" w:tplc="A6E4EA08">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79977207"/>
    <w:multiLevelType w:val="hybridMultilevel"/>
    <w:tmpl w:val="42D8E4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C385622"/>
    <w:multiLevelType w:val="hybridMultilevel"/>
    <w:tmpl w:val="6136B4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F6A4D1D"/>
    <w:multiLevelType w:val="hybridMultilevel"/>
    <w:tmpl w:val="372C1FE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15"/>
  </w:num>
  <w:num w:numId="4">
    <w:abstractNumId w:val="8"/>
  </w:num>
  <w:num w:numId="5">
    <w:abstractNumId w:val="7"/>
  </w:num>
  <w:num w:numId="6">
    <w:abstractNumId w:val="10"/>
  </w:num>
  <w:num w:numId="7">
    <w:abstractNumId w:val="19"/>
  </w:num>
  <w:num w:numId="8">
    <w:abstractNumId w:val="12"/>
  </w:num>
  <w:num w:numId="9">
    <w:abstractNumId w:val="18"/>
  </w:num>
  <w:num w:numId="10">
    <w:abstractNumId w:val="3"/>
  </w:num>
  <w:num w:numId="11">
    <w:abstractNumId w:val="6"/>
  </w:num>
  <w:num w:numId="12">
    <w:abstractNumId w:val="16"/>
  </w:num>
  <w:num w:numId="13">
    <w:abstractNumId w:val="14"/>
  </w:num>
  <w:num w:numId="14">
    <w:abstractNumId w:val="13"/>
  </w:num>
  <w:num w:numId="15">
    <w:abstractNumId w:val="5"/>
  </w:num>
  <w:num w:numId="16">
    <w:abstractNumId w:val="11"/>
  </w:num>
  <w:num w:numId="17">
    <w:abstractNumId w:val="0"/>
  </w:num>
  <w:num w:numId="18">
    <w:abstractNumId w:val="9"/>
  </w:num>
  <w:num w:numId="19">
    <w:abstractNumId w:val="17"/>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rsids>
    <w:rsidRoot w:val="00190DE2"/>
    <w:rsid w:val="00000104"/>
    <w:rsid w:val="00000A21"/>
    <w:rsid w:val="00000B85"/>
    <w:rsid w:val="00003362"/>
    <w:rsid w:val="00003B38"/>
    <w:rsid w:val="0000780A"/>
    <w:rsid w:val="00014ADC"/>
    <w:rsid w:val="00014CE8"/>
    <w:rsid w:val="000153E5"/>
    <w:rsid w:val="00017A0E"/>
    <w:rsid w:val="000207A8"/>
    <w:rsid w:val="000224A3"/>
    <w:rsid w:val="00022542"/>
    <w:rsid w:val="00022D09"/>
    <w:rsid w:val="0002310F"/>
    <w:rsid w:val="00023B8A"/>
    <w:rsid w:val="0002571C"/>
    <w:rsid w:val="00031A3A"/>
    <w:rsid w:val="000321D5"/>
    <w:rsid w:val="00032B06"/>
    <w:rsid w:val="0003337F"/>
    <w:rsid w:val="00034427"/>
    <w:rsid w:val="00036E97"/>
    <w:rsid w:val="000516F7"/>
    <w:rsid w:val="0006107D"/>
    <w:rsid w:val="00062D04"/>
    <w:rsid w:val="00066A64"/>
    <w:rsid w:val="00070E8C"/>
    <w:rsid w:val="00071BBF"/>
    <w:rsid w:val="00076D42"/>
    <w:rsid w:val="00081808"/>
    <w:rsid w:val="0008340B"/>
    <w:rsid w:val="00083501"/>
    <w:rsid w:val="00083D89"/>
    <w:rsid w:val="0008471D"/>
    <w:rsid w:val="000856A2"/>
    <w:rsid w:val="00087550"/>
    <w:rsid w:val="00096B80"/>
    <w:rsid w:val="000A0985"/>
    <w:rsid w:val="000A2C7F"/>
    <w:rsid w:val="000A3816"/>
    <w:rsid w:val="000A4766"/>
    <w:rsid w:val="000A582E"/>
    <w:rsid w:val="000A5B88"/>
    <w:rsid w:val="000B079B"/>
    <w:rsid w:val="000B35E8"/>
    <w:rsid w:val="000B3A6B"/>
    <w:rsid w:val="000C09AD"/>
    <w:rsid w:val="000C3170"/>
    <w:rsid w:val="000C3226"/>
    <w:rsid w:val="000C54E4"/>
    <w:rsid w:val="000C638B"/>
    <w:rsid w:val="000C6CBE"/>
    <w:rsid w:val="000D5A91"/>
    <w:rsid w:val="000D5E80"/>
    <w:rsid w:val="000D6B26"/>
    <w:rsid w:val="000E0BAA"/>
    <w:rsid w:val="000E103A"/>
    <w:rsid w:val="000E57B2"/>
    <w:rsid w:val="000F0347"/>
    <w:rsid w:val="000F18DE"/>
    <w:rsid w:val="000F4B5E"/>
    <w:rsid w:val="00101A6F"/>
    <w:rsid w:val="001032D3"/>
    <w:rsid w:val="00103BDF"/>
    <w:rsid w:val="00105887"/>
    <w:rsid w:val="00107D4A"/>
    <w:rsid w:val="00110EB7"/>
    <w:rsid w:val="0011103B"/>
    <w:rsid w:val="001177E0"/>
    <w:rsid w:val="00117F76"/>
    <w:rsid w:val="00121102"/>
    <w:rsid w:val="001224A4"/>
    <w:rsid w:val="00123AA9"/>
    <w:rsid w:val="001248BD"/>
    <w:rsid w:val="0012498A"/>
    <w:rsid w:val="00124DE5"/>
    <w:rsid w:val="00125EC6"/>
    <w:rsid w:val="001261CC"/>
    <w:rsid w:val="00127B1B"/>
    <w:rsid w:val="00127EB5"/>
    <w:rsid w:val="00130A51"/>
    <w:rsid w:val="00132744"/>
    <w:rsid w:val="00133148"/>
    <w:rsid w:val="001344C3"/>
    <w:rsid w:val="00134A15"/>
    <w:rsid w:val="001367B2"/>
    <w:rsid w:val="00141BD6"/>
    <w:rsid w:val="00146B4B"/>
    <w:rsid w:val="00147781"/>
    <w:rsid w:val="00147907"/>
    <w:rsid w:val="00147BFB"/>
    <w:rsid w:val="00150F2F"/>
    <w:rsid w:val="0015161B"/>
    <w:rsid w:val="00152505"/>
    <w:rsid w:val="00154795"/>
    <w:rsid w:val="0015780B"/>
    <w:rsid w:val="0017272E"/>
    <w:rsid w:val="00172FB4"/>
    <w:rsid w:val="001812A1"/>
    <w:rsid w:val="00183D42"/>
    <w:rsid w:val="00186F0A"/>
    <w:rsid w:val="00190DE2"/>
    <w:rsid w:val="00191BB3"/>
    <w:rsid w:val="001938D8"/>
    <w:rsid w:val="00195547"/>
    <w:rsid w:val="00195579"/>
    <w:rsid w:val="0019591B"/>
    <w:rsid w:val="00196AC7"/>
    <w:rsid w:val="001A71EE"/>
    <w:rsid w:val="001B0031"/>
    <w:rsid w:val="001B01A5"/>
    <w:rsid w:val="001B3D95"/>
    <w:rsid w:val="001B63C2"/>
    <w:rsid w:val="001C0697"/>
    <w:rsid w:val="001C0FFF"/>
    <w:rsid w:val="001C1549"/>
    <w:rsid w:val="001C55E5"/>
    <w:rsid w:val="001D1482"/>
    <w:rsid w:val="001D1782"/>
    <w:rsid w:val="001D6DAE"/>
    <w:rsid w:val="001E1039"/>
    <w:rsid w:val="001E3D2F"/>
    <w:rsid w:val="001E4418"/>
    <w:rsid w:val="001E46AC"/>
    <w:rsid w:val="001E7D9E"/>
    <w:rsid w:val="00201001"/>
    <w:rsid w:val="00201ABA"/>
    <w:rsid w:val="00204816"/>
    <w:rsid w:val="00217171"/>
    <w:rsid w:val="0021730B"/>
    <w:rsid w:val="0021747D"/>
    <w:rsid w:val="00223103"/>
    <w:rsid w:val="0023038F"/>
    <w:rsid w:val="00230C7C"/>
    <w:rsid w:val="00231546"/>
    <w:rsid w:val="00232574"/>
    <w:rsid w:val="00235176"/>
    <w:rsid w:val="0024303C"/>
    <w:rsid w:val="00251AAC"/>
    <w:rsid w:val="00254798"/>
    <w:rsid w:val="00255BC4"/>
    <w:rsid w:val="00257A54"/>
    <w:rsid w:val="002636B8"/>
    <w:rsid w:val="00266409"/>
    <w:rsid w:val="00266D4A"/>
    <w:rsid w:val="002748A2"/>
    <w:rsid w:val="0027546F"/>
    <w:rsid w:val="002764F6"/>
    <w:rsid w:val="00282E9B"/>
    <w:rsid w:val="00284553"/>
    <w:rsid w:val="00285D90"/>
    <w:rsid w:val="002862E0"/>
    <w:rsid w:val="002872E3"/>
    <w:rsid w:val="00291437"/>
    <w:rsid w:val="002A0416"/>
    <w:rsid w:val="002A6BAE"/>
    <w:rsid w:val="002B0913"/>
    <w:rsid w:val="002B2386"/>
    <w:rsid w:val="002B2C13"/>
    <w:rsid w:val="002B6E20"/>
    <w:rsid w:val="002B730F"/>
    <w:rsid w:val="002C3971"/>
    <w:rsid w:val="002C4C62"/>
    <w:rsid w:val="002C613A"/>
    <w:rsid w:val="002C644A"/>
    <w:rsid w:val="002C6C1D"/>
    <w:rsid w:val="002C77F4"/>
    <w:rsid w:val="002C7C04"/>
    <w:rsid w:val="002D69A6"/>
    <w:rsid w:val="002E0EC4"/>
    <w:rsid w:val="002E6EEE"/>
    <w:rsid w:val="002E7534"/>
    <w:rsid w:val="002F1FA2"/>
    <w:rsid w:val="002F5434"/>
    <w:rsid w:val="002F5CCB"/>
    <w:rsid w:val="002F6A7E"/>
    <w:rsid w:val="002F7CD0"/>
    <w:rsid w:val="00300738"/>
    <w:rsid w:val="00300CD6"/>
    <w:rsid w:val="0030244B"/>
    <w:rsid w:val="003040C2"/>
    <w:rsid w:val="00305770"/>
    <w:rsid w:val="00312273"/>
    <w:rsid w:val="003135F7"/>
    <w:rsid w:val="00315AE1"/>
    <w:rsid w:val="0032370C"/>
    <w:rsid w:val="00324513"/>
    <w:rsid w:val="003247BF"/>
    <w:rsid w:val="003271DC"/>
    <w:rsid w:val="00327288"/>
    <w:rsid w:val="003368B2"/>
    <w:rsid w:val="00336A51"/>
    <w:rsid w:val="0033741C"/>
    <w:rsid w:val="0033758B"/>
    <w:rsid w:val="00337D04"/>
    <w:rsid w:val="00340647"/>
    <w:rsid w:val="003434C4"/>
    <w:rsid w:val="003447BE"/>
    <w:rsid w:val="00347320"/>
    <w:rsid w:val="00351F39"/>
    <w:rsid w:val="003538E4"/>
    <w:rsid w:val="00354C72"/>
    <w:rsid w:val="003559BD"/>
    <w:rsid w:val="00357677"/>
    <w:rsid w:val="003579D5"/>
    <w:rsid w:val="00361FB7"/>
    <w:rsid w:val="00363C47"/>
    <w:rsid w:val="0036441E"/>
    <w:rsid w:val="003651BA"/>
    <w:rsid w:val="00365F5C"/>
    <w:rsid w:val="00370835"/>
    <w:rsid w:val="00371EBB"/>
    <w:rsid w:val="00375BA6"/>
    <w:rsid w:val="00377EFF"/>
    <w:rsid w:val="00387811"/>
    <w:rsid w:val="00391FFE"/>
    <w:rsid w:val="00392223"/>
    <w:rsid w:val="00392F9A"/>
    <w:rsid w:val="0039310E"/>
    <w:rsid w:val="003937BD"/>
    <w:rsid w:val="00393D2A"/>
    <w:rsid w:val="00395E31"/>
    <w:rsid w:val="003A41DD"/>
    <w:rsid w:val="003A4F15"/>
    <w:rsid w:val="003A5557"/>
    <w:rsid w:val="003A7DD0"/>
    <w:rsid w:val="003B30C2"/>
    <w:rsid w:val="003B3436"/>
    <w:rsid w:val="003B4114"/>
    <w:rsid w:val="003B66BF"/>
    <w:rsid w:val="003B67BE"/>
    <w:rsid w:val="003C39EF"/>
    <w:rsid w:val="003C573B"/>
    <w:rsid w:val="003C728D"/>
    <w:rsid w:val="003D1C76"/>
    <w:rsid w:val="003D3BE2"/>
    <w:rsid w:val="003D77C1"/>
    <w:rsid w:val="003E028B"/>
    <w:rsid w:val="003E06F9"/>
    <w:rsid w:val="003E24CC"/>
    <w:rsid w:val="003F05A3"/>
    <w:rsid w:val="003F32C7"/>
    <w:rsid w:val="003F4570"/>
    <w:rsid w:val="00400D68"/>
    <w:rsid w:val="004030BF"/>
    <w:rsid w:val="00403195"/>
    <w:rsid w:val="00406584"/>
    <w:rsid w:val="0041392D"/>
    <w:rsid w:val="004165BF"/>
    <w:rsid w:val="00416A93"/>
    <w:rsid w:val="00422865"/>
    <w:rsid w:val="00422979"/>
    <w:rsid w:val="004232FE"/>
    <w:rsid w:val="0042539A"/>
    <w:rsid w:val="00443130"/>
    <w:rsid w:val="0044341E"/>
    <w:rsid w:val="004447D6"/>
    <w:rsid w:val="00451FAC"/>
    <w:rsid w:val="00453697"/>
    <w:rsid w:val="0046318F"/>
    <w:rsid w:val="00471BC6"/>
    <w:rsid w:val="00472BE4"/>
    <w:rsid w:val="00474311"/>
    <w:rsid w:val="00474D07"/>
    <w:rsid w:val="00475739"/>
    <w:rsid w:val="004770FA"/>
    <w:rsid w:val="00480FBE"/>
    <w:rsid w:val="00481ADC"/>
    <w:rsid w:val="0048259E"/>
    <w:rsid w:val="00482E24"/>
    <w:rsid w:val="00494127"/>
    <w:rsid w:val="00494C1A"/>
    <w:rsid w:val="004A0A4C"/>
    <w:rsid w:val="004A2EE2"/>
    <w:rsid w:val="004A3519"/>
    <w:rsid w:val="004A557E"/>
    <w:rsid w:val="004B0DFA"/>
    <w:rsid w:val="004B2A87"/>
    <w:rsid w:val="004B4AE6"/>
    <w:rsid w:val="004B59C6"/>
    <w:rsid w:val="004B5A3C"/>
    <w:rsid w:val="004C3639"/>
    <w:rsid w:val="004C46E1"/>
    <w:rsid w:val="004C53EE"/>
    <w:rsid w:val="004C69CA"/>
    <w:rsid w:val="004D211E"/>
    <w:rsid w:val="004D2873"/>
    <w:rsid w:val="004D33A0"/>
    <w:rsid w:val="004E552C"/>
    <w:rsid w:val="004E6258"/>
    <w:rsid w:val="004F624E"/>
    <w:rsid w:val="004F68BA"/>
    <w:rsid w:val="005017B0"/>
    <w:rsid w:val="005045B9"/>
    <w:rsid w:val="00512114"/>
    <w:rsid w:val="005138EC"/>
    <w:rsid w:val="005209EA"/>
    <w:rsid w:val="00527378"/>
    <w:rsid w:val="00530C24"/>
    <w:rsid w:val="00542C65"/>
    <w:rsid w:val="005467BC"/>
    <w:rsid w:val="00552387"/>
    <w:rsid w:val="00557A46"/>
    <w:rsid w:val="00561E6F"/>
    <w:rsid w:val="00566277"/>
    <w:rsid w:val="00570DD7"/>
    <w:rsid w:val="00570E20"/>
    <w:rsid w:val="00571723"/>
    <w:rsid w:val="00576D66"/>
    <w:rsid w:val="00576E43"/>
    <w:rsid w:val="005808AE"/>
    <w:rsid w:val="00583580"/>
    <w:rsid w:val="005843AE"/>
    <w:rsid w:val="005878BE"/>
    <w:rsid w:val="005A304B"/>
    <w:rsid w:val="005A4A15"/>
    <w:rsid w:val="005B0DE8"/>
    <w:rsid w:val="005B4BE3"/>
    <w:rsid w:val="005C195B"/>
    <w:rsid w:val="005D0384"/>
    <w:rsid w:val="005D50F0"/>
    <w:rsid w:val="005E4908"/>
    <w:rsid w:val="005F2434"/>
    <w:rsid w:val="005F2468"/>
    <w:rsid w:val="00600275"/>
    <w:rsid w:val="00600FC1"/>
    <w:rsid w:val="00601956"/>
    <w:rsid w:val="0060464D"/>
    <w:rsid w:val="00605D43"/>
    <w:rsid w:val="00612A16"/>
    <w:rsid w:val="00612AD9"/>
    <w:rsid w:val="00621707"/>
    <w:rsid w:val="00622FCC"/>
    <w:rsid w:val="0062363C"/>
    <w:rsid w:val="0062563A"/>
    <w:rsid w:val="00637DEC"/>
    <w:rsid w:val="00641874"/>
    <w:rsid w:val="00642614"/>
    <w:rsid w:val="00642E4C"/>
    <w:rsid w:val="00652C9F"/>
    <w:rsid w:val="00653059"/>
    <w:rsid w:val="00656629"/>
    <w:rsid w:val="00660150"/>
    <w:rsid w:val="00672115"/>
    <w:rsid w:val="00676DB4"/>
    <w:rsid w:val="006772F0"/>
    <w:rsid w:val="00677612"/>
    <w:rsid w:val="00680845"/>
    <w:rsid w:val="00681DFA"/>
    <w:rsid w:val="00684630"/>
    <w:rsid w:val="00685D56"/>
    <w:rsid w:val="006865EA"/>
    <w:rsid w:val="006872C0"/>
    <w:rsid w:val="00693337"/>
    <w:rsid w:val="00693ED2"/>
    <w:rsid w:val="006944A5"/>
    <w:rsid w:val="00695388"/>
    <w:rsid w:val="00697EAD"/>
    <w:rsid w:val="006A72F3"/>
    <w:rsid w:val="006A7BE3"/>
    <w:rsid w:val="006B06F9"/>
    <w:rsid w:val="006B16EB"/>
    <w:rsid w:val="006B409B"/>
    <w:rsid w:val="006B437F"/>
    <w:rsid w:val="006B5866"/>
    <w:rsid w:val="006C02E3"/>
    <w:rsid w:val="006C0966"/>
    <w:rsid w:val="006C2982"/>
    <w:rsid w:val="006C3678"/>
    <w:rsid w:val="006C7397"/>
    <w:rsid w:val="006C7A63"/>
    <w:rsid w:val="006D057F"/>
    <w:rsid w:val="006D7133"/>
    <w:rsid w:val="006E3792"/>
    <w:rsid w:val="006E453A"/>
    <w:rsid w:val="006F27AB"/>
    <w:rsid w:val="006F2BF6"/>
    <w:rsid w:val="006F3E1E"/>
    <w:rsid w:val="006F41A7"/>
    <w:rsid w:val="006F48AC"/>
    <w:rsid w:val="006F6234"/>
    <w:rsid w:val="006F6C47"/>
    <w:rsid w:val="007000B6"/>
    <w:rsid w:val="00700392"/>
    <w:rsid w:val="007007D8"/>
    <w:rsid w:val="00700975"/>
    <w:rsid w:val="00710780"/>
    <w:rsid w:val="0071372B"/>
    <w:rsid w:val="007145E3"/>
    <w:rsid w:val="00717AED"/>
    <w:rsid w:val="00721CC1"/>
    <w:rsid w:val="007223E6"/>
    <w:rsid w:val="00723CD6"/>
    <w:rsid w:val="00726506"/>
    <w:rsid w:val="007271B0"/>
    <w:rsid w:val="0073101E"/>
    <w:rsid w:val="00743135"/>
    <w:rsid w:val="007473DA"/>
    <w:rsid w:val="00751946"/>
    <w:rsid w:val="007523DF"/>
    <w:rsid w:val="007541E8"/>
    <w:rsid w:val="00756389"/>
    <w:rsid w:val="00767EFC"/>
    <w:rsid w:val="00770E82"/>
    <w:rsid w:val="007717FD"/>
    <w:rsid w:val="007745CD"/>
    <w:rsid w:val="007774D3"/>
    <w:rsid w:val="0077789D"/>
    <w:rsid w:val="007802F7"/>
    <w:rsid w:val="007843E3"/>
    <w:rsid w:val="007849BA"/>
    <w:rsid w:val="00784D1D"/>
    <w:rsid w:val="00784E9B"/>
    <w:rsid w:val="007859E2"/>
    <w:rsid w:val="00785E4A"/>
    <w:rsid w:val="0078748A"/>
    <w:rsid w:val="00790899"/>
    <w:rsid w:val="0079283B"/>
    <w:rsid w:val="00792B9B"/>
    <w:rsid w:val="00792E7D"/>
    <w:rsid w:val="007A07EC"/>
    <w:rsid w:val="007A2AF5"/>
    <w:rsid w:val="007A32DC"/>
    <w:rsid w:val="007A71E9"/>
    <w:rsid w:val="007B01FA"/>
    <w:rsid w:val="007B03DA"/>
    <w:rsid w:val="007B2552"/>
    <w:rsid w:val="007B4230"/>
    <w:rsid w:val="007C399C"/>
    <w:rsid w:val="007C594A"/>
    <w:rsid w:val="007C648E"/>
    <w:rsid w:val="007C67E9"/>
    <w:rsid w:val="007D1B6B"/>
    <w:rsid w:val="007D2AFF"/>
    <w:rsid w:val="007D3C3D"/>
    <w:rsid w:val="007D4631"/>
    <w:rsid w:val="007D5F4A"/>
    <w:rsid w:val="007D6AB4"/>
    <w:rsid w:val="007D7C5D"/>
    <w:rsid w:val="007E0FA1"/>
    <w:rsid w:val="007E1F50"/>
    <w:rsid w:val="007E7D53"/>
    <w:rsid w:val="007F1ECB"/>
    <w:rsid w:val="007F2F6F"/>
    <w:rsid w:val="007F5333"/>
    <w:rsid w:val="007F6244"/>
    <w:rsid w:val="00801AD6"/>
    <w:rsid w:val="00802743"/>
    <w:rsid w:val="00802A79"/>
    <w:rsid w:val="00802F97"/>
    <w:rsid w:val="008052DD"/>
    <w:rsid w:val="00810C3E"/>
    <w:rsid w:val="00814D72"/>
    <w:rsid w:val="008152FB"/>
    <w:rsid w:val="00815607"/>
    <w:rsid w:val="0081662C"/>
    <w:rsid w:val="00824F40"/>
    <w:rsid w:val="00826157"/>
    <w:rsid w:val="00826271"/>
    <w:rsid w:val="008272BE"/>
    <w:rsid w:val="00832936"/>
    <w:rsid w:val="008348F0"/>
    <w:rsid w:val="00837DE0"/>
    <w:rsid w:val="00841450"/>
    <w:rsid w:val="00842BA3"/>
    <w:rsid w:val="00843256"/>
    <w:rsid w:val="00843C16"/>
    <w:rsid w:val="0084525B"/>
    <w:rsid w:val="00850476"/>
    <w:rsid w:val="0085078D"/>
    <w:rsid w:val="008524C5"/>
    <w:rsid w:val="00853F04"/>
    <w:rsid w:val="00862614"/>
    <w:rsid w:val="00865566"/>
    <w:rsid w:val="00870DDD"/>
    <w:rsid w:val="0087129A"/>
    <w:rsid w:val="00877725"/>
    <w:rsid w:val="00877CA2"/>
    <w:rsid w:val="008806E3"/>
    <w:rsid w:val="008814F0"/>
    <w:rsid w:val="00890394"/>
    <w:rsid w:val="00891242"/>
    <w:rsid w:val="00894A46"/>
    <w:rsid w:val="008958F2"/>
    <w:rsid w:val="00896000"/>
    <w:rsid w:val="008964FA"/>
    <w:rsid w:val="008A3304"/>
    <w:rsid w:val="008A33F3"/>
    <w:rsid w:val="008A3C6C"/>
    <w:rsid w:val="008A421D"/>
    <w:rsid w:val="008B214E"/>
    <w:rsid w:val="008B3DCC"/>
    <w:rsid w:val="008B43F9"/>
    <w:rsid w:val="008C1F8B"/>
    <w:rsid w:val="008C468E"/>
    <w:rsid w:val="008C4872"/>
    <w:rsid w:val="008C6509"/>
    <w:rsid w:val="008D0A2C"/>
    <w:rsid w:val="008D1AE3"/>
    <w:rsid w:val="008D2C05"/>
    <w:rsid w:val="008D2D20"/>
    <w:rsid w:val="008D368C"/>
    <w:rsid w:val="008D4CBE"/>
    <w:rsid w:val="008E05B4"/>
    <w:rsid w:val="008E306B"/>
    <w:rsid w:val="008E5AEA"/>
    <w:rsid w:val="008F317C"/>
    <w:rsid w:val="008F774A"/>
    <w:rsid w:val="0090020B"/>
    <w:rsid w:val="009052EB"/>
    <w:rsid w:val="00905545"/>
    <w:rsid w:val="0090633D"/>
    <w:rsid w:val="009110D6"/>
    <w:rsid w:val="00913835"/>
    <w:rsid w:val="0092183C"/>
    <w:rsid w:val="00924EE8"/>
    <w:rsid w:val="009340D2"/>
    <w:rsid w:val="00934E48"/>
    <w:rsid w:val="0093565A"/>
    <w:rsid w:val="00936017"/>
    <w:rsid w:val="00941068"/>
    <w:rsid w:val="0094377B"/>
    <w:rsid w:val="00953148"/>
    <w:rsid w:val="00956C69"/>
    <w:rsid w:val="00963A64"/>
    <w:rsid w:val="0096530D"/>
    <w:rsid w:val="00965979"/>
    <w:rsid w:val="00967BA0"/>
    <w:rsid w:val="00975901"/>
    <w:rsid w:val="00976D32"/>
    <w:rsid w:val="00977DA6"/>
    <w:rsid w:val="00981C19"/>
    <w:rsid w:val="009829BE"/>
    <w:rsid w:val="00984A3B"/>
    <w:rsid w:val="00987753"/>
    <w:rsid w:val="009929FC"/>
    <w:rsid w:val="009A5113"/>
    <w:rsid w:val="009A57A2"/>
    <w:rsid w:val="009A5A86"/>
    <w:rsid w:val="009B0E83"/>
    <w:rsid w:val="009B1FD6"/>
    <w:rsid w:val="009B5B52"/>
    <w:rsid w:val="009C4293"/>
    <w:rsid w:val="009D090E"/>
    <w:rsid w:val="009D6067"/>
    <w:rsid w:val="009E0B37"/>
    <w:rsid w:val="009E35AB"/>
    <w:rsid w:val="009F0727"/>
    <w:rsid w:val="009F7412"/>
    <w:rsid w:val="00A129F9"/>
    <w:rsid w:val="00A13BDE"/>
    <w:rsid w:val="00A143BE"/>
    <w:rsid w:val="00A14A97"/>
    <w:rsid w:val="00A15EA3"/>
    <w:rsid w:val="00A17C6E"/>
    <w:rsid w:val="00A25236"/>
    <w:rsid w:val="00A2615D"/>
    <w:rsid w:val="00A26717"/>
    <w:rsid w:val="00A27289"/>
    <w:rsid w:val="00A32CF7"/>
    <w:rsid w:val="00A34374"/>
    <w:rsid w:val="00A3704C"/>
    <w:rsid w:val="00A46281"/>
    <w:rsid w:val="00A54F24"/>
    <w:rsid w:val="00A63B7F"/>
    <w:rsid w:val="00A63E51"/>
    <w:rsid w:val="00A672C6"/>
    <w:rsid w:val="00A675C4"/>
    <w:rsid w:val="00A70BB7"/>
    <w:rsid w:val="00A801F5"/>
    <w:rsid w:val="00A808CC"/>
    <w:rsid w:val="00A8544C"/>
    <w:rsid w:val="00A85DD5"/>
    <w:rsid w:val="00A87338"/>
    <w:rsid w:val="00A91181"/>
    <w:rsid w:val="00A92083"/>
    <w:rsid w:val="00A94D3A"/>
    <w:rsid w:val="00AA011D"/>
    <w:rsid w:val="00AA68BB"/>
    <w:rsid w:val="00AA711D"/>
    <w:rsid w:val="00AA7E3D"/>
    <w:rsid w:val="00AB167D"/>
    <w:rsid w:val="00AB22E5"/>
    <w:rsid w:val="00AB548B"/>
    <w:rsid w:val="00AC0716"/>
    <w:rsid w:val="00AC271B"/>
    <w:rsid w:val="00AC4313"/>
    <w:rsid w:val="00AC6728"/>
    <w:rsid w:val="00AC69F4"/>
    <w:rsid w:val="00AC6F69"/>
    <w:rsid w:val="00AD1028"/>
    <w:rsid w:val="00AD1367"/>
    <w:rsid w:val="00AD384D"/>
    <w:rsid w:val="00AD3FC2"/>
    <w:rsid w:val="00AD5589"/>
    <w:rsid w:val="00AE136B"/>
    <w:rsid w:val="00AE36CF"/>
    <w:rsid w:val="00AE5D3C"/>
    <w:rsid w:val="00AF45EF"/>
    <w:rsid w:val="00B048C8"/>
    <w:rsid w:val="00B10A99"/>
    <w:rsid w:val="00B1334A"/>
    <w:rsid w:val="00B16DB9"/>
    <w:rsid w:val="00B20EA7"/>
    <w:rsid w:val="00B24E6B"/>
    <w:rsid w:val="00B24F87"/>
    <w:rsid w:val="00B27BA1"/>
    <w:rsid w:val="00B30404"/>
    <w:rsid w:val="00B30B45"/>
    <w:rsid w:val="00B33ACB"/>
    <w:rsid w:val="00B36517"/>
    <w:rsid w:val="00B43FD3"/>
    <w:rsid w:val="00B4525F"/>
    <w:rsid w:val="00B45EBA"/>
    <w:rsid w:val="00B476BA"/>
    <w:rsid w:val="00B47C6D"/>
    <w:rsid w:val="00B51FFA"/>
    <w:rsid w:val="00B540F8"/>
    <w:rsid w:val="00B622BF"/>
    <w:rsid w:val="00B64658"/>
    <w:rsid w:val="00B66ECA"/>
    <w:rsid w:val="00B67B24"/>
    <w:rsid w:val="00B74272"/>
    <w:rsid w:val="00B7496B"/>
    <w:rsid w:val="00B76B6F"/>
    <w:rsid w:val="00B86505"/>
    <w:rsid w:val="00B87E81"/>
    <w:rsid w:val="00B930C1"/>
    <w:rsid w:val="00B933A9"/>
    <w:rsid w:val="00B96738"/>
    <w:rsid w:val="00B96F94"/>
    <w:rsid w:val="00B977B1"/>
    <w:rsid w:val="00B97D2D"/>
    <w:rsid w:val="00BA1268"/>
    <w:rsid w:val="00BB25CD"/>
    <w:rsid w:val="00BB48FF"/>
    <w:rsid w:val="00BB631F"/>
    <w:rsid w:val="00BC07DE"/>
    <w:rsid w:val="00BC0983"/>
    <w:rsid w:val="00BC2EA6"/>
    <w:rsid w:val="00BD21DB"/>
    <w:rsid w:val="00BD27D2"/>
    <w:rsid w:val="00BD3408"/>
    <w:rsid w:val="00BD507B"/>
    <w:rsid w:val="00BD6982"/>
    <w:rsid w:val="00BE27D0"/>
    <w:rsid w:val="00BF30F6"/>
    <w:rsid w:val="00BF4423"/>
    <w:rsid w:val="00BF5983"/>
    <w:rsid w:val="00C00925"/>
    <w:rsid w:val="00C04450"/>
    <w:rsid w:val="00C0505F"/>
    <w:rsid w:val="00C11F37"/>
    <w:rsid w:val="00C12EC4"/>
    <w:rsid w:val="00C13577"/>
    <w:rsid w:val="00C13C64"/>
    <w:rsid w:val="00C14B04"/>
    <w:rsid w:val="00C17529"/>
    <w:rsid w:val="00C218BF"/>
    <w:rsid w:val="00C23878"/>
    <w:rsid w:val="00C24BC4"/>
    <w:rsid w:val="00C26772"/>
    <w:rsid w:val="00C330B5"/>
    <w:rsid w:val="00C340F9"/>
    <w:rsid w:val="00C35982"/>
    <w:rsid w:val="00C3746E"/>
    <w:rsid w:val="00C403B6"/>
    <w:rsid w:val="00C4490B"/>
    <w:rsid w:val="00C453D1"/>
    <w:rsid w:val="00C456B2"/>
    <w:rsid w:val="00C4570D"/>
    <w:rsid w:val="00C45905"/>
    <w:rsid w:val="00C47D1E"/>
    <w:rsid w:val="00C50F85"/>
    <w:rsid w:val="00C57395"/>
    <w:rsid w:val="00C60772"/>
    <w:rsid w:val="00C64477"/>
    <w:rsid w:val="00C64B8D"/>
    <w:rsid w:val="00C6682B"/>
    <w:rsid w:val="00C72C3D"/>
    <w:rsid w:val="00C7302B"/>
    <w:rsid w:val="00C73797"/>
    <w:rsid w:val="00C75BDC"/>
    <w:rsid w:val="00C76988"/>
    <w:rsid w:val="00C76CD3"/>
    <w:rsid w:val="00C80448"/>
    <w:rsid w:val="00C818AA"/>
    <w:rsid w:val="00C83C86"/>
    <w:rsid w:val="00C8403E"/>
    <w:rsid w:val="00C848C7"/>
    <w:rsid w:val="00C90BE1"/>
    <w:rsid w:val="00C92501"/>
    <w:rsid w:val="00C966BD"/>
    <w:rsid w:val="00C96F5B"/>
    <w:rsid w:val="00CA243C"/>
    <w:rsid w:val="00CA5895"/>
    <w:rsid w:val="00CA62C0"/>
    <w:rsid w:val="00CA728F"/>
    <w:rsid w:val="00CB279D"/>
    <w:rsid w:val="00CB3C94"/>
    <w:rsid w:val="00CB596A"/>
    <w:rsid w:val="00CC6569"/>
    <w:rsid w:val="00CC6F3A"/>
    <w:rsid w:val="00CC7C3D"/>
    <w:rsid w:val="00CD11D0"/>
    <w:rsid w:val="00CD3478"/>
    <w:rsid w:val="00CD5469"/>
    <w:rsid w:val="00CD7227"/>
    <w:rsid w:val="00CE364E"/>
    <w:rsid w:val="00CE5A16"/>
    <w:rsid w:val="00CF1CBD"/>
    <w:rsid w:val="00CF6D2B"/>
    <w:rsid w:val="00CF7775"/>
    <w:rsid w:val="00D01195"/>
    <w:rsid w:val="00D02327"/>
    <w:rsid w:val="00D02E03"/>
    <w:rsid w:val="00D11C59"/>
    <w:rsid w:val="00D222FA"/>
    <w:rsid w:val="00D22712"/>
    <w:rsid w:val="00D27BD8"/>
    <w:rsid w:val="00D30977"/>
    <w:rsid w:val="00D32FE8"/>
    <w:rsid w:val="00D33A8B"/>
    <w:rsid w:val="00D367A7"/>
    <w:rsid w:val="00D45C7B"/>
    <w:rsid w:val="00D5004A"/>
    <w:rsid w:val="00D5047B"/>
    <w:rsid w:val="00D56B41"/>
    <w:rsid w:val="00D56E40"/>
    <w:rsid w:val="00D57ACF"/>
    <w:rsid w:val="00D6077E"/>
    <w:rsid w:val="00D6364E"/>
    <w:rsid w:val="00D662B4"/>
    <w:rsid w:val="00D71465"/>
    <w:rsid w:val="00D831C8"/>
    <w:rsid w:val="00D837D9"/>
    <w:rsid w:val="00D83BA3"/>
    <w:rsid w:val="00D91204"/>
    <w:rsid w:val="00D92458"/>
    <w:rsid w:val="00D924E3"/>
    <w:rsid w:val="00D9376A"/>
    <w:rsid w:val="00D944BD"/>
    <w:rsid w:val="00D96B49"/>
    <w:rsid w:val="00DA3DB2"/>
    <w:rsid w:val="00DA647A"/>
    <w:rsid w:val="00DA6C39"/>
    <w:rsid w:val="00DB2ACF"/>
    <w:rsid w:val="00DB79F2"/>
    <w:rsid w:val="00DC0F76"/>
    <w:rsid w:val="00DC3A35"/>
    <w:rsid w:val="00DC5DF4"/>
    <w:rsid w:val="00DD1731"/>
    <w:rsid w:val="00DD3200"/>
    <w:rsid w:val="00DD3D96"/>
    <w:rsid w:val="00DD3FAF"/>
    <w:rsid w:val="00DD52B5"/>
    <w:rsid w:val="00DD7559"/>
    <w:rsid w:val="00DD7C0C"/>
    <w:rsid w:val="00DE4858"/>
    <w:rsid w:val="00DF27E8"/>
    <w:rsid w:val="00DF315C"/>
    <w:rsid w:val="00DF3835"/>
    <w:rsid w:val="00E00DDA"/>
    <w:rsid w:val="00E0192A"/>
    <w:rsid w:val="00E03291"/>
    <w:rsid w:val="00E05A35"/>
    <w:rsid w:val="00E06C56"/>
    <w:rsid w:val="00E07A7D"/>
    <w:rsid w:val="00E100B2"/>
    <w:rsid w:val="00E11473"/>
    <w:rsid w:val="00E12F70"/>
    <w:rsid w:val="00E138F2"/>
    <w:rsid w:val="00E13E28"/>
    <w:rsid w:val="00E14375"/>
    <w:rsid w:val="00E16BB9"/>
    <w:rsid w:val="00E22353"/>
    <w:rsid w:val="00E2299C"/>
    <w:rsid w:val="00E246AA"/>
    <w:rsid w:val="00E25A6E"/>
    <w:rsid w:val="00E264FE"/>
    <w:rsid w:val="00E31015"/>
    <w:rsid w:val="00E32B37"/>
    <w:rsid w:val="00E332DC"/>
    <w:rsid w:val="00E35737"/>
    <w:rsid w:val="00E41588"/>
    <w:rsid w:val="00E42A6F"/>
    <w:rsid w:val="00E43ED4"/>
    <w:rsid w:val="00E46BFB"/>
    <w:rsid w:val="00E46D13"/>
    <w:rsid w:val="00E542E0"/>
    <w:rsid w:val="00E54A64"/>
    <w:rsid w:val="00E552A1"/>
    <w:rsid w:val="00E60478"/>
    <w:rsid w:val="00E66164"/>
    <w:rsid w:val="00E668AD"/>
    <w:rsid w:val="00E672FB"/>
    <w:rsid w:val="00E67E77"/>
    <w:rsid w:val="00E70444"/>
    <w:rsid w:val="00E70852"/>
    <w:rsid w:val="00E715D8"/>
    <w:rsid w:val="00E73735"/>
    <w:rsid w:val="00E761AD"/>
    <w:rsid w:val="00E821F3"/>
    <w:rsid w:val="00E83253"/>
    <w:rsid w:val="00E84C28"/>
    <w:rsid w:val="00E90928"/>
    <w:rsid w:val="00E9550D"/>
    <w:rsid w:val="00E96679"/>
    <w:rsid w:val="00EA5A20"/>
    <w:rsid w:val="00EA5AA9"/>
    <w:rsid w:val="00EB11F0"/>
    <w:rsid w:val="00EB2015"/>
    <w:rsid w:val="00EB3DEC"/>
    <w:rsid w:val="00EB3F4B"/>
    <w:rsid w:val="00EB5559"/>
    <w:rsid w:val="00EC53F4"/>
    <w:rsid w:val="00EC5E2D"/>
    <w:rsid w:val="00EC6ED5"/>
    <w:rsid w:val="00ED096F"/>
    <w:rsid w:val="00ED2714"/>
    <w:rsid w:val="00ED2872"/>
    <w:rsid w:val="00ED2A0F"/>
    <w:rsid w:val="00ED2F67"/>
    <w:rsid w:val="00ED4792"/>
    <w:rsid w:val="00ED7B1D"/>
    <w:rsid w:val="00EE0341"/>
    <w:rsid w:val="00EE207C"/>
    <w:rsid w:val="00EE2B4B"/>
    <w:rsid w:val="00EE714C"/>
    <w:rsid w:val="00EE79CF"/>
    <w:rsid w:val="00EF03FB"/>
    <w:rsid w:val="00EF1549"/>
    <w:rsid w:val="00F0078F"/>
    <w:rsid w:val="00F0177A"/>
    <w:rsid w:val="00F01EB6"/>
    <w:rsid w:val="00F028AE"/>
    <w:rsid w:val="00F04AAF"/>
    <w:rsid w:val="00F0602F"/>
    <w:rsid w:val="00F220E2"/>
    <w:rsid w:val="00F227B3"/>
    <w:rsid w:val="00F22CDC"/>
    <w:rsid w:val="00F22DCB"/>
    <w:rsid w:val="00F2513A"/>
    <w:rsid w:val="00F3352F"/>
    <w:rsid w:val="00F35432"/>
    <w:rsid w:val="00F41A5F"/>
    <w:rsid w:val="00F4248B"/>
    <w:rsid w:val="00F4288A"/>
    <w:rsid w:val="00F4729D"/>
    <w:rsid w:val="00F511C7"/>
    <w:rsid w:val="00F51E08"/>
    <w:rsid w:val="00F539A8"/>
    <w:rsid w:val="00F611F3"/>
    <w:rsid w:val="00F655BE"/>
    <w:rsid w:val="00F67E50"/>
    <w:rsid w:val="00F739C4"/>
    <w:rsid w:val="00F74410"/>
    <w:rsid w:val="00F746BA"/>
    <w:rsid w:val="00F74AE9"/>
    <w:rsid w:val="00F814C9"/>
    <w:rsid w:val="00F837E0"/>
    <w:rsid w:val="00F84E86"/>
    <w:rsid w:val="00F85105"/>
    <w:rsid w:val="00F85F01"/>
    <w:rsid w:val="00F86AA3"/>
    <w:rsid w:val="00F90BEC"/>
    <w:rsid w:val="00F90D74"/>
    <w:rsid w:val="00F913DC"/>
    <w:rsid w:val="00F933D1"/>
    <w:rsid w:val="00F93631"/>
    <w:rsid w:val="00FA2455"/>
    <w:rsid w:val="00FA4521"/>
    <w:rsid w:val="00FA6025"/>
    <w:rsid w:val="00FB1E18"/>
    <w:rsid w:val="00FB25C5"/>
    <w:rsid w:val="00FB58CB"/>
    <w:rsid w:val="00FB6D7F"/>
    <w:rsid w:val="00FC390D"/>
    <w:rsid w:val="00FC43AF"/>
    <w:rsid w:val="00FC60E0"/>
    <w:rsid w:val="00FC660C"/>
    <w:rsid w:val="00FD23D3"/>
    <w:rsid w:val="00FD60A4"/>
    <w:rsid w:val="00FD7109"/>
    <w:rsid w:val="00FE017F"/>
    <w:rsid w:val="00FE7A2E"/>
    <w:rsid w:val="00FF1A06"/>
    <w:rsid w:val="00FF233A"/>
    <w:rsid w:val="00FF400A"/>
    <w:rsid w:val="00FF5972"/>
    <w:rsid w:val="00FF5FEE"/>
    <w:rsid w:val="00FF6881"/>
    <w:rsid w:val="00FF73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3BA3"/>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3">
    <w:name w:val="heading 3"/>
    <w:basedOn w:val="Standaard"/>
    <w:link w:val="Kop3Char"/>
    <w:uiPriority w:val="9"/>
    <w:unhideWhenUsed/>
    <w:qFormat/>
    <w:rsid w:val="0096530D"/>
    <w:pPr>
      <w:spacing w:before="100" w:beforeAutospacing="1" w:after="100" w:afterAutospacing="1" w:line="240" w:lineRule="auto"/>
      <w:outlineLvl w:val="2"/>
    </w:pPr>
    <w:rPr>
      <w:rFonts w:ascii="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Voetnoottekst">
    <w:name w:val="footnote text"/>
    <w:basedOn w:val="Standaard"/>
    <w:link w:val="VoetnoottekstChar"/>
    <w:uiPriority w:val="99"/>
    <w:semiHidden/>
    <w:unhideWhenUsed/>
    <w:rsid w:val="002E753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E7534"/>
    <w:rPr>
      <w:rFonts w:ascii="Verdana" w:hAnsi="Verdana"/>
      <w:sz w:val="20"/>
      <w:szCs w:val="20"/>
    </w:rPr>
  </w:style>
  <w:style w:type="character" w:styleId="Voetnootmarkering">
    <w:name w:val="footnote reference"/>
    <w:basedOn w:val="Standaardalinea-lettertype"/>
    <w:uiPriority w:val="99"/>
    <w:semiHidden/>
    <w:unhideWhenUsed/>
    <w:rsid w:val="002E7534"/>
    <w:rPr>
      <w:vertAlign w:val="superscript"/>
    </w:rPr>
  </w:style>
  <w:style w:type="paragraph" w:customStyle="1" w:styleId="Default">
    <w:name w:val="Default"/>
    <w:rsid w:val="00681DFA"/>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656629"/>
    <w:pPr>
      <w:ind w:left="720"/>
      <w:contextualSpacing/>
    </w:pPr>
  </w:style>
  <w:style w:type="paragraph" w:styleId="Tekstopmerking">
    <w:name w:val="annotation text"/>
    <w:basedOn w:val="Standaard"/>
    <w:link w:val="TekstopmerkingChar"/>
    <w:uiPriority w:val="99"/>
    <w:unhideWhenUsed/>
    <w:rsid w:val="00BC07DE"/>
    <w:pPr>
      <w:spacing w:line="240" w:lineRule="auto"/>
    </w:pPr>
    <w:rPr>
      <w:sz w:val="20"/>
      <w:szCs w:val="20"/>
    </w:rPr>
  </w:style>
  <w:style w:type="character" w:customStyle="1" w:styleId="TekstopmerkingChar">
    <w:name w:val="Tekst opmerking Char"/>
    <w:basedOn w:val="Standaardalinea-lettertype"/>
    <w:link w:val="Tekstopmerking"/>
    <w:uiPriority w:val="99"/>
    <w:rsid w:val="00BC07DE"/>
    <w:rPr>
      <w:rFonts w:ascii="Verdana" w:hAnsi="Verdana"/>
      <w:sz w:val="20"/>
      <w:szCs w:val="20"/>
    </w:rPr>
  </w:style>
  <w:style w:type="table" w:styleId="Tabelraster">
    <w:name w:val="Table Grid"/>
    <w:basedOn w:val="Standaardtabel"/>
    <w:uiPriority w:val="59"/>
    <w:rsid w:val="00BC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570DD7"/>
    <w:rPr>
      <w:sz w:val="16"/>
      <w:szCs w:val="16"/>
    </w:rPr>
  </w:style>
  <w:style w:type="paragraph" w:styleId="Ballontekst">
    <w:name w:val="Balloon Text"/>
    <w:basedOn w:val="Standaard"/>
    <w:link w:val="BallontekstChar"/>
    <w:uiPriority w:val="99"/>
    <w:semiHidden/>
    <w:unhideWhenUsed/>
    <w:rsid w:val="00570D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0DD7"/>
    <w:rPr>
      <w:rFonts w:ascii="Tahoma" w:hAnsi="Tahoma" w:cs="Tahoma"/>
      <w:sz w:val="16"/>
      <w:szCs w:val="16"/>
    </w:rPr>
  </w:style>
  <w:style w:type="character" w:customStyle="1" w:styleId="Kop3Char">
    <w:name w:val="Kop 3 Char"/>
    <w:basedOn w:val="Standaardalinea-lettertype"/>
    <w:link w:val="Kop3"/>
    <w:uiPriority w:val="9"/>
    <w:rsid w:val="0096530D"/>
    <w:rPr>
      <w:rFonts w:ascii="Times New Roman" w:hAnsi="Times New Roman" w:cs="Times New Roman"/>
      <w:b/>
      <w:bCs/>
      <w:sz w:val="27"/>
      <w:szCs w:val="27"/>
      <w:lang w:eastAsia="nl-NL"/>
    </w:rPr>
  </w:style>
  <w:style w:type="paragraph" w:customStyle="1" w:styleId="reaction">
    <w:name w:val="reaction"/>
    <w:basedOn w:val="Standaard"/>
    <w:uiPriority w:val="99"/>
    <w:rsid w:val="0096530D"/>
    <w:pPr>
      <w:spacing w:before="100" w:beforeAutospacing="1" w:after="100" w:afterAutospacing="1" w:line="240" w:lineRule="auto"/>
    </w:pPr>
    <w:rPr>
      <w:rFonts w:ascii="Times New Roman" w:hAnsi="Times New Roman" w:cs="Times New Roman"/>
      <w:sz w:val="24"/>
      <w:szCs w:val="24"/>
      <w:lang w:eastAsia="nl-NL"/>
    </w:rPr>
  </w:style>
  <w:style w:type="paragraph" w:customStyle="1" w:styleId="publishdetails">
    <w:name w:val="publishdetails"/>
    <w:basedOn w:val="Standaard"/>
    <w:uiPriority w:val="99"/>
    <w:rsid w:val="0096530D"/>
    <w:pPr>
      <w:spacing w:before="100" w:beforeAutospacing="1" w:after="100" w:afterAutospacing="1" w:line="240" w:lineRule="auto"/>
    </w:pPr>
    <w:rPr>
      <w:rFonts w:ascii="Times New Roman" w:hAnsi="Times New Roman" w:cs="Times New Roman"/>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7717FD"/>
    <w:rPr>
      <w:b/>
      <w:bCs/>
    </w:rPr>
  </w:style>
  <w:style w:type="character" w:customStyle="1" w:styleId="OnderwerpvanopmerkingChar">
    <w:name w:val="Onderwerp van opmerking Char"/>
    <w:basedOn w:val="TekstopmerkingChar"/>
    <w:link w:val="Onderwerpvanopmerking"/>
    <w:uiPriority w:val="99"/>
    <w:semiHidden/>
    <w:rsid w:val="007717FD"/>
    <w:rPr>
      <w:b/>
      <w:bCs/>
    </w:rPr>
  </w:style>
  <w:style w:type="paragraph" w:customStyle="1" w:styleId="lid">
    <w:name w:val="lid"/>
    <w:basedOn w:val="Standaard"/>
    <w:rsid w:val="00CA589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CA5895"/>
    <w:rPr>
      <w:color w:val="0000FF"/>
      <w:u w:val="single"/>
    </w:rPr>
  </w:style>
  <w:style w:type="paragraph" w:customStyle="1" w:styleId="labeled">
    <w:name w:val="labeled"/>
    <w:basedOn w:val="Standaard"/>
    <w:rsid w:val="00CA589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CA5895"/>
  </w:style>
  <w:style w:type="paragraph" w:styleId="Koptekst">
    <w:name w:val="header"/>
    <w:basedOn w:val="Standaard"/>
    <w:link w:val="KoptekstChar"/>
    <w:uiPriority w:val="99"/>
    <w:semiHidden/>
    <w:unhideWhenUsed/>
    <w:rsid w:val="00F90B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90BEC"/>
    <w:rPr>
      <w:rFonts w:ascii="Verdana" w:hAnsi="Verdana"/>
      <w:sz w:val="18"/>
    </w:rPr>
  </w:style>
  <w:style w:type="paragraph" w:styleId="Voettekst">
    <w:name w:val="footer"/>
    <w:basedOn w:val="Standaard"/>
    <w:link w:val="VoettekstChar"/>
    <w:uiPriority w:val="99"/>
    <w:unhideWhenUsed/>
    <w:rsid w:val="00F90B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0BEC"/>
    <w:rPr>
      <w:rFonts w:ascii="Verdana" w:hAnsi="Verdana"/>
      <w:sz w:val="18"/>
    </w:rPr>
  </w:style>
  <w:style w:type="paragraph" w:styleId="Revisie">
    <w:name w:val="Revision"/>
    <w:hidden/>
    <w:uiPriority w:val="99"/>
    <w:semiHidden/>
    <w:rsid w:val="00475739"/>
    <w:pPr>
      <w:spacing w:after="0" w:line="240" w:lineRule="auto"/>
    </w:pPr>
    <w:rPr>
      <w:rFonts w:ascii="Verdana" w:hAnsi="Verdana"/>
      <w:sz w:val="18"/>
    </w:rPr>
  </w:style>
  <w:style w:type="character" w:styleId="GevolgdeHyperlink">
    <w:name w:val="FollowedHyperlink"/>
    <w:basedOn w:val="Standaardalinea-lettertype"/>
    <w:uiPriority w:val="99"/>
    <w:semiHidden/>
    <w:unhideWhenUsed/>
    <w:rsid w:val="003C573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609505">
      <w:bodyDiv w:val="1"/>
      <w:marLeft w:val="0"/>
      <w:marRight w:val="0"/>
      <w:marTop w:val="0"/>
      <w:marBottom w:val="0"/>
      <w:divBdr>
        <w:top w:val="none" w:sz="0" w:space="0" w:color="auto"/>
        <w:left w:val="none" w:sz="0" w:space="0" w:color="auto"/>
        <w:bottom w:val="none" w:sz="0" w:space="0" w:color="auto"/>
        <w:right w:val="none" w:sz="0" w:space="0" w:color="auto"/>
      </w:divBdr>
      <w:divsChild>
        <w:div w:id="446169465">
          <w:marLeft w:val="0"/>
          <w:marRight w:val="0"/>
          <w:marTop w:val="0"/>
          <w:marBottom w:val="0"/>
          <w:divBdr>
            <w:top w:val="none" w:sz="0" w:space="0" w:color="auto"/>
            <w:left w:val="none" w:sz="0" w:space="0" w:color="auto"/>
            <w:bottom w:val="none" w:sz="0" w:space="0" w:color="auto"/>
            <w:right w:val="none" w:sz="0" w:space="0" w:color="auto"/>
          </w:divBdr>
          <w:divsChild>
            <w:div w:id="1628199973">
              <w:marLeft w:val="0"/>
              <w:marRight w:val="0"/>
              <w:marTop w:val="0"/>
              <w:marBottom w:val="0"/>
              <w:divBdr>
                <w:top w:val="none" w:sz="0" w:space="0" w:color="auto"/>
                <w:left w:val="none" w:sz="0" w:space="0" w:color="auto"/>
                <w:bottom w:val="none" w:sz="0" w:space="0" w:color="auto"/>
                <w:right w:val="none" w:sz="0" w:space="0" w:color="auto"/>
              </w:divBdr>
              <w:divsChild>
                <w:div w:id="1787428943">
                  <w:marLeft w:val="0"/>
                  <w:marRight w:val="0"/>
                  <w:marTop w:val="0"/>
                  <w:marBottom w:val="0"/>
                  <w:divBdr>
                    <w:top w:val="none" w:sz="0" w:space="0" w:color="auto"/>
                    <w:left w:val="none" w:sz="0" w:space="0" w:color="auto"/>
                    <w:bottom w:val="none" w:sz="0" w:space="0" w:color="auto"/>
                    <w:right w:val="none" w:sz="0" w:space="0" w:color="auto"/>
                  </w:divBdr>
                  <w:divsChild>
                    <w:div w:id="431366819">
                      <w:marLeft w:val="0"/>
                      <w:marRight w:val="0"/>
                      <w:marTop w:val="0"/>
                      <w:marBottom w:val="0"/>
                      <w:divBdr>
                        <w:top w:val="none" w:sz="0" w:space="0" w:color="auto"/>
                        <w:left w:val="none" w:sz="0" w:space="0" w:color="auto"/>
                        <w:bottom w:val="none" w:sz="0" w:space="0" w:color="auto"/>
                        <w:right w:val="none" w:sz="0" w:space="0" w:color="auto"/>
                      </w:divBdr>
                      <w:divsChild>
                        <w:div w:id="538661631">
                          <w:marLeft w:val="0"/>
                          <w:marRight w:val="0"/>
                          <w:marTop w:val="0"/>
                          <w:marBottom w:val="0"/>
                          <w:divBdr>
                            <w:top w:val="none" w:sz="0" w:space="0" w:color="auto"/>
                            <w:left w:val="none" w:sz="0" w:space="0" w:color="auto"/>
                            <w:bottom w:val="none" w:sz="0" w:space="0" w:color="auto"/>
                            <w:right w:val="none" w:sz="0" w:space="0" w:color="auto"/>
                          </w:divBdr>
                          <w:divsChild>
                            <w:div w:id="2024626163">
                              <w:marLeft w:val="0"/>
                              <w:marRight w:val="0"/>
                              <w:marTop w:val="0"/>
                              <w:marBottom w:val="0"/>
                              <w:divBdr>
                                <w:top w:val="none" w:sz="0" w:space="0" w:color="auto"/>
                                <w:left w:val="none" w:sz="0" w:space="0" w:color="auto"/>
                                <w:bottom w:val="none" w:sz="0" w:space="0" w:color="auto"/>
                                <w:right w:val="none" w:sz="0" w:space="0" w:color="auto"/>
                              </w:divBdr>
                              <w:divsChild>
                                <w:div w:id="217056686">
                                  <w:marLeft w:val="2633"/>
                                  <w:marRight w:val="0"/>
                                  <w:marTop w:val="0"/>
                                  <w:marBottom w:val="0"/>
                                  <w:divBdr>
                                    <w:top w:val="none" w:sz="0" w:space="0" w:color="auto"/>
                                    <w:left w:val="none" w:sz="0" w:space="0" w:color="auto"/>
                                    <w:bottom w:val="none" w:sz="0" w:space="0" w:color="auto"/>
                                    <w:right w:val="none" w:sz="0" w:space="0" w:color="auto"/>
                                  </w:divBdr>
                                  <w:divsChild>
                                    <w:div w:id="135612568">
                                      <w:marLeft w:val="0"/>
                                      <w:marRight w:val="0"/>
                                      <w:marTop w:val="0"/>
                                      <w:marBottom w:val="0"/>
                                      <w:divBdr>
                                        <w:top w:val="none" w:sz="0" w:space="0" w:color="auto"/>
                                        <w:left w:val="none" w:sz="0" w:space="0" w:color="auto"/>
                                        <w:bottom w:val="none" w:sz="0" w:space="0" w:color="auto"/>
                                        <w:right w:val="none" w:sz="0" w:space="0" w:color="auto"/>
                                      </w:divBdr>
                                      <w:divsChild>
                                        <w:div w:id="1096556513">
                                          <w:marLeft w:val="0"/>
                                          <w:marRight w:val="0"/>
                                          <w:marTop w:val="0"/>
                                          <w:marBottom w:val="0"/>
                                          <w:divBdr>
                                            <w:top w:val="none" w:sz="0" w:space="0" w:color="auto"/>
                                            <w:left w:val="none" w:sz="0" w:space="0" w:color="auto"/>
                                            <w:bottom w:val="none" w:sz="0" w:space="0" w:color="auto"/>
                                            <w:right w:val="none" w:sz="0" w:space="0" w:color="auto"/>
                                          </w:divBdr>
                                          <w:divsChild>
                                            <w:div w:id="1249193782">
                                              <w:marLeft w:val="0"/>
                                              <w:marRight w:val="0"/>
                                              <w:marTop w:val="0"/>
                                              <w:marBottom w:val="0"/>
                                              <w:divBdr>
                                                <w:top w:val="none" w:sz="0" w:space="0" w:color="auto"/>
                                                <w:left w:val="none" w:sz="0" w:space="0" w:color="auto"/>
                                                <w:bottom w:val="none" w:sz="0" w:space="0" w:color="auto"/>
                                                <w:right w:val="none" w:sz="0" w:space="0" w:color="auto"/>
                                              </w:divBdr>
                                              <w:divsChild>
                                                <w:div w:id="654181835">
                                                  <w:marLeft w:val="0"/>
                                                  <w:marRight w:val="0"/>
                                                  <w:marTop w:val="0"/>
                                                  <w:marBottom w:val="0"/>
                                                  <w:divBdr>
                                                    <w:top w:val="none" w:sz="0" w:space="0" w:color="auto"/>
                                                    <w:left w:val="none" w:sz="0" w:space="0" w:color="auto"/>
                                                    <w:bottom w:val="none" w:sz="0" w:space="0" w:color="auto"/>
                                                    <w:right w:val="none" w:sz="0" w:space="0" w:color="auto"/>
                                                  </w:divBdr>
                                                  <w:divsChild>
                                                    <w:div w:id="1694920311">
                                                      <w:marLeft w:val="0"/>
                                                      <w:marRight w:val="0"/>
                                                      <w:marTop w:val="0"/>
                                                      <w:marBottom w:val="0"/>
                                                      <w:divBdr>
                                                        <w:top w:val="none" w:sz="0" w:space="0" w:color="auto"/>
                                                        <w:left w:val="none" w:sz="0" w:space="0" w:color="auto"/>
                                                        <w:bottom w:val="none" w:sz="0" w:space="0" w:color="auto"/>
                                                        <w:right w:val="none" w:sz="0" w:space="0" w:color="auto"/>
                                                      </w:divBdr>
                                                    </w:div>
                                                    <w:div w:id="1961034034">
                                                      <w:marLeft w:val="0"/>
                                                      <w:marRight w:val="0"/>
                                                      <w:marTop w:val="0"/>
                                                      <w:marBottom w:val="0"/>
                                                      <w:divBdr>
                                                        <w:top w:val="none" w:sz="0" w:space="0" w:color="auto"/>
                                                        <w:left w:val="none" w:sz="0" w:space="0" w:color="auto"/>
                                                        <w:bottom w:val="none" w:sz="0" w:space="0" w:color="auto"/>
                                                        <w:right w:val="none" w:sz="0" w:space="0" w:color="auto"/>
                                                      </w:divBdr>
                                                    </w:div>
                                                    <w:div w:id="16402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210521">
      <w:bodyDiv w:val="1"/>
      <w:marLeft w:val="0"/>
      <w:marRight w:val="0"/>
      <w:marTop w:val="0"/>
      <w:marBottom w:val="0"/>
      <w:divBdr>
        <w:top w:val="none" w:sz="0" w:space="0" w:color="auto"/>
        <w:left w:val="none" w:sz="0" w:space="0" w:color="auto"/>
        <w:bottom w:val="none" w:sz="0" w:space="0" w:color="auto"/>
        <w:right w:val="none" w:sz="0" w:space="0" w:color="auto"/>
      </w:divBdr>
      <w:divsChild>
        <w:div w:id="542521262">
          <w:marLeft w:val="0"/>
          <w:marRight w:val="0"/>
          <w:marTop w:val="0"/>
          <w:marBottom w:val="0"/>
          <w:divBdr>
            <w:top w:val="none" w:sz="0" w:space="0" w:color="auto"/>
            <w:left w:val="none" w:sz="0" w:space="0" w:color="auto"/>
            <w:bottom w:val="none" w:sz="0" w:space="0" w:color="auto"/>
            <w:right w:val="none" w:sz="0" w:space="0" w:color="auto"/>
          </w:divBdr>
          <w:divsChild>
            <w:div w:id="491335370">
              <w:marLeft w:val="0"/>
              <w:marRight w:val="0"/>
              <w:marTop w:val="0"/>
              <w:marBottom w:val="0"/>
              <w:divBdr>
                <w:top w:val="none" w:sz="0" w:space="0" w:color="auto"/>
                <w:left w:val="none" w:sz="0" w:space="0" w:color="auto"/>
                <w:bottom w:val="none" w:sz="0" w:space="0" w:color="auto"/>
                <w:right w:val="none" w:sz="0" w:space="0" w:color="auto"/>
              </w:divBdr>
              <w:divsChild>
                <w:div w:id="115678958">
                  <w:marLeft w:val="0"/>
                  <w:marRight w:val="0"/>
                  <w:marTop w:val="0"/>
                  <w:marBottom w:val="0"/>
                  <w:divBdr>
                    <w:top w:val="none" w:sz="0" w:space="0" w:color="auto"/>
                    <w:left w:val="none" w:sz="0" w:space="0" w:color="auto"/>
                    <w:bottom w:val="none" w:sz="0" w:space="0" w:color="auto"/>
                    <w:right w:val="none" w:sz="0" w:space="0" w:color="auto"/>
                  </w:divBdr>
                  <w:divsChild>
                    <w:div w:id="1822844478">
                      <w:marLeft w:val="0"/>
                      <w:marRight w:val="0"/>
                      <w:marTop w:val="0"/>
                      <w:marBottom w:val="0"/>
                      <w:divBdr>
                        <w:top w:val="none" w:sz="0" w:space="0" w:color="auto"/>
                        <w:left w:val="none" w:sz="0" w:space="0" w:color="auto"/>
                        <w:bottom w:val="none" w:sz="0" w:space="0" w:color="auto"/>
                        <w:right w:val="none" w:sz="0" w:space="0" w:color="auto"/>
                      </w:divBdr>
                      <w:divsChild>
                        <w:div w:id="1554542389">
                          <w:marLeft w:val="0"/>
                          <w:marRight w:val="0"/>
                          <w:marTop w:val="0"/>
                          <w:marBottom w:val="0"/>
                          <w:divBdr>
                            <w:top w:val="none" w:sz="0" w:space="0" w:color="auto"/>
                            <w:left w:val="none" w:sz="0" w:space="0" w:color="auto"/>
                            <w:bottom w:val="none" w:sz="0" w:space="0" w:color="auto"/>
                            <w:right w:val="none" w:sz="0" w:space="0" w:color="auto"/>
                          </w:divBdr>
                          <w:divsChild>
                            <w:div w:id="17257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046467">
      <w:bodyDiv w:val="1"/>
      <w:marLeft w:val="0"/>
      <w:marRight w:val="0"/>
      <w:marTop w:val="0"/>
      <w:marBottom w:val="0"/>
      <w:divBdr>
        <w:top w:val="none" w:sz="0" w:space="0" w:color="auto"/>
        <w:left w:val="none" w:sz="0" w:space="0" w:color="auto"/>
        <w:bottom w:val="none" w:sz="0" w:space="0" w:color="auto"/>
        <w:right w:val="none" w:sz="0" w:space="0" w:color="auto"/>
      </w:divBdr>
    </w:div>
    <w:div w:id="195863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5082</ap:Words>
  <ap:Characters>27951</ap:Characters>
  <ap:DocSecurity>0</ap:DocSecurity>
  <ap:Lines>232</ap:Lines>
  <ap:Paragraphs>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2015-12-16T13:00:00.0000000Z</lastPrinted>
  <dcterms:created xsi:type="dcterms:W3CDTF">2015-12-17T12:50:00.0000000Z</dcterms:created>
  <dcterms:modified xsi:type="dcterms:W3CDTF">2015-12-17T12:50:00.0000000Z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0x010100A6E960D844F65C41917FD5AD18E5DEC4</vt:lpwstr>
  </property>
</Properties>
</file>