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B9F" w:rsidRDefault="001856D0">
      <w:pPr>
        <w:autoSpaceDE w:val="0"/>
        <w:autoSpaceDN w:val="0"/>
        <w:adjustRightInd w:val="0"/>
        <w:spacing w:before="0" w:after="0"/>
        <w:ind w:left="1416" w:hanging="1371"/>
        <w:rPr>
          <w:b/>
          <w:bCs/>
          <w:sz w:val="23"/>
          <w:szCs w:val="23"/>
        </w:rPr>
      </w:pPr>
      <w:r>
        <w:rPr>
          <w:b/>
          <w:bCs/>
          <w:sz w:val="23"/>
          <w:szCs w:val="23"/>
        </w:rPr>
        <w:t>34350-XVII</w:t>
      </w:r>
      <w:r>
        <w:rPr>
          <w:b/>
          <w:bCs/>
          <w:sz w:val="23"/>
          <w:szCs w:val="23"/>
        </w:rPr>
        <w:tab/>
        <w:t>Wijziging van de begrotingsstaat van Buitenlandse Handel en Ontwikkelingssamenwerking (XVII) voor het jaar 2015 (wijziging samenhangende met de Najaarsnota)</w:t>
      </w:r>
    </w:p>
    <w:p w:rsidR="00177B9F" w:rsidRDefault="00177B9F">
      <w:pPr>
        <w:autoSpaceDE w:val="0"/>
        <w:autoSpaceDN w:val="0"/>
        <w:adjustRightInd w:val="0"/>
        <w:spacing w:before="0" w:after="0"/>
        <w:ind w:left="1416" w:hanging="1371"/>
        <w:rPr>
          <w:b/>
        </w:rPr>
      </w:pPr>
    </w:p>
    <w:p w:rsidR="00177B9F" w:rsidRDefault="001856D0">
      <w:pPr>
        <w:rPr>
          <w:b/>
        </w:rPr>
      </w:pPr>
      <w:r>
        <w:rPr>
          <w:b/>
        </w:rPr>
        <w:t xml:space="preserve">nr. </w:t>
      </w:r>
      <w:r>
        <w:rPr>
          <w:b/>
        </w:rPr>
        <w:tab/>
      </w:r>
      <w:r>
        <w:rPr>
          <w:b/>
        </w:rPr>
        <w:tab/>
        <w:t>Lijst van vragen en antwoorden</w:t>
      </w:r>
    </w:p>
    <w:p w:rsidR="00177B9F" w:rsidRDefault="001856D0">
      <w:r>
        <w:tab/>
      </w:r>
      <w:r>
        <w:tab/>
      </w:r>
    </w:p>
    <w:p w:rsidR="00177B9F" w:rsidRDefault="006E7DD9">
      <w:pPr>
        <w:ind w:left="702" w:firstLine="708"/>
        <w:rPr>
          <w:i/>
        </w:rPr>
      </w:pPr>
      <w:r>
        <w:t>Vastgesteld (…)</w:t>
      </w:r>
    </w:p>
    <w:p w:rsidR="00177B9F" w:rsidRDefault="006E7DD9">
      <w:pPr>
        <w:ind w:left="1410"/>
      </w:pPr>
      <w:r>
        <w:t xml:space="preserve">De algemene commissie voor Buitenlandse Handel en Ontwikkelingssamenwerking </w:t>
      </w:r>
      <w:r w:rsidR="001856D0">
        <w:t xml:space="preserve"> heeft een aant</w:t>
      </w:r>
      <w:r>
        <w:t xml:space="preserve">al vragen voorgelegd aan de minister voor Buitenlandse Handel en Ontwikkelingssamenwerking </w:t>
      </w:r>
      <w:r w:rsidR="001856D0">
        <w:t>over</w:t>
      </w:r>
      <w:r>
        <w:t xml:space="preserve"> </w:t>
      </w:r>
      <w:r w:rsidR="001856D0">
        <w:t xml:space="preserve">de </w:t>
      </w:r>
      <w:r w:rsidR="001856D0">
        <w:rPr>
          <w:b/>
        </w:rPr>
        <w:t>Wijziging van de begrotingsstaat van Buitenlandse Handel en Ontwikkelingssamenwerking (XVII) voor het jaar 2015 (wijziging samenhangende met de Najaarsnota)</w:t>
      </w:r>
      <w:r w:rsidR="001856D0">
        <w:t xml:space="preserve"> (</w:t>
      </w:r>
      <w:r>
        <w:rPr>
          <w:b/>
        </w:rPr>
        <w:t>34350-XVII</w:t>
      </w:r>
      <w:r w:rsidR="001856D0">
        <w:t>).</w:t>
      </w:r>
    </w:p>
    <w:p w:rsidR="00177B9F" w:rsidRDefault="006E7DD9">
      <w:pPr>
        <w:ind w:left="1410"/>
      </w:pPr>
      <w:r>
        <w:t>De daarop door de minister</w:t>
      </w:r>
      <w:r w:rsidR="001856D0">
        <w:t xml:space="preserve"> gegeven antwoorden zijn hierbij afgedrukt.</w:t>
      </w:r>
    </w:p>
    <w:p w:rsidR="00177B9F" w:rsidRDefault="00177B9F">
      <w:pPr>
        <w:spacing w:before="0" w:after="0"/>
      </w:pPr>
    </w:p>
    <w:p w:rsidR="00177B9F" w:rsidRDefault="001856D0">
      <w:pPr>
        <w:spacing w:before="0" w:after="0"/>
        <w:ind w:left="703" w:firstLine="709"/>
      </w:pPr>
      <w:r>
        <w:t xml:space="preserve">Voorzitter van de commissie, </w:t>
      </w:r>
    </w:p>
    <w:p w:rsidR="00177B9F" w:rsidRDefault="006E7DD9">
      <w:pPr>
        <w:spacing w:before="0" w:after="0"/>
      </w:pPr>
      <w:r>
        <w:tab/>
      </w:r>
      <w:r>
        <w:tab/>
        <w:t>De Roon</w:t>
      </w:r>
    </w:p>
    <w:p w:rsidR="00177B9F" w:rsidRDefault="001856D0">
      <w:pPr>
        <w:spacing w:before="0" w:after="0"/>
      </w:pPr>
      <w:r>
        <w:tab/>
      </w:r>
      <w:r>
        <w:tab/>
      </w:r>
    </w:p>
    <w:p w:rsidR="00177B9F" w:rsidRDefault="006E7DD9">
      <w:pPr>
        <w:spacing w:before="0" w:after="0"/>
      </w:pPr>
      <w:r>
        <w:tab/>
      </w:r>
      <w:r>
        <w:tab/>
        <w:t>Adjunct-g</w:t>
      </w:r>
      <w:r w:rsidR="001856D0">
        <w:t>riffier van de commissie,</w:t>
      </w:r>
    </w:p>
    <w:p w:rsidR="00177B9F" w:rsidRDefault="006E7DD9">
      <w:pPr>
        <w:spacing w:before="0" w:after="0"/>
      </w:pPr>
      <w:r>
        <w:tab/>
      </w:r>
      <w:r>
        <w:tab/>
        <w:t>Wiskerke</w:t>
      </w:r>
    </w:p>
    <w:p w:rsidR="00177B9F" w:rsidRDefault="00177B9F"/>
    <w:tbl>
      <w:tblPr>
        <w:tblW w:w="9497" w:type="dxa"/>
        <w:tblLayout w:type="fixed"/>
        <w:tblCellMar>
          <w:left w:w="0" w:type="dxa"/>
          <w:right w:w="0" w:type="dxa"/>
        </w:tblCellMar>
        <w:tblLook w:val="0000" w:firstRow="0" w:lastRow="0" w:firstColumn="0" w:lastColumn="0" w:noHBand="0" w:noVBand="0"/>
      </w:tblPr>
      <w:tblGrid>
        <w:gridCol w:w="567"/>
        <w:gridCol w:w="6663"/>
        <w:gridCol w:w="1275"/>
        <w:gridCol w:w="425"/>
        <w:gridCol w:w="567"/>
      </w:tblGrid>
      <w:tr w:rsidR="00177B9F">
        <w:trPr>
          <w:cantSplit/>
        </w:trPr>
        <w:tc>
          <w:tcPr>
            <w:tcW w:w="567" w:type="dxa"/>
          </w:tcPr>
          <w:p w:rsidR="00177B9F" w:rsidRDefault="001856D0">
            <w:bookmarkStart w:name="bmkStartTabel" w:id="0"/>
            <w:bookmarkEnd w:id="0"/>
            <w:proofErr w:type="spellStart"/>
            <w:r>
              <w:t>Nr</w:t>
            </w:r>
            <w:proofErr w:type="spellEnd"/>
          </w:p>
        </w:tc>
        <w:tc>
          <w:tcPr>
            <w:tcW w:w="6663" w:type="dxa"/>
          </w:tcPr>
          <w:p w:rsidR="00177B9F" w:rsidRDefault="001856D0">
            <w:r>
              <w:t>Vraag</w:t>
            </w:r>
          </w:p>
        </w:tc>
        <w:tc>
          <w:tcPr>
            <w:tcW w:w="1275" w:type="dxa"/>
          </w:tcPr>
          <w:p w:rsidR="00177B9F" w:rsidRDefault="001856D0">
            <w:pPr>
              <w:jc w:val="right"/>
            </w:pPr>
            <w:r>
              <w:t>Bijlage</w:t>
            </w:r>
          </w:p>
        </w:tc>
        <w:tc>
          <w:tcPr>
            <w:tcW w:w="425" w:type="dxa"/>
          </w:tcPr>
          <w:p w:rsidR="00177B9F" w:rsidRDefault="001856D0">
            <w:pPr>
              <w:jc w:val="right"/>
            </w:pPr>
            <w:proofErr w:type="spellStart"/>
            <w:r>
              <w:t>Blz</w:t>
            </w:r>
            <w:proofErr w:type="spellEnd"/>
          </w:p>
          <w:p w:rsidR="00177B9F" w:rsidRDefault="001856D0">
            <w:pPr>
              <w:jc w:val="right"/>
            </w:pPr>
            <w:r>
              <w:t>van</w:t>
            </w:r>
          </w:p>
        </w:tc>
        <w:tc>
          <w:tcPr>
            <w:tcW w:w="567" w:type="dxa"/>
          </w:tcPr>
          <w:p w:rsidR="00177B9F" w:rsidRDefault="00177B9F">
            <w:pPr>
              <w:jc w:val="right"/>
            </w:pPr>
          </w:p>
          <w:p w:rsidR="00177B9F" w:rsidRDefault="001856D0">
            <w:pPr>
              <w:jc w:val="right"/>
            </w:pPr>
            <w:r>
              <w:t>tot</w:t>
            </w:r>
          </w:p>
        </w:tc>
      </w:tr>
      <w:tr w:rsidR="00177B9F">
        <w:tc>
          <w:tcPr>
            <w:tcW w:w="567" w:type="dxa"/>
          </w:tcPr>
          <w:p w:rsidR="00177B9F" w:rsidRDefault="001856D0">
            <w:r>
              <w:t>1</w:t>
            </w:r>
          </w:p>
        </w:tc>
        <w:tc>
          <w:tcPr>
            <w:tcW w:w="6663" w:type="dxa"/>
          </w:tcPr>
          <w:p w:rsidR="00177B9F" w:rsidRDefault="001856D0">
            <w:r>
              <w:t xml:space="preserve">Klopt de conclusie van de Volkskrant dat er slechts 150 miljoen euro aan </w:t>
            </w:r>
            <w:proofErr w:type="spellStart"/>
            <w:r>
              <w:t>onderuitputting</w:t>
            </w:r>
            <w:proofErr w:type="spellEnd"/>
            <w:r>
              <w:t xml:space="preserve"> te verdelen was, dat daarvan 90 miljoen euro van de begroting Ontwikkelingssamenwerking komt en dat er nog 200 miljoen euro aan dekking gevonden moet worden?</w:t>
            </w:r>
          </w:p>
        </w:tc>
        <w:tc>
          <w:tcPr>
            <w:tcW w:w="1275" w:type="dxa"/>
          </w:tcPr>
          <w:p w:rsidR="00177B9F" w:rsidRDefault="00177B9F">
            <w:pPr>
              <w:jc w:val="right"/>
            </w:pPr>
          </w:p>
        </w:tc>
        <w:tc>
          <w:tcPr>
            <w:tcW w:w="425" w:type="dxa"/>
          </w:tcPr>
          <w:p w:rsidR="00177B9F" w:rsidRDefault="001856D0">
            <w:pPr>
              <w:jc w:val="right"/>
            </w:pPr>
            <w:r>
              <w:t>0</w:t>
            </w:r>
          </w:p>
        </w:tc>
        <w:tc>
          <w:tcPr>
            <w:tcW w:w="567" w:type="dxa"/>
            <w:tcBorders>
              <w:left w:val="nil"/>
            </w:tcBorders>
          </w:tcPr>
          <w:p w:rsidR="00177B9F" w:rsidRDefault="001856D0">
            <w:pPr>
              <w:jc w:val="right"/>
            </w:pPr>
            <w:r>
              <w:t xml:space="preserve"> </w:t>
            </w:r>
          </w:p>
        </w:tc>
      </w:tr>
      <w:tr w:rsidR="00177B9F">
        <w:tc>
          <w:tcPr>
            <w:tcW w:w="567" w:type="dxa"/>
          </w:tcPr>
          <w:p w:rsidR="00177B9F" w:rsidRDefault="001856D0">
            <w:r>
              <w:t>2</w:t>
            </w:r>
          </w:p>
        </w:tc>
        <w:tc>
          <w:tcPr>
            <w:tcW w:w="6663" w:type="dxa"/>
          </w:tcPr>
          <w:p w:rsidR="00177B9F" w:rsidRDefault="001856D0">
            <w:r>
              <w:t xml:space="preserve">Verwacht u de volledige 76,4 miljoen euro die in 2015 voor het Dutch </w:t>
            </w:r>
            <w:proofErr w:type="spellStart"/>
            <w:r>
              <w:t>Good</w:t>
            </w:r>
            <w:proofErr w:type="spellEnd"/>
            <w:r>
              <w:t xml:space="preserve"> </w:t>
            </w:r>
            <w:proofErr w:type="spellStart"/>
            <w:r>
              <w:t>Growth</w:t>
            </w:r>
            <w:proofErr w:type="spellEnd"/>
            <w:r>
              <w:t xml:space="preserve"> Fund (DGGF) beschikbaar is nog uit te geven? Zo ja, wanneer?</w:t>
            </w:r>
          </w:p>
        </w:tc>
        <w:tc>
          <w:tcPr>
            <w:tcW w:w="1275" w:type="dxa"/>
          </w:tcPr>
          <w:p w:rsidR="00177B9F" w:rsidRDefault="00177B9F">
            <w:pPr>
              <w:jc w:val="right"/>
            </w:pPr>
          </w:p>
        </w:tc>
        <w:tc>
          <w:tcPr>
            <w:tcW w:w="425" w:type="dxa"/>
          </w:tcPr>
          <w:p w:rsidR="00177B9F" w:rsidRDefault="001856D0">
            <w:pPr>
              <w:jc w:val="right"/>
            </w:pPr>
            <w:r>
              <w:t>1</w:t>
            </w:r>
          </w:p>
        </w:tc>
        <w:tc>
          <w:tcPr>
            <w:tcW w:w="567" w:type="dxa"/>
            <w:tcBorders>
              <w:left w:val="nil"/>
            </w:tcBorders>
          </w:tcPr>
          <w:p w:rsidR="00177B9F" w:rsidRDefault="001856D0">
            <w:pPr>
              <w:jc w:val="right"/>
            </w:pPr>
            <w:r>
              <w:t xml:space="preserve"> </w:t>
            </w:r>
          </w:p>
        </w:tc>
      </w:tr>
      <w:tr w:rsidR="00177B9F">
        <w:tc>
          <w:tcPr>
            <w:tcW w:w="567" w:type="dxa"/>
          </w:tcPr>
          <w:p w:rsidR="00177B9F" w:rsidRDefault="001856D0">
            <w:r>
              <w:t>3</w:t>
            </w:r>
          </w:p>
        </w:tc>
        <w:tc>
          <w:tcPr>
            <w:tcW w:w="6663" w:type="dxa"/>
          </w:tcPr>
          <w:p w:rsidR="00177B9F" w:rsidRDefault="001856D0">
            <w:r>
              <w:t>Wat zijn volgens u de budgettaire consequenties voor de meerjarige raming van het DGGF (2016 en 2017) gezien de lange looptijd van de financieringen voor het onderdeel ‘Investeren NL MKB’ en de langere investeringsperiode van de transacties onder het onderdeel ‘Investeren lokaal MKB’? Wordt de raming voor komende jaren naar boven bijgesteld?</w:t>
            </w:r>
          </w:p>
        </w:tc>
        <w:tc>
          <w:tcPr>
            <w:tcW w:w="1275" w:type="dxa"/>
          </w:tcPr>
          <w:p w:rsidR="00177B9F" w:rsidRDefault="00177B9F">
            <w:pPr>
              <w:jc w:val="right"/>
            </w:pPr>
          </w:p>
        </w:tc>
        <w:tc>
          <w:tcPr>
            <w:tcW w:w="425" w:type="dxa"/>
          </w:tcPr>
          <w:p w:rsidR="00177B9F" w:rsidRDefault="001856D0">
            <w:pPr>
              <w:jc w:val="right"/>
            </w:pPr>
            <w:r>
              <w:t>1</w:t>
            </w:r>
          </w:p>
        </w:tc>
        <w:tc>
          <w:tcPr>
            <w:tcW w:w="567" w:type="dxa"/>
            <w:tcBorders>
              <w:left w:val="nil"/>
            </w:tcBorders>
          </w:tcPr>
          <w:p w:rsidR="00177B9F" w:rsidRDefault="001856D0">
            <w:pPr>
              <w:jc w:val="right"/>
            </w:pPr>
            <w:r>
              <w:t xml:space="preserve"> </w:t>
            </w:r>
          </w:p>
        </w:tc>
      </w:tr>
      <w:tr w:rsidR="00177B9F">
        <w:tc>
          <w:tcPr>
            <w:tcW w:w="567" w:type="dxa"/>
          </w:tcPr>
          <w:p w:rsidR="00177B9F" w:rsidRDefault="001856D0">
            <w:r>
              <w:t>4</w:t>
            </w:r>
          </w:p>
        </w:tc>
        <w:tc>
          <w:tcPr>
            <w:tcW w:w="6663" w:type="dxa"/>
          </w:tcPr>
          <w:p w:rsidR="00177B9F" w:rsidRDefault="001856D0">
            <w:r>
              <w:t xml:space="preserve">Kunt u aangeven aan welk jaar de 73,6 miljoen euro </w:t>
            </w:r>
            <w:proofErr w:type="spellStart"/>
            <w:r>
              <w:t>onderuitputting</w:t>
            </w:r>
            <w:proofErr w:type="spellEnd"/>
            <w:r>
              <w:t xml:space="preserve"> voor het DGGF toegevoegd wordt?</w:t>
            </w:r>
          </w:p>
        </w:tc>
        <w:tc>
          <w:tcPr>
            <w:tcW w:w="1275" w:type="dxa"/>
          </w:tcPr>
          <w:p w:rsidR="00177B9F" w:rsidRDefault="00177B9F">
            <w:pPr>
              <w:jc w:val="right"/>
            </w:pPr>
          </w:p>
        </w:tc>
        <w:tc>
          <w:tcPr>
            <w:tcW w:w="425" w:type="dxa"/>
          </w:tcPr>
          <w:p w:rsidR="00177B9F" w:rsidRDefault="001856D0">
            <w:pPr>
              <w:jc w:val="right"/>
            </w:pPr>
            <w:r>
              <w:t>1</w:t>
            </w:r>
          </w:p>
        </w:tc>
        <w:tc>
          <w:tcPr>
            <w:tcW w:w="567" w:type="dxa"/>
            <w:tcBorders>
              <w:left w:val="nil"/>
            </w:tcBorders>
          </w:tcPr>
          <w:p w:rsidR="00177B9F" w:rsidRDefault="001856D0">
            <w:pPr>
              <w:jc w:val="right"/>
            </w:pPr>
            <w:r>
              <w:t xml:space="preserve"> </w:t>
            </w:r>
          </w:p>
        </w:tc>
      </w:tr>
      <w:tr w:rsidR="00177B9F">
        <w:tc>
          <w:tcPr>
            <w:tcW w:w="567" w:type="dxa"/>
          </w:tcPr>
          <w:p w:rsidR="00177B9F" w:rsidRDefault="001856D0">
            <w:r>
              <w:t>5</w:t>
            </w:r>
          </w:p>
        </w:tc>
        <w:tc>
          <w:tcPr>
            <w:tcW w:w="6663" w:type="dxa"/>
          </w:tcPr>
          <w:p w:rsidR="00177B9F" w:rsidRDefault="001856D0">
            <w:r>
              <w:t>Verwacht u de volledige 14 miljoen euro die in 2015 voor de technische assistentie van het DGGF beschikbaar is nog uit te geven? Zo nee, wat gebeurt er met deze middelen?</w:t>
            </w:r>
          </w:p>
        </w:tc>
        <w:tc>
          <w:tcPr>
            <w:tcW w:w="1275" w:type="dxa"/>
          </w:tcPr>
          <w:p w:rsidR="00177B9F" w:rsidRDefault="00177B9F">
            <w:pPr>
              <w:jc w:val="right"/>
            </w:pPr>
          </w:p>
        </w:tc>
        <w:tc>
          <w:tcPr>
            <w:tcW w:w="425" w:type="dxa"/>
          </w:tcPr>
          <w:p w:rsidR="00177B9F" w:rsidRDefault="001856D0">
            <w:pPr>
              <w:jc w:val="right"/>
            </w:pPr>
            <w:r>
              <w:t>1</w:t>
            </w:r>
          </w:p>
        </w:tc>
        <w:tc>
          <w:tcPr>
            <w:tcW w:w="567" w:type="dxa"/>
            <w:tcBorders>
              <w:left w:val="nil"/>
            </w:tcBorders>
          </w:tcPr>
          <w:p w:rsidR="00177B9F" w:rsidRDefault="001856D0">
            <w:pPr>
              <w:jc w:val="right"/>
            </w:pPr>
            <w:r>
              <w:t xml:space="preserve"> </w:t>
            </w:r>
          </w:p>
        </w:tc>
      </w:tr>
      <w:tr w:rsidR="00177B9F">
        <w:tc>
          <w:tcPr>
            <w:tcW w:w="567" w:type="dxa"/>
          </w:tcPr>
          <w:p w:rsidR="00177B9F" w:rsidRDefault="001856D0">
            <w:r>
              <w:t>6</w:t>
            </w:r>
          </w:p>
        </w:tc>
        <w:tc>
          <w:tcPr>
            <w:tcW w:w="6663" w:type="dxa"/>
          </w:tcPr>
          <w:p w:rsidR="00177B9F" w:rsidRDefault="001856D0">
            <w:r>
              <w:t>Wanneer wordt besloten wat er gedaan wordt met de opgepotte middelen in het DGGF voor het jaar 2017?</w:t>
            </w:r>
          </w:p>
        </w:tc>
        <w:tc>
          <w:tcPr>
            <w:tcW w:w="1275" w:type="dxa"/>
          </w:tcPr>
          <w:p w:rsidR="00177B9F" w:rsidRDefault="00177B9F">
            <w:pPr>
              <w:jc w:val="right"/>
            </w:pPr>
          </w:p>
        </w:tc>
        <w:tc>
          <w:tcPr>
            <w:tcW w:w="425" w:type="dxa"/>
          </w:tcPr>
          <w:p w:rsidR="00177B9F" w:rsidRDefault="001856D0">
            <w:pPr>
              <w:jc w:val="right"/>
            </w:pPr>
            <w:r>
              <w:t>1</w:t>
            </w:r>
          </w:p>
        </w:tc>
        <w:tc>
          <w:tcPr>
            <w:tcW w:w="567" w:type="dxa"/>
            <w:tcBorders>
              <w:left w:val="nil"/>
            </w:tcBorders>
          </w:tcPr>
          <w:p w:rsidR="00177B9F" w:rsidRDefault="001856D0">
            <w:pPr>
              <w:jc w:val="right"/>
            </w:pPr>
            <w:r>
              <w:t xml:space="preserve"> </w:t>
            </w:r>
          </w:p>
        </w:tc>
      </w:tr>
      <w:tr w:rsidR="00177B9F">
        <w:tc>
          <w:tcPr>
            <w:tcW w:w="567" w:type="dxa"/>
          </w:tcPr>
          <w:p w:rsidR="00177B9F" w:rsidRDefault="001856D0">
            <w:r>
              <w:t>7</w:t>
            </w:r>
          </w:p>
        </w:tc>
        <w:tc>
          <w:tcPr>
            <w:tcW w:w="6663" w:type="dxa"/>
          </w:tcPr>
          <w:p w:rsidR="00177B9F" w:rsidRDefault="001856D0">
            <w:r>
              <w:t>Wanneer wordt besloten om binnen het DGGF tussen verschillende sporen te schuiven met middelen?</w:t>
            </w:r>
          </w:p>
        </w:tc>
        <w:tc>
          <w:tcPr>
            <w:tcW w:w="1275" w:type="dxa"/>
          </w:tcPr>
          <w:p w:rsidR="00177B9F" w:rsidRDefault="00177B9F">
            <w:pPr>
              <w:jc w:val="right"/>
            </w:pPr>
          </w:p>
        </w:tc>
        <w:tc>
          <w:tcPr>
            <w:tcW w:w="425" w:type="dxa"/>
          </w:tcPr>
          <w:p w:rsidR="00177B9F" w:rsidRDefault="001856D0">
            <w:pPr>
              <w:jc w:val="right"/>
            </w:pPr>
            <w:r>
              <w:t>1</w:t>
            </w:r>
          </w:p>
        </w:tc>
        <w:tc>
          <w:tcPr>
            <w:tcW w:w="567" w:type="dxa"/>
            <w:tcBorders>
              <w:left w:val="nil"/>
            </w:tcBorders>
          </w:tcPr>
          <w:p w:rsidR="00177B9F" w:rsidRDefault="001856D0">
            <w:pPr>
              <w:jc w:val="right"/>
            </w:pPr>
            <w:r>
              <w:t xml:space="preserve"> </w:t>
            </w:r>
          </w:p>
        </w:tc>
      </w:tr>
      <w:tr w:rsidR="00177B9F">
        <w:tc>
          <w:tcPr>
            <w:tcW w:w="567" w:type="dxa"/>
          </w:tcPr>
          <w:p w:rsidR="00177B9F" w:rsidRDefault="001856D0">
            <w:r>
              <w:t>8</w:t>
            </w:r>
          </w:p>
        </w:tc>
        <w:tc>
          <w:tcPr>
            <w:tcW w:w="6663" w:type="dxa"/>
          </w:tcPr>
          <w:p w:rsidR="00177B9F" w:rsidRDefault="001856D0">
            <w:r>
              <w:t>Hoeveel vrije ruimte is er nog beschikbaar binnen het ODA-budget tot aan 2020 als gevolg van hogere economische groei (BNI-bijstelling)?</w:t>
            </w:r>
          </w:p>
        </w:tc>
        <w:tc>
          <w:tcPr>
            <w:tcW w:w="1275" w:type="dxa"/>
          </w:tcPr>
          <w:p w:rsidR="00177B9F" w:rsidRDefault="00177B9F">
            <w:pPr>
              <w:jc w:val="right"/>
            </w:pPr>
          </w:p>
        </w:tc>
        <w:tc>
          <w:tcPr>
            <w:tcW w:w="425" w:type="dxa"/>
          </w:tcPr>
          <w:p w:rsidR="00177B9F" w:rsidRDefault="001856D0">
            <w:pPr>
              <w:jc w:val="right"/>
            </w:pPr>
            <w:r>
              <w:t>1</w:t>
            </w:r>
          </w:p>
        </w:tc>
        <w:tc>
          <w:tcPr>
            <w:tcW w:w="567" w:type="dxa"/>
            <w:tcBorders>
              <w:left w:val="nil"/>
            </w:tcBorders>
          </w:tcPr>
          <w:p w:rsidR="00177B9F" w:rsidRDefault="001856D0">
            <w:pPr>
              <w:jc w:val="right"/>
            </w:pPr>
            <w:r>
              <w:t xml:space="preserve"> </w:t>
            </w:r>
          </w:p>
        </w:tc>
      </w:tr>
      <w:tr w:rsidR="00177B9F">
        <w:tc>
          <w:tcPr>
            <w:tcW w:w="567" w:type="dxa"/>
          </w:tcPr>
          <w:p w:rsidR="00177B9F" w:rsidRDefault="001856D0">
            <w:r>
              <w:t>9</w:t>
            </w:r>
          </w:p>
        </w:tc>
        <w:tc>
          <w:tcPr>
            <w:tcW w:w="6663" w:type="dxa"/>
          </w:tcPr>
          <w:p w:rsidR="00177B9F" w:rsidRDefault="001856D0">
            <w:r>
              <w:t>Hoe wordt de 27 miljoen euro van de EU-vergoeding die beschikbaar is voor de begroting Buitenlandse Handel en Ontwikkelingssamenwerking in het voorjaar 2016 besteed?</w:t>
            </w:r>
          </w:p>
        </w:tc>
        <w:tc>
          <w:tcPr>
            <w:tcW w:w="1275" w:type="dxa"/>
          </w:tcPr>
          <w:p w:rsidR="00177B9F" w:rsidRDefault="00177B9F">
            <w:pPr>
              <w:jc w:val="right"/>
            </w:pPr>
          </w:p>
        </w:tc>
        <w:tc>
          <w:tcPr>
            <w:tcW w:w="425" w:type="dxa"/>
          </w:tcPr>
          <w:p w:rsidR="00177B9F" w:rsidRDefault="001856D0">
            <w:pPr>
              <w:jc w:val="right"/>
            </w:pPr>
            <w:r>
              <w:t>1</w:t>
            </w:r>
          </w:p>
        </w:tc>
        <w:tc>
          <w:tcPr>
            <w:tcW w:w="567" w:type="dxa"/>
            <w:tcBorders>
              <w:left w:val="nil"/>
            </w:tcBorders>
          </w:tcPr>
          <w:p w:rsidR="00177B9F" w:rsidRDefault="001856D0">
            <w:pPr>
              <w:jc w:val="right"/>
            </w:pPr>
            <w:r>
              <w:t xml:space="preserve"> </w:t>
            </w:r>
          </w:p>
        </w:tc>
      </w:tr>
      <w:tr w:rsidR="00177B9F">
        <w:tc>
          <w:tcPr>
            <w:tcW w:w="567" w:type="dxa"/>
          </w:tcPr>
          <w:p w:rsidR="00177B9F" w:rsidRDefault="001856D0">
            <w:r>
              <w:t>10</w:t>
            </w:r>
          </w:p>
        </w:tc>
        <w:tc>
          <w:tcPr>
            <w:tcW w:w="6663" w:type="dxa"/>
          </w:tcPr>
          <w:p w:rsidR="00177B9F" w:rsidRDefault="001856D0">
            <w:r>
              <w:t>In hoeverre worden nieuwe begrotingslijnen in het kader van Ontwikkelingssamenwerking mogelijk in de periode 2016 - 2020, gelet op de kasschuif?</w:t>
            </w:r>
          </w:p>
        </w:tc>
        <w:tc>
          <w:tcPr>
            <w:tcW w:w="1275" w:type="dxa"/>
          </w:tcPr>
          <w:p w:rsidR="00177B9F" w:rsidRDefault="00177B9F">
            <w:pPr>
              <w:jc w:val="right"/>
            </w:pPr>
          </w:p>
        </w:tc>
        <w:tc>
          <w:tcPr>
            <w:tcW w:w="425" w:type="dxa"/>
          </w:tcPr>
          <w:p w:rsidR="00177B9F" w:rsidRDefault="001856D0">
            <w:pPr>
              <w:jc w:val="right"/>
            </w:pPr>
            <w:r>
              <w:t>1</w:t>
            </w:r>
          </w:p>
        </w:tc>
        <w:tc>
          <w:tcPr>
            <w:tcW w:w="567" w:type="dxa"/>
            <w:tcBorders>
              <w:left w:val="nil"/>
            </w:tcBorders>
          </w:tcPr>
          <w:p w:rsidR="00177B9F" w:rsidRDefault="001856D0">
            <w:pPr>
              <w:jc w:val="right"/>
            </w:pPr>
            <w:r>
              <w:t xml:space="preserve">2 </w:t>
            </w:r>
          </w:p>
        </w:tc>
      </w:tr>
      <w:tr w:rsidR="00177B9F">
        <w:tc>
          <w:tcPr>
            <w:tcW w:w="567" w:type="dxa"/>
          </w:tcPr>
          <w:p w:rsidR="00177B9F" w:rsidRDefault="001856D0">
            <w:r>
              <w:t>11</w:t>
            </w:r>
          </w:p>
        </w:tc>
        <w:tc>
          <w:tcPr>
            <w:tcW w:w="6663" w:type="dxa"/>
          </w:tcPr>
          <w:p w:rsidR="00177B9F" w:rsidRDefault="001856D0">
            <w:r>
              <w:t xml:space="preserve">Kunt u verduidelijken en uitsplitsen uit welke </w:t>
            </w:r>
            <w:proofErr w:type="spellStart"/>
            <w:r>
              <w:t>onderuitputtingen</w:t>
            </w:r>
            <w:proofErr w:type="spellEnd"/>
            <w:r>
              <w:t xml:space="preserve"> de extra </w:t>
            </w:r>
            <w:r>
              <w:lastRenderedPageBreak/>
              <w:t>bestedingen aan IND/</w:t>
            </w:r>
            <w:proofErr w:type="spellStart"/>
            <w:r>
              <w:t>Nipos</w:t>
            </w:r>
            <w:proofErr w:type="spellEnd"/>
            <w:r>
              <w:t xml:space="preserve"> worden betaald?</w:t>
            </w:r>
          </w:p>
        </w:tc>
        <w:tc>
          <w:tcPr>
            <w:tcW w:w="1275" w:type="dxa"/>
          </w:tcPr>
          <w:p w:rsidR="00177B9F" w:rsidRDefault="00177B9F">
            <w:pPr>
              <w:jc w:val="right"/>
            </w:pPr>
          </w:p>
        </w:tc>
        <w:tc>
          <w:tcPr>
            <w:tcW w:w="425" w:type="dxa"/>
          </w:tcPr>
          <w:p w:rsidR="00177B9F" w:rsidRDefault="001856D0">
            <w:pPr>
              <w:jc w:val="right"/>
            </w:pPr>
            <w:r>
              <w:t>1</w:t>
            </w:r>
          </w:p>
        </w:tc>
        <w:tc>
          <w:tcPr>
            <w:tcW w:w="567" w:type="dxa"/>
            <w:tcBorders>
              <w:left w:val="nil"/>
            </w:tcBorders>
          </w:tcPr>
          <w:p w:rsidR="00177B9F" w:rsidRDefault="001856D0">
            <w:pPr>
              <w:jc w:val="right"/>
            </w:pPr>
            <w:r>
              <w:t xml:space="preserve">2 </w:t>
            </w:r>
          </w:p>
        </w:tc>
      </w:tr>
      <w:tr w:rsidR="00177B9F">
        <w:tc>
          <w:tcPr>
            <w:tcW w:w="567" w:type="dxa"/>
          </w:tcPr>
          <w:p w:rsidR="00177B9F" w:rsidRDefault="001856D0">
            <w:r>
              <w:lastRenderedPageBreak/>
              <w:t>12</w:t>
            </w:r>
          </w:p>
        </w:tc>
        <w:tc>
          <w:tcPr>
            <w:tcW w:w="6663" w:type="dxa"/>
          </w:tcPr>
          <w:p w:rsidR="00177B9F" w:rsidRDefault="001856D0">
            <w:r>
              <w:t xml:space="preserve">Kunt u verduidelijken en uitsplitsen uit welke </w:t>
            </w:r>
            <w:proofErr w:type="spellStart"/>
            <w:r>
              <w:t>onderuitputtingen</w:t>
            </w:r>
            <w:proofErr w:type="spellEnd"/>
            <w:r>
              <w:t xml:space="preserve"> de 377 miljoen euro voor de verhoogde </w:t>
            </w:r>
            <w:proofErr w:type="spellStart"/>
            <w:r>
              <w:t>asielkosten</w:t>
            </w:r>
            <w:proofErr w:type="spellEnd"/>
            <w:r>
              <w:t xml:space="preserve"> worden betaald?</w:t>
            </w:r>
          </w:p>
        </w:tc>
        <w:tc>
          <w:tcPr>
            <w:tcW w:w="1275" w:type="dxa"/>
          </w:tcPr>
          <w:p w:rsidR="00177B9F" w:rsidRDefault="00177B9F">
            <w:pPr>
              <w:jc w:val="right"/>
            </w:pPr>
          </w:p>
        </w:tc>
        <w:tc>
          <w:tcPr>
            <w:tcW w:w="425" w:type="dxa"/>
          </w:tcPr>
          <w:p w:rsidR="00177B9F" w:rsidRDefault="001856D0">
            <w:pPr>
              <w:jc w:val="right"/>
            </w:pPr>
            <w:r>
              <w:t>1</w:t>
            </w:r>
          </w:p>
        </w:tc>
        <w:tc>
          <w:tcPr>
            <w:tcW w:w="567" w:type="dxa"/>
            <w:tcBorders>
              <w:left w:val="nil"/>
            </w:tcBorders>
          </w:tcPr>
          <w:p w:rsidR="00177B9F" w:rsidRDefault="001856D0">
            <w:pPr>
              <w:jc w:val="right"/>
            </w:pPr>
            <w:r>
              <w:t xml:space="preserve">2 </w:t>
            </w:r>
          </w:p>
        </w:tc>
      </w:tr>
      <w:tr w:rsidR="00177B9F">
        <w:tc>
          <w:tcPr>
            <w:tcW w:w="567" w:type="dxa"/>
          </w:tcPr>
          <w:p w:rsidR="00177B9F" w:rsidRDefault="001856D0">
            <w:r>
              <w:t>13</w:t>
            </w:r>
          </w:p>
        </w:tc>
        <w:tc>
          <w:tcPr>
            <w:tcW w:w="6663" w:type="dxa"/>
          </w:tcPr>
          <w:p w:rsidR="00177B9F" w:rsidRDefault="001856D0">
            <w:r>
              <w:t>Kunt u een overzicht geven van hoe de 110 miljoen euro voor opvang van vluchtelingen in de Syrië-regio in 2015 tot nu toe is besteed?</w:t>
            </w:r>
          </w:p>
        </w:tc>
        <w:tc>
          <w:tcPr>
            <w:tcW w:w="1275" w:type="dxa"/>
          </w:tcPr>
          <w:p w:rsidR="00177B9F" w:rsidRDefault="00177B9F">
            <w:pPr>
              <w:jc w:val="right"/>
            </w:pPr>
          </w:p>
        </w:tc>
        <w:tc>
          <w:tcPr>
            <w:tcW w:w="425" w:type="dxa"/>
          </w:tcPr>
          <w:p w:rsidR="00177B9F" w:rsidRDefault="001856D0">
            <w:pPr>
              <w:jc w:val="right"/>
            </w:pPr>
            <w:r>
              <w:t>3</w:t>
            </w:r>
          </w:p>
        </w:tc>
        <w:tc>
          <w:tcPr>
            <w:tcW w:w="567" w:type="dxa"/>
            <w:tcBorders>
              <w:left w:val="nil"/>
            </w:tcBorders>
          </w:tcPr>
          <w:p w:rsidR="00177B9F" w:rsidRDefault="001856D0">
            <w:pPr>
              <w:jc w:val="right"/>
            </w:pPr>
            <w:r>
              <w:t xml:space="preserve">3 </w:t>
            </w:r>
          </w:p>
        </w:tc>
      </w:tr>
      <w:tr w:rsidR="00177B9F">
        <w:tc>
          <w:tcPr>
            <w:tcW w:w="567" w:type="dxa"/>
          </w:tcPr>
          <w:p w:rsidR="00177B9F" w:rsidRDefault="001856D0">
            <w:r>
              <w:t>14</w:t>
            </w:r>
          </w:p>
        </w:tc>
        <w:tc>
          <w:tcPr>
            <w:tcW w:w="6663" w:type="dxa"/>
          </w:tcPr>
          <w:p w:rsidR="00177B9F" w:rsidRDefault="001856D0">
            <w:r>
              <w:t>Kunt u een overzicht geven van hoe de 5 miljoen euro voor noodhulp aan Jemen tot nu toe is besteed?</w:t>
            </w:r>
          </w:p>
        </w:tc>
        <w:tc>
          <w:tcPr>
            <w:tcW w:w="1275" w:type="dxa"/>
          </w:tcPr>
          <w:p w:rsidR="00177B9F" w:rsidRDefault="00177B9F">
            <w:pPr>
              <w:jc w:val="right"/>
            </w:pPr>
          </w:p>
        </w:tc>
        <w:tc>
          <w:tcPr>
            <w:tcW w:w="425" w:type="dxa"/>
          </w:tcPr>
          <w:p w:rsidR="00177B9F" w:rsidRDefault="001856D0">
            <w:pPr>
              <w:jc w:val="right"/>
            </w:pPr>
            <w:r>
              <w:t>3</w:t>
            </w:r>
          </w:p>
        </w:tc>
        <w:tc>
          <w:tcPr>
            <w:tcW w:w="567" w:type="dxa"/>
            <w:tcBorders>
              <w:left w:val="nil"/>
            </w:tcBorders>
          </w:tcPr>
          <w:p w:rsidR="00177B9F" w:rsidRDefault="001856D0">
            <w:pPr>
              <w:jc w:val="right"/>
            </w:pPr>
            <w:r>
              <w:t xml:space="preserve">3 </w:t>
            </w:r>
          </w:p>
        </w:tc>
      </w:tr>
      <w:tr w:rsidR="00177B9F">
        <w:tc>
          <w:tcPr>
            <w:tcW w:w="567" w:type="dxa"/>
          </w:tcPr>
          <w:p w:rsidR="00177B9F" w:rsidRDefault="001856D0">
            <w:r>
              <w:t>15</w:t>
            </w:r>
          </w:p>
        </w:tc>
        <w:tc>
          <w:tcPr>
            <w:tcW w:w="6663" w:type="dxa"/>
          </w:tcPr>
          <w:p w:rsidR="00177B9F" w:rsidRDefault="001856D0">
            <w:r>
              <w:t>Welke ORIO-projecten zijn vertraagd en kunt u per project de oorzaken aangeven?</w:t>
            </w:r>
          </w:p>
        </w:tc>
        <w:tc>
          <w:tcPr>
            <w:tcW w:w="1275" w:type="dxa"/>
          </w:tcPr>
          <w:p w:rsidR="00177B9F" w:rsidRDefault="00177B9F">
            <w:pPr>
              <w:jc w:val="right"/>
            </w:pPr>
          </w:p>
        </w:tc>
        <w:tc>
          <w:tcPr>
            <w:tcW w:w="425" w:type="dxa"/>
          </w:tcPr>
          <w:p w:rsidR="00177B9F" w:rsidRDefault="001856D0">
            <w:pPr>
              <w:jc w:val="right"/>
            </w:pPr>
            <w:r>
              <w:t>5</w:t>
            </w:r>
          </w:p>
        </w:tc>
        <w:tc>
          <w:tcPr>
            <w:tcW w:w="567" w:type="dxa"/>
            <w:tcBorders>
              <w:left w:val="nil"/>
            </w:tcBorders>
          </w:tcPr>
          <w:p w:rsidR="00177B9F" w:rsidRDefault="001856D0">
            <w:pPr>
              <w:jc w:val="right"/>
            </w:pPr>
            <w:r>
              <w:t xml:space="preserve">5 </w:t>
            </w:r>
          </w:p>
        </w:tc>
      </w:tr>
      <w:tr w:rsidR="00177B9F">
        <w:tc>
          <w:tcPr>
            <w:tcW w:w="567" w:type="dxa"/>
          </w:tcPr>
          <w:p w:rsidR="00177B9F" w:rsidRDefault="001856D0">
            <w:r>
              <w:t>16</w:t>
            </w:r>
          </w:p>
        </w:tc>
        <w:tc>
          <w:tcPr>
            <w:tcW w:w="6663" w:type="dxa"/>
          </w:tcPr>
          <w:p w:rsidR="00177B9F" w:rsidRDefault="001856D0">
            <w:r>
              <w:t>Waardoor is de vertraging bij het waterprogramma in Rwanda ontstaan?</w:t>
            </w:r>
          </w:p>
        </w:tc>
        <w:tc>
          <w:tcPr>
            <w:tcW w:w="1275" w:type="dxa"/>
          </w:tcPr>
          <w:p w:rsidR="00177B9F" w:rsidRDefault="00177B9F">
            <w:pPr>
              <w:jc w:val="right"/>
            </w:pPr>
          </w:p>
        </w:tc>
        <w:tc>
          <w:tcPr>
            <w:tcW w:w="425" w:type="dxa"/>
          </w:tcPr>
          <w:p w:rsidR="00177B9F" w:rsidRDefault="001856D0">
            <w:pPr>
              <w:jc w:val="right"/>
            </w:pPr>
            <w:r>
              <w:t>6</w:t>
            </w:r>
          </w:p>
        </w:tc>
        <w:tc>
          <w:tcPr>
            <w:tcW w:w="567" w:type="dxa"/>
            <w:tcBorders>
              <w:left w:val="nil"/>
            </w:tcBorders>
          </w:tcPr>
          <w:p w:rsidR="00177B9F" w:rsidRDefault="001856D0">
            <w:pPr>
              <w:jc w:val="right"/>
            </w:pPr>
            <w:r>
              <w:t xml:space="preserve">6 </w:t>
            </w:r>
          </w:p>
        </w:tc>
      </w:tr>
      <w:tr w:rsidR="00177B9F">
        <w:tc>
          <w:tcPr>
            <w:tcW w:w="567" w:type="dxa"/>
          </w:tcPr>
          <w:p w:rsidR="00177B9F" w:rsidRDefault="001856D0">
            <w:r>
              <w:t>17</w:t>
            </w:r>
          </w:p>
        </w:tc>
        <w:tc>
          <w:tcPr>
            <w:tcW w:w="6663" w:type="dxa"/>
          </w:tcPr>
          <w:p w:rsidR="00177B9F" w:rsidRDefault="001856D0">
            <w:r>
              <w:t>Kunt u nader verklaren waarom de instabiliteit in Zuid-Soedan tot een verlaging leidt van het verplichtingenbudget voor activiteiten op het terrein van functionerende</w:t>
            </w:r>
            <w:r w:rsidR="006E7DD9">
              <w:t xml:space="preserve"> rechtsorde met ruim 20 miljoen </w:t>
            </w:r>
            <w:r>
              <w:t>euro?</w:t>
            </w:r>
            <w:bookmarkStart w:name="_GoBack" w:id="1"/>
            <w:bookmarkEnd w:id="1"/>
          </w:p>
        </w:tc>
        <w:tc>
          <w:tcPr>
            <w:tcW w:w="1275" w:type="dxa"/>
          </w:tcPr>
          <w:p w:rsidR="00177B9F" w:rsidRDefault="00177B9F">
            <w:pPr>
              <w:jc w:val="right"/>
            </w:pPr>
          </w:p>
        </w:tc>
        <w:tc>
          <w:tcPr>
            <w:tcW w:w="425" w:type="dxa"/>
          </w:tcPr>
          <w:p w:rsidR="00177B9F" w:rsidRDefault="001856D0">
            <w:pPr>
              <w:jc w:val="right"/>
            </w:pPr>
            <w:r>
              <w:t>8</w:t>
            </w:r>
          </w:p>
        </w:tc>
        <w:tc>
          <w:tcPr>
            <w:tcW w:w="567" w:type="dxa"/>
            <w:tcBorders>
              <w:left w:val="nil"/>
            </w:tcBorders>
          </w:tcPr>
          <w:p w:rsidR="00177B9F" w:rsidRDefault="001856D0">
            <w:pPr>
              <w:jc w:val="right"/>
            </w:pPr>
            <w:r>
              <w:t xml:space="preserve">8 </w:t>
            </w:r>
          </w:p>
        </w:tc>
      </w:tr>
      <w:tr w:rsidR="00177B9F">
        <w:tc>
          <w:tcPr>
            <w:tcW w:w="567" w:type="dxa"/>
          </w:tcPr>
          <w:p w:rsidR="00177B9F" w:rsidRDefault="001856D0">
            <w:r>
              <w:t>18</w:t>
            </w:r>
          </w:p>
        </w:tc>
        <w:tc>
          <w:tcPr>
            <w:tcW w:w="6663" w:type="dxa"/>
          </w:tcPr>
          <w:p w:rsidR="00177B9F" w:rsidRDefault="001856D0">
            <w:r>
              <w:t xml:space="preserve">Het budget verplichtingen op artikel 5 wordt met ruim 100 miljoen euro verhoogd, onder andere met 9,4 miljoen euro ten behoeve van bijdragen aan de </w:t>
            </w:r>
            <w:proofErr w:type="spellStart"/>
            <w:r>
              <w:t>African</w:t>
            </w:r>
            <w:proofErr w:type="spellEnd"/>
            <w:r>
              <w:t xml:space="preserve"> </w:t>
            </w:r>
            <w:proofErr w:type="spellStart"/>
            <w:r>
              <w:t>Regional</w:t>
            </w:r>
            <w:proofErr w:type="spellEnd"/>
            <w:r>
              <w:t xml:space="preserve"> Technical Assistance Centers (AFRITAC) van het IMF en het IMF </w:t>
            </w:r>
            <w:proofErr w:type="spellStart"/>
            <w:r>
              <w:t>Topical</w:t>
            </w:r>
            <w:proofErr w:type="spellEnd"/>
            <w:r>
              <w:t xml:space="preserve"> Trust Fund en 12 miljoen euro ten behoeve van een bijdrage aan de Stichting NCDO die aanvankelijk in 2014 was voorzien. Kunt u de rest van de stijging met ruim 80 miljoen euro verklaren?</w:t>
            </w:r>
          </w:p>
        </w:tc>
        <w:tc>
          <w:tcPr>
            <w:tcW w:w="1275" w:type="dxa"/>
          </w:tcPr>
          <w:p w:rsidR="00177B9F" w:rsidRDefault="00177B9F">
            <w:pPr>
              <w:jc w:val="right"/>
            </w:pPr>
          </w:p>
        </w:tc>
        <w:tc>
          <w:tcPr>
            <w:tcW w:w="425" w:type="dxa"/>
          </w:tcPr>
          <w:p w:rsidR="00177B9F" w:rsidRDefault="001856D0">
            <w:pPr>
              <w:jc w:val="right"/>
            </w:pPr>
            <w:r>
              <w:t>9</w:t>
            </w:r>
          </w:p>
        </w:tc>
        <w:tc>
          <w:tcPr>
            <w:tcW w:w="567" w:type="dxa"/>
            <w:tcBorders>
              <w:left w:val="nil"/>
            </w:tcBorders>
          </w:tcPr>
          <w:p w:rsidR="00177B9F" w:rsidRDefault="001856D0">
            <w:pPr>
              <w:jc w:val="right"/>
            </w:pPr>
            <w:r>
              <w:t xml:space="preserve">9 </w:t>
            </w:r>
          </w:p>
        </w:tc>
      </w:tr>
    </w:tbl>
    <w:p w:rsidR="00177B9F" w:rsidRDefault="00177B9F"/>
    <w:sectPr w:rsidR="00177B9F">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9F" w:rsidRDefault="00177B9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9F" w:rsidRDefault="001856D0">
    <w:pPr>
      <w:pStyle w:val="Voettekst"/>
    </w:pPr>
    <w:r>
      <w:t xml:space="preserve">Totaallijst feitelijke vragen Wijziging van de begrotingsstaat van Buitenlandse Handel en Ontwikkelingssamenwerking (XVII) voor het jaar 2015 (wijziging samenhangende met de Najaarsnota) (34350-XVII Begroting-0)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6E7DD9">
          <w:rPr>
            <w:noProof/>
          </w:rPr>
          <w:t>1</w:t>
        </w:r>
        <w:r>
          <w:fldChar w:fldCharType="end"/>
        </w:r>
      </w:sdtContent>
    </w:sdt>
    <w:r>
      <w:t>/</w:t>
    </w:r>
    <w:fldSimple w:instr=" NUMPAGES   \* MERGEFORMAT ">
      <w:r w:rsidR="006E7DD9">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9F" w:rsidRDefault="00177B9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9F" w:rsidRDefault="00177B9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9F" w:rsidRDefault="00177B9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9F" w:rsidRDefault="00177B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3E"/>
    <w:rsid w:val="00177B9F"/>
    <w:rsid w:val="001856D0"/>
    <w:rsid w:val="001A47AF"/>
    <w:rsid w:val="001A56AB"/>
    <w:rsid w:val="003D44DD"/>
    <w:rsid w:val="005543A7"/>
    <w:rsid w:val="006E7DD9"/>
    <w:rsid w:val="00894624"/>
    <w:rsid w:val="00A77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13"/>
        <w:tab w:val="right" w:pos="9026"/>
      </w:tabs>
      <w:spacing w:before="0" w:after="0"/>
    </w:pPr>
  </w:style>
  <w:style w:type="character" w:customStyle="1" w:styleId="KoptekstChar">
    <w:name w:val="Koptekst Char"/>
    <w:basedOn w:val="Standaardalinea-lettertype"/>
    <w:link w:val="Koptekst"/>
    <w:uiPriority w:val="99"/>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pPr>
      <w:tabs>
        <w:tab w:val="center" w:pos="4513"/>
        <w:tab w:val="right" w:pos="9026"/>
      </w:tabs>
      <w:spacing w:before="0" w:after="0"/>
    </w:pPr>
  </w:style>
  <w:style w:type="character" w:customStyle="1" w:styleId="VoettekstChar">
    <w:name w:val="Voettekst Char"/>
    <w:basedOn w:val="Standaardalinea-lettertype"/>
    <w:link w:val="Voettekst"/>
    <w:uiPriority w:val="99"/>
    <w:rPr>
      <w:rFonts w:ascii="Times New Roman" w:eastAsia="Times New Roman" w:hAnsi="Times New Roman" w:cs="Times New Roman"/>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13"/>
        <w:tab w:val="right" w:pos="9026"/>
      </w:tabs>
      <w:spacing w:before="0" w:after="0"/>
    </w:pPr>
  </w:style>
  <w:style w:type="character" w:customStyle="1" w:styleId="KoptekstChar">
    <w:name w:val="Koptekst Char"/>
    <w:basedOn w:val="Standaardalinea-lettertype"/>
    <w:link w:val="Koptekst"/>
    <w:uiPriority w:val="99"/>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pPr>
      <w:tabs>
        <w:tab w:val="center" w:pos="4513"/>
        <w:tab w:val="right" w:pos="9026"/>
      </w:tabs>
      <w:spacing w:before="0" w:after="0"/>
    </w:pPr>
  </w:style>
  <w:style w:type="character" w:customStyle="1" w:styleId="VoettekstChar">
    <w:name w:val="Voettekst Char"/>
    <w:basedOn w:val="Standaardalinea-lettertype"/>
    <w:link w:val="Voettekst"/>
    <w:uiPriority w:val="99"/>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591</ap:Words>
  <ap:Characters>3256</ap:Characters>
  <ap:DocSecurity>4</ap:DocSecurity>
  <ap:Lines>27</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2015-12-03T17:22:00.0000000Z</dcterms:created>
  <dcterms:modified xsi:type="dcterms:W3CDTF">2015-12-03T17:22:00.0000000Z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0x0101005E71681B9F75554187BE70CEBDC45638</vt:lpwstr>
  </property>
</Properties>
</file>