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24196" w:rsidR="00A17C6E" w:rsidP="007157F7" w:rsidRDefault="00477DDD">
      <w:pPr>
        <w:spacing w:after="0"/>
        <w:rPr>
          <w:b/>
          <w:szCs w:val="18"/>
        </w:rPr>
      </w:pPr>
      <w:r>
        <w:rPr>
          <w:b/>
          <w:szCs w:val="18"/>
        </w:rPr>
        <w:t>B</w:t>
      </w:r>
      <w:r w:rsidRPr="00B24196" w:rsidR="00B24196">
        <w:rPr>
          <w:b/>
          <w:szCs w:val="18"/>
        </w:rPr>
        <w:t xml:space="preserve">ijlage </w:t>
      </w:r>
      <w:r w:rsidR="005D58C1">
        <w:rPr>
          <w:b/>
          <w:szCs w:val="18"/>
        </w:rPr>
        <w:t>3: Migratie</w:t>
      </w:r>
      <w:r w:rsidR="00D96C21">
        <w:rPr>
          <w:b/>
          <w:szCs w:val="18"/>
        </w:rPr>
        <w:t xml:space="preserve"> </w:t>
      </w:r>
    </w:p>
    <w:p w:rsidR="00B71E66" w:rsidP="00B24196" w:rsidRDefault="00B71E66">
      <w:pPr>
        <w:spacing w:after="0"/>
        <w:rPr>
          <w:szCs w:val="18"/>
        </w:rPr>
      </w:pPr>
    </w:p>
    <w:p w:rsidR="00D72E57" w:rsidP="00B24196" w:rsidRDefault="00D72E57">
      <w:pPr>
        <w:spacing w:after="0"/>
        <w:rPr>
          <w:szCs w:val="18"/>
        </w:rPr>
      </w:pPr>
    </w:p>
    <w:p w:rsidRPr="00B24196" w:rsidR="00B24196" w:rsidP="00055E9F" w:rsidRDefault="00B24196">
      <w:pPr>
        <w:spacing w:after="0" w:line="240" w:lineRule="exact"/>
        <w:rPr>
          <w:b/>
          <w:szCs w:val="18"/>
        </w:rPr>
      </w:pPr>
      <w:r w:rsidRPr="00B24196">
        <w:rPr>
          <w:b/>
          <w:szCs w:val="18"/>
        </w:rPr>
        <w:t>Aanleiding</w:t>
      </w:r>
    </w:p>
    <w:p w:rsidR="00A621D5" w:rsidP="00AE5F8A" w:rsidRDefault="007852BE">
      <w:pPr>
        <w:pStyle w:val="broodtekst"/>
        <w:spacing w:line="240" w:lineRule="exact"/>
      </w:pPr>
      <w:r>
        <w:t xml:space="preserve">Sinds het opstellen van de </w:t>
      </w:r>
      <w:r w:rsidR="00D605D0">
        <w:t>ontwerp</w:t>
      </w:r>
      <w:r>
        <w:t xml:space="preserve">begroting </w:t>
      </w:r>
      <w:r w:rsidR="00D605D0">
        <w:t xml:space="preserve">2016 </w:t>
      </w:r>
      <w:r>
        <w:t xml:space="preserve">is de instroom van vluchtelingen </w:t>
      </w:r>
      <w:r w:rsidR="00A621D5">
        <w:t xml:space="preserve">verder </w:t>
      </w:r>
      <w:r>
        <w:t>toegenomen. D</w:t>
      </w:r>
      <w:r w:rsidR="00477DDD">
        <w:t xml:space="preserve">eze bijlage </w:t>
      </w:r>
      <w:r w:rsidR="00B24196">
        <w:t xml:space="preserve">van de </w:t>
      </w:r>
      <w:r w:rsidRPr="0082521F" w:rsidR="00B24196">
        <w:t xml:space="preserve">Najaarsnota </w:t>
      </w:r>
      <w:r w:rsidR="00477DDD">
        <w:t xml:space="preserve">bevat </w:t>
      </w:r>
      <w:r w:rsidR="007218C3">
        <w:t xml:space="preserve">de directe budgettaire gevolgen </w:t>
      </w:r>
      <w:r w:rsidR="00A621D5">
        <w:t xml:space="preserve">van </w:t>
      </w:r>
      <w:r w:rsidR="007218C3">
        <w:t xml:space="preserve">de hogere instroom voor </w:t>
      </w:r>
      <w:r w:rsidR="00A621D5">
        <w:t xml:space="preserve">het </w:t>
      </w:r>
      <w:r w:rsidR="007218C3">
        <w:t xml:space="preserve">COA, </w:t>
      </w:r>
      <w:r w:rsidR="00A621D5">
        <w:t xml:space="preserve">de </w:t>
      </w:r>
      <w:r w:rsidR="007218C3">
        <w:t xml:space="preserve">IND en </w:t>
      </w:r>
      <w:r w:rsidR="00A621D5">
        <w:t xml:space="preserve">het </w:t>
      </w:r>
      <w:r w:rsidR="007218C3">
        <w:t>N</w:t>
      </w:r>
      <w:r w:rsidR="001A6122">
        <w:t xml:space="preserve">idos </w:t>
      </w:r>
      <w:r w:rsidR="007218C3">
        <w:t xml:space="preserve">(opvang van minderjarige vreemdelingen). </w:t>
      </w:r>
      <w:r w:rsidR="00AE5F8A">
        <w:t xml:space="preserve">Verder zijn de budgettaire gevolgen van de bestuurlijke afspraken tussen gemeenten en </w:t>
      </w:r>
      <w:r w:rsidR="00ED66F8">
        <w:t>R</w:t>
      </w:r>
      <w:r w:rsidR="00AE5F8A">
        <w:t>ijk opgenomen.</w:t>
      </w:r>
      <w:r w:rsidR="00D72E57">
        <w:t xml:space="preserve"> </w:t>
      </w:r>
    </w:p>
    <w:p w:rsidR="00A621D5" w:rsidP="00AE5F8A" w:rsidRDefault="00A621D5">
      <w:pPr>
        <w:pStyle w:val="broodtekst"/>
        <w:spacing w:line="240" w:lineRule="exact"/>
      </w:pPr>
    </w:p>
    <w:p w:rsidR="00AE5F8A" w:rsidP="00AE5F8A" w:rsidRDefault="00AE5F8A">
      <w:pPr>
        <w:pStyle w:val="broodtekst"/>
        <w:spacing w:line="240" w:lineRule="exact"/>
      </w:pPr>
      <w:r>
        <w:t xml:space="preserve">De gevolgen voor de </w:t>
      </w:r>
      <w:r w:rsidR="00D605D0">
        <w:t xml:space="preserve">begroting </w:t>
      </w:r>
      <w:r>
        <w:t xml:space="preserve">2015 zijn verwerkt in de </w:t>
      </w:r>
      <w:r w:rsidR="00282D47">
        <w:t xml:space="preserve">hoofdtekst van de </w:t>
      </w:r>
      <w:r>
        <w:t xml:space="preserve">Najaarsnota. Deze bijlage bevat </w:t>
      </w:r>
      <w:r w:rsidR="00282D47">
        <w:t xml:space="preserve">het </w:t>
      </w:r>
      <w:r>
        <w:t>meerjarig</w:t>
      </w:r>
      <w:r w:rsidR="00282D47">
        <w:t>e</w:t>
      </w:r>
      <w:r>
        <w:t xml:space="preserve"> overzicht. </w:t>
      </w:r>
    </w:p>
    <w:p w:rsidR="000466B8" w:rsidP="00055E9F" w:rsidRDefault="000466B8">
      <w:pPr>
        <w:pStyle w:val="broodtekst"/>
        <w:spacing w:line="240" w:lineRule="exact"/>
      </w:pPr>
    </w:p>
    <w:p w:rsidR="000466B8" w:rsidP="00055E9F" w:rsidRDefault="00643495">
      <w:pPr>
        <w:pStyle w:val="broodtekst"/>
        <w:spacing w:line="240" w:lineRule="exact"/>
      </w:pPr>
      <w:r>
        <w:t>Naast de directe effecten van de hogere instroom van vluchtelingen worden de begrotingen</w:t>
      </w:r>
      <w:r w:rsidR="000672C1">
        <w:t xml:space="preserve"> ook op andere manieren geraakt</w:t>
      </w:r>
      <w:r>
        <w:t>, omdat deze mensen op termijn recht zullen hebben op maatschappelijke voorzieningen. Het gaat dan om kosten die automatisch tot stand komen en waarvoor een wettelijke verplichting vanuit de Rijksoverheid bestaat. Deze effecten zullen over het algemeen met vertraging optreden omdat het recht op deze voorzieningen ontstaat op het moment dat de vluchteling een status heeft gekregen en dus vanuit het COA naar de gemeenten uitstroomt.</w:t>
      </w:r>
      <w:r w:rsidRPr="00602B4B">
        <w:t xml:space="preserve"> </w:t>
      </w:r>
      <w:r>
        <w:t>De uiteindelijke raming</w:t>
      </w:r>
      <w:r w:rsidR="0075315A">
        <w:t>en</w:t>
      </w:r>
      <w:r>
        <w:t xml:space="preserve"> van de kosten zullen conform reguliere systematiek </w:t>
      </w:r>
      <w:r w:rsidR="00292DD2">
        <w:t xml:space="preserve">in het voorjaar worden vastgesteld </w:t>
      </w:r>
      <w:r>
        <w:t>en worden ingepast in de departementale begrotingen.</w:t>
      </w:r>
    </w:p>
    <w:p w:rsidR="000466B8" w:rsidP="008D1B88" w:rsidRDefault="000466B8">
      <w:pPr>
        <w:pStyle w:val="broodtekst"/>
        <w:spacing w:line="240" w:lineRule="exact"/>
      </w:pPr>
    </w:p>
    <w:p w:rsidRPr="00AE7C14" w:rsidR="00C410EE" w:rsidP="00055E9F" w:rsidRDefault="00C749EA">
      <w:pPr>
        <w:pStyle w:val="broodtekst"/>
        <w:spacing w:line="240" w:lineRule="exact"/>
        <w:rPr>
          <w:b/>
        </w:rPr>
      </w:pPr>
      <w:r>
        <w:rPr>
          <w:b/>
        </w:rPr>
        <w:t>De nieuwe i</w:t>
      </w:r>
      <w:r w:rsidRPr="00AE7C14" w:rsidR="00C410EE">
        <w:rPr>
          <w:b/>
        </w:rPr>
        <w:t>nstroomcijfers</w:t>
      </w:r>
    </w:p>
    <w:p w:rsidR="000466B8" w:rsidP="00055E9F" w:rsidRDefault="00DA0C06">
      <w:pPr>
        <w:pStyle w:val="broodtekst"/>
        <w:spacing w:line="240" w:lineRule="exact"/>
      </w:pPr>
      <w:r w:rsidRPr="008D1B88">
        <w:t>In de begroting 2016 z</w:t>
      </w:r>
      <w:r w:rsidRPr="008D1B88" w:rsidR="00C410EE">
        <w:t>ijn extra middelen vrijgemaakt voor opvang in Nederland. Het kabinet g</w:t>
      </w:r>
      <w:r w:rsidR="00B21806">
        <w:t>ing</w:t>
      </w:r>
      <w:r w:rsidRPr="008D1B88" w:rsidR="00C410EE">
        <w:t xml:space="preserve"> </w:t>
      </w:r>
      <w:r w:rsidR="00E31038">
        <w:t xml:space="preserve">in de begroting </w:t>
      </w:r>
      <w:r w:rsidRPr="008D1B88" w:rsidR="00C410EE">
        <w:t xml:space="preserve">uit van een instroom van 40.000 </w:t>
      </w:r>
      <w:r w:rsidR="00CE233A">
        <w:t xml:space="preserve">mensen </w:t>
      </w:r>
      <w:r w:rsidRPr="008D1B88" w:rsidR="00C410EE">
        <w:t>in 2015 en 26.000</w:t>
      </w:r>
      <w:r w:rsidR="000466B8">
        <w:t xml:space="preserve"> mensen</w:t>
      </w:r>
      <w:r w:rsidRPr="008D1B88" w:rsidR="00C410EE">
        <w:t xml:space="preserve"> in 2016.</w:t>
      </w:r>
      <w:r w:rsidR="00E31038">
        <w:t xml:space="preserve"> </w:t>
      </w:r>
    </w:p>
    <w:p w:rsidR="000466B8" w:rsidP="00055E9F" w:rsidRDefault="000466B8">
      <w:pPr>
        <w:pStyle w:val="broodtekst"/>
        <w:spacing w:line="240" w:lineRule="exact"/>
      </w:pPr>
    </w:p>
    <w:p w:rsidRPr="008D1B88" w:rsidR="00E31038" w:rsidP="00055E9F" w:rsidRDefault="00E31038">
      <w:pPr>
        <w:pStyle w:val="broodtekst"/>
        <w:spacing w:line="240" w:lineRule="exact"/>
      </w:pPr>
      <w:r>
        <w:t xml:space="preserve">Op basis van de huidige inzichten wordt de </w:t>
      </w:r>
      <w:r w:rsidR="00D605D0">
        <w:t>instroom</w:t>
      </w:r>
      <w:r>
        <w:t>raming voor 2015</w:t>
      </w:r>
      <w:r w:rsidR="00B21806">
        <w:t xml:space="preserve"> en 2016</w:t>
      </w:r>
      <w:r>
        <w:t xml:space="preserve"> bijgesteld naar 58.000</w:t>
      </w:r>
      <w:r w:rsidR="00CE233A">
        <w:t xml:space="preserve"> mensen</w:t>
      </w:r>
      <w:r w:rsidR="006A0C59">
        <w:t xml:space="preserve"> (zie tabel 1)</w:t>
      </w:r>
      <w:r w:rsidR="00B21806">
        <w:t xml:space="preserve">. Vooralsnog wordt de instroomraming </w:t>
      </w:r>
      <w:r w:rsidR="0058260E">
        <w:t xml:space="preserve">voor 2017 en verder </w:t>
      </w:r>
      <w:r w:rsidR="00B21806">
        <w:t>niet aangepast, omdat deze te ongewis is om nu besluitvorming op te baseren.</w:t>
      </w:r>
      <w:r>
        <w:t xml:space="preserve"> </w:t>
      </w:r>
      <w:r w:rsidR="00B21806">
        <w:t>Conform gebruikelijke systematiek zal ook in 2016 de instroom tweejaarlijks worden geactualiseerd (</w:t>
      </w:r>
      <w:r w:rsidR="00F15BD2">
        <w:t>V</w:t>
      </w:r>
      <w:r w:rsidR="00B21806">
        <w:t>oor</w:t>
      </w:r>
      <w:r w:rsidR="00643495">
        <w:t>jaars</w:t>
      </w:r>
      <w:r w:rsidR="00B21806">
        <w:t xml:space="preserve">- en </w:t>
      </w:r>
      <w:r w:rsidR="00F15BD2">
        <w:t>N</w:t>
      </w:r>
      <w:r w:rsidR="00B21806">
        <w:t xml:space="preserve">ajaarsnota). </w:t>
      </w:r>
    </w:p>
    <w:p w:rsidR="00F54276" w:rsidP="00055E9F" w:rsidRDefault="00F54276">
      <w:pPr>
        <w:pStyle w:val="Lijstalinea"/>
        <w:spacing w:after="0" w:line="240" w:lineRule="exact"/>
        <w:ind w:left="360"/>
        <w:rPr>
          <w:szCs w:val="18"/>
        </w:rPr>
      </w:pPr>
    </w:p>
    <w:p w:rsidRPr="00AE7C14" w:rsidR="00AE7C14" w:rsidP="000662BC" w:rsidRDefault="00AE7C14">
      <w:pPr>
        <w:pStyle w:val="Lijstalinea"/>
        <w:spacing w:after="0" w:line="220" w:lineRule="exact"/>
        <w:ind w:left="0"/>
        <w:rPr>
          <w:b/>
          <w:sz w:val="16"/>
          <w:szCs w:val="16"/>
        </w:rPr>
      </w:pPr>
      <w:r w:rsidRPr="00AE7C14">
        <w:rPr>
          <w:b/>
          <w:sz w:val="16"/>
          <w:szCs w:val="16"/>
        </w:rPr>
        <w:t>Tabel</w:t>
      </w:r>
      <w:r w:rsidR="0058260E">
        <w:rPr>
          <w:b/>
          <w:sz w:val="16"/>
          <w:szCs w:val="16"/>
        </w:rPr>
        <w:t xml:space="preserve"> </w:t>
      </w:r>
      <w:r w:rsidR="000466B8">
        <w:rPr>
          <w:b/>
          <w:sz w:val="16"/>
          <w:szCs w:val="16"/>
        </w:rPr>
        <w:t>1</w:t>
      </w:r>
      <w:r w:rsidRPr="00AE7C14">
        <w:rPr>
          <w:b/>
          <w:sz w:val="16"/>
          <w:szCs w:val="16"/>
        </w:rPr>
        <w:t>: Instroom</w:t>
      </w:r>
      <w:r w:rsidR="004D66CB">
        <w:rPr>
          <w:b/>
          <w:sz w:val="16"/>
          <w:szCs w:val="16"/>
        </w:rPr>
        <w:t xml:space="preserve"> vluchtelingen</w:t>
      </w:r>
      <w:r w:rsidR="00F15BD2">
        <w:rPr>
          <w:b/>
          <w:sz w:val="16"/>
          <w:szCs w:val="16"/>
        </w:rPr>
        <w:t xml:space="preserve"> op verschillende ramingsmomenten</w:t>
      </w:r>
      <w:r w:rsidRPr="00AE7C14">
        <w:rPr>
          <w:b/>
          <w:sz w:val="16"/>
          <w:szCs w:val="16"/>
        </w:rPr>
        <w:t>, aantal mensen</w:t>
      </w:r>
    </w:p>
    <w:tbl>
      <w:tblPr>
        <w:tblStyle w:val="Lichtelijst-accent3"/>
        <w:tblW w:w="0" w:type="auto"/>
        <w:tblLayout w:type="fixed"/>
        <w:tblLook w:val="04A0"/>
      </w:tblPr>
      <w:tblGrid>
        <w:gridCol w:w="2300"/>
        <w:gridCol w:w="1134"/>
        <w:gridCol w:w="1134"/>
        <w:gridCol w:w="1134"/>
      </w:tblGrid>
      <w:tr w:rsidRPr="00AE7C14" w:rsidR="005B1B89" w:rsidTr="000662BC">
        <w:trPr>
          <w:cnfStyle w:val="100000000000"/>
          <w:trHeight w:val="220"/>
        </w:trPr>
        <w:tc>
          <w:tcPr>
            <w:cnfStyle w:val="001000000000"/>
            <w:tcW w:w="2300" w:type="dxa"/>
          </w:tcPr>
          <w:p w:rsidRPr="00AE7C14" w:rsidR="005B1B89" w:rsidP="006A06F5" w:rsidRDefault="005B1B89">
            <w:pPr>
              <w:pStyle w:val="broodtekst"/>
              <w:spacing w:line="220" w:lineRule="exact"/>
              <w:rPr>
                <w:sz w:val="16"/>
                <w:szCs w:val="16"/>
              </w:rPr>
            </w:pPr>
          </w:p>
        </w:tc>
        <w:tc>
          <w:tcPr>
            <w:tcW w:w="1134" w:type="dxa"/>
          </w:tcPr>
          <w:p w:rsidRPr="00AE7C14" w:rsidR="005B1B89" w:rsidP="006A06F5" w:rsidRDefault="005B1B89">
            <w:pPr>
              <w:pStyle w:val="broodtekst"/>
              <w:spacing w:line="220" w:lineRule="exact"/>
              <w:jc w:val="right"/>
              <w:cnfStyle w:val="100000000000"/>
              <w:rPr>
                <w:sz w:val="16"/>
                <w:szCs w:val="16"/>
              </w:rPr>
            </w:pPr>
            <w:r w:rsidRPr="00AE7C14">
              <w:rPr>
                <w:sz w:val="16"/>
                <w:szCs w:val="16"/>
              </w:rPr>
              <w:t>2015</w:t>
            </w:r>
          </w:p>
        </w:tc>
        <w:tc>
          <w:tcPr>
            <w:tcW w:w="1134" w:type="dxa"/>
          </w:tcPr>
          <w:p w:rsidRPr="00AE7C14" w:rsidR="005B1B89" w:rsidP="006A06F5" w:rsidRDefault="005B1B89">
            <w:pPr>
              <w:pStyle w:val="broodtekst"/>
              <w:spacing w:line="220" w:lineRule="exact"/>
              <w:jc w:val="right"/>
              <w:cnfStyle w:val="100000000000"/>
              <w:rPr>
                <w:sz w:val="16"/>
                <w:szCs w:val="16"/>
              </w:rPr>
            </w:pPr>
            <w:r w:rsidRPr="00AE7C14">
              <w:rPr>
                <w:sz w:val="16"/>
                <w:szCs w:val="16"/>
              </w:rPr>
              <w:t>2016</w:t>
            </w:r>
          </w:p>
        </w:tc>
        <w:tc>
          <w:tcPr>
            <w:tcW w:w="1134" w:type="dxa"/>
          </w:tcPr>
          <w:p w:rsidRPr="00AE7C14" w:rsidR="005B1B89" w:rsidP="006A06F5" w:rsidRDefault="005B1B89">
            <w:pPr>
              <w:pStyle w:val="broodtekst"/>
              <w:spacing w:line="220" w:lineRule="exact"/>
              <w:jc w:val="right"/>
              <w:cnfStyle w:val="100000000000"/>
              <w:rPr>
                <w:sz w:val="16"/>
                <w:szCs w:val="16"/>
              </w:rPr>
            </w:pPr>
            <w:r w:rsidRPr="00AE7C14">
              <w:rPr>
                <w:sz w:val="16"/>
                <w:szCs w:val="16"/>
              </w:rPr>
              <w:t>201</w:t>
            </w:r>
            <w:r>
              <w:rPr>
                <w:sz w:val="16"/>
                <w:szCs w:val="16"/>
              </w:rPr>
              <w:t>7</w:t>
            </w:r>
          </w:p>
        </w:tc>
      </w:tr>
      <w:tr w:rsidRPr="00AE7C14" w:rsidR="005B1B89" w:rsidTr="000662BC">
        <w:trPr>
          <w:cnfStyle w:val="000000100000"/>
          <w:trHeight w:val="220"/>
        </w:trPr>
        <w:tc>
          <w:tcPr>
            <w:cnfStyle w:val="001000000000"/>
            <w:tcW w:w="2300" w:type="dxa"/>
          </w:tcPr>
          <w:p w:rsidRPr="00AE7C14" w:rsidR="005B1B89" w:rsidP="00E31038" w:rsidRDefault="005B1B89">
            <w:pPr>
              <w:pStyle w:val="broodtekst"/>
              <w:spacing w:line="220" w:lineRule="exact"/>
              <w:rPr>
                <w:b w:val="0"/>
                <w:sz w:val="16"/>
                <w:szCs w:val="16"/>
              </w:rPr>
            </w:pPr>
            <w:r w:rsidRPr="00AE7C14">
              <w:rPr>
                <w:b w:val="0"/>
                <w:sz w:val="16"/>
                <w:szCs w:val="16"/>
              </w:rPr>
              <w:t>Begroting 2015</w:t>
            </w:r>
          </w:p>
        </w:tc>
        <w:tc>
          <w:tcPr>
            <w:tcW w:w="1134" w:type="dxa"/>
          </w:tcPr>
          <w:p w:rsidRPr="00AE7C14" w:rsidR="005B1B89" w:rsidP="006A06F5" w:rsidRDefault="005B1B89">
            <w:pPr>
              <w:pStyle w:val="broodtekst"/>
              <w:spacing w:line="220" w:lineRule="exact"/>
              <w:jc w:val="right"/>
              <w:cnfStyle w:val="000000100000"/>
              <w:rPr>
                <w:sz w:val="16"/>
                <w:szCs w:val="16"/>
              </w:rPr>
            </w:pPr>
            <w:r w:rsidRPr="00AE7C14">
              <w:rPr>
                <w:sz w:val="16"/>
                <w:szCs w:val="16"/>
              </w:rPr>
              <w:t>21.000</w:t>
            </w:r>
          </w:p>
        </w:tc>
        <w:tc>
          <w:tcPr>
            <w:tcW w:w="1134" w:type="dxa"/>
          </w:tcPr>
          <w:p w:rsidRPr="00AE7C14" w:rsidR="005B1B89" w:rsidP="006A06F5" w:rsidRDefault="005B1B89">
            <w:pPr>
              <w:pStyle w:val="broodtekst"/>
              <w:spacing w:line="220" w:lineRule="exact"/>
              <w:jc w:val="right"/>
              <w:cnfStyle w:val="000000100000"/>
              <w:rPr>
                <w:sz w:val="16"/>
                <w:szCs w:val="16"/>
              </w:rPr>
            </w:pPr>
            <w:r w:rsidRPr="00AE7C14">
              <w:rPr>
                <w:sz w:val="16"/>
                <w:szCs w:val="16"/>
              </w:rPr>
              <w:t>18.000</w:t>
            </w:r>
          </w:p>
        </w:tc>
        <w:tc>
          <w:tcPr>
            <w:tcW w:w="1134" w:type="dxa"/>
          </w:tcPr>
          <w:p w:rsidRPr="00AE7C14" w:rsidR="005B1B89" w:rsidP="006A06F5" w:rsidRDefault="005B1B89">
            <w:pPr>
              <w:pStyle w:val="broodtekst"/>
              <w:spacing w:line="220" w:lineRule="exact"/>
              <w:jc w:val="right"/>
              <w:cnfStyle w:val="000000100000"/>
              <w:rPr>
                <w:sz w:val="16"/>
                <w:szCs w:val="16"/>
              </w:rPr>
            </w:pPr>
            <w:r w:rsidRPr="00AE7C14">
              <w:rPr>
                <w:sz w:val="16"/>
                <w:szCs w:val="16"/>
              </w:rPr>
              <w:t>18.000</w:t>
            </w:r>
          </w:p>
        </w:tc>
      </w:tr>
      <w:tr w:rsidRPr="00AE7C14" w:rsidR="005B1B89" w:rsidTr="000662BC">
        <w:trPr>
          <w:trHeight w:val="220"/>
        </w:trPr>
        <w:tc>
          <w:tcPr>
            <w:cnfStyle w:val="001000000000"/>
            <w:tcW w:w="2300" w:type="dxa"/>
          </w:tcPr>
          <w:p w:rsidRPr="00AE7C14" w:rsidR="005B1B89" w:rsidP="00A31A69" w:rsidRDefault="00A31A69">
            <w:pPr>
              <w:pStyle w:val="broodtekst"/>
              <w:spacing w:line="220" w:lineRule="exact"/>
              <w:rPr>
                <w:b w:val="0"/>
                <w:sz w:val="16"/>
                <w:szCs w:val="16"/>
              </w:rPr>
            </w:pPr>
            <w:r>
              <w:rPr>
                <w:b w:val="0"/>
                <w:sz w:val="16"/>
                <w:szCs w:val="16"/>
              </w:rPr>
              <w:t>Ontwerpb</w:t>
            </w:r>
            <w:r w:rsidRPr="00AE7C14" w:rsidR="005B1B89">
              <w:rPr>
                <w:b w:val="0"/>
                <w:sz w:val="16"/>
                <w:szCs w:val="16"/>
              </w:rPr>
              <w:t>egroting 2016</w:t>
            </w:r>
          </w:p>
        </w:tc>
        <w:tc>
          <w:tcPr>
            <w:tcW w:w="1134" w:type="dxa"/>
          </w:tcPr>
          <w:p w:rsidRPr="00AE7C14" w:rsidR="005B1B89" w:rsidP="006A06F5" w:rsidRDefault="005B1B89">
            <w:pPr>
              <w:pStyle w:val="broodtekst"/>
              <w:spacing w:line="220" w:lineRule="exact"/>
              <w:jc w:val="right"/>
              <w:cnfStyle w:val="000000000000"/>
              <w:rPr>
                <w:sz w:val="16"/>
                <w:szCs w:val="16"/>
              </w:rPr>
            </w:pPr>
            <w:r w:rsidRPr="00AE7C14">
              <w:rPr>
                <w:sz w:val="16"/>
                <w:szCs w:val="16"/>
              </w:rPr>
              <w:t>40.000</w:t>
            </w:r>
          </w:p>
        </w:tc>
        <w:tc>
          <w:tcPr>
            <w:tcW w:w="1134" w:type="dxa"/>
          </w:tcPr>
          <w:p w:rsidRPr="00AE7C14" w:rsidR="005B1B89" w:rsidP="006A06F5" w:rsidRDefault="005B1B89">
            <w:pPr>
              <w:pStyle w:val="broodtekst"/>
              <w:spacing w:line="220" w:lineRule="exact"/>
              <w:jc w:val="right"/>
              <w:cnfStyle w:val="000000000000"/>
              <w:rPr>
                <w:sz w:val="16"/>
                <w:szCs w:val="16"/>
              </w:rPr>
            </w:pPr>
            <w:r w:rsidRPr="00AE7C14">
              <w:rPr>
                <w:sz w:val="16"/>
                <w:szCs w:val="16"/>
              </w:rPr>
              <w:t>26.000</w:t>
            </w:r>
          </w:p>
        </w:tc>
        <w:tc>
          <w:tcPr>
            <w:tcW w:w="1134" w:type="dxa"/>
          </w:tcPr>
          <w:p w:rsidRPr="00AE7C14" w:rsidR="005B1B89" w:rsidP="006A06F5" w:rsidRDefault="005B1B89">
            <w:pPr>
              <w:pStyle w:val="broodtekst"/>
              <w:spacing w:line="220" w:lineRule="exact"/>
              <w:jc w:val="right"/>
              <w:cnfStyle w:val="000000000000"/>
              <w:rPr>
                <w:sz w:val="16"/>
                <w:szCs w:val="16"/>
              </w:rPr>
            </w:pPr>
            <w:r w:rsidRPr="00AE7C14">
              <w:rPr>
                <w:sz w:val="16"/>
                <w:szCs w:val="16"/>
              </w:rPr>
              <w:t>26.000</w:t>
            </w:r>
          </w:p>
        </w:tc>
      </w:tr>
      <w:tr w:rsidRPr="00B71E66" w:rsidR="005B1B89" w:rsidTr="000662BC">
        <w:trPr>
          <w:cnfStyle w:val="000000100000"/>
          <w:trHeight w:val="220"/>
        </w:trPr>
        <w:tc>
          <w:tcPr>
            <w:cnfStyle w:val="001000000000"/>
            <w:tcW w:w="2300" w:type="dxa"/>
          </w:tcPr>
          <w:p w:rsidRPr="00B71E66" w:rsidR="005B1B89" w:rsidP="006A06F5" w:rsidRDefault="005B1B89">
            <w:pPr>
              <w:pStyle w:val="broodtekst"/>
              <w:spacing w:line="220" w:lineRule="exact"/>
              <w:rPr>
                <w:sz w:val="16"/>
                <w:szCs w:val="16"/>
              </w:rPr>
            </w:pPr>
            <w:r w:rsidRPr="00B71E66">
              <w:rPr>
                <w:sz w:val="16"/>
                <w:szCs w:val="16"/>
              </w:rPr>
              <w:t>Nieuwe ramingen</w:t>
            </w:r>
          </w:p>
        </w:tc>
        <w:tc>
          <w:tcPr>
            <w:tcW w:w="1134" w:type="dxa"/>
          </w:tcPr>
          <w:p w:rsidRPr="00B71E66" w:rsidR="005B1B89" w:rsidP="003C1C89" w:rsidRDefault="004D6731">
            <w:pPr>
              <w:pStyle w:val="broodtekst"/>
              <w:spacing w:line="220" w:lineRule="exact"/>
              <w:jc w:val="right"/>
              <w:cnfStyle w:val="000000100000"/>
              <w:rPr>
                <w:b/>
                <w:sz w:val="16"/>
                <w:szCs w:val="16"/>
              </w:rPr>
            </w:pPr>
            <w:r w:rsidRPr="00B71E66">
              <w:rPr>
                <w:b/>
                <w:sz w:val="16"/>
                <w:szCs w:val="16"/>
              </w:rPr>
              <w:t>58.000</w:t>
            </w:r>
          </w:p>
        </w:tc>
        <w:tc>
          <w:tcPr>
            <w:tcW w:w="1134" w:type="dxa"/>
          </w:tcPr>
          <w:p w:rsidRPr="00B71E66" w:rsidR="005B1B89" w:rsidP="003C1C89" w:rsidRDefault="004D6731">
            <w:pPr>
              <w:pStyle w:val="broodtekst"/>
              <w:spacing w:line="220" w:lineRule="exact"/>
              <w:jc w:val="right"/>
              <w:cnfStyle w:val="000000100000"/>
              <w:rPr>
                <w:b/>
                <w:sz w:val="16"/>
                <w:szCs w:val="16"/>
              </w:rPr>
            </w:pPr>
            <w:r w:rsidRPr="00B71E66">
              <w:rPr>
                <w:b/>
                <w:sz w:val="16"/>
                <w:szCs w:val="16"/>
              </w:rPr>
              <w:t>58.000</w:t>
            </w:r>
          </w:p>
        </w:tc>
        <w:tc>
          <w:tcPr>
            <w:tcW w:w="1134" w:type="dxa"/>
          </w:tcPr>
          <w:p w:rsidRPr="00B71E66" w:rsidR="005B1B89" w:rsidDel="00B21806" w:rsidP="003C1C89" w:rsidRDefault="004D6731">
            <w:pPr>
              <w:pStyle w:val="broodtekst"/>
              <w:spacing w:line="220" w:lineRule="exact"/>
              <w:jc w:val="right"/>
              <w:cnfStyle w:val="000000100000"/>
              <w:rPr>
                <w:b/>
                <w:sz w:val="16"/>
                <w:szCs w:val="16"/>
              </w:rPr>
            </w:pPr>
            <w:r w:rsidRPr="00B71E66">
              <w:rPr>
                <w:b/>
                <w:sz w:val="16"/>
                <w:szCs w:val="16"/>
              </w:rPr>
              <w:t>26.000</w:t>
            </w:r>
          </w:p>
        </w:tc>
      </w:tr>
    </w:tbl>
    <w:p w:rsidR="00DA0C06" w:rsidP="00055E9F" w:rsidRDefault="00DA0C06">
      <w:pPr>
        <w:spacing w:after="0" w:line="240" w:lineRule="exact"/>
        <w:rPr>
          <w:szCs w:val="18"/>
        </w:rPr>
      </w:pPr>
    </w:p>
    <w:p w:rsidR="00B71E66" w:rsidP="00055E9F" w:rsidRDefault="00B71E66">
      <w:pPr>
        <w:spacing w:after="0" w:line="240" w:lineRule="exact"/>
        <w:rPr>
          <w:szCs w:val="18"/>
        </w:rPr>
      </w:pPr>
    </w:p>
    <w:p w:rsidR="000662BC" w:rsidRDefault="000662BC">
      <w:pPr>
        <w:rPr>
          <w:b/>
          <w:szCs w:val="18"/>
        </w:rPr>
      </w:pPr>
      <w:r>
        <w:rPr>
          <w:b/>
          <w:szCs w:val="18"/>
        </w:rPr>
        <w:br w:type="page"/>
      </w:r>
    </w:p>
    <w:p w:rsidRPr="00FC34DE" w:rsidR="00A9026A" w:rsidP="00055E9F" w:rsidRDefault="00FC34DE">
      <w:pPr>
        <w:spacing w:after="0" w:line="240" w:lineRule="exact"/>
        <w:rPr>
          <w:b/>
          <w:szCs w:val="18"/>
        </w:rPr>
      </w:pPr>
      <w:r w:rsidRPr="00FC34DE">
        <w:rPr>
          <w:b/>
          <w:szCs w:val="18"/>
        </w:rPr>
        <w:lastRenderedPageBreak/>
        <w:t>De</w:t>
      </w:r>
      <w:r w:rsidR="001752ED">
        <w:rPr>
          <w:b/>
          <w:szCs w:val="18"/>
        </w:rPr>
        <w:t xml:space="preserve"> </w:t>
      </w:r>
      <w:r w:rsidR="00E7366A">
        <w:rPr>
          <w:b/>
          <w:szCs w:val="18"/>
        </w:rPr>
        <w:t xml:space="preserve">directe </w:t>
      </w:r>
      <w:r w:rsidR="001752ED">
        <w:rPr>
          <w:b/>
          <w:szCs w:val="18"/>
        </w:rPr>
        <w:t xml:space="preserve">budgettaire gevolgen </w:t>
      </w:r>
      <w:r w:rsidR="00C749EA">
        <w:rPr>
          <w:b/>
          <w:szCs w:val="18"/>
        </w:rPr>
        <w:t>van de nieuwe instroomcijfers</w:t>
      </w:r>
    </w:p>
    <w:p w:rsidR="00CF3397" w:rsidP="00055E9F" w:rsidRDefault="00CF3397">
      <w:pPr>
        <w:spacing w:after="0" w:line="240" w:lineRule="exact"/>
      </w:pPr>
    </w:p>
    <w:p w:rsidRPr="00DC75CA" w:rsidR="000662BC" w:rsidP="000662BC" w:rsidRDefault="000662BC">
      <w:pPr>
        <w:pStyle w:val="Lijstalinea"/>
        <w:spacing w:after="0" w:line="220" w:lineRule="exact"/>
        <w:ind w:left="0"/>
        <w:rPr>
          <w:rFonts w:asciiTheme="majorHAnsi" w:hAnsiTheme="majorHAnsi"/>
          <w:sz w:val="16"/>
          <w:szCs w:val="16"/>
        </w:rPr>
      </w:pPr>
      <w:r w:rsidRPr="00DC75CA">
        <w:rPr>
          <w:rFonts w:asciiTheme="majorHAnsi" w:hAnsiTheme="majorHAnsi"/>
          <w:b/>
          <w:sz w:val="16"/>
          <w:szCs w:val="16"/>
        </w:rPr>
        <w:t xml:space="preserve">Tabel 2: directe kosten en dekking, mln. euro, - = opbrengst </w:t>
      </w:r>
    </w:p>
    <w:tbl>
      <w:tblPr>
        <w:tblStyle w:val="Lichtelijst-accent3"/>
        <w:tblW w:w="8879" w:type="dxa"/>
        <w:tblLayout w:type="fixed"/>
        <w:tblLook w:val="04A0"/>
      </w:tblPr>
      <w:tblGrid>
        <w:gridCol w:w="388"/>
        <w:gridCol w:w="2420"/>
        <w:gridCol w:w="1011"/>
        <w:gridCol w:w="1012"/>
        <w:gridCol w:w="1012"/>
        <w:gridCol w:w="1012"/>
        <w:gridCol w:w="1012"/>
        <w:gridCol w:w="1012"/>
      </w:tblGrid>
      <w:tr w:rsidRPr="00DC75CA" w:rsidR="000662BC" w:rsidTr="000662BC">
        <w:trPr>
          <w:cnfStyle w:val="100000000000"/>
          <w:trHeight w:val="225"/>
        </w:trPr>
        <w:tc>
          <w:tcPr>
            <w:cnfStyle w:val="001000000000"/>
            <w:tcW w:w="388" w:type="dxa"/>
            <w:noWrap/>
            <w:hideMark/>
          </w:tcPr>
          <w:p w:rsidRPr="00DC75CA" w:rsidR="000662BC" w:rsidP="000662BC" w:rsidRDefault="000662BC">
            <w:pPr>
              <w:rPr>
                <w:rFonts w:asciiTheme="majorHAnsi" w:hAnsiTheme="majorHAnsi"/>
                <w:sz w:val="16"/>
                <w:szCs w:val="16"/>
              </w:rPr>
            </w:pPr>
            <w:r w:rsidRPr="00DC75CA">
              <w:rPr>
                <w:rFonts w:asciiTheme="majorHAnsi" w:hAnsiTheme="majorHAnsi"/>
                <w:sz w:val="16"/>
                <w:szCs w:val="16"/>
              </w:rPr>
              <w:t> </w:t>
            </w:r>
          </w:p>
        </w:tc>
        <w:tc>
          <w:tcPr>
            <w:tcW w:w="2420" w:type="dxa"/>
            <w:noWrap/>
            <w:hideMark/>
          </w:tcPr>
          <w:p w:rsidRPr="00DC75CA" w:rsidR="000662BC" w:rsidP="000662BC" w:rsidRDefault="000662BC">
            <w:pPr>
              <w:cnfStyle w:val="100000000000"/>
              <w:rPr>
                <w:rFonts w:asciiTheme="majorHAnsi" w:hAnsiTheme="majorHAnsi"/>
                <w:sz w:val="16"/>
                <w:szCs w:val="16"/>
              </w:rPr>
            </w:pPr>
            <w:r w:rsidRPr="00DC75CA">
              <w:rPr>
                <w:rFonts w:asciiTheme="majorHAnsi" w:hAnsiTheme="majorHAnsi"/>
                <w:sz w:val="16"/>
                <w:szCs w:val="16"/>
              </w:rPr>
              <w:t> </w:t>
            </w:r>
          </w:p>
        </w:tc>
        <w:tc>
          <w:tcPr>
            <w:tcW w:w="1011" w:type="dxa"/>
            <w:noWrap/>
            <w:hideMark/>
          </w:tcPr>
          <w:p w:rsidRPr="00DC75CA" w:rsidR="000662BC" w:rsidP="000662BC" w:rsidRDefault="000662BC">
            <w:pPr>
              <w:jc w:val="right"/>
              <w:cnfStyle w:val="100000000000"/>
              <w:rPr>
                <w:rFonts w:asciiTheme="majorHAnsi" w:hAnsiTheme="majorHAnsi"/>
                <w:sz w:val="16"/>
                <w:szCs w:val="16"/>
              </w:rPr>
            </w:pPr>
            <w:r w:rsidRPr="00DC75CA">
              <w:rPr>
                <w:rFonts w:asciiTheme="majorHAnsi" w:hAnsiTheme="majorHAnsi"/>
                <w:sz w:val="16"/>
                <w:szCs w:val="16"/>
              </w:rPr>
              <w:t>2015</w:t>
            </w:r>
          </w:p>
        </w:tc>
        <w:tc>
          <w:tcPr>
            <w:tcW w:w="1012" w:type="dxa"/>
            <w:noWrap/>
            <w:hideMark/>
          </w:tcPr>
          <w:p w:rsidRPr="00DC75CA" w:rsidR="000662BC" w:rsidP="000662BC" w:rsidRDefault="000662BC">
            <w:pPr>
              <w:jc w:val="right"/>
              <w:cnfStyle w:val="100000000000"/>
              <w:rPr>
                <w:rFonts w:asciiTheme="majorHAnsi" w:hAnsiTheme="majorHAnsi"/>
                <w:sz w:val="16"/>
                <w:szCs w:val="16"/>
              </w:rPr>
            </w:pPr>
            <w:r w:rsidRPr="00DC75CA">
              <w:rPr>
                <w:rFonts w:asciiTheme="majorHAnsi" w:hAnsiTheme="majorHAnsi"/>
                <w:sz w:val="16"/>
                <w:szCs w:val="16"/>
              </w:rPr>
              <w:t>2016</w:t>
            </w:r>
          </w:p>
        </w:tc>
        <w:tc>
          <w:tcPr>
            <w:tcW w:w="1012" w:type="dxa"/>
            <w:noWrap/>
            <w:hideMark/>
          </w:tcPr>
          <w:p w:rsidRPr="00DC75CA" w:rsidR="000662BC" w:rsidP="000662BC" w:rsidRDefault="000662BC">
            <w:pPr>
              <w:jc w:val="right"/>
              <w:cnfStyle w:val="100000000000"/>
              <w:rPr>
                <w:rFonts w:asciiTheme="majorHAnsi" w:hAnsiTheme="majorHAnsi"/>
                <w:sz w:val="16"/>
                <w:szCs w:val="16"/>
              </w:rPr>
            </w:pPr>
            <w:r w:rsidRPr="00DC75CA">
              <w:rPr>
                <w:rFonts w:asciiTheme="majorHAnsi" w:hAnsiTheme="majorHAnsi"/>
                <w:sz w:val="16"/>
                <w:szCs w:val="16"/>
              </w:rPr>
              <w:t>2017</w:t>
            </w:r>
          </w:p>
        </w:tc>
        <w:tc>
          <w:tcPr>
            <w:tcW w:w="1012" w:type="dxa"/>
            <w:noWrap/>
            <w:hideMark/>
          </w:tcPr>
          <w:p w:rsidRPr="00DC75CA" w:rsidR="000662BC" w:rsidP="000662BC" w:rsidRDefault="000662BC">
            <w:pPr>
              <w:jc w:val="right"/>
              <w:cnfStyle w:val="100000000000"/>
              <w:rPr>
                <w:rFonts w:asciiTheme="majorHAnsi" w:hAnsiTheme="majorHAnsi"/>
                <w:sz w:val="16"/>
                <w:szCs w:val="16"/>
              </w:rPr>
            </w:pPr>
            <w:r w:rsidRPr="00DC75CA">
              <w:rPr>
                <w:rFonts w:asciiTheme="majorHAnsi" w:hAnsiTheme="majorHAnsi"/>
                <w:sz w:val="16"/>
                <w:szCs w:val="16"/>
              </w:rPr>
              <w:t>2018</w:t>
            </w:r>
          </w:p>
        </w:tc>
        <w:tc>
          <w:tcPr>
            <w:tcW w:w="1012" w:type="dxa"/>
            <w:noWrap/>
            <w:hideMark/>
          </w:tcPr>
          <w:p w:rsidRPr="00DC75CA" w:rsidR="000662BC" w:rsidP="000662BC" w:rsidRDefault="000662BC">
            <w:pPr>
              <w:jc w:val="right"/>
              <w:cnfStyle w:val="100000000000"/>
              <w:rPr>
                <w:rFonts w:asciiTheme="majorHAnsi" w:hAnsiTheme="majorHAnsi"/>
                <w:sz w:val="16"/>
                <w:szCs w:val="16"/>
              </w:rPr>
            </w:pPr>
            <w:r w:rsidRPr="00DC75CA">
              <w:rPr>
                <w:rFonts w:asciiTheme="majorHAnsi" w:hAnsiTheme="majorHAnsi"/>
                <w:sz w:val="16"/>
                <w:szCs w:val="16"/>
              </w:rPr>
              <w:t>2019</w:t>
            </w:r>
          </w:p>
        </w:tc>
        <w:tc>
          <w:tcPr>
            <w:tcW w:w="1012" w:type="dxa"/>
            <w:noWrap/>
            <w:hideMark/>
          </w:tcPr>
          <w:p w:rsidRPr="00DC75CA" w:rsidR="000662BC" w:rsidP="000662BC" w:rsidRDefault="000662BC">
            <w:pPr>
              <w:jc w:val="right"/>
              <w:cnfStyle w:val="100000000000"/>
              <w:rPr>
                <w:rFonts w:asciiTheme="majorHAnsi" w:hAnsiTheme="majorHAnsi"/>
                <w:sz w:val="16"/>
                <w:szCs w:val="16"/>
              </w:rPr>
            </w:pPr>
            <w:r w:rsidRPr="00DC75CA">
              <w:rPr>
                <w:rFonts w:asciiTheme="majorHAnsi" w:hAnsiTheme="majorHAnsi"/>
                <w:sz w:val="16"/>
                <w:szCs w:val="16"/>
              </w:rPr>
              <w:t>2020</w:t>
            </w:r>
          </w:p>
        </w:tc>
      </w:tr>
      <w:tr w:rsidRPr="00DC75CA" w:rsidR="000662BC" w:rsidTr="000662BC">
        <w:trPr>
          <w:cnfStyle w:val="000000100000"/>
          <w:trHeight w:val="225"/>
        </w:trPr>
        <w:tc>
          <w:tcPr>
            <w:cnfStyle w:val="001000000000"/>
            <w:tcW w:w="388" w:type="dxa"/>
            <w:noWrap/>
            <w:hideMark/>
          </w:tcPr>
          <w:p w:rsidRPr="00DC75CA" w:rsidR="000662BC" w:rsidP="000662BC" w:rsidRDefault="000662BC">
            <w:pPr>
              <w:rPr>
                <w:rFonts w:asciiTheme="majorHAnsi" w:hAnsiTheme="majorHAnsi"/>
                <w:b w:val="0"/>
                <w:color w:val="000000"/>
                <w:sz w:val="16"/>
                <w:szCs w:val="16"/>
              </w:rPr>
            </w:pPr>
            <w:r w:rsidRPr="00DC75CA">
              <w:rPr>
                <w:rFonts w:asciiTheme="majorHAnsi" w:hAnsiTheme="majorHAnsi"/>
                <w:b w:val="0"/>
                <w:color w:val="000000"/>
                <w:sz w:val="16"/>
                <w:szCs w:val="16"/>
              </w:rPr>
              <w:t>1.</w:t>
            </w:r>
          </w:p>
        </w:tc>
        <w:tc>
          <w:tcPr>
            <w:tcW w:w="2420" w:type="dxa"/>
            <w:noWrap/>
            <w:hideMark/>
          </w:tcPr>
          <w:p w:rsidRPr="00DC75CA" w:rsidR="000662BC" w:rsidP="00DC75CA" w:rsidRDefault="000662BC">
            <w:pPr>
              <w:cnfStyle w:val="000000100000"/>
              <w:rPr>
                <w:rFonts w:asciiTheme="majorHAnsi" w:hAnsiTheme="majorHAnsi"/>
                <w:sz w:val="16"/>
                <w:szCs w:val="16"/>
              </w:rPr>
            </w:pPr>
            <w:r w:rsidRPr="00DC75CA">
              <w:rPr>
                <w:rFonts w:asciiTheme="majorHAnsi" w:hAnsiTheme="majorHAnsi"/>
                <w:sz w:val="16"/>
                <w:szCs w:val="16"/>
              </w:rPr>
              <w:t xml:space="preserve">COA </w:t>
            </w:r>
          </w:p>
        </w:tc>
        <w:tc>
          <w:tcPr>
            <w:tcW w:w="1011" w:type="dxa"/>
            <w:noWrap/>
            <w:hideMark/>
          </w:tcPr>
          <w:p w:rsidRPr="00DC75CA" w:rsidR="000662BC" w:rsidP="000662BC" w:rsidRDefault="000662BC">
            <w:pPr>
              <w:jc w:val="right"/>
              <w:cnfStyle w:val="000000100000"/>
              <w:rPr>
                <w:rFonts w:asciiTheme="majorHAnsi" w:hAnsiTheme="majorHAnsi"/>
                <w:sz w:val="16"/>
                <w:szCs w:val="16"/>
              </w:rPr>
            </w:pPr>
            <w:r w:rsidRPr="00DC75CA">
              <w:rPr>
                <w:rFonts w:asciiTheme="majorHAnsi" w:hAnsiTheme="majorHAnsi"/>
                <w:sz w:val="16"/>
                <w:szCs w:val="16"/>
              </w:rPr>
              <w:t>350</w:t>
            </w:r>
          </w:p>
        </w:tc>
        <w:tc>
          <w:tcPr>
            <w:tcW w:w="1012" w:type="dxa"/>
            <w:noWrap/>
            <w:hideMark/>
          </w:tcPr>
          <w:p w:rsidRPr="00DC75CA" w:rsidR="000662BC" w:rsidP="000662BC" w:rsidRDefault="000662BC">
            <w:pPr>
              <w:jc w:val="right"/>
              <w:cnfStyle w:val="000000100000"/>
              <w:rPr>
                <w:rFonts w:asciiTheme="majorHAnsi" w:hAnsiTheme="majorHAnsi"/>
                <w:sz w:val="16"/>
                <w:szCs w:val="16"/>
              </w:rPr>
            </w:pPr>
            <w:r w:rsidRPr="00DC75CA">
              <w:rPr>
                <w:rFonts w:asciiTheme="majorHAnsi" w:hAnsiTheme="majorHAnsi"/>
                <w:sz w:val="16"/>
                <w:szCs w:val="16"/>
              </w:rPr>
              <w:t>400</w:t>
            </w:r>
          </w:p>
        </w:tc>
        <w:tc>
          <w:tcPr>
            <w:tcW w:w="1012" w:type="dxa"/>
            <w:noWrap/>
            <w:hideMark/>
          </w:tcPr>
          <w:p w:rsidRPr="00DC75CA" w:rsidR="000662BC" w:rsidP="000662BC" w:rsidRDefault="000662BC">
            <w:pPr>
              <w:jc w:val="right"/>
              <w:cnfStyle w:val="000000100000"/>
              <w:rPr>
                <w:rFonts w:asciiTheme="majorHAnsi" w:hAnsiTheme="majorHAnsi"/>
                <w:sz w:val="16"/>
                <w:szCs w:val="16"/>
              </w:rPr>
            </w:pPr>
            <w:r w:rsidRPr="00DC75CA">
              <w:rPr>
                <w:rFonts w:asciiTheme="majorHAnsi" w:hAnsiTheme="majorHAnsi"/>
                <w:sz w:val="16"/>
                <w:szCs w:val="16"/>
              </w:rPr>
              <w:t>235</w:t>
            </w:r>
          </w:p>
        </w:tc>
        <w:tc>
          <w:tcPr>
            <w:tcW w:w="1012" w:type="dxa"/>
            <w:noWrap/>
            <w:hideMark/>
          </w:tcPr>
          <w:p w:rsidRPr="00DC75CA" w:rsidR="000662BC" w:rsidP="000662BC" w:rsidRDefault="000662BC">
            <w:pPr>
              <w:jc w:val="right"/>
              <w:cnfStyle w:val="000000100000"/>
              <w:rPr>
                <w:rFonts w:asciiTheme="majorHAnsi" w:hAnsiTheme="majorHAnsi"/>
                <w:sz w:val="16"/>
                <w:szCs w:val="16"/>
              </w:rPr>
            </w:pPr>
          </w:p>
        </w:tc>
        <w:tc>
          <w:tcPr>
            <w:tcW w:w="1012" w:type="dxa"/>
            <w:noWrap/>
            <w:hideMark/>
          </w:tcPr>
          <w:p w:rsidRPr="00DC75CA" w:rsidR="000662BC" w:rsidP="000662BC" w:rsidRDefault="000662BC">
            <w:pPr>
              <w:jc w:val="right"/>
              <w:cnfStyle w:val="000000100000"/>
              <w:rPr>
                <w:rFonts w:asciiTheme="majorHAnsi" w:hAnsiTheme="majorHAnsi"/>
                <w:sz w:val="16"/>
                <w:szCs w:val="16"/>
              </w:rPr>
            </w:pPr>
          </w:p>
        </w:tc>
        <w:tc>
          <w:tcPr>
            <w:tcW w:w="1012" w:type="dxa"/>
            <w:noWrap/>
            <w:hideMark/>
          </w:tcPr>
          <w:p w:rsidRPr="00DC75CA" w:rsidR="000662BC" w:rsidP="000662BC" w:rsidRDefault="000662BC">
            <w:pPr>
              <w:jc w:val="right"/>
              <w:cnfStyle w:val="000000100000"/>
              <w:rPr>
                <w:rFonts w:asciiTheme="majorHAnsi" w:hAnsiTheme="majorHAnsi"/>
                <w:sz w:val="16"/>
                <w:szCs w:val="16"/>
              </w:rPr>
            </w:pPr>
          </w:p>
        </w:tc>
      </w:tr>
      <w:tr w:rsidRPr="00DC75CA" w:rsidR="000662BC" w:rsidTr="000662BC">
        <w:trPr>
          <w:trHeight w:val="225"/>
        </w:trPr>
        <w:tc>
          <w:tcPr>
            <w:cnfStyle w:val="001000000000"/>
            <w:tcW w:w="388" w:type="dxa"/>
            <w:noWrap/>
            <w:hideMark/>
          </w:tcPr>
          <w:p w:rsidRPr="00DC75CA" w:rsidR="000662BC" w:rsidP="000662BC" w:rsidRDefault="000662BC">
            <w:pPr>
              <w:rPr>
                <w:rFonts w:asciiTheme="majorHAnsi" w:hAnsiTheme="majorHAnsi"/>
                <w:b w:val="0"/>
                <w:color w:val="000000"/>
                <w:sz w:val="16"/>
                <w:szCs w:val="16"/>
              </w:rPr>
            </w:pPr>
            <w:r w:rsidRPr="00DC75CA">
              <w:rPr>
                <w:rFonts w:asciiTheme="majorHAnsi" w:hAnsiTheme="majorHAnsi"/>
                <w:b w:val="0"/>
                <w:color w:val="000000"/>
                <w:sz w:val="16"/>
                <w:szCs w:val="16"/>
              </w:rPr>
              <w:t>2.</w:t>
            </w:r>
          </w:p>
        </w:tc>
        <w:tc>
          <w:tcPr>
            <w:tcW w:w="2420" w:type="dxa"/>
            <w:noWrap/>
            <w:hideMark/>
          </w:tcPr>
          <w:p w:rsidRPr="00DC75CA" w:rsidR="000662BC" w:rsidP="000662BC" w:rsidRDefault="000662BC">
            <w:pPr>
              <w:cnfStyle w:val="000000000000"/>
              <w:rPr>
                <w:rFonts w:asciiTheme="majorHAnsi" w:hAnsiTheme="majorHAnsi"/>
                <w:color w:val="000000"/>
                <w:sz w:val="16"/>
                <w:szCs w:val="16"/>
              </w:rPr>
            </w:pPr>
            <w:r w:rsidRPr="00DC75CA">
              <w:rPr>
                <w:rFonts w:asciiTheme="majorHAnsi" w:hAnsiTheme="majorHAnsi"/>
                <w:color w:val="000000"/>
                <w:sz w:val="16"/>
                <w:szCs w:val="16"/>
              </w:rPr>
              <w:t>IND</w:t>
            </w:r>
          </w:p>
        </w:tc>
        <w:tc>
          <w:tcPr>
            <w:tcW w:w="1011"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FA159D">
            <w:pPr>
              <w:jc w:val="right"/>
              <w:cnfStyle w:val="000000000000"/>
              <w:rPr>
                <w:rFonts w:asciiTheme="majorHAnsi" w:hAnsiTheme="majorHAnsi"/>
                <w:color w:val="000000"/>
                <w:sz w:val="16"/>
                <w:szCs w:val="16"/>
              </w:rPr>
            </w:pPr>
            <w:r w:rsidRPr="00DC75CA">
              <w:rPr>
                <w:rFonts w:asciiTheme="majorHAnsi" w:hAnsiTheme="majorHAnsi"/>
                <w:color w:val="000000"/>
                <w:sz w:val="16"/>
                <w:szCs w:val="16"/>
              </w:rPr>
              <w:t>50</w:t>
            </w: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r>
      <w:tr w:rsidRPr="00DC75CA" w:rsidR="000662BC" w:rsidTr="000662BC">
        <w:trPr>
          <w:cnfStyle w:val="000000100000"/>
          <w:trHeight w:val="225"/>
        </w:trPr>
        <w:tc>
          <w:tcPr>
            <w:cnfStyle w:val="001000000000"/>
            <w:tcW w:w="388" w:type="dxa"/>
            <w:noWrap/>
            <w:hideMark/>
          </w:tcPr>
          <w:p w:rsidRPr="00DC75CA" w:rsidR="000662BC" w:rsidP="000662BC" w:rsidRDefault="000662BC">
            <w:pPr>
              <w:rPr>
                <w:rFonts w:asciiTheme="majorHAnsi" w:hAnsiTheme="majorHAnsi"/>
                <w:b w:val="0"/>
                <w:color w:val="000000"/>
                <w:sz w:val="16"/>
                <w:szCs w:val="16"/>
              </w:rPr>
            </w:pPr>
            <w:r w:rsidRPr="00DC75CA">
              <w:rPr>
                <w:rFonts w:asciiTheme="majorHAnsi" w:hAnsiTheme="majorHAnsi"/>
                <w:b w:val="0"/>
                <w:color w:val="000000"/>
                <w:sz w:val="16"/>
                <w:szCs w:val="16"/>
              </w:rPr>
              <w:t>3.</w:t>
            </w:r>
          </w:p>
        </w:tc>
        <w:tc>
          <w:tcPr>
            <w:tcW w:w="2420" w:type="dxa"/>
            <w:noWrap/>
            <w:hideMark/>
          </w:tcPr>
          <w:p w:rsidRPr="00DC75CA" w:rsidR="000662BC" w:rsidP="001A6122" w:rsidRDefault="000662BC">
            <w:pPr>
              <w:cnfStyle w:val="000000100000"/>
              <w:rPr>
                <w:rFonts w:asciiTheme="majorHAnsi" w:hAnsiTheme="majorHAnsi"/>
                <w:color w:val="000000"/>
                <w:sz w:val="16"/>
                <w:szCs w:val="16"/>
              </w:rPr>
            </w:pPr>
            <w:r w:rsidRPr="00DC75CA">
              <w:rPr>
                <w:rFonts w:asciiTheme="majorHAnsi" w:hAnsiTheme="majorHAnsi"/>
                <w:color w:val="000000"/>
                <w:sz w:val="16"/>
                <w:szCs w:val="16"/>
              </w:rPr>
              <w:t>N</w:t>
            </w:r>
            <w:r w:rsidRPr="00DC75CA" w:rsidR="001A6122">
              <w:rPr>
                <w:rFonts w:asciiTheme="majorHAnsi" w:hAnsiTheme="majorHAnsi"/>
                <w:color w:val="000000"/>
                <w:sz w:val="16"/>
                <w:szCs w:val="16"/>
              </w:rPr>
              <w:t>idos</w:t>
            </w:r>
          </w:p>
        </w:tc>
        <w:tc>
          <w:tcPr>
            <w:tcW w:w="1011"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11</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r>
      <w:tr w:rsidRPr="003A03B1" w:rsidR="00DC75CA" w:rsidTr="000662BC">
        <w:trPr>
          <w:trHeight w:val="225"/>
        </w:trPr>
        <w:tc>
          <w:tcPr>
            <w:cnfStyle w:val="001000000000"/>
            <w:tcW w:w="388" w:type="dxa"/>
            <w:noWrap/>
            <w:hideMark/>
          </w:tcPr>
          <w:p w:rsidRPr="003A03B1" w:rsidR="00DC75CA" w:rsidP="000662BC" w:rsidRDefault="00DC75CA">
            <w:pPr>
              <w:rPr>
                <w:rFonts w:asciiTheme="majorHAnsi" w:hAnsiTheme="majorHAnsi"/>
                <w:color w:val="000000"/>
                <w:sz w:val="16"/>
                <w:szCs w:val="16"/>
              </w:rPr>
            </w:pPr>
          </w:p>
        </w:tc>
        <w:tc>
          <w:tcPr>
            <w:tcW w:w="2420" w:type="dxa"/>
            <w:noWrap/>
            <w:hideMark/>
          </w:tcPr>
          <w:p w:rsidRPr="003A03B1" w:rsidR="00DC75CA" w:rsidP="003A03B1" w:rsidRDefault="003A03B1">
            <w:pPr>
              <w:cnfStyle w:val="000000000000"/>
              <w:rPr>
                <w:rFonts w:asciiTheme="majorHAnsi" w:hAnsiTheme="majorHAnsi"/>
                <w:b/>
                <w:color w:val="000000"/>
                <w:sz w:val="16"/>
                <w:szCs w:val="16"/>
              </w:rPr>
            </w:pPr>
            <w:r w:rsidRPr="003A03B1">
              <w:rPr>
                <w:rFonts w:asciiTheme="majorHAnsi" w:hAnsiTheme="majorHAnsi"/>
                <w:b/>
                <w:color w:val="000000"/>
                <w:sz w:val="16"/>
                <w:szCs w:val="16"/>
              </w:rPr>
              <w:t xml:space="preserve">Totaal </w:t>
            </w:r>
            <w:r>
              <w:rPr>
                <w:rFonts w:asciiTheme="majorHAnsi" w:hAnsiTheme="majorHAnsi"/>
                <w:b/>
                <w:color w:val="000000"/>
                <w:sz w:val="16"/>
                <w:szCs w:val="16"/>
              </w:rPr>
              <w:t>i</w:t>
            </w:r>
            <w:r w:rsidRPr="003A03B1">
              <w:rPr>
                <w:rFonts w:asciiTheme="majorHAnsi" w:hAnsiTheme="majorHAnsi"/>
                <w:b/>
                <w:color w:val="000000"/>
                <w:sz w:val="16"/>
                <w:szCs w:val="16"/>
              </w:rPr>
              <w:t>ntensiveringen</w:t>
            </w:r>
          </w:p>
        </w:tc>
        <w:tc>
          <w:tcPr>
            <w:tcW w:w="1011" w:type="dxa"/>
            <w:noWrap/>
            <w:hideMark/>
          </w:tcPr>
          <w:p w:rsidRPr="003A03B1" w:rsidR="00DC75CA"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350</w:t>
            </w:r>
          </w:p>
        </w:tc>
        <w:tc>
          <w:tcPr>
            <w:tcW w:w="1012" w:type="dxa"/>
            <w:noWrap/>
            <w:hideMark/>
          </w:tcPr>
          <w:p w:rsidRPr="003A03B1" w:rsidR="00DC75CA"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461</w:t>
            </w:r>
          </w:p>
        </w:tc>
        <w:tc>
          <w:tcPr>
            <w:tcW w:w="1012" w:type="dxa"/>
            <w:noWrap/>
            <w:hideMark/>
          </w:tcPr>
          <w:p w:rsidRPr="003A03B1" w:rsidR="00DC75CA"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235</w:t>
            </w:r>
          </w:p>
        </w:tc>
        <w:tc>
          <w:tcPr>
            <w:tcW w:w="1012" w:type="dxa"/>
            <w:noWrap/>
            <w:hideMark/>
          </w:tcPr>
          <w:p w:rsidRPr="003A03B1" w:rsidR="00DC75CA" w:rsidP="000662BC" w:rsidRDefault="00DC75CA">
            <w:pPr>
              <w:jc w:val="right"/>
              <w:cnfStyle w:val="000000000000"/>
              <w:rPr>
                <w:rFonts w:asciiTheme="majorHAnsi" w:hAnsiTheme="majorHAnsi"/>
                <w:b/>
                <w:color w:val="000000"/>
                <w:sz w:val="16"/>
                <w:szCs w:val="16"/>
              </w:rPr>
            </w:pPr>
          </w:p>
        </w:tc>
        <w:tc>
          <w:tcPr>
            <w:tcW w:w="1012" w:type="dxa"/>
            <w:noWrap/>
            <w:hideMark/>
          </w:tcPr>
          <w:p w:rsidRPr="003A03B1" w:rsidR="00DC75CA" w:rsidP="000662BC" w:rsidRDefault="00DC75CA">
            <w:pPr>
              <w:jc w:val="right"/>
              <w:cnfStyle w:val="000000000000"/>
              <w:rPr>
                <w:rFonts w:asciiTheme="majorHAnsi" w:hAnsiTheme="majorHAnsi"/>
                <w:b/>
                <w:color w:val="000000"/>
                <w:sz w:val="16"/>
                <w:szCs w:val="16"/>
              </w:rPr>
            </w:pPr>
          </w:p>
        </w:tc>
        <w:tc>
          <w:tcPr>
            <w:tcW w:w="1012" w:type="dxa"/>
            <w:noWrap/>
            <w:hideMark/>
          </w:tcPr>
          <w:p w:rsidRPr="003A03B1" w:rsidR="00DC75CA" w:rsidP="000662BC" w:rsidRDefault="00DC75CA">
            <w:pPr>
              <w:jc w:val="right"/>
              <w:cnfStyle w:val="000000000000"/>
              <w:rPr>
                <w:rFonts w:asciiTheme="majorHAnsi" w:hAnsiTheme="majorHAnsi"/>
                <w:b/>
                <w:color w:val="000000"/>
                <w:sz w:val="16"/>
                <w:szCs w:val="16"/>
              </w:rPr>
            </w:pPr>
          </w:p>
        </w:tc>
      </w:tr>
      <w:tr w:rsidRPr="00DC75CA" w:rsidR="003A03B1" w:rsidTr="000662BC">
        <w:trPr>
          <w:cnfStyle w:val="000000100000"/>
          <w:trHeight w:val="225"/>
        </w:trPr>
        <w:tc>
          <w:tcPr>
            <w:cnfStyle w:val="001000000000"/>
            <w:tcW w:w="388" w:type="dxa"/>
            <w:noWrap/>
            <w:hideMark/>
          </w:tcPr>
          <w:p w:rsidRPr="00DC75CA" w:rsidR="003A03B1" w:rsidP="000662BC" w:rsidRDefault="003A03B1">
            <w:pPr>
              <w:rPr>
                <w:rFonts w:asciiTheme="majorHAnsi" w:hAnsiTheme="majorHAnsi"/>
                <w:b w:val="0"/>
                <w:color w:val="000000"/>
                <w:sz w:val="16"/>
                <w:szCs w:val="16"/>
              </w:rPr>
            </w:pPr>
          </w:p>
        </w:tc>
        <w:tc>
          <w:tcPr>
            <w:tcW w:w="2420" w:type="dxa"/>
            <w:noWrap/>
            <w:hideMark/>
          </w:tcPr>
          <w:p w:rsidRPr="00DC75CA" w:rsidR="003A03B1" w:rsidP="001A6122" w:rsidRDefault="003A03B1">
            <w:pPr>
              <w:cnfStyle w:val="000000100000"/>
              <w:rPr>
                <w:rFonts w:asciiTheme="majorHAnsi" w:hAnsiTheme="majorHAnsi"/>
                <w:color w:val="000000"/>
                <w:sz w:val="16"/>
                <w:szCs w:val="16"/>
              </w:rPr>
            </w:pPr>
          </w:p>
        </w:tc>
        <w:tc>
          <w:tcPr>
            <w:tcW w:w="1011" w:type="dxa"/>
            <w:noWrap/>
            <w:hideMark/>
          </w:tcPr>
          <w:p w:rsidRPr="00DC75CA" w:rsidR="003A03B1" w:rsidP="000662BC" w:rsidRDefault="003A03B1">
            <w:pPr>
              <w:jc w:val="right"/>
              <w:cnfStyle w:val="000000100000"/>
              <w:rPr>
                <w:rFonts w:asciiTheme="majorHAnsi" w:hAnsiTheme="majorHAnsi"/>
                <w:color w:val="000000"/>
                <w:sz w:val="16"/>
                <w:szCs w:val="16"/>
              </w:rPr>
            </w:pPr>
          </w:p>
        </w:tc>
        <w:tc>
          <w:tcPr>
            <w:tcW w:w="1012" w:type="dxa"/>
            <w:noWrap/>
            <w:hideMark/>
          </w:tcPr>
          <w:p w:rsidRPr="00DC75CA" w:rsidR="003A03B1" w:rsidP="000662BC" w:rsidRDefault="003A03B1">
            <w:pPr>
              <w:jc w:val="right"/>
              <w:cnfStyle w:val="000000100000"/>
              <w:rPr>
                <w:rFonts w:asciiTheme="majorHAnsi" w:hAnsiTheme="majorHAnsi"/>
                <w:color w:val="000000"/>
                <w:sz w:val="16"/>
                <w:szCs w:val="16"/>
              </w:rPr>
            </w:pPr>
          </w:p>
        </w:tc>
        <w:tc>
          <w:tcPr>
            <w:tcW w:w="1012" w:type="dxa"/>
            <w:noWrap/>
            <w:hideMark/>
          </w:tcPr>
          <w:p w:rsidRPr="00DC75CA" w:rsidR="003A03B1" w:rsidP="000662BC" w:rsidRDefault="003A03B1">
            <w:pPr>
              <w:jc w:val="right"/>
              <w:cnfStyle w:val="000000100000"/>
              <w:rPr>
                <w:rFonts w:asciiTheme="majorHAnsi" w:hAnsiTheme="majorHAnsi"/>
                <w:color w:val="000000"/>
                <w:sz w:val="16"/>
                <w:szCs w:val="16"/>
              </w:rPr>
            </w:pPr>
          </w:p>
        </w:tc>
        <w:tc>
          <w:tcPr>
            <w:tcW w:w="1012" w:type="dxa"/>
            <w:noWrap/>
            <w:hideMark/>
          </w:tcPr>
          <w:p w:rsidRPr="00DC75CA" w:rsidR="003A03B1" w:rsidP="000662BC" w:rsidRDefault="003A03B1">
            <w:pPr>
              <w:jc w:val="right"/>
              <w:cnfStyle w:val="000000100000"/>
              <w:rPr>
                <w:rFonts w:asciiTheme="majorHAnsi" w:hAnsiTheme="majorHAnsi"/>
                <w:color w:val="000000"/>
                <w:sz w:val="16"/>
                <w:szCs w:val="16"/>
              </w:rPr>
            </w:pPr>
          </w:p>
        </w:tc>
        <w:tc>
          <w:tcPr>
            <w:tcW w:w="1012" w:type="dxa"/>
            <w:noWrap/>
            <w:hideMark/>
          </w:tcPr>
          <w:p w:rsidRPr="00DC75CA" w:rsidR="003A03B1" w:rsidP="000662BC" w:rsidRDefault="003A03B1">
            <w:pPr>
              <w:jc w:val="right"/>
              <w:cnfStyle w:val="000000100000"/>
              <w:rPr>
                <w:rFonts w:asciiTheme="majorHAnsi" w:hAnsiTheme="majorHAnsi"/>
                <w:color w:val="000000"/>
                <w:sz w:val="16"/>
                <w:szCs w:val="16"/>
              </w:rPr>
            </w:pPr>
          </w:p>
        </w:tc>
        <w:tc>
          <w:tcPr>
            <w:tcW w:w="1012" w:type="dxa"/>
            <w:noWrap/>
            <w:hideMark/>
          </w:tcPr>
          <w:p w:rsidRPr="00DC75CA" w:rsidR="003A03B1" w:rsidP="000662BC" w:rsidRDefault="003A03B1">
            <w:pPr>
              <w:jc w:val="right"/>
              <w:cnfStyle w:val="000000100000"/>
              <w:rPr>
                <w:rFonts w:asciiTheme="majorHAnsi" w:hAnsiTheme="majorHAnsi"/>
                <w:color w:val="000000"/>
                <w:sz w:val="16"/>
                <w:szCs w:val="16"/>
              </w:rPr>
            </w:pPr>
          </w:p>
        </w:tc>
      </w:tr>
      <w:tr w:rsidRPr="00DC75CA" w:rsidR="000662BC" w:rsidTr="000662BC">
        <w:trPr>
          <w:trHeight w:val="225"/>
        </w:trPr>
        <w:tc>
          <w:tcPr>
            <w:cnfStyle w:val="001000000000"/>
            <w:tcW w:w="388" w:type="dxa"/>
            <w:noWrap/>
            <w:hideMark/>
          </w:tcPr>
          <w:p w:rsidRPr="00DC75CA" w:rsidR="000662BC" w:rsidP="000662BC" w:rsidRDefault="000662BC">
            <w:pPr>
              <w:rPr>
                <w:rFonts w:asciiTheme="majorHAnsi" w:hAnsiTheme="majorHAnsi"/>
                <w:b w:val="0"/>
                <w:color w:val="000000"/>
                <w:sz w:val="16"/>
                <w:szCs w:val="16"/>
              </w:rPr>
            </w:pPr>
            <w:r w:rsidRPr="00DC75CA">
              <w:rPr>
                <w:rFonts w:asciiTheme="majorHAnsi" w:hAnsiTheme="majorHAnsi"/>
                <w:b w:val="0"/>
                <w:color w:val="000000"/>
                <w:sz w:val="16"/>
                <w:szCs w:val="16"/>
              </w:rPr>
              <w:t>4.</w:t>
            </w:r>
          </w:p>
        </w:tc>
        <w:tc>
          <w:tcPr>
            <w:tcW w:w="2420" w:type="dxa"/>
            <w:noWrap/>
            <w:hideMark/>
          </w:tcPr>
          <w:p w:rsidRPr="00DC75CA" w:rsidR="000662BC" w:rsidP="000662BC" w:rsidRDefault="000662BC">
            <w:pPr>
              <w:cnfStyle w:val="000000000000"/>
              <w:rPr>
                <w:rFonts w:asciiTheme="majorHAnsi" w:hAnsiTheme="majorHAnsi"/>
                <w:color w:val="000000"/>
                <w:sz w:val="16"/>
                <w:szCs w:val="16"/>
              </w:rPr>
            </w:pPr>
            <w:r w:rsidRPr="00DC75CA">
              <w:rPr>
                <w:rFonts w:asciiTheme="majorHAnsi" w:hAnsiTheme="majorHAnsi"/>
                <w:color w:val="000000"/>
                <w:sz w:val="16"/>
                <w:szCs w:val="16"/>
              </w:rPr>
              <w:t>Onderuitputting 2015</w:t>
            </w:r>
          </w:p>
        </w:tc>
        <w:tc>
          <w:tcPr>
            <w:tcW w:w="1011" w:type="dxa"/>
            <w:noWrap/>
            <w:hideMark/>
          </w:tcPr>
          <w:p w:rsidRPr="00DC75CA" w:rsidR="000662BC" w:rsidP="004F1D3F" w:rsidRDefault="000662BC">
            <w:pPr>
              <w:jc w:val="right"/>
              <w:cnfStyle w:val="000000000000"/>
              <w:rPr>
                <w:rFonts w:asciiTheme="majorHAnsi" w:hAnsiTheme="majorHAnsi"/>
                <w:color w:val="000000"/>
                <w:sz w:val="16"/>
                <w:szCs w:val="16"/>
              </w:rPr>
            </w:pPr>
            <w:r w:rsidRPr="00DC75CA">
              <w:rPr>
                <w:rFonts w:asciiTheme="majorHAnsi" w:hAnsiTheme="majorHAnsi"/>
                <w:color w:val="000000"/>
                <w:sz w:val="16"/>
                <w:szCs w:val="16"/>
              </w:rPr>
              <w:t>-</w:t>
            </w:r>
            <w:r w:rsidRPr="00DC75CA" w:rsidR="004F1D3F">
              <w:rPr>
                <w:rFonts w:asciiTheme="majorHAnsi" w:hAnsiTheme="majorHAnsi"/>
                <w:color w:val="000000"/>
                <w:sz w:val="16"/>
                <w:szCs w:val="16"/>
              </w:rPr>
              <w:t>377</w:t>
            </w: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r>
      <w:tr w:rsidRPr="00DC75CA" w:rsidR="000662BC" w:rsidTr="000662BC">
        <w:trPr>
          <w:cnfStyle w:val="000000100000"/>
          <w:trHeight w:val="225"/>
        </w:trPr>
        <w:tc>
          <w:tcPr>
            <w:cnfStyle w:val="001000000000"/>
            <w:tcW w:w="388" w:type="dxa"/>
            <w:noWrap/>
            <w:hideMark/>
          </w:tcPr>
          <w:p w:rsidRPr="00DC75CA" w:rsidR="000662BC" w:rsidP="000662BC" w:rsidRDefault="000662BC">
            <w:pPr>
              <w:rPr>
                <w:rFonts w:asciiTheme="majorHAnsi" w:hAnsiTheme="majorHAnsi"/>
                <w:b w:val="0"/>
                <w:color w:val="000000"/>
                <w:sz w:val="16"/>
                <w:szCs w:val="16"/>
              </w:rPr>
            </w:pPr>
            <w:r w:rsidRPr="00DC75CA">
              <w:rPr>
                <w:rFonts w:asciiTheme="majorHAnsi" w:hAnsiTheme="majorHAnsi"/>
                <w:b w:val="0"/>
                <w:color w:val="000000"/>
                <w:sz w:val="16"/>
                <w:szCs w:val="16"/>
              </w:rPr>
              <w:t>5.</w:t>
            </w:r>
          </w:p>
        </w:tc>
        <w:tc>
          <w:tcPr>
            <w:tcW w:w="2420" w:type="dxa"/>
            <w:noWrap/>
            <w:hideMark/>
          </w:tcPr>
          <w:p w:rsidRPr="00DC75CA" w:rsidR="000662BC" w:rsidP="00CF070E" w:rsidRDefault="000662BC">
            <w:pPr>
              <w:cnfStyle w:val="000000100000"/>
              <w:rPr>
                <w:rFonts w:asciiTheme="majorHAnsi" w:hAnsiTheme="majorHAnsi"/>
                <w:color w:val="000000"/>
                <w:sz w:val="16"/>
                <w:szCs w:val="16"/>
              </w:rPr>
            </w:pPr>
            <w:r w:rsidRPr="00DC75CA">
              <w:rPr>
                <w:rFonts w:asciiTheme="majorHAnsi" w:hAnsiTheme="majorHAnsi"/>
                <w:color w:val="000000"/>
                <w:sz w:val="16"/>
                <w:szCs w:val="16"/>
              </w:rPr>
              <w:t>ODA</w:t>
            </w:r>
            <w:r w:rsidRPr="00DC75CA" w:rsidR="00CF070E">
              <w:rPr>
                <w:rFonts w:asciiTheme="majorHAnsi" w:hAnsiTheme="majorHAnsi"/>
                <w:color w:val="000000"/>
                <w:sz w:val="16"/>
                <w:szCs w:val="16"/>
              </w:rPr>
              <w:t xml:space="preserve"> (BNI-bijstelling)</w:t>
            </w:r>
          </w:p>
        </w:tc>
        <w:tc>
          <w:tcPr>
            <w:tcW w:w="1011"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-87</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-140</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-136</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-136</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-136</w:t>
            </w:r>
          </w:p>
        </w:tc>
      </w:tr>
      <w:tr w:rsidRPr="00DC75CA" w:rsidR="000662BC" w:rsidTr="000662BC">
        <w:trPr>
          <w:trHeight w:val="420"/>
        </w:trPr>
        <w:tc>
          <w:tcPr>
            <w:cnfStyle w:val="001000000000"/>
            <w:tcW w:w="388" w:type="dxa"/>
            <w:noWrap/>
            <w:hideMark/>
          </w:tcPr>
          <w:p w:rsidRPr="00DC75CA" w:rsidR="000662BC" w:rsidP="000662BC" w:rsidRDefault="000662BC">
            <w:pPr>
              <w:rPr>
                <w:rFonts w:asciiTheme="majorHAnsi" w:hAnsiTheme="majorHAnsi"/>
                <w:b w:val="0"/>
                <w:color w:val="000000"/>
                <w:sz w:val="16"/>
                <w:szCs w:val="16"/>
              </w:rPr>
            </w:pPr>
            <w:r w:rsidRPr="00DC75CA">
              <w:rPr>
                <w:rFonts w:asciiTheme="majorHAnsi" w:hAnsiTheme="majorHAnsi"/>
                <w:b w:val="0"/>
                <w:color w:val="000000"/>
                <w:sz w:val="16"/>
                <w:szCs w:val="16"/>
              </w:rPr>
              <w:t>6.</w:t>
            </w:r>
          </w:p>
        </w:tc>
        <w:tc>
          <w:tcPr>
            <w:tcW w:w="2420" w:type="dxa"/>
            <w:hideMark/>
          </w:tcPr>
          <w:p w:rsidRPr="00DC75CA" w:rsidR="000662BC" w:rsidP="000662BC" w:rsidRDefault="000662BC">
            <w:pPr>
              <w:cnfStyle w:val="000000000000"/>
              <w:rPr>
                <w:rFonts w:asciiTheme="majorHAnsi" w:hAnsiTheme="majorHAnsi"/>
                <w:color w:val="000000"/>
                <w:sz w:val="16"/>
                <w:szCs w:val="16"/>
              </w:rPr>
            </w:pPr>
            <w:r w:rsidRPr="00DC75CA">
              <w:rPr>
                <w:rFonts w:asciiTheme="majorHAnsi" w:hAnsiTheme="majorHAnsi"/>
                <w:color w:val="000000"/>
                <w:sz w:val="16"/>
                <w:szCs w:val="16"/>
              </w:rPr>
              <w:t>Helft vergoeding EU voor verdeling vluchtelingen</w:t>
            </w:r>
          </w:p>
        </w:tc>
        <w:tc>
          <w:tcPr>
            <w:tcW w:w="1011"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E1652D" w:rsidP="00E1652D" w:rsidRDefault="000662BC">
            <w:pPr>
              <w:jc w:val="right"/>
              <w:cnfStyle w:val="000000000000"/>
              <w:rPr>
                <w:rFonts w:asciiTheme="majorHAnsi" w:hAnsiTheme="majorHAnsi"/>
                <w:color w:val="000000"/>
                <w:sz w:val="16"/>
                <w:szCs w:val="16"/>
              </w:rPr>
            </w:pPr>
            <w:r w:rsidRPr="00DC75CA">
              <w:rPr>
                <w:rFonts w:asciiTheme="majorHAnsi" w:hAnsiTheme="majorHAnsi"/>
                <w:color w:val="000000"/>
                <w:sz w:val="16"/>
                <w:szCs w:val="16"/>
              </w:rPr>
              <w:t>-27</w:t>
            </w:r>
          </w:p>
          <w:p w:rsidRPr="00DC75CA" w:rsidR="000662BC" w:rsidP="00D605D0"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000000"/>
              <w:rPr>
                <w:rFonts w:asciiTheme="majorHAnsi" w:hAnsiTheme="majorHAnsi"/>
                <w:color w:val="000000"/>
                <w:sz w:val="16"/>
                <w:szCs w:val="16"/>
              </w:rPr>
            </w:pPr>
          </w:p>
        </w:tc>
      </w:tr>
      <w:tr w:rsidRPr="00DC75CA" w:rsidR="000662BC" w:rsidTr="000662BC">
        <w:trPr>
          <w:cnfStyle w:val="000000100000"/>
          <w:trHeight w:val="225"/>
        </w:trPr>
        <w:tc>
          <w:tcPr>
            <w:cnfStyle w:val="001000000000"/>
            <w:tcW w:w="388" w:type="dxa"/>
            <w:noWrap/>
            <w:hideMark/>
          </w:tcPr>
          <w:p w:rsidRPr="00DC75CA" w:rsidR="000662BC" w:rsidP="000662BC" w:rsidRDefault="000662BC">
            <w:pPr>
              <w:rPr>
                <w:rFonts w:asciiTheme="majorHAnsi" w:hAnsiTheme="majorHAnsi"/>
                <w:b w:val="0"/>
                <w:color w:val="000000"/>
                <w:sz w:val="16"/>
                <w:szCs w:val="16"/>
              </w:rPr>
            </w:pPr>
            <w:r w:rsidRPr="00DC75CA">
              <w:rPr>
                <w:rFonts w:asciiTheme="majorHAnsi" w:hAnsiTheme="majorHAnsi"/>
                <w:b w:val="0"/>
                <w:color w:val="000000"/>
                <w:sz w:val="16"/>
                <w:szCs w:val="16"/>
              </w:rPr>
              <w:t>7.</w:t>
            </w:r>
          </w:p>
        </w:tc>
        <w:tc>
          <w:tcPr>
            <w:tcW w:w="2420" w:type="dxa"/>
            <w:noWrap/>
            <w:hideMark/>
          </w:tcPr>
          <w:p w:rsidRPr="00DC75CA" w:rsidR="000662BC" w:rsidP="000662BC" w:rsidRDefault="00692EBB">
            <w:pPr>
              <w:cnfStyle w:val="000000100000"/>
              <w:rPr>
                <w:rFonts w:asciiTheme="majorHAnsi" w:hAnsiTheme="majorHAnsi"/>
                <w:color w:val="000000"/>
                <w:sz w:val="16"/>
                <w:szCs w:val="16"/>
              </w:rPr>
            </w:pPr>
            <w:r>
              <w:rPr>
                <w:rFonts w:asciiTheme="majorHAnsi" w:hAnsiTheme="majorHAnsi"/>
                <w:color w:val="000000"/>
                <w:sz w:val="16"/>
                <w:szCs w:val="16"/>
              </w:rPr>
              <w:t xml:space="preserve">Problematiek IND/Nidos </w:t>
            </w:r>
          </w:p>
        </w:tc>
        <w:tc>
          <w:tcPr>
            <w:tcW w:w="1011"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27</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-27</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p>
        </w:tc>
      </w:tr>
      <w:tr w:rsidRPr="00DC75CA" w:rsidR="00FA159D" w:rsidTr="000662BC">
        <w:trPr>
          <w:trHeight w:val="225"/>
        </w:trPr>
        <w:tc>
          <w:tcPr>
            <w:cnfStyle w:val="001000000000"/>
            <w:tcW w:w="388" w:type="dxa"/>
            <w:noWrap/>
            <w:hideMark/>
          </w:tcPr>
          <w:p w:rsidRPr="00DC75CA" w:rsidR="00FA159D" w:rsidP="000662BC" w:rsidRDefault="00FA159D">
            <w:pPr>
              <w:rPr>
                <w:rFonts w:asciiTheme="majorHAnsi" w:hAnsiTheme="majorHAnsi"/>
                <w:b w:val="0"/>
                <w:color w:val="000000"/>
                <w:sz w:val="16"/>
                <w:szCs w:val="16"/>
              </w:rPr>
            </w:pPr>
            <w:r w:rsidRPr="00DC75CA">
              <w:rPr>
                <w:rFonts w:asciiTheme="majorHAnsi" w:hAnsiTheme="majorHAnsi"/>
                <w:b w:val="0"/>
                <w:color w:val="000000"/>
                <w:sz w:val="16"/>
                <w:szCs w:val="16"/>
              </w:rPr>
              <w:t>8.</w:t>
            </w:r>
          </w:p>
        </w:tc>
        <w:tc>
          <w:tcPr>
            <w:tcW w:w="2420" w:type="dxa"/>
            <w:noWrap/>
            <w:hideMark/>
          </w:tcPr>
          <w:p w:rsidRPr="00DC75CA" w:rsidR="00FA159D" w:rsidP="00FA159D" w:rsidRDefault="00FA159D">
            <w:pPr>
              <w:cnfStyle w:val="000000000000"/>
              <w:rPr>
                <w:rFonts w:asciiTheme="majorHAnsi" w:hAnsiTheme="majorHAnsi"/>
                <w:color w:val="000000"/>
                <w:sz w:val="16"/>
                <w:szCs w:val="16"/>
              </w:rPr>
            </w:pPr>
            <w:r w:rsidRPr="00DC75CA">
              <w:rPr>
                <w:rFonts w:asciiTheme="majorHAnsi" w:hAnsiTheme="majorHAnsi"/>
                <w:sz w:val="16"/>
                <w:szCs w:val="16"/>
              </w:rPr>
              <w:t>Doelmatigheidskorting IND</w:t>
            </w:r>
          </w:p>
        </w:tc>
        <w:tc>
          <w:tcPr>
            <w:tcW w:w="1011" w:type="dxa"/>
            <w:noWrap/>
            <w:hideMark/>
          </w:tcPr>
          <w:p w:rsidRPr="00DC75CA" w:rsidR="00FA159D" w:rsidP="000662BC" w:rsidRDefault="00FA159D">
            <w:pPr>
              <w:jc w:val="right"/>
              <w:cnfStyle w:val="000000000000"/>
              <w:rPr>
                <w:rFonts w:asciiTheme="majorHAnsi" w:hAnsiTheme="majorHAnsi"/>
                <w:color w:val="000000"/>
                <w:sz w:val="16"/>
                <w:szCs w:val="16"/>
              </w:rPr>
            </w:pPr>
          </w:p>
        </w:tc>
        <w:tc>
          <w:tcPr>
            <w:tcW w:w="1012" w:type="dxa"/>
            <w:noWrap/>
            <w:hideMark/>
          </w:tcPr>
          <w:p w:rsidRPr="00DC75CA" w:rsidR="00FA159D" w:rsidP="000662BC" w:rsidRDefault="00FA159D">
            <w:pPr>
              <w:jc w:val="right"/>
              <w:cnfStyle w:val="000000000000"/>
              <w:rPr>
                <w:rFonts w:asciiTheme="majorHAnsi" w:hAnsiTheme="majorHAnsi"/>
                <w:color w:val="000000"/>
                <w:sz w:val="16"/>
                <w:szCs w:val="16"/>
              </w:rPr>
            </w:pPr>
            <w:r w:rsidRPr="00DC75CA">
              <w:rPr>
                <w:rFonts w:asciiTheme="majorHAnsi" w:hAnsiTheme="majorHAnsi"/>
                <w:color w:val="000000"/>
                <w:sz w:val="16"/>
                <w:szCs w:val="16"/>
              </w:rPr>
              <w:t>-7</w:t>
            </w:r>
          </w:p>
        </w:tc>
        <w:tc>
          <w:tcPr>
            <w:tcW w:w="1012" w:type="dxa"/>
            <w:noWrap/>
            <w:hideMark/>
          </w:tcPr>
          <w:p w:rsidRPr="00DC75CA" w:rsidR="00FA159D" w:rsidP="000662BC" w:rsidRDefault="00FA159D">
            <w:pPr>
              <w:jc w:val="right"/>
              <w:cnfStyle w:val="000000000000"/>
              <w:rPr>
                <w:rFonts w:asciiTheme="majorHAnsi" w:hAnsiTheme="majorHAnsi"/>
                <w:color w:val="000000"/>
                <w:sz w:val="16"/>
                <w:szCs w:val="16"/>
              </w:rPr>
            </w:pPr>
          </w:p>
        </w:tc>
        <w:tc>
          <w:tcPr>
            <w:tcW w:w="1012" w:type="dxa"/>
            <w:noWrap/>
            <w:hideMark/>
          </w:tcPr>
          <w:p w:rsidRPr="00DC75CA" w:rsidR="00FA159D" w:rsidP="000662BC" w:rsidRDefault="00FA159D">
            <w:pPr>
              <w:jc w:val="right"/>
              <w:cnfStyle w:val="000000000000"/>
              <w:rPr>
                <w:rFonts w:asciiTheme="majorHAnsi" w:hAnsiTheme="majorHAnsi"/>
                <w:color w:val="000000"/>
                <w:sz w:val="16"/>
                <w:szCs w:val="16"/>
              </w:rPr>
            </w:pPr>
          </w:p>
        </w:tc>
        <w:tc>
          <w:tcPr>
            <w:tcW w:w="1012" w:type="dxa"/>
            <w:noWrap/>
            <w:hideMark/>
          </w:tcPr>
          <w:p w:rsidRPr="00DC75CA" w:rsidR="00FA159D" w:rsidP="000662BC" w:rsidRDefault="00FA159D">
            <w:pPr>
              <w:jc w:val="right"/>
              <w:cnfStyle w:val="000000000000"/>
              <w:rPr>
                <w:rFonts w:asciiTheme="majorHAnsi" w:hAnsiTheme="majorHAnsi"/>
                <w:color w:val="000000"/>
                <w:sz w:val="16"/>
                <w:szCs w:val="16"/>
              </w:rPr>
            </w:pPr>
          </w:p>
        </w:tc>
        <w:tc>
          <w:tcPr>
            <w:tcW w:w="1012" w:type="dxa"/>
            <w:noWrap/>
            <w:hideMark/>
          </w:tcPr>
          <w:p w:rsidRPr="00DC75CA" w:rsidR="00FA159D" w:rsidP="000662BC" w:rsidRDefault="00FA159D">
            <w:pPr>
              <w:jc w:val="right"/>
              <w:cnfStyle w:val="000000000000"/>
              <w:rPr>
                <w:rFonts w:asciiTheme="majorHAnsi" w:hAnsiTheme="majorHAnsi"/>
                <w:color w:val="000000"/>
                <w:sz w:val="16"/>
                <w:szCs w:val="16"/>
              </w:rPr>
            </w:pPr>
          </w:p>
        </w:tc>
      </w:tr>
      <w:tr w:rsidRPr="00DC75CA" w:rsidR="000662BC" w:rsidTr="000662BC">
        <w:trPr>
          <w:cnfStyle w:val="000000100000"/>
          <w:trHeight w:val="225"/>
        </w:trPr>
        <w:tc>
          <w:tcPr>
            <w:cnfStyle w:val="001000000000"/>
            <w:tcW w:w="388" w:type="dxa"/>
            <w:noWrap/>
            <w:hideMark/>
          </w:tcPr>
          <w:p w:rsidRPr="00DC75CA" w:rsidR="000662BC" w:rsidP="000662BC" w:rsidRDefault="00FA159D">
            <w:pPr>
              <w:rPr>
                <w:rFonts w:asciiTheme="majorHAnsi" w:hAnsiTheme="majorHAnsi"/>
                <w:b w:val="0"/>
                <w:color w:val="000000"/>
                <w:sz w:val="16"/>
                <w:szCs w:val="16"/>
              </w:rPr>
            </w:pPr>
            <w:r w:rsidRPr="00DC75CA">
              <w:rPr>
                <w:rFonts w:asciiTheme="majorHAnsi" w:hAnsiTheme="majorHAnsi"/>
                <w:b w:val="0"/>
                <w:color w:val="000000"/>
                <w:sz w:val="16"/>
                <w:szCs w:val="16"/>
              </w:rPr>
              <w:t>9</w:t>
            </w:r>
            <w:r w:rsidRPr="00DC75CA" w:rsidR="000662BC">
              <w:rPr>
                <w:rFonts w:asciiTheme="majorHAnsi" w:hAnsiTheme="majorHAnsi"/>
                <w:b w:val="0"/>
                <w:color w:val="000000"/>
                <w:sz w:val="16"/>
                <w:szCs w:val="16"/>
              </w:rPr>
              <w:t>.</w:t>
            </w:r>
          </w:p>
        </w:tc>
        <w:tc>
          <w:tcPr>
            <w:tcW w:w="2420" w:type="dxa"/>
            <w:noWrap/>
            <w:hideMark/>
          </w:tcPr>
          <w:p w:rsidRPr="00DC75CA" w:rsidR="000662BC" w:rsidP="000662BC" w:rsidRDefault="000662BC">
            <w:pPr>
              <w:cnfStyle w:val="000000100000"/>
              <w:rPr>
                <w:rFonts w:asciiTheme="majorHAnsi" w:hAnsiTheme="majorHAnsi"/>
                <w:color w:val="000000"/>
                <w:sz w:val="16"/>
                <w:szCs w:val="16"/>
              </w:rPr>
            </w:pPr>
            <w:r w:rsidRPr="00DC75CA">
              <w:rPr>
                <w:rFonts w:asciiTheme="majorHAnsi" w:hAnsiTheme="majorHAnsi"/>
                <w:color w:val="000000"/>
                <w:sz w:val="16"/>
                <w:szCs w:val="16"/>
              </w:rPr>
              <w:t>In te passen kasschuif</w:t>
            </w:r>
          </w:p>
        </w:tc>
        <w:tc>
          <w:tcPr>
            <w:tcW w:w="1011" w:type="dxa"/>
            <w:noWrap/>
            <w:hideMark/>
          </w:tcPr>
          <w:p w:rsidRPr="00DC75CA" w:rsidR="000662BC" w:rsidP="000662BC" w:rsidRDefault="000662BC">
            <w:pPr>
              <w:jc w:val="right"/>
              <w:cnfStyle w:val="000000100000"/>
              <w:rPr>
                <w:rFonts w:asciiTheme="majorHAnsi" w:hAnsiTheme="majorHAnsi"/>
                <w:color w:val="000000"/>
                <w:sz w:val="16"/>
                <w:szCs w:val="16"/>
              </w:rPr>
            </w:pPr>
          </w:p>
        </w:tc>
        <w:tc>
          <w:tcPr>
            <w:tcW w:w="1012" w:type="dxa"/>
            <w:noWrap/>
            <w:hideMark/>
          </w:tcPr>
          <w:p w:rsidRPr="00DC75CA" w:rsidR="00D605D0" w:rsidP="00E1652D"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-313</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-95</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136</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136</w:t>
            </w:r>
          </w:p>
        </w:tc>
        <w:tc>
          <w:tcPr>
            <w:tcW w:w="1012" w:type="dxa"/>
            <w:noWrap/>
            <w:hideMark/>
          </w:tcPr>
          <w:p w:rsidRPr="00DC75CA" w:rsidR="000662BC" w:rsidP="000662BC" w:rsidRDefault="000662BC">
            <w:pPr>
              <w:jc w:val="right"/>
              <w:cnfStyle w:val="000000100000"/>
              <w:rPr>
                <w:rFonts w:asciiTheme="majorHAnsi" w:hAnsiTheme="majorHAnsi"/>
                <w:color w:val="000000"/>
                <w:sz w:val="16"/>
                <w:szCs w:val="16"/>
              </w:rPr>
            </w:pPr>
            <w:r w:rsidRPr="00DC75CA">
              <w:rPr>
                <w:rFonts w:asciiTheme="majorHAnsi" w:hAnsiTheme="majorHAnsi"/>
                <w:color w:val="000000"/>
                <w:sz w:val="16"/>
                <w:szCs w:val="16"/>
              </w:rPr>
              <w:t>136</w:t>
            </w:r>
          </w:p>
        </w:tc>
      </w:tr>
      <w:tr w:rsidRPr="003A03B1" w:rsidR="003A03B1" w:rsidTr="000662BC">
        <w:trPr>
          <w:trHeight w:val="225"/>
        </w:trPr>
        <w:tc>
          <w:tcPr>
            <w:cnfStyle w:val="001000000000"/>
            <w:tcW w:w="388" w:type="dxa"/>
            <w:noWrap/>
            <w:hideMark/>
          </w:tcPr>
          <w:p w:rsidRPr="003A03B1" w:rsidR="003A03B1" w:rsidP="000662BC" w:rsidRDefault="003A03B1">
            <w:pPr>
              <w:rPr>
                <w:rFonts w:asciiTheme="majorHAnsi" w:hAnsiTheme="majorHAnsi"/>
                <w:color w:val="000000"/>
                <w:sz w:val="16"/>
                <w:szCs w:val="16"/>
              </w:rPr>
            </w:pPr>
          </w:p>
        </w:tc>
        <w:tc>
          <w:tcPr>
            <w:tcW w:w="2420" w:type="dxa"/>
            <w:noWrap/>
            <w:hideMark/>
          </w:tcPr>
          <w:p w:rsidRPr="003A03B1" w:rsidR="003A03B1" w:rsidP="000662BC" w:rsidRDefault="003A03B1">
            <w:pPr>
              <w:cnfStyle w:val="000000000000"/>
              <w:rPr>
                <w:rFonts w:asciiTheme="majorHAnsi" w:hAnsiTheme="majorHAnsi"/>
                <w:b/>
                <w:color w:val="000000"/>
                <w:sz w:val="16"/>
                <w:szCs w:val="16"/>
              </w:rPr>
            </w:pPr>
            <w:r w:rsidRPr="003A03B1">
              <w:rPr>
                <w:rFonts w:asciiTheme="majorHAnsi" w:hAnsiTheme="majorHAnsi"/>
                <w:b/>
                <w:color w:val="000000"/>
                <w:sz w:val="16"/>
                <w:szCs w:val="16"/>
              </w:rPr>
              <w:t xml:space="preserve">Totaal dekking </w:t>
            </w:r>
          </w:p>
        </w:tc>
        <w:tc>
          <w:tcPr>
            <w:tcW w:w="1011" w:type="dxa"/>
            <w:noWrap/>
            <w:hideMark/>
          </w:tcPr>
          <w:p w:rsidRPr="003A03B1" w:rsidR="003A03B1"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-350</w:t>
            </w:r>
          </w:p>
        </w:tc>
        <w:tc>
          <w:tcPr>
            <w:tcW w:w="1012" w:type="dxa"/>
            <w:noWrap/>
            <w:hideMark/>
          </w:tcPr>
          <w:p w:rsidRPr="003A03B1" w:rsidR="003A03B1" w:rsidP="00E1652D"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-461</w:t>
            </w:r>
          </w:p>
        </w:tc>
        <w:tc>
          <w:tcPr>
            <w:tcW w:w="1012" w:type="dxa"/>
            <w:noWrap/>
            <w:hideMark/>
          </w:tcPr>
          <w:p w:rsidRPr="003A03B1" w:rsidR="003A03B1"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-235</w:t>
            </w:r>
          </w:p>
        </w:tc>
        <w:tc>
          <w:tcPr>
            <w:tcW w:w="1012" w:type="dxa"/>
            <w:noWrap/>
            <w:hideMark/>
          </w:tcPr>
          <w:p w:rsidRPr="003A03B1" w:rsidR="003A03B1"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0</w:t>
            </w:r>
          </w:p>
        </w:tc>
        <w:tc>
          <w:tcPr>
            <w:tcW w:w="1012" w:type="dxa"/>
            <w:noWrap/>
            <w:hideMark/>
          </w:tcPr>
          <w:p w:rsidRPr="003A03B1" w:rsidR="003A03B1"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0</w:t>
            </w:r>
          </w:p>
        </w:tc>
        <w:tc>
          <w:tcPr>
            <w:tcW w:w="1012" w:type="dxa"/>
            <w:noWrap/>
            <w:hideMark/>
          </w:tcPr>
          <w:p w:rsidRPr="003A03B1" w:rsidR="003A03B1" w:rsidP="000662BC" w:rsidRDefault="003A03B1">
            <w:pPr>
              <w:jc w:val="right"/>
              <w:cnfStyle w:val="000000000000"/>
              <w:rPr>
                <w:rFonts w:asciiTheme="majorHAnsi" w:hAnsiTheme="majorHAnsi"/>
                <w:b/>
                <w:color w:val="000000"/>
                <w:sz w:val="16"/>
                <w:szCs w:val="16"/>
              </w:rPr>
            </w:pPr>
            <w:r>
              <w:rPr>
                <w:rFonts w:asciiTheme="majorHAnsi" w:hAnsiTheme="majorHAnsi"/>
                <w:b/>
                <w:color w:val="000000"/>
                <w:sz w:val="16"/>
                <w:szCs w:val="16"/>
              </w:rPr>
              <w:t>0</w:t>
            </w:r>
          </w:p>
        </w:tc>
      </w:tr>
      <w:tr w:rsidRPr="003A03B1" w:rsidR="003A03B1" w:rsidTr="000662BC">
        <w:trPr>
          <w:cnfStyle w:val="000000100000"/>
          <w:trHeight w:val="225"/>
        </w:trPr>
        <w:tc>
          <w:tcPr>
            <w:cnfStyle w:val="001000000000"/>
            <w:tcW w:w="388" w:type="dxa"/>
            <w:noWrap/>
            <w:hideMark/>
          </w:tcPr>
          <w:p w:rsidRPr="003A03B1" w:rsidR="003A03B1" w:rsidP="000662BC" w:rsidRDefault="003A03B1">
            <w:pPr>
              <w:rPr>
                <w:rFonts w:asciiTheme="majorHAnsi" w:hAnsiTheme="majorHAnsi"/>
                <w:b w:val="0"/>
                <w:color w:val="000000"/>
                <w:sz w:val="16"/>
                <w:szCs w:val="16"/>
              </w:rPr>
            </w:pPr>
          </w:p>
        </w:tc>
        <w:tc>
          <w:tcPr>
            <w:tcW w:w="2420" w:type="dxa"/>
            <w:noWrap/>
            <w:hideMark/>
          </w:tcPr>
          <w:p w:rsidRPr="003A03B1" w:rsidR="003A03B1" w:rsidP="000662BC" w:rsidRDefault="003A03B1">
            <w:pPr>
              <w:cnfStyle w:val="000000100000"/>
              <w:rPr>
                <w:rFonts w:asciiTheme="majorHAnsi" w:hAnsiTheme="majorHAnsi"/>
                <w:b/>
                <w:color w:val="000000"/>
                <w:sz w:val="16"/>
                <w:szCs w:val="16"/>
              </w:rPr>
            </w:pPr>
          </w:p>
        </w:tc>
        <w:tc>
          <w:tcPr>
            <w:tcW w:w="1011" w:type="dxa"/>
            <w:noWrap/>
            <w:hideMark/>
          </w:tcPr>
          <w:p w:rsidRPr="003A03B1" w:rsidR="003A03B1" w:rsidP="000662BC" w:rsidRDefault="003A03B1">
            <w:pPr>
              <w:jc w:val="right"/>
              <w:cnfStyle w:val="000000100000"/>
              <w:rPr>
                <w:rFonts w:asciiTheme="majorHAnsi" w:hAnsiTheme="majorHAnsi"/>
                <w:b/>
                <w:color w:val="000000"/>
                <w:sz w:val="16"/>
                <w:szCs w:val="16"/>
              </w:rPr>
            </w:pPr>
          </w:p>
        </w:tc>
        <w:tc>
          <w:tcPr>
            <w:tcW w:w="1012" w:type="dxa"/>
            <w:noWrap/>
            <w:hideMark/>
          </w:tcPr>
          <w:p w:rsidRPr="003A03B1" w:rsidR="003A03B1" w:rsidP="00E1652D" w:rsidRDefault="003A03B1">
            <w:pPr>
              <w:jc w:val="right"/>
              <w:cnfStyle w:val="000000100000"/>
              <w:rPr>
                <w:rFonts w:asciiTheme="majorHAnsi" w:hAnsiTheme="majorHAnsi"/>
                <w:b/>
                <w:color w:val="000000"/>
                <w:sz w:val="16"/>
                <w:szCs w:val="16"/>
              </w:rPr>
            </w:pPr>
          </w:p>
        </w:tc>
        <w:tc>
          <w:tcPr>
            <w:tcW w:w="1012" w:type="dxa"/>
            <w:noWrap/>
            <w:hideMark/>
          </w:tcPr>
          <w:p w:rsidRPr="003A03B1" w:rsidR="003A03B1" w:rsidP="000662BC" w:rsidRDefault="003A03B1">
            <w:pPr>
              <w:jc w:val="right"/>
              <w:cnfStyle w:val="000000100000"/>
              <w:rPr>
                <w:rFonts w:asciiTheme="majorHAnsi" w:hAnsiTheme="majorHAnsi"/>
                <w:b/>
                <w:color w:val="000000"/>
                <w:sz w:val="16"/>
                <w:szCs w:val="16"/>
              </w:rPr>
            </w:pPr>
          </w:p>
        </w:tc>
        <w:tc>
          <w:tcPr>
            <w:tcW w:w="1012" w:type="dxa"/>
            <w:noWrap/>
            <w:hideMark/>
          </w:tcPr>
          <w:p w:rsidRPr="003A03B1" w:rsidR="003A03B1" w:rsidP="000662BC" w:rsidRDefault="003A03B1">
            <w:pPr>
              <w:jc w:val="right"/>
              <w:cnfStyle w:val="000000100000"/>
              <w:rPr>
                <w:rFonts w:asciiTheme="majorHAnsi" w:hAnsiTheme="majorHAnsi"/>
                <w:b/>
                <w:color w:val="000000"/>
                <w:sz w:val="16"/>
                <w:szCs w:val="16"/>
              </w:rPr>
            </w:pPr>
          </w:p>
        </w:tc>
        <w:tc>
          <w:tcPr>
            <w:tcW w:w="1012" w:type="dxa"/>
            <w:noWrap/>
            <w:hideMark/>
          </w:tcPr>
          <w:p w:rsidRPr="003A03B1" w:rsidR="003A03B1" w:rsidP="000662BC" w:rsidRDefault="003A03B1">
            <w:pPr>
              <w:jc w:val="right"/>
              <w:cnfStyle w:val="000000100000"/>
              <w:rPr>
                <w:rFonts w:asciiTheme="majorHAnsi" w:hAnsiTheme="majorHAnsi"/>
                <w:b/>
                <w:color w:val="000000"/>
                <w:sz w:val="16"/>
                <w:szCs w:val="16"/>
              </w:rPr>
            </w:pPr>
          </w:p>
        </w:tc>
        <w:tc>
          <w:tcPr>
            <w:tcW w:w="1012" w:type="dxa"/>
            <w:noWrap/>
            <w:hideMark/>
          </w:tcPr>
          <w:p w:rsidRPr="003A03B1" w:rsidR="003A03B1" w:rsidP="000662BC" w:rsidRDefault="003A03B1">
            <w:pPr>
              <w:jc w:val="right"/>
              <w:cnfStyle w:val="000000100000"/>
              <w:rPr>
                <w:rFonts w:asciiTheme="majorHAnsi" w:hAnsiTheme="majorHAnsi"/>
                <w:b/>
                <w:color w:val="000000"/>
                <w:sz w:val="16"/>
                <w:szCs w:val="16"/>
              </w:rPr>
            </w:pPr>
          </w:p>
        </w:tc>
      </w:tr>
      <w:tr w:rsidRPr="00DC75CA" w:rsidR="000662BC" w:rsidTr="000662BC">
        <w:trPr>
          <w:trHeight w:val="225"/>
        </w:trPr>
        <w:tc>
          <w:tcPr>
            <w:cnfStyle w:val="001000000000"/>
            <w:tcW w:w="388" w:type="dxa"/>
            <w:noWrap/>
            <w:hideMark/>
          </w:tcPr>
          <w:p w:rsidRPr="00DC75CA" w:rsidR="000662BC" w:rsidP="000662BC" w:rsidRDefault="000662BC">
            <w:pPr>
              <w:rPr>
                <w:rFonts w:asciiTheme="majorHAnsi" w:hAnsiTheme="majorHAnsi"/>
                <w:color w:val="000000"/>
                <w:sz w:val="16"/>
                <w:szCs w:val="16"/>
              </w:rPr>
            </w:pPr>
            <w:r w:rsidRPr="00DC75CA">
              <w:rPr>
                <w:rFonts w:asciiTheme="majorHAnsi" w:hAnsiTheme="majorHAnsi"/>
                <w:color w:val="000000"/>
                <w:sz w:val="16"/>
                <w:szCs w:val="16"/>
              </w:rPr>
              <w:t> </w:t>
            </w:r>
          </w:p>
        </w:tc>
        <w:tc>
          <w:tcPr>
            <w:tcW w:w="2420" w:type="dxa"/>
            <w:noWrap/>
            <w:hideMark/>
          </w:tcPr>
          <w:p w:rsidRPr="00DC75CA" w:rsidR="000662BC" w:rsidP="000662BC" w:rsidRDefault="000662BC">
            <w:pPr>
              <w:cnfStyle w:val="000000000000"/>
              <w:rPr>
                <w:rFonts w:asciiTheme="majorHAnsi" w:hAnsiTheme="majorHAnsi"/>
                <w:b/>
                <w:bCs/>
                <w:color w:val="000000"/>
                <w:sz w:val="16"/>
                <w:szCs w:val="16"/>
              </w:rPr>
            </w:pPr>
            <w:r w:rsidRPr="00DC75CA">
              <w:rPr>
                <w:rFonts w:asciiTheme="majorHAnsi" w:hAnsiTheme="majorHAnsi"/>
                <w:b/>
                <w:bCs/>
                <w:color w:val="000000"/>
                <w:sz w:val="16"/>
                <w:szCs w:val="16"/>
              </w:rPr>
              <w:t>Totaal</w:t>
            </w:r>
          </w:p>
        </w:tc>
        <w:tc>
          <w:tcPr>
            <w:tcW w:w="1011" w:type="dxa"/>
            <w:noWrap/>
            <w:hideMark/>
          </w:tcPr>
          <w:p w:rsidRPr="00DC75CA" w:rsidR="000662BC" w:rsidP="000662BC" w:rsidRDefault="000662BC">
            <w:pPr>
              <w:jc w:val="right"/>
              <w:cnfStyle w:val="000000000000"/>
              <w:rPr>
                <w:rFonts w:asciiTheme="majorHAnsi" w:hAnsiTheme="majorHAnsi"/>
                <w:b/>
                <w:bCs/>
                <w:color w:val="000000"/>
                <w:sz w:val="16"/>
                <w:szCs w:val="16"/>
              </w:rPr>
            </w:pPr>
            <w:r w:rsidRPr="00DC75CA">
              <w:rPr>
                <w:rFonts w:asciiTheme="majorHAnsi" w:hAnsiTheme="majorHAnsi"/>
                <w:b/>
                <w:bCs/>
                <w:color w:val="000000"/>
                <w:sz w:val="16"/>
                <w:szCs w:val="16"/>
              </w:rPr>
              <w:t>0</w:t>
            </w:r>
          </w:p>
        </w:tc>
        <w:tc>
          <w:tcPr>
            <w:tcW w:w="1012" w:type="dxa"/>
            <w:noWrap/>
            <w:hideMark/>
          </w:tcPr>
          <w:p w:rsidRPr="00DC75CA" w:rsidR="000662BC" w:rsidP="000662BC" w:rsidRDefault="000662BC">
            <w:pPr>
              <w:jc w:val="right"/>
              <w:cnfStyle w:val="000000000000"/>
              <w:rPr>
                <w:rFonts w:asciiTheme="majorHAnsi" w:hAnsiTheme="majorHAnsi"/>
                <w:b/>
                <w:bCs/>
                <w:color w:val="000000"/>
                <w:sz w:val="16"/>
                <w:szCs w:val="16"/>
              </w:rPr>
            </w:pPr>
            <w:r w:rsidRPr="00DC75CA">
              <w:rPr>
                <w:rFonts w:asciiTheme="majorHAnsi" w:hAnsiTheme="majorHAnsi"/>
                <w:b/>
                <w:bCs/>
                <w:color w:val="000000"/>
                <w:sz w:val="16"/>
                <w:szCs w:val="16"/>
              </w:rPr>
              <w:t>0</w:t>
            </w:r>
          </w:p>
        </w:tc>
        <w:tc>
          <w:tcPr>
            <w:tcW w:w="1012" w:type="dxa"/>
            <w:noWrap/>
            <w:hideMark/>
          </w:tcPr>
          <w:p w:rsidRPr="00DC75CA" w:rsidR="000662BC" w:rsidP="000662BC" w:rsidRDefault="000662BC">
            <w:pPr>
              <w:jc w:val="right"/>
              <w:cnfStyle w:val="000000000000"/>
              <w:rPr>
                <w:rFonts w:asciiTheme="majorHAnsi" w:hAnsiTheme="majorHAnsi"/>
                <w:b/>
                <w:bCs/>
                <w:color w:val="000000"/>
                <w:sz w:val="16"/>
                <w:szCs w:val="16"/>
              </w:rPr>
            </w:pPr>
            <w:r w:rsidRPr="00DC75CA">
              <w:rPr>
                <w:rFonts w:asciiTheme="majorHAnsi" w:hAnsiTheme="majorHAnsi"/>
                <w:b/>
                <w:bCs/>
                <w:color w:val="000000"/>
                <w:sz w:val="16"/>
                <w:szCs w:val="16"/>
              </w:rPr>
              <w:t>0</w:t>
            </w:r>
          </w:p>
        </w:tc>
        <w:tc>
          <w:tcPr>
            <w:tcW w:w="1012" w:type="dxa"/>
            <w:noWrap/>
            <w:hideMark/>
          </w:tcPr>
          <w:p w:rsidRPr="00DC75CA" w:rsidR="000662BC" w:rsidP="000662BC" w:rsidRDefault="000662BC">
            <w:pPr>
              <w:jc w:val="right"/>
              <w:cnfStyle w:val="000000000000"/>
              <w:rPr>
                <w:rFonts w:asciiTheme="majorHAnsi" w:hAnsiTheme="majorHAnsi"/>
                <w:b/>
                <w:bCs/>
                <w:color w:val="000000"/>
                <w:sz w:val="16"/>
                <w:szCs w:val="16"/>
              </w:rPr>
            </w:pPr>
            <w:r w:rsidRPr="00DC75CA">
              <w:rPr>
                <w:rFonts w:asciiTheme="majorHAnsi" w:hAnsiTheme="majorHAnsi"/>
                <w:b/>
                <w:bCs/>
                <w:color w:val="000000"/>
                <w:sz w:val="16"/>
                <w:szCs w:val="16"/>
              </w:rPr>
              <w:t>0</w:t>
            </w:r>
          </w:p>
        </w:tc>
        <w:tc>
          <w:tcPr>
            <w:tcW w:w="1012" w:type="dxa"/>
            <w:noWrap/>
            <w:hideMark/>
          </w:tcPr>
          <w:p w:rsidRPr="00DC75CA" w:rsidR="000662BC" w:rsidP="000662BC" w:rsidRDefault="000662BC">
            <w:pPr>
              <w:jc w:val="right"/>
              <w:cnfStyle w:val="000000000000"/>
              <w:rPr>
                <w:rFonts w:asciiTheme="majorHAnsi" w:hAnsiTheme="majorHAnsi"/>
                <w:b/>
                <w:bCs/>
                <w:color w:val="000000"/>
                <w:sz w:val="16"/>
                <w:szCs w:val="16"/>
              </w:rPr>
            </w:pPr>
            <w:r w:rsidRPr="00DC75CA">
              <w:rPr>
                <w:rFonts w:asciiTheme="majorHAnsi" w:hAnsiTheme="majorHAnsi"/>
                <w:b/>
                <w:bCs/>
                <w:color w:val="000000"/>
                <w:sz w:val="16"/>
                <w:szCs w:val="16"/>
              </w:rPr>
              <w:t>0</w:t>
            </w:r>
          </w:p>
        </w:tc>
        <w:tc>
          <w:tcPr>
            <w:tcW w:w="1012" w:type="dxa"/>
            <w:noWrap/>
            <w:hideMark/>
          </w:tcPr>
          <w:p w:rsidRPr="00DC75CA" w:rsidR="000662BC" w:rsidP="000662BC" w:rsidRDefault="000662BC">
            <w:pPr>
              <w:jc w:val="right"/>
              <w:cnfStyle w:val="000000000000"/>
              <w:rPr>
                <w:rFonts w:asciiTheme="majorHAnsi" w:hAnsiTheme="majorHAnsi"/>
                <w:b/>
                <w:bCs/>
                <w:color w:val="000000"/>
                <w:sz w:val="16"/>
                <w:szCs w:val="16"/>
              </w:rPr>
            </w:pPr>
            <w:r w:rsidRPr="00DC75CA">
              <w:rPr>
                <w:rFonts w:asciiTheme="majorHAnsi" w:hAnsiTheme="majorHAnsi"/>
                <w:b/>
                <w:bCs/>
                <w:color w:val="000000"/>
                <w:sz w:val="16"/>
                <w:szCs w:val="16"/>
              </w:rPr>
              <w:t>0</w:t>
            </w:r>
          </w:p>
        </w:tc>
      </w:tr>
    </w:tbl>
    <w:p w:rsidR="000662BC" w:rsidP="000662BC" w:rsidRDefault="000662BC">
      <w:pPr>
        <w:spacing w:after="0" w:line="240" w:lineRule="exact"/>
      </w:pPr>
    </w:p>
    <w:p w:rsidRPr="00DC75CA" w:rsidR="00DC75CA" w:rsidP="000662BC" w:rsidRDefault="00DC75CA">
      <w:pPr>
        <w:spacing w:after="0" w:line="240" w:lineRule="exact"/>
        <w:rPr>
          <w:u w:val="single"/>
        </w:rPr>
      </w:pPr>
      <w:r w:rsidRPr="00DC75CA">
        <w:rPr>
          <w:u w:val="single"/>
        </w:rPr>
        <w:t>Intensivering</w:t>
      </w:r>
      <w:r>
        <w:rPr>
          <w:u w:val="single"/>
        </w:rPr>
        <w:t>en</w:t>
      </w:r>
    </w:p>
    <w:p w:rsidR="00DC75CA" w:rsidP="00055E9F" w:rsidRDefault="00DC75CA">
      <w:pPr>
        <w:spacing w:after="0" w:line="240" w:lineRule="exact"/>
        <w:rPr>
          <w:i/>
        </w:rPr>
      </w:pPr>
    </w:p>
    <w:p w:rsidRPr="000662BC" w:rsidR="000662BC" w:rsidP="00055E9F" w:rsidRDefault="000662BC">
      <w:pPr>
        <w:spacing w:after="0" w:line="240" w:lineRule="exact"/>
        <w:rPr>
          <w:i/>
        </w:rPr>
      </w:pPr>
      <w:r w:rsidRPr="000662BC">
        <w:rPr>
          <w:i/>
        </w:rPr>
        <w:t xml:space="preserve">1. COA </w:t>
      </w:r>
    </w:p>
    <w:p w:rsidR="00051DA5" w:rsidP="00055E9F" w:rsidRDefault="00C922C4">
      <w:pPr>
        <w:spacing w:after="0" w:line="240" w:lineRule="exact"/>
      </w:pPr>
      <w:r>
        <w:t>D</w:t>
      </w:r>
      <w:r w:rsidR="00C92A88">
        <w:t xml:space="preserve">e raming voor 2015 wordt </w:t>
      </w:r>
      <w:r w:rsidR="00D605D0">
        <w:t xml:space="preserve">t.o.v. de ontwerpbegroting </w:t>
      </w:r>
      <w:r w:rsidR="00C92A88">
        <w:t>met 18.000</w:t>
      </w:r>
      <w:r w:rsidR="00CE233A">
        <w:t xml:space="preserve"> mensen</w:t>
      </w:r>
      <w:r w:rsidR="00C92A88">
        <w:t xml:space="preserve"> naar boven bijgesteld. </w:t>
      </w:r>
      <w:r w:rsidR="00051DA5">
        <w:t xml:space="preserve">De </w:t>
      </w:r>
      <w:r w:rsidR="00E73222">
        <w:t xml:space="preserve">additionele </w:t>
      </w:r>
      <w:r w:rsidR="00051DA5">
        <w:t xml:space="preserve">kosten </w:t>
      </w:r>
      <w:r w:rsidR="00D605D0">
        <w:t>voor</w:t>
      </w:r>
      <w:r w:rsidR="00051DA5">
        <w:t xml:space="preserve"> het COA bedrag</w:t>
      </w:r>
      <w:r w:rsidR="00E73222">
        <w:t>en</w:t>
      </w:r>
      <w:r w:rsidR="00051DA5">
        <w:t xml:space="preserve"> 3</w:t>
      </w:r>
      <w:r w:rsidR="00CE233A">
        <w:t>5</w:t>
      </w:r>
      <w:r w:rsidR="00051DA5">
        <w:t>0 mln. en word</w:t>
      </w:r>
      <w:r w:rsidR="00E73222">
        <w:t>en</w:t>
      </w:r>
      <w:r w:rsidR="00051DA5">
        <w:t xml:space="preserve"> volledig geboekt in 2015. Dit is de som van de kosten die voor </w:t>
      </w:r>
      <w:r w:rsidR="0013199E">
        <w:t xml:space="preserve">deze groep </w:t>
      </w:r>
      <w:r w:rsidR="00051DA5">
        <w:t>word</w:t>
      </w:r>
      <w:r w:rsidR="0013199E">
        <w:t>t</w:t>
      </w:r>
      <w:r w:rsidR="00051DA5">
        <w:t xml:space="preserve"> gemaakt in de jaren </w:t>
      </w:r>
      <w:r>
        <w:t>2015 en 2016</w:t>
      </w:r>
      <w:r w:rsidR="00051DA5">
        <w:t xml:space="preserve">. </w:t>
      </w:r>
    </w:p>
    <w:p w:rsidR="00055E9F" w:rsidP="00055E9F" w:rsidRDefault="00055E9F">
      <w:pPr>
        <w:spacing w:after="0" w:line="240" w:lineRule="exact"/>
      </w:pPr>
    </w:p>
    <w:p w:rsidR="00C92A88" w:rsidP="00055E9F" w:rsidRDefault="00BF5D05">
      <w:pPr>
        <w:spacing w:after="0" w:line="240" w:lineRule="exact"/>
      </w:pPr>
      <w:r>
        <w:t xml:space="preserve">De raming voor 2016 wordt </w:t>
      </w:r>
      <w:r w:rsidR="00D605D0">
        <w:t xml:space="preserve">t.o.v. de ontwerpbegroting </w:t>
      </w:r>
      <w:r>
        <w:t xml:space="preserve">met 32.000 </w:t>
      </w:r>
      <w:r w:rsidR="00CE233A">
        <w:t xml:space="preserve">mensen </w:t>
      </w:r>
      <w:r>
        <w:t xml:space="preserve">naar boven bijgesteld. </w:t>
      </w:r>
      <w:r w:rsidR="00051DA5">
        <w:t xml:space="preserve">De </w:t>
      </w:r>
      <w:r>
        <w:t xml:space="preserve">additionele </w:t>
      </w:r>
      <w:r w:rsidR="00051DA5">
        <w:t xml:space="preserve">kosten </w:t>
      </w:r>
      <w:r w:rsidR="00CF070E">
        <w:t xml:space="preserve">voor het COA </w:t>
      </w:r>
      <w:r w:rsidR="00051DA5">
        <w:t>bedrag</w:t>
      </w:r>
      <w:r>
        <w:t>en</w:t>
      </w:r>
      <w:r w:rsidR="00051DA5">
        <w:t xml:space="preserve"> 6</w:t>
      </w:r>
      <w:r w:rsidR="00CE233A">
        <w:t>35</w:t>
      </w:r>
      <w:r w:rsidR="00051DA5">
        <w:t xml:space="preserve"> mln. Eerder is afgesproken dat de </w:t>
      </w:r>
      <w:r w:rsidR="0013199E">
        <w:t>bevoorschottingssystematiek van het COA</w:t>
      </w:r>
      <w:r w:rsidR="00051DA5">
        <w:t xml:space="preserve"> vanaf 2016 wordt aangepast. Dat betekent dat de kosten die ontstaan als gevolg van hogere instroom 2016 </w:t>
      </w:r>
      <w:r w:rsidR="00A621D5">
        <w:t xml:space="preserve">worden </w:t>
      </w:r>
      <w:r w:rsidR="00051DA5">
        <w:t xml:space="preserve">geboekt in het jaar waarin de kosten daadwerkelijk worden gemaakt. </w:t>
      </w:r>
      <w:r w:rsidR="00CF070E">
        <w:t>Daarom bedraagt de tegenvaller door de verhoogde asielinstroom i</w:t>
      </w:r>
      <w:r w:rsidR="00051DA5">
        <w:t xml:space="preserve">n 2016 </w:t>
      </w:r>
      <w:r w:rsidR="00CF070E">
        <w:t xml:space="preserve">voor het jaar 2016 </w:t>
      </w:r>
      <w:r w:rsidR="00CE233A">
        <w:t>4</w:t>
      </w:r>
      <w:r w:rsidR="00051DA5">
        <w:t xml:space="preserve">00 mln. </w:t>
      </w:r>
      <w:r w:rsidR="0058260E">
        <w:t xml:space="preserve">en </w:t>
      </w:r>
      <w:r w:rsidR="00CF070E">
        <w:t>voor</w:t>
      </w:r>
      <w:r w:rsidR="00051DA5">
        <w:t xml:space="preserve"> 2017 </w:t>
      </w:r>
      <w:r w:rsidR="00CE233A">
        <w:t>235</w:t>
      </w:r>
      <w:r w:rsidR="00051DA5">
        <w:t xml:space="preserve"> mln. </w:t>
      </w:r>
    </w:p>
    <w:p w:rsidR="00055E9F" w:rsidP="00055E9F" w:rsidRDefault="00055E9F">
      <w:pPr>
        <w:spacing w:after="0" w:line="240" w:lineRule="exact"/>
      </w:pPr>
    </w:p>
    <w:p w:rsidRPr="00621566" w:rsidR="00621566" w:rsidP="00055E9F" w:rsidRDefault="00621566">
      <w:pPr>
        <w:spacing w:after="0" w:line="240" w:lineRule="exact"/>
        <w:rPr>
          <w:i/>
        </w:rPr>
      </w:pPr>
      <w:r w:rsidRPr="00621566">
        <w:rPr>
          <w:i/>
        </w:rPr>
        <w:t>2. IND</w:t>
      </w:r>
    </w:p>
    <w:p w:rsidR="00621566" w:rsidP="00055E9F" w:rsidRDefault="00621566">
      <w:pPr>
        <w:spacing w:after="0" w:line="240" w:lineRule="exact"/>
      </w:pPr>
      <w:r>
        <w:t xml:space="preserve">Het budget voor de IND wordt opgehoogd met </w:t>
      </w:r>
      <w:r w:rsidR="00E1652D">
        <w:t>50</w:t>
      </w:r>
      <w:r>
        <w:t xml:space="preserve"> mln.</w:t>
      </w:r>
    </w:p>
    <w:p w:rsidR="00621566" w:rsidP="00055E9F" w:rsidRDefault="00621566">
      <w:pPr>
        <w:spacing w:after="0" w:line="240" w:lineRule="exact"/>
      </w:pPr>
    </w:p>
    <w:p w:rsidRPr="00D72E57" w:rsidR="00621566" w:rsidP="00055E9F" w:rsidRDefault="00621566">
      <w:pPr>
        <w:spacing w:after="0" w:line="240" w:lineRule="exact"/>
        <w:rPr>
          <w:i/>
        </w:rPr>
      </w:pPr>
      <w:r w:rsidRPr="00D72E57">
        <w:rPr>
          <w:i/>
        </w:rPr>
        <w:t>3. N</w:t>
      </w:r>
      <w:r w:rsidR="001A6122">
        <w:rPr>
          <w:i/>
        </w:rPr>
        <w:t xml:space="preserve">idos </w:t>
      </w:r>
    </w:p>
    <w:p w:rsidR="00621566" w:rsidP="00055E9F" w:rsidRDefault="00621566">
      <w:pPr>
        <w:spacing w:after="0" w:line="240" w:lineRule="exact"/>
      </w:pPr>
      <w:r>
        <w:t xml:space="preserve">Het budget voor </w:t>
      </w:r>
      <w:r w:rsidR="00A621D5">
        <w:t xml:space="preserve">het </w:t>
      </w:r>
      <w:r>
        <w:t>N</w:t>
      </w:r>
      <w:r w:rsidR="001A6122">
        <w:t xml:space="preserve">idos </w:t>
      </w:r>
      <w:r>
        <w:t xml:space="preserve">wordt opgehoogd met </w:t>
      </w:r>
      <w:r w:rsidR="00D72E57">
        <w:t>11</w:t>
      </w:r>
      <w:r>
        <w:t xml:space="preserve"> mln.</w:t>
      </w:r>
    </w:p>
    <w:p w:rsidR="00621566" w:rsidP="00055E9F" w:rsidRDefault="00621566">
      <w:pPr>
        <w:spacing w:after="0" w:line="240" w:lineRule="exact"/>
      </w:pPr>
    </w:p>
    <w:p w:rsidRPr="00D72E57" w:rsidR="00621566" w:rsidP="00055E9F" w:rsidRDefault="00D72E57">
      <w:pPr>
        <w:spacing w:after="0" w:line="240" w:lineRule="exact"/>
        <w:rPr>
          <w:i/>
        </w:rPr>
      </w:pPr>
      <w:r w:rsidRPr="00D72E57">
        <w:rPr>
          <w:i/>
        </w:rPr>
        <w:t>4. Onderuitputting 2015</w:t>
      </w:r>
    </w:p>
    <w:p w:rsidR="00D72E57" w:rsidP="009362A9" w:rsidRDefault="00D72E57">
      <w:pPr>
        <w:spacing w:after="0" w:line="240" w:lineRule="exact"/>
      </w:pPr>
      <w:r>
        <w:t>Een deel van de onderuitputting 2015 wordt ingezet voor het asieldossier</w:t>
      </w:r>
      <w:r w:rsidR="00E1652D">
        <w:t xml:space="preserve">. </w:t>
      </w:r>
    </w:p>
    <w:p w:rsidR="00D72E57" w:rsidP="009362A9" w:rsidRDefault="00D72E57">
      <w:pPr>
        <w:spacing w:after="0" w:line="240" w:lineRule="exact"/>
      </w:pPr>
    </w:p>
    <w:p w:rsidRPr="00282D47" w:rsidR="00282D47" w:rsidP="009362A9" w:rsidRDefault="00282D47">
      <w:pPr>
        <w:spacing w:after="0" w:line="240" w:lineRule="exact"/>
        <w:rPr>
          <w:u w:val="single"/>
        </w:rPr>
      </w:pPr>
      <w:r w:rsidRPr="00282D47">
        <w:rPr>
          <w:u w:val="single"/>
        </w:rPr>
        <w:t>Dekking</w:t>
      </w:r>
    </w:p>
    <w:p w:rsidR="00282D47" w:rsidP="009362A9" w:rsidRDefault="00282D47">
      <w:pPr>
        <w:spacing w:after="0" w:line="240" w:lineRule="exact"/>
      </w:pPr>
    </w:p>
    <w:p w:rsidRPr="00D72E57" w:rsidR="00D72E57" w:rsidP="009362A9" w:rsidRDefault="00D72E57">
      <w:pPr>
        <w:spacing w:after="0" w:line="240" w:lineRule="exact"/>
        <w:rPr>
          <w:i/>
        </w:rPr>
      </w:pPr>
      <w:r w:rsidRPr="00D72E57">
        <w:rPr>
          <w:i/>
        </w:rPr>
        <w:t>5. ODA</w:t>
      </w:r>
      <w:r w:rsidR="00CF070E">
        <w:rPr>
          <w:i/>
        </w:rPr>
        <w:t xml:space="preserve"> (BNI-bijstelling)</w:t>
      </w:r>
    </w:p>
    <w:p w:rsidR="00504C49" w:rsidP="009362A9" w:rsidRDefault="008D1B88">
      <w:pPr>
        <w:spacing w:after="0" w:line="240" w:lineRule="exact"/>
      </w:pPr>
      <w:r w:rsidRPr="008D1B88">
        <w:t xml:space="preserve">De kosten voor eerstejaarsopvang van asielzoekers </w:t>
      </w:r>
      <w:r w:rsidR="00272A72">
        <w:t xml:space="preserve">in 2016 en 2017 </w:t>
      </w:r>
      <w:r w:rsidRPr="008D1B88">
        <w:t>worden conform de OESO DAC-systematiek aan ODA toegerekend.</w:t>
      </w:r>
      <w:r w:rsidR="00A9026A">
        <w:t xml:space="preserve"> </w:t>
      </w:r>
      <w:r w:rsidR="00272A72">
        <w:t xml:space="preserve">Binnen het ODA-budget is nog vrije ruimte beschikbaar die het gevolg is van hogere </w:t>
      </w:r>
      <w:r w:rsidRPr="00A07157" w:rsidR="00A07157">
        <w:t>economische groei</w:t>
      </w:r>
      <w:r w:rsidR="00272A72">
        <w:t xml:space="preserve"> (BNI-</w:t>
      </w:r>
      <w:r w:rsidR="00CF070E">
        <w:t>bijstelling</w:t>
      </w:r>
      <w:r w:rsidR="00272A72">
        <w:t>)</w:t>
      </w:r>
      <w:r w:rsidRPr="00A07157" w:rsidR="00A07157">
        <w:t>. Hierdoor worden lopende programma</w:t>
      </w:r>
      <w:r w:rsidR="00272A72">
        <w:t>’</w:t>
      </w:r>
      <w:r w:rsidRPr="00A07157" w:rsidR="00A07157">
        <w:t>s ontzien</w:t>
      </w:r>
      <w:r w:rsidR="00A07157">
        <w:t xml:space="preserve">. </w:t>
      </w:r>
    </w:p>
    <w:p w:rsidR="00272A72" w:rsidP="009362A9" w:rsidRDefault="00272A72">
      <w:pPr>
        <w:spacing w:after="0" w:line="240" w:lineRule="exact"/>
      </w:pPr>
    </w:p>
    <w:p w:rsidRPr="00481C04" w:rsidR="00272A72" w:rsidP="009362A9" w:rsidRDefault="00272A72">
      <w:pPr>
        <w:spacing w:after="0" w:line="240" w:lineRule="exact"/>
        <w:rPr>
          <w:i/>
        </w:rPr>
      </w:pPr>
      <w:r w:rsidRPr="00481C04">
        <w:rPr>
          <w:i/>
        </w:rPr>
        <w:t>6. Helft vergoeding EU voor verdeling vluchtelingen</w:t>
      </w:r>
    </w:p>
    <w:p w:rsidR="00643495" w:rsidP="00643495" w:rsidRDefault="00272A72">
      <w:pPr>
        <w:spacing w:after="0" w:line="240" w:lineRule="exact"/>
      </w:pPr>
      <w:r w:rsidRPr="00272A72">
        <w:t>De Europese vergoeding voor de relocatie van vluchtelingen levert Nederland naar verwachting 54 mln. op. De</w:t>
      </w:r>
      <w:r>
        <w:t xml:space="preserve"> helft van deze </w:t>
      </w:r>
      <w:r w:rsidRPr="00272A72">
        <w:t xml:space="preserve">middelen </w:t>
      </w:r>
      <w:r>
        <w:t xml:space="preserve">wordt nu ingezet als dekking. </w:t>
      </w:r>
      <w:r w:rsidR="00643495">
        <w:t xml:space="preserve">De andere helft komt komend voorjaar ten goede van de begroting van BHOS. </w:t>
      </w:r>
    </w:p>
    <w:p w:rsidR="00272A72" w:rsidP="00272A72" w:rsidRDefault="00272A72">
      <w:pPr>
        <w:spacing w:after="0" w:line="240" w:lineRule="exact"/>
      </w:pPr>
    </w:p>
    <w:p w:rsidR="00ED3BCA" w:rsidP="00272A72" w:rsidRDefault="00ED3BCA">
      <w:pPr>
        <w:spacing w:after="0" w:line="240" w:lineRule="exact"/>
      </w:pPr>
    </w:p>
    <w:p w:rsidR="00ED3BCA" w:rsidP="00272A72" w:rsidRDefault="00ED3BCA">
      <w:pPr>
        <w:spacing w:after="0" w:line="240" w:lineRule="exact"/>
      </w:pPr>
    </w:p>
    <w:p w:rsidRPr="00272A72" w:rsidR="00272A72" w:rsidP="00272A72" w:rsidRDefault="00272A72">
      <w:pPr>
        <w:spacing w:after="0" w:line="240" w:lineRule="exact"/>
        <w:rPr>
          <w:i/>
        </w:rPr>
      </w:pPr>
      <w:r w:rsidRPr="00272A72">
        <w:rPr>
          <w:i/>
        </w:rPr>
        <w:lastRenderedPageBreak/>
        <w:t xml:space="preserve">7. </w:t>
      </w:r>
      <w:r w:rsidR="007B5E5F">
        <w:rPr>
          <w:i/>
        </w:rPr>
        <w:t>Problematiek IND/Nidos</w:t>
      </w:r>
    </w:p>
    <w:p w:rsidR="007B3C80" w:rsidP="007B3C80" w:rsidRDefault="007B5E5F">
      <w:pPr>
        <w:spacing w:after="0" w:line="240" w:lineRule="exact"/>
      </w:pPr>
      <w:r w:rsidRPr="007B3C80">
        <w:t xml:space="preserve">Onderuitputting op verschillende begrotingen wordt ingezet als dekking voor de IND/Nidos problematiek. Deze middelen zullen niet tot besteding komen in 2015 en worden d.m.v. de asielreserve doorgeschoven naar 2016. </w:t>
      </w:r>
    </w:p>
    <w:p w:rsidR="00CF3397" w:rsidP="007B3C80" w:rsidRDefault="007B5E5F">
      <w:pPr>
        <w:spacing w:after="0" w:line="240" w:lineRule="exact"/>
      </w:pPr>
      <w:r w:rsidRPr="007B3C80">
        <w:t>   </w:t>
      </w:r>
      <w:r w:rsidR="00CF3397">
        <w:t xml:space="preserve"> </w:t>
      </w:r>
    </w:p>
    <w:p w:rsidR="00FA159D" w:rsidP="009362A9" w:rsidRDefault="00CF3397">
      <w:pPr>
        <w:spacing w:after="0" w:line="240" w:lineRule="exact"/>
        <w:rPr>
          <w:i/>
        </w:rPr>
      </w:pPr>
      <w:r w:rsidRPr="00CF3397">
        <w:rPr>
          <w:i/>
        </w:rPr>
        <w:t xml:space="preserve">8. </w:t>
      </w:r>
      <w:r w:rsidRPr="00FA159D" w:rsidR="00FA159D">
        <w:rPr>
          <w:i/>
        </w:rPr>
        <w:t>Doelmatigheidskorting IND</w:t>
      </w:r>
    </w:p>
    <w:p w:rsidRPr="00FA159D" w:rsidR="00FA159D" w:rsidP="009362A9" w:rsidRDefault="00FA159D">
      <w:pPr>
        <w:spacing w:after="0" w:line="240" w:lineRule="exact"/>
      </w:pPr>
      <w:r w:rsidRPr="00FA159D">
        <w:t>De doelmatigheidskorting zal de IND invullen door verbeteringen en versnellingen in het asielproces</w:t>
      </w:r>
      <w:r>
        <w:t>.</w:t>
      </w:r>
    </w:p>
    <w:p w:rsidR="00FA159D" w:rsidP="009362A9" w:rsidRDefault="00FA159D">
      <w:pPr>
        <w:spacing w:after="0" w:line="240" w:lineRule="exact"/>
        <w:rPr>
          <w:i/>
        </w:rPr>
      </w:pPr>
    </w:p>
    <w:p w:rsidRPr="00CF3397" w:rsidR="00CF3397" w:rsidP="009362A9" w:rsidRDefault="00FA159D">
      <w:pPr>
        <w:spacing w:after="0" w:line="240" w:lineRule="exact"/>
        <w:rPr>
          <w:i/>
        </w:rPr>
      </w:pPr>
      <w:r>
        <w:rPr>
          <w:i/>
        </w:rPr>
        <w:t xml:space="preserve">9. </w:t>
      </w:r>
      <w:r w:rsidRPr="00CF3397" w:rsidR="00CF3397">
        <w:rPr>
          <w:i/>
        </w:rPr>
        <w:t>In te passen kasschuif</w:t>
      </w:r>
    </w:p>
    <w:p w:rsidR="00CF3397" w:rsidP="009362A9" w:rsidRDefault="00CF3397">
      <w:pPr>
        <w:spacing w:after="0" w:line="240" w:lineRule="exact"/>
      </w:pPr>
      <w:r>
        <w:t xml:space="preserve">Het totale budgettaire beeld sluit in de meerjarenperiode. Om de middelen in de juiste jaren te krijgen is een kasschuif nodig. Deze kasschuif zal in het voorjaar worden ingepast. </w:t>
      </w:r>
    </w:p>
    <w:p w:rsidR="00DC75CA" w:rsidP="009362A9" w:rsidRDefault="00DC75CA">
      <w:pPr>
        <w:spacing w:after="0" w:line="240" w:lineRule="exact"/>
      </w:pPr>
    </w:p>
    <w:p w:rsidRPr="009362A9" w:rsidR="00A25B13" w:rsidP="009362A9" w:rsidRDefault="00A25B13">
      <w:pPr>
        <w:spacing w:after="0" w:line="240" w:lineRule="exact"/>
      </w:pPr>
    </w:p>
    <w:p w:rsidRPr="008D1B88" w:rsidR="00C410EE" w:rsidP="008D1B88" w:rsidRDefault="009C5D22">
      <w:pPr>
        <w:pStyle w:val="broodtekst"/>
        <w:spacing w:line="240" w:lineRule="exact"/>
        <w:rPr>
          <w:b/>
        </w:rPr>
      </w:pPr>
      <w:r>
        <w:rPr>
          <w:b/>
        </w:rPr>
        <w:t xml:space="preserve">Budgettaire gevolgen van het </w:t>
      </w:r>
      <w:r w:rsidRPr="008D1B88" w:rsidR="00DA0C06">
        <w:rPr>
          <w:b/>
        </w:rPr>
        <w:t xml:space="preserve">overleg met </w:t>
      </w:r>
      <w:r w:rsidR="00055E9F">
        <w:rPr>
          <w:b/>
        </w:rPr>
        <w:t>medeoverheden</w:t>
      </w:r>
      <w:r w:rsidR="00CE233A">
        <w:rPr>
          <w:b/>
        </w:rPr>
        <w:t xml:space="preserve"> </w:t>
      </w:r>
    </w:p>
    <w:p w:rsidR="00751FDD" w:rsidP="007157F7" w:rsidRDefault="00CA703A">
      <w:pPr>
        <w:pStyle w:val="broodtekst"/>
        <w:spacing w:line="240" w:lineRule="exact"/>
      </w:pPr>
      <w:r>
        <w:t>Door het bestuurs</w:t>
      </w:r>
      <w:r w:rsidR="00DC75CA">
        <w:t xml:space="preserve">akkoord wordt er in 2016 187 mln. vrijgemaakt voor gemeenten en woningcorporaties (zie tabel 3). </w:t>
      </w:r>
      <w:r w:rsidRPr="00282D47" w:rsidR="00282D47">
        <w:t>De instroom van asielzoekers blijft ook na deze bestuursafspraken onderwerp van gesprek tussen het kabinet</w:t>
      </w:r>
      <w:r w:rsidR="00282D47">
        <w:t xml:space="preserve"> en medeoverheden</w:t>
      </w:r>
      <w:r w:rsidRPr="00282D47" w:rsidR="00282D47">
        <w:t>. De voorjaarsbesluitvorming van het kabinet is het moment waarop de (financiële) aspecten van aanvullende afspraken bezien worden</w:t>
      </w:r>
      <w:r w:rsidR="00D63E76">
        <w:t>.</w:t>
      </w:r>
    </w:p>
    <w:p w:rsidR="00282D47" w:rsidP="007157F7" w:rsidRDefault="00282D47">
      <w:pPr>
        <w:pStyle w:val="broodtekst"/>
        <w:spacing w:line="240" w:lineRule="exact"/>
      </w:pPr>
    </w:p>
    <w:p w:rsidRPr="00CF3397" w:rsidR="00CF3397" w:rsidP="00CA703A" w:rsidRDefault="00CA703A">
      <w:pPr>
        <w:pStyle w:val="Lijstalinea"/>
        <w:spacing w:after="0" w:line="220" w:lineRule="exact"/>
        <w:ind w:left="0"/>
        <w:rPr>
          <w:b/>
        </w:rPr>
      </w:pPr>
      <w:r w:rsidRPr="00E1652D">
        <w:rPr>
          <w:rFonts w:asciiTheme="majorHAnsi" w:hAnsiTheme="majorHAnsi"/>
          <w:b/>
          <w:sz w:val="16"/>
          <w:szCs w:val="16"/>
        </w:rPr>
        <w:t xml:space="preserve">Tabel </w:t>
      </w:r>
      <w:r>
        <w:rPr>
          <w:rFonts w:asciiTheme="majorHAnsi" w:hAnsiTheme="majorHAnsi"/>
          <w:b/>
          <w:sz w:val="16"/>
          <w:szCs w:val="16"/>
        </w:rPr>
        <w:t>3</w:t>
      </w:r>
      <w:r w:rsidRPr="00E1652D">
        <w:rPr>
          <w:rFonts w:asciiTheme="majorHAnsi" w:hAnsiTheme="majorHAnsi"/>
          <w:b/>
          <w:sz w:val="16"/>
          <w:szCs w:val="16"/>
        </w:rPr>
        <w:t xml:space="preserve">: </w:t>
      </w:r>
      <w:r>
        <w:rPr>
          <w:rFonts w:asciiTheme="majorHAnsi" w:hAnsiTheme="majorHAnsi"/>
          <w:b/>
          <w:sz w:val="16"/>
          <w:szCs w:val="16"/>
        </w:rPr>
        <w:t>budgettaire gevolgen van het overleg met medeoverheden</w:t>
      </w:r>
      <w:r w:rsidRPr="00E1652D">
        <w:rPr>
          <w:rFonts w:asciiTheme="majorHAnsi" w:hAnsiTheme="majorHAnsi"/>
          <w:b/>
          <w:sz w:val="16"/>
          <w:szCs w:val="16"/>
        </w:rPr>
        <w:t xml:space="preserve">, mln. euro, - = opbrengst </w:t>
      </w:r>
    </w:p>
    <w:tbl>
      <w:tblPr>
        <w:tblStyle w:val="Lichtelijst-accent3"/>
        <w:tblW w:w="9695" w:type="dxa"/>
        <w:tblLayout w:type="fixed"/>
        <w:tblLook w:val="04A0"/>
      </w:tblPr>
      <w:tblGrid>
        <w:gridCol w:w="534"/>
        <w:gridCol w:w="4441"/>
        <w:gridCol w:w="786"/>
        <w:gridCol w:w="787"/>
        <w:gridCol w:w="787"/>
        <w:gridCol w:w="786"/>
        <w:gridCol w:w="787"/>
        <w:gridCol w:w="787"/>
      </w:tblGrid>
      <w:tr w:rsidRPr="00156FCB" w:rsidR="00CA703A" w:rsidTr="00CA703A">
        <w:trPr>
          <w:cnfStyle w:val="100000000000"/>
          <w:trHeight w:val="225"/>
        </w:trPr>
        <w:tc>
          <w:tcPr>
            <w:cnfStyle w:val="001000000000"/>
            <w:tcW w:w="534" w:type="dxa"/>
            <w:noWrap/>
            <w:hideMark/>
          </w:tcPr>
          <w:p w:rsidRPr="00A25B13" w:rsidR="00CA703A" w:rsidP="00CA703A" w:rsidRDefault="00CA703A">
            <w:pPr>
              <w:rPr>
                <w:rFonts w:asciiTheme="majorHAnsi" w:hAnsiTheme="majorHAnsi"/>
                <w:b w:val="0"/>
                <w:sz w:val="16"/>
                <w:szCs w:val="16"/>
              </w:rPr>
            </w:pPr>
          </w:p>
        </w:tc>
        <w:tc>
          <w:tcPr>
            <w:tcW w:w="4441" w:type="dxa"/>
            <w:noWrap/>
            <w:hideMark/>
          </w:tcPr>
          <w:p w:rsidRPr="00A25B13" w:rsidR="00CA703A" w:rsidP="00CA703A" w:rsidRDefault="00CA703A">
            <w:pPr>
              <w:cnfStyle w:val="100000000000"/>
              <w:rPr>
                <w:rFonts w:asciiTheme="majorHAnsi" w:hAnsiTheme="majorHAnsi"/>
                <w:sz w:val="16"/>
                <w:szCs w:val="16"/>
              </w:rPr>
            </w:pPr>
          </w:p>
        </w:tc>
        <w:tc>
          <w:tcPr>
            <w:tcW w:w="786" w:type="dxa"/>
            <w:noWrap/>
            <w:hideMark/>
          </w:tcPr>
          <w:p w:rsidRPr="00A25B13" w:rsidR="00CA703A" w:rsidP="00CA703A" w:rsidRDefault="00CA703A">
            <w:pPr>
              <w:jc w:val="right"/>
              <w:cnfStyle w:val="100000000000"/>
              <w:rPr>
                <w:rFonts w:asciiTheme="majorHAnsi" w:hAnsiTheme="majorHAnsi"/>
                <w:sz w:val="16"/>
                <w:szCs w:val="16"/>
              </w:rPr>
            </w:pPr>
            <w:r w:rsidRPr="00A25B13">
              <w:rPr>
                <w:rFonts w:asciiTheme="majorHAnsi" w:hAnsiTheme="majorHAnsi"/>
                <w:sz w:val="16"/>
                <w:szCs w:val="16"/>
              </w:rPr>
              <w:t>2015</w:t>
            </w:r>
          </w:p>
        </w:tc>
        <w:tc>
          <w:tcPr>
            <w:tcW w:w="787" w:type="dxa"/>
            <w:noWrap/>
            <w:hideMark/>
          </w:tcPr>
          <w:p w:rsidRPr="00A25B13" w:rsidR="00CA703A" w:rsidP="00CA703A" w:rsidRDefault="00CA703A">
            <w:pPr>
              <w:jc w:val="right"/>
              <w:cnfStyle w:val="100000000000"/>
              <w:rPr>
                <w:rFonts w:asciiTheme="majorHAnsi" w:hAnsiTheme="majorHAnsi"/>
                <w:sz w:val="16"/>
                <w:szCs w:val="16"/>
              </w:rPr>
            </w:pPr>
            <w:r w:rsidRPr="00A25B13">
              <w:rPr>
                <w:rFonts w:asciiTheme="majorHAnsi" w:hAnsiTheme="majorHAnsi"/>
                <w:sz w:val="16"/>
                <w:szCs w:val="16"/>
              </w:rPr>
              <w:t>2016</w:t>
            </w:r>
          </w:p>
        </w:tc>
        <w:tc>
          <w:tcPr>
            <w:tcW w:w="787" w:type="dxa"/>
            <w:noWrap/>
            <w:hideMark/>
          </w:tcPr>
          <w:p w:rsidRPr="00A25B13" w:rsidR="00CA703A" w:rsidP="00CA703A" w:rsidRDefault="00CA703A">
            <w:pPr>
              <w:jc w:val="right"/>
              <w:cnfStyle w:val="100000000000"/>
              <w:rPr>
                <w:rFonts w:asciiTheme="majorHAnsi" w:hAnsiTheme="majorHAnsi"/>
                <w:sz w:val="16"/>
                <w:szCs w:val="16"/>
              </w:rPr>
            </w:pPr>
            <w:r w:rsidRPr="00A25B13">
              <w:rPr>
                <w:rFonts w:asciiTheme="majorHAnsi" w:hAnsiTheme="majorHAnsi"/>
                <w:sz w:val="16"/>
                <w:szCs w:val="16"/>
              </w:rPr>
              <w:t>2017</w:t>
            </w:r>
          </w:p>
        </w:tc>
        <w:tc>
          <w:tcPr>
            <w:tcW w:w="786" w:type="dxa"/>
            <w:noWrap/>
            <w:hideMark/>
          </w:tcPr>
          <w:p w:rsidRPr="00A25B13" w:rsidR="00CA703A" w:rsidP="00CA703A" w:rsidRDefault="00CA703A">
            <w:pPr>
              <w:jc w:val="right"/>
              <w:cnfStyle w:val="100000000000"/>
              <w:rPr>
                <w:rFonts w:asciiTheme="majorHAnsi" w:hAnsiTheme="majorHAnsi"/>
                <w:sz w:val="16"/>
                <w:szCs w:val="16"/>
              </w:rPr>
            </w:pPr>
            <w:r w:rsidRPr="00A25B13">
              <w:rPr>
                <w:rFonts w:asciiTheme="majorHAnsi" w:hAnsiTheme="majorHAnsi"/>
                <w:sz w:val="16"/>
                <w:szCs w:val="16"/>
              </w:rPr>
              <w:t>2018</w:t>
            </w:r>
          </w:p>
        </w:tc>
        <w:tc>
          <w:tcPr>
            <w:tcW w:w="787" w:type="dxa"/>
            <w:noWrap/>
            <w:hideMark/>
          </w:tcPr>
          <w:p w:rsidRPr="00A25B13" w:rsidR="00CA703A" w:rsidP="00CA703A" w:rsidRDefault="00CA703A">
            <w:pPr>
              <w:jc w:val="right"/>
              <w:cnfStyle w:val="100000000000"/>
              <w:rPr>
                <w:rFonts w:asciiTheme="majorHAnsi" w:hAnsiTheme="majorHAnsi"/>
                <w:sz w:val="16"/>
                <w:szCs w:val="16"/>
              </w:rPr>
            </w:pPr>
            <w:r w:rsidRPr="00A25B13">
              <w:rPr>
                <w:rFonts w:asciiTheme="majorHAnsi" w:hAnsiTheme="majorHAnsi"/>
                <w:sz w:val="16"/>
                <w:szCs w:val="16"/>
              </w:rPr>
              <w:t>2019</w:t>
            </w:r>
          </w:p>
        </w:tc>
        <w:tc>
          <w:tcPr>
            <w:tcW w:w="787" w:type="dxa"/>
            <w:noWrap/>
            <w:hideMark/>
          </w:tcPr>
          <w:p w:rsidRPr="00A25B13" w:rsidR="00CA703A" w:rsidP="00CA703A" w:rsidRDefault="00CA703A">
            <w:pPr>
              <w:jc w:val="right"/>
              <w:cnfStyle w:val="100000000000"/>
              <w:rPr>
                <w:rFonts w:asciiTheme="majorHAnsi" w:hAnsiTheme="majorHAnsi"/>
                <w:sz w:val="16"/>
                <w:szCs w:val="16"/>
              </w:rPr>
            </w:pPr>
            <w:r w:rsidRPr="00A25B13">
              <w:rPr>
                <w:rFonts w:asciiTheme="majorHAnsi" w:hAnsiTheme="majorHAnsi"/>
                <w:sz w:val="16"/>
                <w:szCs w:val="16"/>
              </w:rPr>
              <w:t>2020</w:t>
            </w:r>
          </w:p>
        </w:tc>
      </w:tr>
      <w:tr w:rsidRPr="00156FCB" w:rsidR="00CA703A" w:rsidTr="00CA703A">
        <w:trPr>
          <w:cnfStyle w:val="000000100000"/>
          <w:trHeight w:val="225"/>
        </w:trPr>
        <w:tc>
          <w:tcPr>
            <w:cnfStyle w:val="001000000000"/>
            <w:tcW w:w="534" w:type="dxa"/>
            <w:noWrap/>
            <w:hideMark/>
          </w:tcPr>
          <w:p w:rsidRPr="00A25B13" w:rsidR="00CA703A" w:rsidP="00CA703A" w:rsidRDefault="00CA703A">
            <w:pPr>
              <w:jc w:val="right"/>
              <w:rPr>
                <w:rFonts w:asciiTheme="majorHAnsi" w:hAnsiTheme="majorHAnsi"/>
                <w:b w:val="0"/>
                <w:color w:val="000000"/>
                <w:sz w:val="16"/>
                <w:szCs w:val="16"/>
              </w:rPr>
            </w:pPr>
            <w:r w:rsidRPr="00A25B13">
              <w:rPr>
                <w:rFonts w:asciiTheme="majorHAnsi" w:hAnsiTheme="majorHAnsi"/>
                <w:b w:val="0"/>
                <w:color w:val="000000"/>
                <w:sz w:val="16"/>
                <w:szCs w:val="16"/>
              </w:rPr>
              <w:t>1</w:t>
            </w:r>
          </w:p>
        </w:tc>
        <w:tc>
          <w:tcPr>
            <w:tcW w:w="4441" w:type="dxa"/>
            <w:noWrap/>
            <w:hideMark/>
          </w:tcPr>
          <w:p w:rsidRPr="00A25B13" w:rsidR="00CA703A" w:rsidP="00CA703A" w:rsidRDefault="00CA703A">
            <w:pPr>
              <w:cnfStyle w:val="000000100000"/>
              <w:rPr>
                <w:rFonts w:asciiTheme="majorHAnsi" w:hAnsiTheme="majorHAnsi"/>
                <w:color w:val="000000"/>
                <w:sz w:val="16"/>
                <w:szCs w:val="16"/>
              </w:rPr>
            </w:pPr>
            <w:r w:rsidRPr="00A25B13">
              <w:rPr>
                <w:rFonts w:asciiTheme="majorHAnsi" w:hAnsiTheme="majorHAnsi"/>
                <w:color w:val="000000"/>
                <w:sz w:val="16"/>
                <w:szCs w:val="16"/>
              </w:rPr>
              <w:t>Crisisnoodopvang</w:t>
            </w:r>
          </w:p>
        </w:tc>
        <w:tc>
          <w:tcPr>
            <w:tcW w:w="786" w:type="dxa"/>
            <w:noWrap/>
            <w:hideMark/>
          </w:tcPr>
          <w:p w:rsidRPr="00A25B13" w:rsidR="00CA703A" w:rsidP="00CA703A" w:rsidRDefault="00CA703A">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17</w:t>
            </w: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p>
        </w:tc>
        <w:tc>
          <w:tcPr>
            <w:tcW w:w="786" w:type="dxa"/>
            <w:noWrap/>
            <w:hideMark/>
          </w:tcPr>
          <w:p w:rsidRPr="00A25B13" w:rsidR="00CA703A" w:rsidP="00CA703A" w:rsidRDefault="00CA703A">
            <w:pPr>
              <w:jc w:val="right"/>
              <w:cnfStyle w:val="0000001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p>
        </w:tc>
      </w:tr>
      <w:tr w:rsidRPr="00156FCB" w:rsidR="00CA703A" w:rsidTr="00CA703A">
        <w:trPr>
          <w:trHeight w:val="225"/>
        </w:trPr>
        <w:tc>
          <w:tcPr>
            <w:cnfStyle w:val="001000000000"/>
            <w:tcW w:w="534" w:type="dxa"/>
            <w:noWrap/>
            <w:hideMark/>
          </w:tcPr>
          <w:p w:rsidRPr="00A25B13" w:rsidR="00CA703A" w:rsidP="00CA703A" w:rsidRDefault="00CA703A">
            <w:pPr>
              <w:jc w:val="right"/>
              <w:rPr>
                <w:rFonts w:asciiTheme="majorHAnsi" w:hAnsiTheme="majorHAnsi"/>
                <w:b w:val="0"/>
                <w:color w:val="000000"/>
                <w:sz w:val="16"/>
                <w:szCs w:val="16"/>
              </w:rPr>
            </w:pPr>
            <w:r w:rsidRPr="00A25B13">
              <w:rPr>
                <w:rFonts w:asciiTheme="majorHAnsi" w:hAnsiTheme="majorHAnsi"/>
                <w:b w:val="0"/>
                <w:color w:val="000000"/>
                <w:sz w:val="16"/>
                <w:szCs w:val="16"/>
              </w:rPr>
              <w:t>2</w:t>
            </w:r>
          </w:p>
        </w:tc>
        <w:tc>
          <w:tcPr>
            <w:tcW w:w="4441" w:type="dxa"/>
            <w:noWrap/>
            <w:hideMark/>
          </w:tcPr>
          <w:p w:rsidRPr="00A25B13" w:rsidR="00CA703A" w:rsidP="00CA703A" w:rsidRDefault="00CA703A">
            <w:pPr>
              <w:cnfStyle w:val="000000000000"/>
              <w:rPr>
                <w:rFonts w:asciiTheme="majorHAnsi" w:hAnsiTheme="majorHAnsi"/>
                <w:color w:val="000000"/>
                <w:sz w:val="16"/>
                <w:szCs w:val="16"/>
              </w:rPr>
            </w:pPr>
            <w:r w:rsidRPr="00A25B13">
              <w:rPr>
                <w:rFonts w:asciiTheme="majorHAnsi" w:hAnsiTheme="majorHAnsi"/>
                <w:color w:val="000000"/>
                <w:sz w:val="16"/>
                <w:szCs w:val="16"/>
              </w:rPr>
              <w:t>Verhoging vergoeding maatschappelijke begeleiding/ participatieverklaring</w:t>
            </w:r>
          </w:p>
        </w:tc>
        <w:tc>
          <w:tcPr>
            <w:tcW w:w="786" w:type="dxa"/>
            <w:noWrap/>
            <w:hideMark/>
          </w:tcPr>
          <w:p w:rsidRPr="00A25B13" w:rsidR="00CA703A" w:rsidP="00CA703A" w:rsidRDefault="00CA703A">
            <w:pPr>
              <w:jc w:val="right"/>
              <w:cnfStyle w:val="0000000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000000"/>
              <w:rPr>
                <w:rFonts w:asciiTheme="majorHAnsi" w:hAnsiTheme="majorHAnsi"/>
                <w:color w:val="000000"/>
                <w:sz w:val="16"/>
                <w:szCs w:val="16"/>
              </w:rPr>
            </w:pPr>
            <w:r w:rsidRPr="00A25B13">
              <w:rPr>
                <w:rFonts w:asciiTheme="majorHAnsi" w:hAnsiTheme="majorHAnsi"/>
                <w:color w:val="000000"/>
                <w:sz w:val="16"/>
                <w:szCs w:val="16"/>
              </w:rPr>
              <w:t>85</w:t>
            </w:r>
          </w:p>
        </w:tc>
        <w:tc>
          <w:tcPr>
            <w:tcW w:w="787" w:type="dxa"/>
            <w:noWrap/>
            <w:hideMark/>
          </w:tcPr>
          <w:p w:rsidRPr="00A25B13" w:rsidR="00CA703A" w:rsidP="00CA703A" w:rsidRDefault="00CA703A">
            <w:pPr>
              <w:jc w:val="right"/>
              <w:cnfStyle w:val="000000000000"/>
              <w:rPr>
                <w:rFonts w:asciiTheme="majorHAnsi" w:hAnsiTheme="majorHAnsi"/>
                <w:color w:val="000000"/>
                <w:sz w:val="16"/>
                <w:szCs w:val="16"/>
              </w:rPr>
            </w:pPr>
            <w:r w:rsidRPr="00A25B13">
              <w:rPr>
                <w:rFonts w:asciiTheme="majorHAnsi" w:hAnsiTheme="majorHAnsi"/>
                <w:color w:val="000000"/>
                <w:sz w:val="16"/>
                <w:szCs w:val="16"/>
              </w:rPr>
              <w:t>20</w:t>
            </w:r>
          </w:p>
        </w:tc>
        <w:tc>
          <w:tcPr>
            <w:tcW w:w="786" w:type="dxa"/>
            <w:noWrap/>
            <w:hideMark/>
          </w:tcPr>
          <w:p w:rsidRPr="00A25B13" w:rsidR="00CA703A" w:rsidP="00CA703A" w:rsidRDefault="00CA703A">
            <w:pPr>
              <w:jc w:val="right"/>
              <w:cnfStyle w:val="0000000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0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000000"/>
              <w:rPr>
                <w:rFonts w:asciiTheme="majorHAnsi" w:hAnsiTheme="majorHAnsi"/>
                <w:color w:val="000000"/>
                <w:sz w:val="16"/>
                <w:szCs w:val="16"/>
              </w:rPr>
            </w:pPr>
          </w:p>
        </w:tc>
      </w:tr>
      <w:tr w:rsidRPr="00156FCB" w:rsidR="00CA703A" w:rsidTr="00CA703A">
        <w:trPr>
          <w:cnfStyle w:val="000000100000"/>
          <w:trHeight w:val="225"/>
        </w:trPr>
        <w:tc>
          <w:tcPr>
            <w:cnfStyle w:val="001000000000"/>
            <w:tcW w:w="534" w:type="dxa"/>
            <w:noWrap/>
            <w:hideMark/>
          </w:tcPr>
          <w:p w:rsidRPr="00A25B13" w:rsidR="00CA703A" w:rsidP="00CA703A" w:rsidRDefault="00CA703A">
            <w:pPr>
              <w:jc w:val="right"/>
              <w:rPr>
                <w:rFonts w:asciiTheme="majorHAnsi" w:hAnsiTheme="majorHAnsi"/>
                <w:b w:val="0"/>
                <w:color w:val="000000"/>
                <w:sz w:val="16"/>
                <w:szCs w:val="16"/>
              </w:rPr>
            </w:pPr>
            <w:r w:rsidRPr="00A25B13">
              <w:rPr>
                <w:rFonts w:asciiTheme="majorHAnsi" w:hAnsiTheme="majorHAnsi"/>
                <w:b w:val="0"/>
                <w:color w:val="000000"/>
                <w:sz w:val="16"/>
                <w:szCs w:val="16"/>
              </w:rPr>
              <w:t>3</w:t>
            </w:r>
          </w:p>
        </w:tc>
        <w:tc>
          <w:tcPr>
            <w:tcW w:w="4441" w:type="dxa"/>
            <w:noWrap/>
            <w:hideMark/>
          </w:tcPr>
          <w:p w:rsidRPr="00A25B13" w:rsidR="00CA703A" w:rsidP="00A25B13" w:rsidRDefault="00A25B13">
            <w:pPr>
              <w:cnfStyle w:val="000000100000"/>
              <w:rPr>
                <w:rFonts w:asciiTheme="majorHAnsi" w:hAnsiTheme="majorHAnsi"/>
                <w:color w:val="000000"/>
                <w:sz w:val="16"/>
                <w:szCs w:val="16"/>
              </w:rPr>
            </w:pPr>
            <w:r>
              <w:rPr>
                <w:rFonts w:asciiTheme="majorHAnsi" w:hAnsiTheme="majorHAnsi"/>
                <w:color w:val="000000"/>
                <w:sz w:val="16"/>
                <w:szCs w:val="16"/>
              </w:rPr>
              <w:t xml:space="preserve">Gemeentelijk versnellingsarrangement </w:t>
            </w:r>
          </w:p>
        </w:tc>
        <w:tc>
          <w:tcPr>
            <w:tcW w:w="786" w:type="dxa"/>
            <w:noWrap/>
            <w:hideMark/>
          </w:tcPr>
          <w:p w:rsidRPr="00A25B13" w:rsidR="00CA703A" w:rsidP="00CA703A" w:rsidRDefault="00CA703A">
            <w:pPr>
              <w:jc w:val="right"/>
              <w:cnfStyle w:val="0000001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40</w:t>
            </w: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77</w:t>
            </w:r>
          </w:p>
        </w:tc>
        <w:tc>
          <w:tcPr>
            <w:tcW w:w="786" w:type="dxa"/>
            <w:noWrap/>
            <w:hideMark/>
          </w:tcPr>
          <w:p w:rsidRPr="00A25B13" w:rsidR="00CA703A" w:rsidP="00CA703A" w:rsidRDefault="00CA703A">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32</w:t>
            </w: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p>
        </w:tc>
        <w:tc>
          <w:tcPr>
            <w:tcW w:w="787" w:type="dxa"/>
            <w:noWrap/>
            <w:hideMark/>
          </w:tcPr>
          <w:p w:rsidRPr="00A25B13" w:rsidR="00CA703A" w:rsidP="00CA703A" w:rsidRDefault="00CA703A">
            <w:pPr>
              <w:jc w:val="right"/>
              <w:cnfStyle w:val="000000100000"/>
              <w:rPr>
                <w:rFonts w:asciiTheme="majorHAnsi" w:hAnsiTheme="majorHAnsi"/>
                <w:color w:val="000000"/>
                <w:sz w:val="16"/>
                <w:szCs w:val="16"/>
              </w:rPr>
            </w:pPr>
          </w:p>
        </w:tc>
      </w:tr>
      <w:tr w:rsidRPr="00156FCB" w:rsidR="003A03B1" w:rsidTr="00CA703A">
        <w:trPr>
          <w:trHeight w:val="225"/>
        </w:trPr>
        <w:tc>
          <w:tcPr>
            <w:cnfStyle w:val="001000000000"/>
            <w:tcW w:w="534" w:type="dxa"/>
            <w:noWrap/>
            <w:hideMark/>
          </w:tcPr>
          <w:p w:rsidRPr="00A25B13" w:rsidR="003A03B1" w:rsidP="00CA703A" w:rsidRDefault="003A03B1">
            <w:pPr>
              <w:jc w:val="right"/>
              <w:rPr>
                <w:rFonts w:asciiTheme="majorHAnsi" w:hAnsiTheme="majorHAnsi"/>
                <w:color w:val="000000"/>
                <w:sz w:val="16"/>
                <w:szCs w:val="16"/>
              </w:rPr>
            </w:pPr>
          </w:p>
        </w:tc>
        <w:tc>
          <w:tcPr>
            <w:tcW w:w="4441" w:type="dxa"/>
            <w:noWrap/>
            <w:hideMark/>
          </w:tcPr>
          <w:p w:rsidRPr="00A25B13" w:rsidR="003A03B1" w:rsidP="007B3C80" w:rsidRDefault="003A03B1">
            <w:pPr>
              <w:cnfStyle w:val="000000000000"/>
              <w:rPr>
                <w:rFonts w:asciiTheme="majorHAnsi" w:hAnsiTheme="majorHAnsi"/>
                <w:i/>
                <w:iCs/>
                <w:color w:val="000000"/>
                <w:sz w:val="16"/>
                <w:szCs w:val="16"/>
              </w:rPr>
            </w:pPr>
            <w:r w:rsidRPr="00A25B13">
              <w:rPr>
                <w:rFonts w:asciiTheme="majorHAnsi" w:hAnsiTheme="majorHAnsi"/>
                <w:i/>
                <w:iCs/>
                <w:color w:val="000000"/>
                <w:sz w:val="16"/>
                <w:szCs w:val="16"/>
              </w:rPr>
              <w:t xml:space="preserve">  </w:t>
            </w:r>
            <w:r>
              <w:rPr>
                <w:rFonts w:asciiTheme="majorHAnsi" w:hAnsiTheme="majorHAnsi"/>
                <w:i/>
                <w:iCs/>
                <w:color w:val="000000"/>
                <w:sz w:val="16"/>
                <w:szCs w:val="16"/>
              </w:rPr>
              <w:t>w</w:t>
            </w:r>
            <w:r w:rsidRPr="00A25B13">
              <w:rPr>
                <w:rFonts w:asciiTheme="majorHAnsi" w:hAnsiTheme="majorHAnsi"/>
                <w:i/>
                <w:iCs/>
                <w:color w:val="000000"/>
                <w:sz w:val="16"/>
                <w:szCs w:val="16"/>
              </w:rPr>
              <w:t>v</w:t>
            </w:r>
            <w:r>
              <w:rPr>
                <w:rFonts w:asciiTheme="majorHAnsi" w:hAnsiTheme="majorHAnsi"/>
                <w:i/>
                <w:iCs/>
                <w:color w:val="000000"/>
                <w:sz w:val="16"/>
                <w:szCs w:val="16"/>
              </w:rPr>
              <w:t xml:space="preserve"> g</w:t>
            </w:r>
            <w:r w:rsidRPr="00A25B13">
              <w:rPr>
                <w:rFonts w:asciiTheme="majorHAnsi" w:hAnsiTheme="majorHAnsi"/>
                <w:i/>
                <w:iCs/>
                <w:color w:val="000000"/>
                <w:sz w:val="16"/>
                <w:szCs w:val="16"/>
              </w:rPr>
              <w:t>emeenten</w:t>
            </w:r>
          </w:p>
        </w:tc>
        <w:tc>
          <w:tcPr>
            <w:tcW w:w="786" w:type="dxa"/>
            <w:noWrap/>
            <w:hideMark/>
          </w:tcPr>
          <w:p w:rsidRPr="00A25B13" w:rsidR="003A03B1" w:rsidP="007B3C80" w:rsidRDefault="003A03B1">
            <w:pPr>
              <w:jc w:val="right"/>
              <w:cnfStyle w:val="000000000000"/>
              <w:rPr>
                <w:rFonts w:asciiTheme="majorHAnsi" w:hAnsiTheme="majorHAnsi"/>
                <w:i/>
                <w:iCs/>
                <w:color w:val="000000"/>
                <w:sz w:val="16"/>
                <w:szCs w:val="16"/>
              </w:rPr>
            </w:pPr>
          </w:p>
        </w:tc>
        <w:tc>
          <w:tcPr>
            <w:tcW w:w="787" w:type="dxa"/>
            <w:noWrap/>
            <w:hideMark/>
          </w:tcPr>
          <w:p w:rsidRPr="00A25B13" w:rsidR="003A03B1" w:rsidP="007B3C80" w:rsidRDefault="003A03B1">
            <w:pPr>
              <w:jc w:val="right"/>
              <w:cnfStyle w:val="000000000000"/>
              <w:rPr>
                <w:rFonts w:asciiTheme="majorHAnsi" w:hAnsiTheme="majorHAnsi"/>
                <w:i/>
                <w:iCs/>
                <w:color w:val="000000"/>
                <w:sz w:val="16"/>
                <w:szCs w:val="16"/>
              </w:rPr>
            </w:pPr>
            <w:r w:rsidRPr="00A25B13">
              <w:rPr>
                <w:rFonts w:asciiTheme="majorHAnsi" w:hAnsiTheme="majorHAnsi"/>
                <w:i/>
                <w:iCs/>
                <w:color w:val="000000"/>
                <w:sz w:val="16"/>
                <w:szCs w:val="16"/>
              </w:rPr>
              <w:t>16</w:t>
            </w:r>
          </w:p>
        </w:tc>
        <w:tc>
          <w:tcPr>
            <w:tcW w:w="787" w:type="dxa"/>
            <w:noWrap/>
            <w:hideMark/>
          </w:tcPr>
          <w:p w:rsidRPr="00A25B13" w:rsidR="003A03B1" w:rsidP="007B3C80" w:rsidRDefault="003A03B1">
            <w:pPr>
              <w:jc w:val="right"/>
              <w:cnfStyle w:val="000000000000"/>
              <w:rPr>
                <w:rFonts w:asciiTheme="majorHAnsi" w:hAnsiTheme="majorHAnsi"/>
                <w:i/>
                <w:iCs/>
                <w:color w:val="000000"/>
                <w:sz w:val="16"/>
                <w:szCs w:val="16"/>
              </w:rPr>
            </w:pPr>
            <w:r w:rsidRPr="00A25B13">
              <w:rPr>
                <w:rFonts w:asciiTheme="majorHAnsi" w:hAnsiTheme="majorHAnsi"/>
                <w:i/>
                <w:iCs/>
                <w:color w:val="000000"/>
                <w:sz w:val="16"/>
                <w:szCs w:val="16"/>
              </w:rPr>
              <w:t>24</w:t>
            </w:r>
          </w:p>
        </w:tc>
        <w:tc>
          <w:tcPr>
            <w:tcW w:w="786" w:type="dxa"/>
            <w:noWrap/>
            <w:hideMark/>
          </w:tcPr>
          <w:p w:rsidRPr="00A25B13" w:rsidR="003A03B1" w:rsidP="007B3C80" w:rsidRDefault="003A03B1">
            <w:pPr>
              <w:jc w:val="right"/>
              <w:cnfStyle w:val="000000000000"/>
              <w:rPr>
                <w:rFonts w:asciiTheme="majorHAnsi" w:hAnsiTheme="majorHAnsi"/>
                <w:i/>
                <w:iCs/>
                <w:color w:val="000000"/>
                <w:sz w:val="16"/>
                <w:szCs w:val="16"/>
              </w:rPr>
            </w:pPr>
            <w:r w:rsidRPr="00A25B13">
              <w:rPr>
                <w:rFonts w:asciiTheme="majorHAnsi" w:hAnsiTheme="majorHAnsi"/>
                <w:i/>
                <w:iCs/>
                <w:color w:val="000000"/>
                <w:sz w:val="16"/>
                <w:szCs w:val="16"/>
              </w:rPr>
              <w:t>8</w:t>
            </w: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r>
      <w:tr w:rsidRPr="00156FCB" w:rsidR="003A03B1" w:rsidTr="00CA703A">
        <w:trPr>
          <w:cnfStyle w:val="000000100000"/>
          <w:trHeight w:val="225"/>
        </w:trPr>
        <w:tc>
          <w:tcPr>
            <w:cnfStyle w:val="001000000000"/>
            <w:tcW w:w="534" w:type="dxa"/>
            <w:noWrap/>
            <w:hideMark/>
          </w:tcPr>
          <w:p w:rsidRPr="00A25B13" w:rsidR="003A03B1" w:rsidP="00CA703A" w:rsidRDefault="003A03B1">
            <w:pPr>
              <w:rPr>
                <w:rFonts w:asciiTheme="majorHAnsi" w:hAnsiTheme="majorHAnsi"/>
                <w:b w:val="0"/>
                <w:color w:val="000000"/>
                <w:sz w:val="16"/>
                <w:szCs w:val="16"/>
              </w:rPr>
            </w:pPr>
          </w:p>
        </w:tc>
        <w:tc>
          <w:tcPr>
            <w:tcW w:w="4441" w:type="dxa"/>
            <w:noWrap/>
            <w:hideMark/>
          </w:tcPr>
          <w:p w:rsidRPr="00A25B13" w:rsidR="003A03B1" w:rsidP="00A25B13" w:rsidRDefault="003A03B1">
            <w:pPr>
              <w:cnfStyle w:val="000000100000"/>
              <w:rPr>
                <w:rFonts w:asciiTheme="majorHAnsi" w:hAnsiTheme="majorHAnsi"/>
                <w:i/>
                <w:iCs/>
                <w:color w:val="000000"/>
                <w:sz w:val="16"/>
                <w:szCs w:val="16"/>
              </w:rPr>
            </w:pPr>
            <w:r w:rsidRPr="00A25B13">
              <w:rPr>
                <w:rFonts w:asciiTheme="majorHAnsi" w:hAnsiTheme="majorHAnsi"/>
                <w:i/>
                <w:iCs/>
                <w:color w:val="000000"/>
                <w:sz w:val="16"/>
                <w:szCs w:val="16"/>
              </w:rPr>
              <w:t xml:space="preserve">  wv </w:t>
            </w:r>
            <w:r w:rsidR="00ED66F8">
              <w:rPr>
                <w:rFonts w:asciiTheme="majorHAnsi" w:hAnsiTheme="majorHAnsi"/>
                <w:i/>
                <w:iCs/>
                <w:color w:val="000000"/>
                <w:sz w:val="16"/>
                <w:szCs w:val="16"/>
              </w:rPr>
              <w:t>R</w:t>
            </w:r>
            <w:r w:rsidRPr="00A25B13">
              <w:rPr>
                <w:rFonts w:asciiTheme="majorHAnsi" w:hAnsiTheme="majorHAnsi"/>
                <w:i/>
                <w:iCs/>
                <w:color w:val="000000"/>
                <w:sz w:val="16"/>
                <w:szCs w:val="16"/>
              </w:rPr>
              <w:t>ijk</w:t>
            </w:r>
          </w:p>
        </w:tc>
        <w:tc>
          <w:tcPr>
            <w:tcW w:w="786" w:type="dxa"/>
            <w:noWrap/>
            <w:hideMark/>
          </w:tcPr>
          <w:p w:rsidRPr="00A25B13" w:rsidR="003A03B1" w:rsidP="00CA703A" w:rsidRDefault="003A03B1">
            <w:pPr>
              <w:jc w:val="right"/>
              <w:cnfStyle w:val="000000100000"/>
              <w:rPr>
                <w:rFonts w:asciiTheme="majorHAnsi" w:hAnsiTheme="majorHAnsi"/>
                <w:i/>
                <w:iCs/>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i/>
                <w:iCs/>
                <w:color w:val="000000"/>
                <w:sz w:val="16"/>
                <w:szCs w:val="16"/>
              </w:rPr>
            </w:pPr>
            <w:r w:rsidRPr="00A25B13">
              <w:rPr>
                <w:rFonts w:asciiTheme="majorHAnsi" w:hAnsiTheme="majorHAnsi"/>
                <w:i/>
                <w:iCs/>
                <w:color w:val="000000"/>
                <w:sz w:val="16"/>
                <w:szCs w:val="16"/>
              </w:rPr>
              <w:t>24</w:t>
            </w:r>
          </w:p>
        </w:tc>
        <w:tc>
          <w:tcPr>
            <w:tcW w:w="787" w:type="dxa"/>
            <w:noWrap/>
            <w:hideMark/>
          </w:tcPr>
          <w:p w:rsidRPr="00A25B13" w:rsidR="003A03B1" w:rsidP="00CA703A" w:rsidRDefault="003A03B1">
            <w:pPr>
              <w:jc w:val="right"/>
              <w:cnfStyle w:val="000000100000"/>
              <w:rPr>
                <w:rFonts w:asciiTheme="majorHAnsi" w:hAnsiTheme="majorHAnsi"/>
                <w:i/>
                <w:iCs/>
                <w:color w:val="000000"/>
                <w:sz w:val="16"/>
                <w:szCs w:val="16"/>
              </w:rPr>
            </w:pPr>
            <w:r w:rsidRPr="00A25B13">
              <w:rPr>
                <w:rFonts w:asciiTheme="majorHAnsi" w:hAnsiTheme="majorHAnsi"/>
                <w:i/>
                <w:iCs/>
                <w:color w:val="000000"/>
                <w:sz w:val="16"/>
                <w:szCs w:val="16"/>
              </w:rPr>
              <w:t>53</w:t>
            </w:r>
          </w:p>
        </w:tc>
        <w:tc>
          <w:tcPr>
            <w:tcW w:w="786" w:type="dxa"/>
            <w:noWrap/>
            <w:hideMark/>
          </w:tcPr>
          <w:p w:rsidRPr="00A25B13" w:rsidR="003A03B1" w:rsidP="00CA703A" w:rsidRDefault="003A03B1">
            <w:pPr>
              <w:jc w:val="right"/>
              <w:cnfStyle w:val="000000100000"/>
              <w:rPr>
                <w:rFonts w:asciiTheme="majorHAnsi" w:hAnsiTheme="majorHAnsi"/>
                <w:i/>
                <w:iCs/>
                <w:color w:val="000000"/>
                <w:sz w:val="16"/>
                <w:szCs w:val="16"/>
              </w:rPr>
            </w:pPr>
            <w:r w:rsidRPr="00A25B13">
              <w:rPr>
                <w:rFonts w:asciiTheme="majorHAnsi" w:hAnsiTheme="majorHAnsi"/>
                <w:i/>
                <w:iCs/>
                <w:color w:val="000000"/>
                <w:sz w:val="16"/>
                <w:szCs w:val="16"/>
              </w:rPr>
              <w:t>24</w:t>
            </w:r>
          </w:p>
        </w:tc>
        <w:tc>
          <w:tcPr>
            <w:tcW w:w="787" w:type="dxa"/>
            <w:noWrap/>
            <w:hideMark/>
          </w:tcPr>
          <w:p w:rsidRPr="00A25B13" w:rsidR="003A03B1" w:rsidP="00CA703A" w:rsidRDefault="003A03B1">
            <w:pPr>
              <w:jc w:val="right"/>
              <w:cnfStyle w:val="000000100000"/>
              <w:rPr>
                <w:rFonts w:asciiTheme="majorHAnsi" w:hAnsiTheme="majorHAnsi"/>
                <w:i/>
                <w:iCs/>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i/>
                <w:iCs/>
                <w:color w:val="000000"/>
                <w:sz w:val="16"/>
                <w:szCs w:val="16"/>
              </w:rPr>
            </w:pPr>
          </w:p>
        </w:tc>
      </w:tr>
      <w:tr w:rsidRPr="00156FCB" w:rsidR="003A03B1" w:rsidTr="00CA703A">
        <w:trPr>
          <w:trHeight w:val="225"/>
        </w:trPr>
        <w:tc>
          <w:tcPr>
            <w:cnfStyle w:val="001000000000"/>
            <w:tcW w:w="534" w:type="dxa"/>
            <w:noWrap/>
            <w:hideMark/>
          </w:tcPr>
          <w:p w:rsidRPr="00A25B13" w:rsidR="003A03B1" w:rsidP="00CA703A" w:rsidRDefault="003A03B1">
            <w:pPr>
              <w:jc w:val="right"/>
              <w:rPr>
                <w:rFonts w:asciiTheme="majorHAnsi" w:hAnsiTheme="majorHAnsi"/>
                <w:b w:val="0"/>
                <w:color w:val="000000"/>
                <w:sz w:val="16"/>
                <w:szCs w:val="16"/>
              </w:rPr>
            </w:pPr>
            <w:r w:rsidRPr="00A25B13">
              <w:rPr>
                <w:rFonts w:asciiTheme="majorHAnsi" w:hAnsiTheme="majorHAnsi"/>
                <w:b w:val="0"/>
                <w:color w:val="000000"/>
                <w:sz w:val="16"/>
                <w:szCs w:val="16"/>
              </w:rPr>
              <w:t>4</w:t>
            </w:r>
          </w:p>
        </w:tc>
        <w:tc>
          <w:tcPr>
            <w:tcW w:w="4441" w:type="dxa"/>
            <w:noWrap/>
            <w:hideMark/>
          </w:tcPr>
          <w:p w:rsidRPr="00A25B13" w:rsidR="003A03B1" w:rsidP="00CA703A" w:rsidRDefault="003A03B1">
            <w:pPr>
              <w:cnfStyle w:val="000000000000"/>
              <w:rPr>
                <w:rFonts w:asciiTheme="majorHAnsi" w:hAnsiTheme="majorHAnsi"/>
                <w:color w:val="000000"/>
                <w:sz w:val="16"/>
                <w:szCs w:val="16"/>
              </w:rPr>
            </w:pPr>
            <w:r w:rsidRPr="00A25B13">
              <w:rPr>
                <w:rFonts w:asciiTheme="majorHAnsi" w:hAnsiTheme="majorHAnsi"/>
                <w:color w:val="000000"/>
                <w:sz w:val="16"/>
                <w:szCs w:val="16"/>
              </w:rPr>
              <w:t>Intertemporele tegemoetkoming kosten in de participatiewet</w:t>
            </w:r>
          </w:p>
        </w:tc>
        <w:tc>
          <w:tcPr>
            <w:tcW w:w="786"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r w:rsidRPr="00A25B13">
              <w:rPr>
                <w:rFonts w:asciiTheme="majorHAnsi" w:hAnsiTheme="majorHAnsi"/>
                <w:color w:val="000000"/>
                <w:sz w:val="16"/>
                <w:szCs w:val="16"/>
              </w:rPr>
              <w:t>50</w:t>
            </w: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6" w:type="dxa"/>
            <w:noWrap/>
            <w:hideMark/>
          </w:tcPr>
          <w:p w:rsidRPr="00A25B13" w:rsidR="003A03B1" w:rsidP="00CA703A" w:rsidRDefault="003A03B1">
            <w:pPr>
              <w:jc w:val="right"/>
              <w:cnfStyle w:val="000000000000"/>
              <w:rPr>
                <w:rFonts w:asciiTheme="majorHAnsi" w:hAnsiTheme="majorHAnsi"/>
                <w:color w:val="000000"/>
                <w:sz w:val="16"/>
                <w:szCs w:val="16"/>
              </w:rPr>
            </w:pPr>
            <w:r w:rsidRPr="00A25B13">
              <w:rPr>
                <w:rFonts w:asciiTheme="majorHAnsi" w:hAnsiTheme="majorHAnsi"/>
                <w:color w:val="000000"/>
                <w:sz w:val="16"/>
                <w:szCs w:val="16"/>
              </w:rPr>
              <w:t>-50</w:t>
            </w: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r>
      <w:tr w:rsidRPr="00156FCB" w:rsidR="003A03B1" w:rsidTr="00CA703A">
        <w:trPr>
          <w:cnfStyle w:val="000000100000"/>
          <w:trHeight w:val="225"/>
        </w:trPr>
        <w:tc>
          <w:tcPr>
            <w:cnfStyle w:val="001000000000"/>
            <w:tcW w:w="534" w:type="dxa"/>
            <w:noWrap/>
            <w:hideMark/>
          </w:tcPr>
          <w:p w:rsidRPr="00A25B13" w:rsidR="003A03B1" w:rsidP="00CA703A" w:rsidRDefault="003A03B1">
            <w:pPr>
              <w:jc w:val="right"/>
              <w:rPr>
                <w:rFonts w:asciiTheme="majorHAnsi" w:hAnsiTheme="majorHAnsi"/>
                <w:b w:val="0"/>
                <w:color w:val="000000"/>
                <w:sz w:val="16"/>
                <w:szCs w:val="16"/>
              </w:rPr>
            </w:pPr>
            <w:r w:rsidRPr="00A25B13">
              <w:rPr>
                <w:rFonts w:asciiTheme="majorHAnsi" w:hAnsiTheme="majorHAnsi"/>
                <w:b w:val="0"/>
                <w:color w:val="000000"/>
                <w:sz w:val="16"/>
                <w:szCs w:val="16"/>
              </w:rPr>
              <w:t>5</w:t>
            </w:r>
          </w:p>
        </w:tc>
        <w:tc>
          <w:tcPr>
            <w:tcW w:w="4441" w:type="dxa"/>
            <w:noWrap/>
            <w:hideMark/>
          </w:tcPr>
          <w:p w:rsidRPr="00A25B13" w:rsidR="003A03B1" w:rsidP="00CA703A" w:rsidRDefault="003A03B1">
            <w:pPr>
              <w:cnfStyle w:val="000000100000"/>
              <w:rPr>
                <w:rFonts w:asciiTheme="majorHAnsi" w:hAnsiTheme="majorHAnsi"/>
                <w:color w:val="000000"/>
                <w:sz w:val="16"/>
                <w:szCs w:val="16"/>
              </w:rPr>
            </w:pPr>
            <w:r w:rsidRPr="00A25B13">
              <w:rPr>
                <w:rFonts w:asciiTheme="majorHAnsi" w:hAnsiTheme="majorHAnsi"/>
                <w:color w:val="000000"/>
                <w:sz w:val="16"/>
                <w:szCs w:val="16"/>
              </w:rPr>
              <w:t>Huisvestingsvoorziening</w:t>
            </w:r>
          </w:p>
        </w:tc>
        <w:tc>
          <w:tcPr>
            <w:tcW w:w="786"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26</w:t>
            </w: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38</w:t>
            </w:r>
          </w:p>
        </w:tc>
        <w:tc>
          <w:tcPr>
            <w:tcW w:w="786"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28</w:t>
            </w: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p>
        </w:tc>
      </w:tr>
      <w:tr w:rsidRPr="003A03B1" w:rsidR="003A03B1" w:rsidTr="00CA703A">
        <w:trPr>
          <w:trHeight w:val="225"/>
        </w:trPr>
        <w:tc>
          <w:tcPr>
            <w:cnfStyle w:val="001000000000"/>
            <w:tcW w:w="534" w:type="dxa"/>
            <w:noWrap/>
            <w:hideMark/>
          </w:tcPr>
          <w:p w:rsidRPr="003A03B1" w:rsidR="003A03B1" w:rsidP="00CA703A" w:rsidRDefault="003A03B1">
            <w:pPr>
              <w:jc w:val="right"/>
              <w:rPr>
                <w:rFonts w:asciiTheme="majorHAnsi" w:hAnsiTheme="majorHAnsi"/>
                <w:b w:val="0"/>
                <w:color w:val="000000"/>
                <w:sz w:val="16"/>
                <w:szCs w:val="16"/>
              </w:rPr>
            </w:pPr>
            <w:r w:rsidRPr="003A03B1">
              <w:rPr>
                <w:rFonts w:asciiTheme="majorHAnsi" w:hAnsiTheme="majorHAnsi"/>
                <w:b w:val="0"/>
                <w:color w:val="000000"/>
                <w:sz w:val="16"/>
                <w:szCs w:val="16"/>
              </w:rPr>
              <w:t>6</w:t>
            </w:r>
          </w:p>
        </w:tc>
        <w:tc>
          <w:tcPr>
            <w:tcW w:w="4441" w:type="dxa"/>
            <w:noWrap/>
            <w:hideMark/>
          </w:tcPr>
          <w:p w:rsidRPr="003A03B1" w:rsidR="003A03B1" w:rsidP="00CA703A" w:rsidRDefault="003A03B1">
            <w:pPr>
              <w:cnfStyle w:val="000000000000"/>
              <w:rPr>
                <w:rFonts w:asciiTheme="majorHAnsi" w:hAnsiTheme="majorHAnsi"/>
                <w:color w:val="000000"/>
                <w:sz w:val="16"/>
                <w:szCs w:val="16"/>
              </w:rPr>
            </w:pPr>
            <w:r w:rsidRPr="003A03B1">
              <w:rPr>
                <w:rFonts w:asciiTheme="majorHAnsi" w:hAnsiTheme="majorHAnsi"/>
                <w:color w:val="000000"/>
                <w:sz w:val="16"/>
                <w:szCs w:val="16"/>
              </w:rPr>
              <w:t>BRP-straten</w:t>
            </w:r>
          </w:p>
        </w:tc>
        <w:tc>
          <w:tcPr>
            <w:tcW w:w="786" w:type="dxa"/>
            <w:noWrap/>
            <w:hideMark/>
          </w:tcPr>
          <w:p w:rsidRPr="003A03B1"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3A03B1" w:rsidR="003A03B1" w:rsidP="00CA703A" w:rsidRDefault="003A03B1">
            <w:pPr>
              <w:jc w:val="right"/>
              <w:cnfStyle w:val="000000000000"/>
              <w:rPr>
                <w:rFonts w:asciiTheme="majorHAnsi" w:hAnsiTheme="majorHAnsi"/>
                <w:color w:val="000000"/>
                <w:sz w:val="16"/>
                <w:szCs w:val="16"/>
              </w:rPr>
            </w:pPr>
            <w:r w:rsidRPr="003A03B1">
              <w:rPr>
                <w:rFonts w:asciiTheme="majorHAnsi" w:hAnsiTheme="majorHAnsi"/>
                <w:color w:val="000000"/>
                <w:sz w:val="16"/>
                <w:szCs w:val="16"/>
              </w:rPr>
              <w:t>10</w:t>
            </w:r>
          </w:p>
        </w:tc>
        <w:tc>
          <w:tcPr>
            <w:tcW w:w="787" w:type="dxa"/>
            <w:noWrap/>
            <w:hideMark/>
          </w:tcPr>
          <w:p w:rsidRPr="003A03B1" w:rsidR="003A03B1" w:rsidP="00CA703A" w:rsidRDefault="003A03B1">
            <w:pPr>
              <w:jc w:val="right"/>
              <w:cnfStyle w:val="000000000000"/>
              <w:rPr>
                <w:rFonts w:asciiTheme="majorHAnsi" w:hAnsiTheme="majorHAnsi"/>
                <w:color w:val="000000"/>
                <w:sz w:val="16"/>
                <w:szCs w:val="16"/>
              </w:rPr>
            </w:pPr>
          </w:p>
        </w:tc>
        <w:tc>
          <w:tcPr>
            <w:tcW w:w="786" w:type="dxa"/>
            <w:noWrap/>
            <w:hideMark/>
          </w:tcPr>
          <w:p w:rsidRPr="003A03B1"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3A03B1"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3A03B1" w:rsidR="003A03B1" w:rsidP="00CA703A" w:rsidRDefault="003A03B1">
            <w:pPr>
              <w:jc w:val="right"/>
              <w:cnfStyle w:val="000000000000"/>
              <w:rPr>
                <w:rFonts w:asciiTheme="majorHAnsi" w:hAnsiTheme="majorHAnsi"/>
                <w:color w:val="000000"/>
                <w:sz w:val="16"/>
                <w:szCs w:val="16"/>
              </w:rPr>
            </w:pPr>
          </w:p>
        </w:tc>
      </w:tr>
      <w:tr w:rsidRPr="003A03B1" w:rsidR="003A03B1" w:rsidTr="00CA703A">
        <w:trPr>
          <w:cnfStyle w:val="000000100000"/>
          <w:trHeight w:val="225"/>
        </w:trPr>
        <w:tc>
          <w:tcPr>
            <w:cnfStyle w:val="001000000000"/>
            <w:tcW w:w="534" w:type="dxa"/>
            <w:noWrap/>
            <w:hideMark/>
          </w:tcPr>
          <w:p w:rsidRPr="003A03B1" w:rsidR="003A03B1" w:rsidP="00CA703A" w:rsidRDefault="003A03B1">
            <w:pPr>
              <w:rPr>
                <w:rFonts w:asciiTheme="majorHAnsi" w:hAnsiTheme="majorHAnsi"/>
                <w:color w:val="000000"/>
                <w:sz w:val="16"/>
                <w:szCs w:val="16"/>
              </w:rPr>
            </w:pPr>
          </w:p>
        </w:tc>
        <w:tc>
          <w:tcPr>
            <w:tcW w:w="4441" w:type="dxa"/>
            <w:noWrap/>
            <w:hideMark/>
          </w:tcPr>
          <w:p w:rsidRPr="003A03B1" w:rsidR="003A03B1" w:rsidP="003A03B1" w:rsidRDefault="003A03B1">
            <w:pPr>
              <w:cnfStyle w:val="000000100000"/>
              <w:rPr>
                <w:rFonts w:asciiTheme="majorHAnsi" w:hAnsiTheme="majorHAnsi"/>
                <w:b/>
                <w:color w:val="000000"/>
                <w:sz w:val="16"/>
                <w:szCs w:val="16"/>
              </w:rPr>
            </w:pPr>
            <w:r w:rsidRPr="003A03B1">
              <w:rPr>
                <w:rFonts w:asciiTheme="majorHAnsi" w:hAnsiTheme="majorHAnsi"/>
                <w:b/>
                <w:color w:val="000000"/>
                <w:sz w:val="16"/>
                <w:szCs w:val="16"/>
              </w:rPr>
              <w:t>Totaal intensiveringen</w:t>
            </w:r>
          </w:p>
        </w:tc>
        <w:tc>
          <w:tcPr>
            <w:tcW w:w="786" w:type="dxa"/>
            <w:noWrap/>
            <w:hideMark/>
          </w:tcPr>
          <w:p w:rsidRPr="003A03B1" w:rsidR="003A03B1" w:rsidRDefault="003A03B1">
            <w:pPr>
              <w:jc w:val="right"/>
              <w:cnfStyle w:val="000000100000"/>
              <w:rPr>
                <w:b/>
                <w:color w:val="000000"/>
                <w:sz w:val="16"/>
                <w:szCs w:val="16"/>
              </w:rPr>
            </w:pPr>
            <w:r w:rsidRPr="003A03B1">
              <w:rPr>
                <w:b/>
                <w:color w:val="000000"/>
                <w:sz w:val="16"/>
                <w:szCs w:val="16"/>
              </w:rPr>
              <w:t>17</w:t>
            </w:r>
          </w:p>
        </w:tc>
        <w:tc>
          <w:tcPr>
            <w:tcW w:w="787" w:type="dxa"/>
            <w:noWrap/>
            <w:hideMark/>
          </w:tcPr>
          <w:p w:rsidRPr="003A03B1" w:rsidR="003A03B1" w:rsidRDefault="003A03B1">
            <w:pPr>
              <w:jc w:val="right"/>
              <w:cnfStyle w:val="000000100000"/>
              <w:rPr>
                <w:b/>
                <w:color w:val="000000"/>
                <w:sz w:val="16"/>
                <w:szCs w:val="16"/>
              </w:rPr>
            </w:pPr>
            <w:r w:rsidRPr="003A03B1">
              <w:rPr>
                <w:b/>
                <w:color w:val="000000"/>
                <w:sz w:val="16"/>
                <w:szCs w:val="16"/>
              </w:rPr>
              <w:t>211</w:t>
            </w:r>
          </w:p>
        </w:tc>
        <w:tc>
          <w:tcPr>
            <w:tcW w:w="787" w:type="dxa"/>
            <w:noWrap/>
            <w:hideMark/>
          </w:tcPr>
          <w:p w:rsidRPr="003A03B1" w:rsidR="003A03B1" w:rsidRDefault="003A03B1">
            <w:pPr>
              <w:jc w:val="right"/>
              <w:cnfStyle w:val="000000100000"/>
              <w:rPr>
                <w:b/>
                <w:color w:val="000000"/>
                <w:sz w:val="16"/>
                <w:szCs w:val="16"/>
              </w:rPr>
            </w:pPr>
            <w:r w:rsidRPr="003A03B1">
              <w:rPr>
                <w:b/>
                <w:color w:val="000000"/>
                <w:sz w:val="16"/>
                <w:szCs w:val="16"/>
              </w:rPr>
              <w:t>135</w:t>
            </w:r>
          </w:p>
        </w:tc>
        <w:tc>
          <w:tcPr>
            <w:tcW w:w="786" w:type="dxa"/>
            <w:noWrap/>
            <w:hideMark/>
          </w:tcPr>
          <w:p w:rsidRPr="003A03B1" w:rsidR="003A03B1" w:rsidRDefault="003A03B1">
            <w:pPr>
              <w:jc w:val="right"/>
              <w:cnfStyle w:val="000000100000"/>
              <w:rPr>
                <w:b/>
                <w:color w:val="000000"/>
                <w:sz w:val="16"/>
                <w:szCs w:val="16"/>
              </w:rPr>
            </w:pPr>
            <w:r w:rsidRPr="003A03B1">
              <w:rPr>
                <w:b/>
                <w:color w:val="000000"/>
                <w:sz w:val="16"/>
                <w:szCs w:val="16"/>
              </w:rPr>
              <w:t>10</w:t>
            </w:r>
          </w:p>
        </w:tc>
        <w:tc>
          <w:tcPr>
            <w:tcW w:w="787" w:type="dxa"/>
            <w:noWrap/>
            <w:hideMark/>
          </w:tcPr>
          <w:p w:rsidRPr="003A03B1" w:rsidR="003A03B1" w:rsidP="00CA703A" w:rsidRDefault="003A03B1">
            <w:pPr>
              <w:jc w:val="right"/>
              <w:cnfStyle w:val="000000100000"/>
              <w:rPr>
                <w:rFonts w:asciiTheme="majorHAnsi" w:hAnsiTheme="majorHAnsi"/>
                <w:b/>
                <w:color w:val="000000"/>
                <w:sz w:val="16"/>
                <w:szCs w:val="16"/>
              </w:rPr>
            </w:pPr>
          </w:p>
        </w:tc>
        <w:tc>
          <w:tcPr>
            <w:tcW w:w="787" w:type="dxa"/>
            <w:noWrap/>
            <w:hideMark/>
          </w:tcPr>
          <w:p w:rsidRPr="003A03B1" w:rsidR="003A03B1" w:rsidP="00CA703A" w:rsidRDefault="003A03B1">
            <w:pPr>
              <w:jc w:val="right"/>
              <w:cnfStyle w:val="000000100000"/>
              <w:rPr>
                <w:rFonts w:asciiTheme="majorHAnsi" w:hAnsiTheme="majorHAnsi"/>
                <w:b/>
                <w:color w:val="000000"/>
                <w:sz w:val="16"/>
                <w:szCs w:val="16"/>
              </w:rPr>
            </w:pPr>
          </w:p>
        </w:tc>
      </w:tr>
      <w:tr w:rsidRPr="003A03B1" w:rsidR="003A03B1" w:rsidTr="00CA703A">
        <w:trPr>
          <w:trHeight w:val="225"/>
        </w:trPr>
        <w:tc>
          <w:tcPr>
            <w:cnfStyle w:val="001000000000"/>
            <w:tcW w:w="534" w:type="dxa"/>
            <w:noWrap/>
            <w:hideMark/>
          </w:tcPr>
          <w:p w:rsidRPr="003A03B1" w:rsidR="003A03B1" w:rsidP="00CA703A" w:rsidRDefault="003A03B1">
            <w:pPr>
              <w:rPr>
                <w:rFonts w:asciiTheme="majorHAnsi" w:hAnsiTheme="majorHAnsi"/>
                <w:b w:val="0"/>
                <w:i/>
                <w:color w:val="000000"/>
                <w:sz w:val="16"/>
                <w:szCs w:val="16"/>
              </w:rPr>
            </w:pPr>
          </w:p>
        </w:tc>
        <w:tc>
          <w:tcPr>
            <w:tcW w:w="4441" w:type="dxa"/>
            <w:noWrap/>
            <w:hideMark/>
          </w:tcPr>
          <w:p w:rsidRPr="003A03B1" w:rsidR="003A03B1" w:rsidRDefault="003A03B1">
            <w:pPr>
              <w:cnfStyle w:val="000000000000"/>
              <w:rPr>
                <w:i/>
                <w:iCs/>
                <w:color w:val="000000"/>
                <w:sz w:val="16"/>
                <w:szCs w:val="16"/>
              </w:rPr>
            </w:pPr>
            <w:r w:rsidRPr="003A03B1">
              <w:rPr>
                <w:i/>
                <w:iCs/>
                <w:color w:val="000000"/>
                <w:sz w:val="16"/>
                <w:szCs w:val="16"/>
              </w:rPr>
              <w:t xml:space="preserve">  wv gemeenten/woningcorporaties </w:t>
            </w:r>
          </w:p>
        </w:tc>
        <w:tc>
          <w:tcPr>
            <w:tcW w:w="786" w:type="dxa"/>
            <w:noWrap/>
            <w:hideMark/>
          </w:tcPr>
          <w:p w:rsidRPr="003A03B1" w:rsidR="003A03B1" w:rsidRDefault="003A03B1">
            <w:pPr>
              <w:jc w:val="right"/>
              <w:cnfStyle w:val="000000000000"/>
              <w:rPr>
                <w:i/>
                <w:color w:val="000000"/>
                <w:sz w:val="16"/>
                <w:szCs w:val="16"/>
              </w:rPr>
            </w:pPr>
            <w:r w:rsidRPr="003A03B1">
              <w:rPr>
                <w:i/>
                <w:color w:val="000000"/>
                <w:sz w:val="16"/>
                <w:szCs w:val="16"/>
              </w:rPr>
              <w:t>17</w:t>
            </w:r>
          </w:p>
        </w:tc>
        <w:tc>
          <w:tcPr>
            <w:tcW w:w="787" w:type="dxa"/>
            <w:noWrap/>
            <w:hideMark/>
          </w:tcPr>
          <w:p w:rsidRPr="003A03B1" w:rsidR="003A03B1" w:rsidRDefault="003A03B1">
            <w:pPr>
              <w:jc w:val="right"/>
              <w:cnfStyle w:val="000000000000"/>
              <w:rPr>
                <w:i/>
                <w:color w:val="000000"/>
                <w:sz w:val="16"/>
                <w:szCs w:val="16"/>
              </w:rPr>
            </w:pPr>
            <w:r w:rsidRPr="003A03B1">
              <w:rPr>
                <w:i/>
                <w:color w:val="000000"/>
                <w:sz w:val="16"/>
                <w:szCs w:val="16"/>
              </w:rPr>
              <w:t>187</w:t>
            </w:r>
          </w:p>
        </w:tc>
        <w:tc>
          <w:tcPr>
            <w:tcW w:w="787" w:type="dxa"/>
            <w:noWrap/>
            <w:hideMark/>
          </w:tcPr>
          <w:p w:rsidRPr="003A03B1" w:rsidR="003A03B1" w:rsidRDefault="003A03B1">
            <w:pPr>
              <w:jc w:val="right"/>
              <w:cnfStyle w:val="000000000000"/>
              <w:rPr>
                <w:i/>
                <w:color w:val="000000"/>
                <w:sz w:val="16"/>
                <w:szCs w:val="16"/>
              </w:rPr>
            </w:pPr>
            <w:r w:rsidRPr="003A03B1">
              <w:rPr>
                <w:i/>
                <w:color w:val="000000"/>
                <w:sz w:val="16"/>
                <w:szCs w:val="16"/>
              </w:rPr>
              <w:t>82</w:t>
            </w:r>
          </w:p>
        </w:tc>
        <w:tc>
          <w:tcPr>
            <w:tcW w:w="786" w:type="dxa"/>
            <w:noWrap/>
            <w:hideMark/>
          </w:tcPr>
          <w:p w:rsidRPr="003A03B1" w:rsidR="003A03B1" w:rsidRDefault="003A03B1">
            <w:pPr>
              <w:jc w:val="right"/>
              <w:cnfStyle w:val="000000000000"/>
              <w:rPr>
                <w:i/>
                <w:color w:val="000000"/>
                <w:sz w:val="16"/>
                <w:szCs w:val="16"/>
              </w:rPr>
            </w:pPr>
            <w:r w:rsidRPr="003A03B1">
              <w:rPr>
                <w:i/>
                <w:color w:val="000000"/>
                <w:sz w:val="16"/>
                <w:szCs w:val="16"/>
              </w:rPr>
              <w:t>-14</w:t>
            </w:r>
          </w:p>
        </w:tc>
        <w:tc>
          <w:tcPr>
            <w:tcW w:w="787" w:type="dxa"/>
            <w:noWrap/>
            <w:hideMark/>
          </w:tcPr>
          <w:p w:rsidRPr="003A03B1" w:rsidR="003A03B1" w:rsidP="00CA703A" w:rsidRDefault="003A03B1">
            <w:pPr>
              <w:jc w:val="right"/>
              <w:cnfStyle w:val="000000000000"/>
              <w:rPr>
                <w:rFonts w:asciiTheme="majorHAnsi" w:hAnsiTheme="majorHAnsi"/>
                <w:i/>
                <w:color w:val="000000"/>
                <w:sz w:val="16"/>
                <w:szCs w:val="16"/>
              </w:rPr>
            </w:pPr>
          </w:p>
        </w:tc>
        <w:tc>
          <w:tcPr>
            <w:tcW w:w="787" w:type="dxa"/>
            <w:noWrap/>
            <w:hideMark/>
          </w:tcPr>
          <w:p w:rsidRPr="003A03B1" w:rsidR="003A03B1" w:rsidP="00CA703A" w:rsidRDefault="003A03B1">
            <w:pPr>
              <w:jc w:val="right"/>
              <w:cnfStyle w:val="000000000000"/>
              <w:rPr>
                <w:rFonts w:asciiTheme="majorHAnsi" w:hAnsiTheme="majorHAnsi"/>
                <w:i/>
                <w:color w:val="000000"/>
                <w:sz w:val="16"/>
                <w:szCs w:val="16"/>
              </w:rPr>
            </w:pPr>
          </w:p>
        </w:tc>
      </w:tr>
      <w:tr w:rsidRPr="003A03B1" w:rsidR="003A03B1" w:rsidTr="00CA703A">
        <w:trPr>
          <w:cnfStyle w:val="000000100000"/>
          <w:trHeight w:val="225"/>
        </w:trPr>
        <w:tc>
          <w:tcPr>
            <w:cnfStyle w:val="001000000000"/>
            <w:tcW w:w="534" w:type="dxa"/>
            <w:noWrap/>
            <w:hideMark/>
          </w:tcPr>
          <w:p w:rsidRPr="003A03B1" w:rsidR="003A03B1" w:rsidP="00CA703A" w:rsidRDefault="003A03B1">
            <w:pPr>
              <w:rPr>
                <w:rFonts w:asciiTheme="majorHAnsi" w:hAnsiTheme="majorHAnsi"/>
                <w:b w:val="0"/>
                <w:i/>
                <w:color w:val="000000"/>
                <w:sz w:val="16"/>
                <w:szCs w:val="16"/>
              </w:rPr>
            </w:pPr>
          </w:p>
        </w:tc>
        <w:tc>
          <w:tcPr>
            <w:tcW w:w="4441" w:type="dxa"/>
            <w:noWrap/>
            <w:hideMark/>
          </w:tcPr>
          <w:p w:rsidRPr="003A03B1" w:rsidR="003A03B1" w:rsidRDefault="003A03B1">
            <w:pPr>
              <w:cnfStyle w:val="000000100000"/>
              <w:rPr>
                <w:i/>
                <w:iCs/>
                <w:color w:val="000000"/>
                <w:sz w:val="16"/>
                <w:szCs w:val="16"/>
              </w:rPr>
            </w:pPr>
            <w:r w:rsidRPr="003A03B1">
              <w:rPr>
                <w:i/>
                <w:iCs/>
                <w:color w:val="000000"/>
                <w:sz w:val="16"/>
                <w:szCs w:val="16"/>
              </w:rPr>
              <w:t xml:space="preserve">  wv </w:t>
            </w:r>
            <w:r w:rsidR="00ED66F8">
              <w:rPr>
                <w:i/>
                <w:iCs/>
                <w:color w:val="000000"/>
                <w:sz w:val="16"/>
                <w:szCs w:val="16"/>
              </w:rPr>
              <w:t>R</w:t>
            </w:r>
            <w:r w:rsidRPr="003A03B1">
              <w:rPr>
                <w:i/>
                <w:iCs/>
                <w:color w:val="000000"/>
                <w:sz w:val="16"/>
                <w:szCs w:val="16"/>
              </w:rPr>
              <w:t>ijk</w:t>
            </w:r>
          </w:p>
        </w:tc>
        <w:tc>
          <w:tcPr>
            <w:tcW w:w="786" w:type="dxa"/>
            <w:noWrap/>
            <w:hideMark/>
          </w:tcPr>
          <w:p w:rsidRPr="003A03B1" w:rsidR="003A03B1" w:rsidRDefault="003A03B1">
            <w:pPr>
              <w:jc w:val="right"/>
              <w:cnfStyle w:val="000000100000"/>
              <w:rPr>
                <w:i/>
                <w:color w:val="000000"/>
                <w:sz w:val="16"/>
                <w:szCs w:val="16"/>
              </w:rPr>
            </w:pPr>
            <w:r w:rsidRPr="003A03B1">
              <w:rPr>
                <w:i/>
                <w:color w:val="000000"/>
                <w:sz w:val="16"/>
                <w:szCs w:val="16"/>
              </w:rPr>
              <w:t>0</w:t>
            </w:r>
          </w:p>
        </w:tc>
        <w:tc>
          <w:tcPr>
            <w:tcW w:w="787" w:type="dxa"/>
            <w:noWrap/>
            <w:hideMark/>
          </w:tcPr>
          <w:p w:rsidRPr="003A03B1" w:rsidR="003A03B1" w:rsidRDefault="003A03B1">
            <w:pPr>
              <w:jc w:val="right"/>
              <w:cnfStyle w:val="000000100000"/>
              <w:rPr>
                <w:i/>
                <w:color w:val="000000"/>
                <w:sz w:val="16"/>
                <w:szCs w:val="16"/>
              </w:rPr>
            </w:pPr>
            <w:r w:rsidRPr="003A03B1">
              <w:rPr>
                <w:i/>
                <w:color w:val="000000"/>
                <w:sz w:val="16"/>
                <w:szCs w:val="16"/>
              </w:rPr>
              <w:t>24</w:t>
            </w:r>
          </w:p>
        </w:tc>
        <w:tc>
          <w:tcPr>
            <w:tcW w:w="787" w:type="dxa"/>
            <w:noWrap/>
            <w:hideMark/>
          </w:tcPr>
          <w:p w:rsidRPr="003A03B1" w:rsidR="003A03B1" w:rsidRDefault="003A03B1">
            <w:pPr>
              <w:jc w:val="right"/>
              <w:cnfStyle w:val="000000100000"/>
              <w:rPr>
                <w:i/>
                <w:color w:val="000000"/>
                <w:sz w:val="16"/>
                <w:szCs w:val="16"/>
              </w:rPr>
            </w:pPr>
            <w:r w:rsidRPr="003A03B1">
              <w:rPr>
                <w:i/>
                <w:color w:val="000000"/>
                <w:sz w:val="16"/>
                <w:szCs w:val="16"/>
              </w:rPr>
              <w:t>53</w:t>
            </w:r>
          </w:p>
        </w:tc>
        <w:tc>
          <w:tcPr>
            <w:tcW w:w="786" w:type="dxa"/>
            <w:noWrap/>
            <w:hideMark/>
          </w:tcPr>
          <w:p w:rsidRPr="003A03B1" w:rsidR="003A03B1" w:rsidRDefault="003A03B1">
            <w:pPr>
              <w:jc w:val="right"/>
              <w:cnfStyle w:val="000000100000"/>
              <w:rPr>
                <w:i/>
                <w:color w:val="000000"/>
                <w:sz w:val="16"/>
                <w:szCs w:val="16"/>
              </w:rPr>
            </w:pPr>
            <w:r w:rsidRPr="003A03B1">
              <w:rPr>
                <w:i/>
                <w:color w:val="000000"/>
                <w:sz w:val="16"/>
                <w:szCs w:val="16"/>
              </w:rPr>
              <w:t>24</w:t>
            </w:r>
          </w:p>
        </w:tc>
        <w:tc>
          <w:tcPr>
            <w:tcW w:w="787" w:type="dxa"/>
            <w:noWrap/>
            <w:hideMark/>
          </w:tcPr>
          <w:p w:rsidRPr="003A03B1" w:rsidR="003A03B1" w:rsidP="00CA703A" w:rsidRDefault="003A03B1">
            <w:pPr>
              <w:jc w:val="right"/>
              <w:cnfStyle w:val="000000100000"/>
              <w:rPr>
                <w:rFonts w:asciiTheme="majorHAnsi" w:hAnsiTheme="majorHAnsi"/>
                <w:i/>
                <w:color w:val="000000"/>
                <w:sz w:val="16"/>
                <w:szCs w:val="16"/>
              </w:rPr>
            </w:pPr>
          </w:p>
        </w:tc>
        <w:tc>
          <w:tcPr>
            <w:tcW w:w="787" w:type="dxa"/>
            <w:noWrap/>
            <w:hideMark/>
          </w:tcPr>
          <w:p w:rsidRPr="003A03B1" w:rsidR="003A03B1" w:rsidP="00CA703A" w:rsidRDefault="003A03B1">
            <w:pPr>
              <w:jc w:val="right"/>
              <w:cnfStyle w:val="000000100000"/>
              <w:rPr>
                <w:rFonts w:asciiTheme="majorHAnsi" w:hAnsiTheme="majorHAnsi"/>
                <w:i/>
                <w:color w:val="000000"/>
                <w:sz w:val="16"/>
                <w:szCs w:val="16"/>
              </w:rPr>
            </w:pPr>
          </w:p>
        </w:tc>
      </w:tr>
      <w:tr w:rsidRPr="003A03B1" w:rsidR="003A03B1" w:rsidTr="00CA703A">
        <w:trPr>
          <w:trHeight w:val="225"/>
        </w:trPr>
        <w:tc>
          <w:tcPr>
            <w:cnfStyle w:val="001000000000"/>
            <w:tcW w:w="534" w:type="dxa"/>
            <w:noWrap/>
            <w:hideMark/>
          </w:tcPr>
          <w:p w:rsidRPr="003A03B1" w:rsidR="003A03B1" w:rsidP="00CA703A" w:rsidRDefault="003A03B1">
            <w:pPr>
              <w:rPr>
                <w:rFonts w:asciiTheme="majorHAnsi" w:hAnsiTheme="majorHAnsi"/>
                <w:b w:val="0"/>
                <w:color w:val="000000"/>
                <w:sz w:val="16"/>
                <w:szCs w:val="16"/>
              </w:rPr>
            </w:pPr>
          </w:p>
        </w:tc>
        <w:tc>
          <w:tcPr>
            <w:tcW w:w="4441" w:type="dxa"/>
            <w:noWrap/>
            <w:hideMark/>
          </w:tcPr>
          <w:p w:rsidRPr="003A03B1" w:rsidR="003A03B1" w:rsidRDefault="003A03B1">
            <w:pPr>
              <w:cnfStyle w:val="000000000000"/>
              <w:rPr>
                <w:i/>
                <w:iCs/>
                <w:color w:val="000000"/>
                <w:sz w:val="16"/>
                <w:szCs w:val="16"/>
              </w:rPr>
            </w:pPr>
          </w:p>
        </w:tc>
        <w:tc>
          <w:tcPr>
            <w:tcW w:w="786" w:type="dxa"/>
            <w:noWrap/>
            <w:hideMark/>
          </w:tcPr>
          <w:p w:rsidRPr="003A03B1" w:rsidR="003A03B1" w:rsidRDefault="003A03B1">
            <w:pPr>
              <w:jc w:val="right"/>
              <w:cnfStyle w:val="000000000000"/>
              <w:rPr>
                <w:color w:val="000000"/>
                <w:sz w:val="16"/>
                <w:szCs w:val="16"/>
              </w:rPr>
            </w:pPr>
          </w:p>
        </w:tc>
        <w:tc>
          <w:tcPr>
            <w:tcW w:w="787" w:type="dxa"/>
            <w:noWrap/>
            <w:hideMark/>
          </w:tcPr>
          <w:p w:rsidRPr="003A03B1" w:rsidR="003A03B1" w:rsidRDefault="003A03B1">
            <w:pPr>
              <w:jc w:val="right"/>
              <w:cnfStyle w:val="000000000000"/>
              <w:rPr>
                <w:color w:val="000000"/>
                <w:sz w:val="16"/>
                <w:szCs w:val="16"/>
              </w:rPr>
            </w:pPr>
          </w:p>
        </w:tc>
        <w:tc>
          <w:tcPr>
            <w:tcW w:w="787" w:type="dxa"/>
            <w:noWrap/>
            <w:hideMark/>
          </w:tcPr>
          <w:p w:rsidRPr="003A03B1" w:rsidR="003A03B1" w:rsidRDefault="003A03B1">
            <w:pPr>
              <w:jc w:val="right"/>
              <w:cnfStyle w:val="000000000000"/>
              <w:rPr>
                <w:color w:val="000000"/>
                <w:sz w:val="16"/>
                <w:szCs w:val="16"/>
              </w:rPr>
            </w:pPr>
          </w:p>
        </w:tc>
        <w:tc>
          <w:tcPr>
            <w:tcW w:w="786" w:type="dxa"/>
            <w:noWrap/>
            <w:hideMark/>
          </w:tcPr>
          <w:p w:rsidRPr="003A03B1" w:rsidR="003A03B1" w:rsidRDefault="003A03B1">
            <w:pPr>
              <w:jc w:val="right"/>
              <w:cnfStyle w:val="000000000000"/>
              <w:rPr>
                <w:color w:val="000000"/>
                <w:sz w:val="16"/>
                <w:szCs w:val="16"/>
              </w:rPr>
            </w:pPr>
          </w:p>
        </w:tc>
        <w:tc>
          <w:tcPr>
            <w:tcW w:w="787" w:type="dxa"/>
            <w:noWrap/>
            <w:hideMark/>
          </w:tcPr>
          <w:p w:rsidRPr="003A03B1"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3A03B1" w:rsidR="003A03B1" w:rsidP="00CA703A" w:rsidRDefault="003A03B1">
            <w:pPr>
              <w:jc w:val="right"/>
              <w:cnfStyle w:val="000000000000"/>
              <w:rPr>
                <w:rFonts w:asciiTheme="majorHAnsi" w:hAnsiTheme="majorHAnsi"/>
                <w:color w:val="000000"/>
                <w:sz w:val="16"/>
                <w:szCs w:val="16"/>
              </w:rPr>
            </w:pPr>
          </w:p>
        </w:tc>
      </w:tr>
      <w:tr w:rsidRPr="00156FCB" w:rsidR="003A03B1" w:rsidTr="00CA703A">
        <w:trPr>
          <w:cnfStyle w:val="000000100000"/>
          <w:trHeight w:val="225"/>
        </w:trPr>
        <w:tc>
          <w:tcPr>
            <w:cnfStyle w:val="001000000000"/>
            <w:tcW w:w="534" w:type="dxa"/>
            <w:noWrap/>
            <w:hideMark/>
          </w:tcPr>
          <w:p w:rsidRPr="00A25B13" w:rsidR="003A03B1" w:rsidP="00CA703A" w:rsidRDefault="003A03B1">
            <w:pPr>
              <w:jc w:val="right"/>
              <w:rPr>
                <w:rFonts w:asciiTheme="majorHAnsi" w:hAnsiTheme="majorHAnsi"/>
                <w:b w:val="0"/>
                <w:color w:val="000000"/>
                <w:sz w:val="16"/>
                <w:szCs w:val="16"/>
              </w:rPr>
            </w:pPr>
            <w:r w:rsidRPr="00A25B13">
              <w:rPr>
                <w:rFonts w:asciiTheme="majorHAnsi" w:hAnsiTheme="majorHAnsi"/>
                <w:b w:val="0"/>
                <w:color w:val="000000"/>
                <w:sz w:val="16"/>
                <w:szCs w:val="16"/>
              </w:rPr>
              <w:t>7</w:t>
            </w:r>
          </w:p>
        </w:tc>
        <w:tc>
          <w:tcPr>
            <w:tcW w:w="4441" w:type="dxa"/>
            <w:noWrap/>
            <w:hideMark/>
          </w:tcPr>
          <w:p w:rsidRPr="00A25B13" w:rsidR="003A03B1" w:rsidP="00CA703A" w:rsidRDefault="003A03B1">
            <w:pPr>
              <w:cnfStyle w:val="000000100000"/>
              <w:rPr>
                <w:rFonts w:asciiTheme="majorHAnsi" w:hAnsiTheme="majorHAnsi"/>
                <w:color w:val="000000"/>
                <w:sz w:val="16"/>
                <w:szCs w:val="16"/>
              </w:rPr>
            </w:pPr>
            <w:r w:rsidRPr="00A25B13">
              <w:rPr>
                <w:rFonts w:asciiTheme="majorHAnsi" w:hAnsiTheme="majorHAnsi"/>
                <w:color w:val="000000"/>
                <w:sz w:val="16"/>
                <w:szCs w:val="16"/>
              </w:rPr>
              <w:t>COA-budget</w:t>
            </w:r>
          </w:p>
        </w:tc>
        <w:tc>
          <w:tcPr>
            <w:tcW w:w="786"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-17</w:t>
            </w: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6"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p>
        </w:tc>
      </w:tr>
      <w:tr w:rsidRPr="00156FCB" w:rsidR="003A03B1" w:rsidTr="00CA703A">
        <w:trPr>
          <w:trHeight w:val="225"/>
        </w:trPr>
        <w:tc>
          <w:tcPr>
            <w:cnfStyle w:val="001000000000"/>
            <w:tcW w:w="534" w:type="dxa"/>
            <w:noWrap/>
            <w:hideMark/>
          </w:tcPr>
          <w:p w:rsidRPr="00A25B13" w:rsidR="003A03B1" w:rsidP="00CA703A" w:rsidRDefault="003A03B1">
            <w:pPr>
              <w:jc w:val="right"/>
              <w:rPr>
                <w:rFonts w:asciiTheme="majorHAnsi" w:hAnsiTheme="majorHAnsi"/>
                <w:b w:val="0"/>
                <w:color w:val="000000"/>
                <w:sz w:val="16"/>
                <w:szCs w:val="16"/>
              </w:rPr>
            </w:pPr>
            <w:r w:rsidRPr="00A25B13">
              <w:rPr>
                <w:rFonts w:asciiTheme="majorHAnsi" w:hAnsiTheme="majorHAnsi"/>
                <w:b w:val="0"/>
                <w:color w:val="000000"/>
                <w:sz w:val="16"/>
                <w:szCs w:val="16"/>
              </w:rPr>
              <w:t>8</w:t>
            </w:r>
          </w:p>
        </w:tc>
        <w:tc>
          <w:tcPr>
            <w:tcW w:w="4441" w:type="dxa"/>
            <w:noWrap/>
            <w:hideMark/>
          </w:tcPr>
          <w:p w:rsidRPr="00A25B13" w:rsidR="003A03B1" w:rsidP="00CA703A" w:rsidRDefault="003A03B1">
            <w:pPr>
              <w:cnfStyle w:val="000000000000"/>
              <w:rPr>
                <w:rFonts w:asciiTheme="majorHAnsi" w:hAnsiTheme="majorHAnsi"/>
                <w:color w:val="000000"/>
                <w:sz w:val="16"/>
                <w:szCs w:val="16"/>
              </w:rPr>
            </w:pPr>
            <w:r w:rsidRPr="00A25B13">
              <w:rPr>
                <w:rFonts w:asciiTheme="majorHAnsi" w:hAnsiTheme="majorHAnsi"/>
                <w:color w:val="000000"/>
                <w:sz w:val="16"/>
                <w:szCs w:val="16"/>
              </w:rPr>
              <w:t>Inzet reservering tbv stimuleren doorstroming</w:t>
            </w:r>
          </w:p>
        </w:tc>
        <w:tc>
          <w:tcPr>
            <w:tcW w:w="786"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r w:rsidRPr="00A25B13">
              <w:rPr>
                <w:rFonts w:asciiTheme="majorHAnsi" w:hAnsiTheme="majorHAnsi"/>
                <w:color w:val="000000"/>
                <w:sz w:val="16"/>
                <w:szCs w:val="16"/>
              </w:rPr>
              <w:t>-20</w:t>
            </w: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r w:rsidRPr="00A25B13">
              <w:rPr>
                <w:rFonts w:asciiTheme="majorHAnsi" w:hAnsiTheme="majorHAnsi"/>
                <w:color w:val="000000"/>
                <w:sz w:val="16"/>
                <w:szCs w:val="16"/>
              </w:rPr>
              <w:t>-20</w:t>
            </w:r>
          </w:p>
        </w:tc>
        <w:tc>
          <w:tcPr>
            <w:tcW w:w="786"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r>
      <w:tr w:rsidRPr="00156FCB" w:rsidR="003A03B1" w:rsidTr="00CA703A">
        <w:trPr>
          <w:cnfStyle w:val="000000100000"/>
          <w:trHeight w:val="240"/>
        </w:trPr>
        <w:tc>
          <w:tcPr>
            <w:cnfStyle w:val="001000000000"/>
            <w:tcW w:w="534" w:type="dxa"/>
            <w:noWrap/>
            <w:hideMark/>
          </w:tcPr>
          <w:p w:rsidRPr="00A25B13" w:rsidR="003A03B1" w:rsidP="00CA703A" w:rsidRDefault="003A03B1">
            <w:pPr>
              <w:jc w:val="right"/>
              <w:rPr>
                <w:rFonts w:asciiTheme="majorHAnsi" w:hAnsiTheme="majorHAnsi"/>
                <w:b w:val="0"/>
                <w:color w:val="000000"/>
                <w:sz w:val="16"/>
                <w:szCs w:val="16"/>
              </w:rPr>
            </w:pPr>
            <w:r w:rsidRPr="00A25B13">
              <w:rPr>
                <w:rFonts w:asciiTheme="majorHAnsi" w:hAnsiTheme="majorHAnsi"/>
                <w:b w:val="0"/>
                <w:color w:val="000000"/>
                <w:sz w:val="16"/>
                <w:szCs w:val="16"/>
              </w:rPr>
              <w:t>9</w:t>
            </w:r>
          </w:p>
        </w:tc>
        <w:tc>
          <w:tcPr>
            <w:tcW w:w="4441" w:type="dxa"/>
            <w:noWrap/>
            <w:hideMark/>
          </w:tcPr>
          <w:p w:rsidRPr="00A25B13" w:rsidR="003A03B1" w:rsidP="00CA703A" w:rsidRDefault="003A03B1">
            <w:pPr>
              <w:cnfStyle w:val="000000100000"/>
              <w:rPr>
                <w:rFonts w:asciiTheme="majorHAnsi" w:hAnsiTheme="majorHAnsi"/>
                <w:color w:val="000000"/>
                <w:sz w:val="16"/>
                <w:szCs w:val="16"/>
              </w:rPr>
            </w:pPr>
            <w:r w:rsidRPr="00A25B13">
              <w:rPr>
                <w:rFonts w:asciiTheme="majorHAnsi" w:hAnsiTheme="majorHAnsi"/>
                <w:color w:val="000000"/>
                <w:sz w:val="16"/>
                <w:szCs w:val="16"/>
              </w:rPr>
              <w:t>Huurtoeslag</w:t>
            </w:r>
          </w:p>
        </w:tc>
        <w:tc>
          <w:tcPr>
            <w:tcW w:w="786"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100000"/>
              <w:rPr>
                <w:rFonts w:cs="Arial" w:asciiTheme="majorHAnsi" w:hAnsiTheme="majorHAnsi"/>
                <w:color w:val="000000"/>
                <w:sz w:val="16"/>
                <w:szCs w:val="16"/>
              </w:rPr>
            </w:pPr>
            <w:r w:rsidRPr="00A25B13">
              <w:rPr>
                <w:rFonts w:cs="Arial" w:asciiTheme="majorHAnsi" w:hAnsiTheme="majorHAnsi"/>
                <w:color w:val="000000"/>
                <w:sz w:val="16"/>
                <w:szCs w:val="16"/>
              </w:rPr>
              <w:t xml:space="preserve">       -3 </w:t>
            </w:r>
          </w:p>
        </w:tc>
        <w:tc>
          <w:tcPr>
            <w:tcW w:w="787" w:type="dxa"/>
            <w:noWrap/>
            <w:hideMark/>
          </w:tcPr>
          <w:p w:rsidRPr="00A25B13" w:rsidR="003A03B1" w:rsidP="00CA703A" w:rsidRDefault="003A03B1">
            <w:pPr>
              <w:jc w:val="right"/>
              <w:cnfStyle w:val="000000100000"/>
              <w:rPr>
                <w:rFonts w:cs="Arial" w:asciiTheme="majorHAnsi" w:hAnsiTheme="majorHAnsi"/>
                <w:color w:val="000000"/>
                <w:sz w:val="16"/>
                <w:szCs w:val="16"/>
              </w:rPr>
            </w:pPr>
            <w:r w:rsidRPr="00A25B13">
              <w:rPr>
                <w:rFonts w:cs="Arial" w:asciiTheme="majorHAnsi" w:hAnsiTheme="majorHAnsi"/>
                <w:color w:val="000000"/>
                <w:sz w:val="16"/>
                <w:szCs w:val="16"/>
              </w:rPr>
              <w:t xml:space="preserve">     -11 </w:t>
            </w:r>
          </w:p>
        </w:tc>
        <w:tc>
          <w:tcPr>
            <w:tcW w:w="786" w:type="dxa"/>
            <w:noWrap/>
            <w:hideMark/>
          </w:tcPr>
          <w:p w:rsidRPr="00A25B13" w:rsidR="003A03B1" w:rsidP="00CA703A" w:rsidRDefault="003A03B1">
            <w:pPr>
              <w:jc w:val="right"/>
              <w:cnfStyle w:val="000000100000"/>
              <w:rPr>
                <w:rFonts w:cs="Arial" w:asciiTheme="majorHAnsi" w:hAnsiTheme="majorHAnsi"/>
                <w:color w:val="000000"/>
                <w:sz w:val="16"/>
                <w:szCs w:val="16"/>
              </w:rPr>
            </w:pPr>
            <w:r w:rsidRPr="00A25B13">
              <w:rPr>
                <w:rFonts w:cs="Arial" w:asciiTheme="majorHAnsi" w:hAnsiTheme="majorHAnsi"/>
                <w:color w:val="000000"/>
                <w:sz w:val="16"/>
                <w:szCs w:val="16"/>
              </w:rPr>
              <w:t xml:space="preserve">     -18 </w:t>
            </w:r>
          </w:p>
        </w:tc>
        <w:tc>
          <w:tcPr>
            <w:tcW w:w="787" w:type="dxa"/>
            <w:noWrap/>
            <w:hideMark/>
          </w:tcPr>
          <w:p w:rsidRPr="00A25B13" w:rsidR="003A03B1" w:rsidP="00CA703A" w:rsidRDefault="003A03B1">
            <w:pPr>
              <w:jc w:val="right"/>
              <w:cnfStyle w:val="000000100000"/>
              <w:rPr>
                <w:rFonts w:cs="Arial" w:asciiTheme="majorHAnsi" w:hAnsiTheme="majorHAnsi"/>
                <w:color w:val="000000"/>
                <w:sz w:val="16"/>
                <w:szCs w:val="16"/>
              </w:rPr>
            </w:pPr>
            <w:r w:rsidRPr="00A25B13">
              <w:rPr>
                <w:rFonts w:cs="Arial" w:asciiTheme="majorHAnsi" w:hAnsiTheme="majorHAnsi"/>
                <w:color w:val="000000"/>
                <w:sz w:val="16"/>
                <w:szCs w:val="16"/>
              </w:rPr>
              <w:t xml:space="preserve">     -21 </w:t>
            </w:r>
          </w:p>
        </w:tc>
        <w:tc>
          <w:tcPr>
            <w:tcW w:w="787" w:type="dxa"/>
            <w:noWrap/>
            <w:hideMark/>
          </w:tcPr>
          <w:p w:rsidRPr="00A25B13" w:rsidR="003A03B1" w:rsidP="00CA703A" w:rsidRDefault="003A03B1">
            <w:pPr>
              <w:jc w:val="right"/>
              <w:cnfStyle w:val="000000100000"/>
              <w:rPr>
                <w:rFonts w:cs="Arial" w:asciiTheme="majorHAnsi" w:hAnsiTheme="majorHAnsi"/>
                <w:color w:val="000000"/>
                <w:sz w:val="16"/>
                <w:szCs w:val="16"/>
              </w:rPr>
            </w:pPr>
            <w:r w:rsidRPr="00A25B13">
              <w:rPr>
                <w:rFonts w:cs="Arial" w:asciiTheme="majorHAnsi" w:hAnsiTheme="majorHAnsi"/>
                <w:color w:val="000000"/>
                <w:sz w:val="16"/>
                <w:szCs w:val="16"/>
              </w:rPr>
              <w:t xml:space="preserve">     -39 </w:t>
            </w:r>
          </w:p>
        </w:tc>
      </w:tr>
      <w:tr w:rsidRPr="00156FCB" w:rsidR="003A03B1" w:rsidTr="00CA703A">
        <w:trPr>
          <w:trHeight w:val="240"/>
        </w:trPr>
        <w:tc>
          <w:tcPr>
            <w:cnfStyle w:val="001000000000"/>
            <w:tcW w:w="534" w:type="dxa"/>
            <w:noWrap/>
            <w:hideMark/>
          </w:tcPr>
          <w:p w:rsidRPr="00A25B13" w:rsidR="003A03B1" w:rsidP="00CA703A" w:rsidRDefault="003A03B1">
            <w:pPr>
              <w:jc w:val="right"/>
              <w:rPr>
                <w:rFonts w:asciiTheme="majorHAnsi" w:hAnsiTheme="majorHAnsi"/>
                <w:b w:val="0"/>
                <w:color w:val="000000"/>
                <w:sz w:val="16"/>
                <w:szCs w:val="16"/>
              </w:rPr>
            </w:pPr>
            <w:r w:rsidRPr="00A25B13">
              <w:rPr>
                <w:rFonts w:asciiTheme="majorHAnsi" w:hAnsiTheme="majorHAnsi"/>
                <w:b w:val="0"/>
                <w:color w:val="000000"/>
                <w:sz w:val="16"/>
                <w:szCs w:val="16"/>
              </w:rPr>
              <w:t>10</w:t>
            </w:r>
          </w:p>
        </w:tc>
        <w:tc>
          <w:tcPr>
            <w:tcW w:w="4441" w:type="dxa"/>
            <w:noWrap/>
            <w:hideMark/>
          </w:tcPr>
          <w:p w:rsidRPr="00A25B13" w:rsidR="003A03B1" w:rsidP="00CA703A" w:rsidRDefault="00442396">
            <w:pPr>
              <w:cnfStyle w:val="000000000000"/>
              <w:rPr>
                <w:rFonts w:asciiTheme="majorHAnsi" w:hAnsiTheme="majorHAnsi"/>
                <w:color w:val="000000"/>
                <w:sz w:val="16"/>
                <w:szCs w:val="16"/>
              </w:rPr>
            </w:pPr>
            <w:r>
              <w:rPr>
                <w:rFonts w:asciiTheme="majorHAnsi" w:hAnsiTheme="majorHAnsi"/>
                <w:color w:val="000000"/>
                <w:sz w:val="16"/>
                <w:szCs w:val="16"/>
              </w:rPr>
              <w:t>Voorjaarsbesluitvorming</w:t>
            </w:r>
          </w:p>
        </w:tc>
        <w:tc>
          <w:tcPr>
            <w:tcW w:w="786"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cs="Arial" w:asciiTheme="majorHAnsi" w:hAnsiTheme="majorHAnsi"/>
                <w:color w:val="000000"/>
                <w:sz w:val="16"/>
                <w:szCs w:val="16"/>
              </w:rPr>
            </w:pPr>
            <w:r w:rsidRPr="00A25B13">
              <w:rPr>
                <w:rFonts w:cs="Arial" w:asciiTheme="majorHAnsi" w:hAnsiTheme="majorHAnsi"/>
                <w:color w:val="000000"/>
                <w:sz w:val="16"/>
                <w:szCs w:val="16"/>
              </w:rPr>
              <w:t xml:space="preserve">   -112 </w:t>
            </w:r>
          </w:p>
        </w:tc>
        <w:tc>
          <w:tcPr>
            <w:tcW w:w="787" w:type="dxa"/>
            <w:noWrap/>
            <w:hideMark/>
          </w:tcPr>
          <w:p w:rsidRPr="00A25B13" w:rsidR="003A03B1" w:rsidP="00CA703A" w:rsidRDefault="003A03B1">
            <w:pPr>
              <w:jc w:val="right"/>
              <w:cnfStyle w:val="000000000000"/>
              <w:rPr>
                <w:rFonts w:cs="Arial" w:asciiTheme="majorHAnsi" w:hAnsiTheme="majorHAnsi"/>
                <w:color w:val="000000"/>
                <w:sz w:val="16"/>
                <w:szCs w:val="16"/>
              </w:rPr>
            </w:pPr>
            <w:r w:rsidRPr="00A25B13">
              <w:rPr>
                <w:rFonts w:cs="Arial" w:asciiTheme="majorHAnsi" w:hAnsiTheme="majorHAnsi"/>
                <w:color w:val="000000"/>
                <w:sz w:val="16"/>
                <w:szCs w:val="16"/>
              </w:rPr>
              <w:t xml:space="preserve">   -112 </w:t>
            </w:r>
          </w:p>
        </w:tc>
        <w:tc>
          <w:tcPr>
            <w:tcW w:w="786"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000000"/>
              <w:rPr>
                <w:rFonts w:asciiTheme="majorHAnsi" w:hAnsiTheme="majorHAnsi"/>
                <w:color w:val="000000"/>
                <w:sz w:val="16"/>
                <w:szCs w:val="16"/>
              </w:rPr>
            </w:pPr>
          </w:p>
        </w:tc>
      </w:tr>
      <w:tr w:rsidRPr="00156FCB" w:rsidR="003A03B1" w:rsidTr="00CA703A">
        <w:trPr>
          <w:cnfStyle w:val="000000100000"/>
          <w:trHeight w:val="225"/>
        </w:trPr>
        <w:tc>
          <w:tcPr>
            <w:cnfStyle w:val="001000000000"/>
            <w:tcW w:w="534" w:type="dxa"/>
            <w:noWrap/>
            <w:hideMark/>
          </w:tcPr>
          <w:p w:rsidRPr="00A25B13" w:rsidR="003A03B1" w:rsidP="00CA703A" w:rsidRDefault="003A03B1">
            <w:pPr>
              <w:jc w:val="right"/>
              <w:rPr>
                <w:rFonts w:asciiTheme="majorHAnsi" w:hAnsiTheme="majorHAnsi"/>
                <w:b w:val="0"/>
                <w:color w:val="000000"/>
                <w:sz w:val="16"/>
                <w:szCs w:val="16"/>
              </w:rPr>
            </w:pPr>
            <w:r w:rsidRPr="00A25B13">
              <w:rPr>
                <w:rFonts w:asciiTheme="majorHAnsi" w:hAnsiTheme="majorHAnsi"/>
                <w:b w:val="0"/>
                <w:color w:val="000000"/>
                <w:sz w:val="16"/>
                <w:szCs w:val="16"/>
              </w:rPr>
              <w:t>11</w:t>
            </w:r>
          </w:p>
        </w:tc>
        <w:tc>
          <w:tcPr>
            <w:tcW w:w="4441" w:type="dxa"/>
            <w:noWrap/>
            <w:hideMark/>
          </w:tcPr>
          <w:p w:rsidRPr="00A25B13" w:rsidR="003A03B1" w:rsidP="00CA703A" w:rsidRDefault="003A03B1">
            <w:pPr>
              <w:cnfStyle w:val="000000100000"/>
              <w:rPr>
                <w:rFonts w:asciiTheme="majorHAnsi" w:hAnsiTheme="majorHAnsi"/>
                <w:color w:val="000000"/>
                <w:sz w:val="16"/>
                <w:szCs w:val="16"/>
              </w:rPr>
            </w:pPr>
            <w:r w:rsidRPr="00A25B13">
              <w:rPr>
                <w:rFonts w:asciiTheme="majorHAnsi" w:hAnsiTheme="majorHAnsi"/>
                <w:color w:val="000000"/>
                <w:sz w:val="16"/>
                <w:szCs w:val="16"/>
              </w:rPr>
              <w:t>In te passen kasschuif</w:t>
            </w:r>
          </w:p>
        </w:tc>
        <w:tc>
          <w:tcPr>
            <w:tcW w:w="786" w:type="dxa"/>
            <w:noWrap/>
            <w:hideMark/>
          </w:tcPr>
          <w:p w:rsidRPr="00A25B13" w:rsidR="003A03B1" w:rsidP="00CA703A" w:rsidRDefault="003A03B1">
            <w:pPr>
              <w:jc w:val="right"/>
              <w:cnfStyle w:val="000000100000"/>
              <w:rPr>
                <w:rFonts w:asciiTheme="majorHAnsi" w:hAnsiTheme="majorHAnsi"/>
                <w:color w:val="000000"/>
                <w:sz w:val="16"/>
                <w:szCs w:val="16"/>
              </w:rPr>
            </w:pP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-76</w:t>
            </w: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7</w:t>
            </w:r>
          </w:p>
        </w:tc>
        <w:tc>
          <w:tcPr>
            <w:tcW w:w="786"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8</w:t>
            </w: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21</w:t>
            </w:r>
          </w:p>
        </w:tc>
        <w:tc>
          <w:tcPr>
            <w:tcW w:w="787" w:type="dxa"/>
            <w:noWrap/>
            <w:hideMark/>
          </w:tcPr>
          <w:p w:rsidRPr="00A25B13" w:rsidR="003A03B1" w:rsidP="00CA703A" w:rsidRDefault="003A03B1">
            <w:pPr>
              <w:jc w:val="right"/>
              <w:cnfStyle w:val="000000100000"/>
              <w:rPr>
                <w:rFonts w:asciiTheme="majorHAnsi" w:hAnsiTheme="majorHAnsi"/>
                <w:color w:val="000000"/>
                <w:sz w:val="16"/>
                <w:szCs w:val="16"/>
              </w:rPr>
            </w:pPr>
            <w:r w:rsidRPr="00A25B13">
              <w:rPr>
                <w:rFonts w:asciiTheme="majorHAnsi" w:hAnsiTheme="majorHAnsi"/>
                <w:color w:val="000000"/>
                <w:sz w:val="16"/>
                <w:szCs w:val="16"/>
              </w:rPr>
              <w:t>39</w:t>
            </w:r>
          </w:p>
        </w:tc>
      </w:tr>
      <w:tr w:rsidRPr="00156FCB" w:rsidR="003A03B1" w:rsidTr="00CA703A">
        <w:trPr>
          <w:trHeight w:val="225"/>
        </w:trPr>
        <w:tc>
          <w:tcPr>
            <w:cnfStyle w:val="001000000000"/>
            <w:tcW w:w="534" w:type="dxa"/>
            <w:noWrap/>
            <w:hideMark/>
          </w:tcPr>
          <w:p w:rsidRPr="00A25B13" w:rsidR="003A03B1" w:rsidP="00CA703A" w:rsidRDefault="003A03B1">
            <w:pPr>
              <w:rPr>
                <w:rFonts w:asciiTheme="majorHAnsi" w:hAnsiTheme="majorHAnsi"/>
                <w:color w:val="000000"/>
                <w:sz w:val="16"/>
                <w:szCs w:val="16"/>
              </w:rPr>
            </w:pPr>
          </w:p>
        </w:tc>
        <w:tc>
          <w:tcPr>
            <w:tcW w:w="4441" w:type="dxa"/>
            <w:noWrap/>
            <w:hideMark/>
          </w:tcPr>
          <w:p w:rsidRPr="00A25B13" w:rsidR="003A03B1" w:rsidP="00CA703A" w:rsidRDefault="003A03B1">
            <w:pPr>
              <w:cnfStyle w:val="000000000000"/>
              <w:rPr>
                <w:rFonts w:asciiTheme="majorHAnsi" w:hAnsiTheme="majorHAnsi"/>
                <w:b/>
                <w:color w:val="000000"/>
                <w:sz w:val="16"/>
                <w:szCs w:val="16"/>
              </w:rPr>
            </w:pPr>
            <w:r w:rsidRPr="00A25B13">
              <w:rPr>
                <w:rFonts w:asciiTheme="majorHAnsi" w:hAnsiTheme="majorHAnsi"/>
                <w:b/>
                <w:color w:val="000000"/>
                <w:sz w:val="16"/>
                <w:szCs w:val="16"/>
              </w:rPr>
              <w:t>Totaal</w:t>
            </w:r>
            <w:r>
              <w:rPr>
                <w:rFonts w:asciiTheme="majorHAnsi" w:hAnsiTheme="majorHAnsi"/>
                <w:b/>
                <w:color w:val="000000"/>
                <w:sz w:val="16"/>
                <w:szCs w:val="16"/>
              </w:rPr>
              <w:t xml:space="preserve"> dekking</w:t>
            </w:r>
          </w:p>
        </w:tc>
        <w:tc>
          <w:tcPr>
            <w:tcW w:w="786" w:type="dxa"/>
            <w:noWrap/>
            <w:hideMark/>
          </w:tcPr>
          <w:p w:rsidR="003A03B1" w:rsidRDefault="003A03B1">
            <w:pPr>
              <w:jc w:val="right"/>
              <w:cnfStyle w:val="000000000000"/>
              <w:rPr>
                <w:b/>
                <w:bCs/>
                <w:color w:val="000000"/>
                <w:sz w:val="16"/>
                <w:szCs w:val="16"/>
              </w:rPr>
            </w:pPr>
            <w:r>
              <w:rPr>
                <w:b/>
                <w:bCs/>
                <w:color w:val="000000"/>
                <w:sz w:val="16"/>
                <w:szCs w:val="16"/>
              </w:rPr>
              <w:t>-17</w:t>
            </w:r>
          </w:p>
        </w:tc>
        <w:tc>
          <w:tcPr>
            <w:tcW w:w="787" w:type="dxa"/>
            <w:noWrap/>
            <w:hideMark/>
          </w:tcPr>
          <w:p w:rsidR="003A03B1" w:rsidRDefault="003A03B1">
            <w:pPr>
              <w:jc w:val="right"/>
              <w:cnfStyle w:val="000000000000"/>
              <w:rPr>
                <w:b/>
                <w:bCs/>
                <w:color w:val="000000"/>
                <w:sz w:val="16"/>
                <w:szCs w:val="16"/>
              </w:rPr>
            </w:pPr>
            <w:r>
              <w:rPr>
                <w:b/>
                <w:bCs/>
                <w:color w:val="000000"/>
                <w:sz w:val="16"/>
                <w:szCs w:val="16"/>
              </w:rPr>
              <w:t>-211</w:t>
            </w:r>
          </w:p>
        </w:tc>
        <w:tc>
          <w:tcPr>
            <w:tcW w:w="787" w:type="dxa"/>
            <w:noWrap/>
            <w:hideMark/>
          </w:tcPr>
          <w:p w:rsidR="003A03B1" w:rsidP="003A03B1" w:rsidRDefault="003A03B1">
            <w:pPr>
              <w:jc w:val="right"/>
              <w:cnfStyle w:val="000000000000"/>
              <w:rPr>
                <w:b/>
                <w:bCs/>
                <w:color w:val="000000"/>
                <w:sz w:val="16"/>
                <w:szCs w:val="16"/>
              </w:rPr>
            </w:pPr>
            <w:r>
              <w:rPr>
                <w:b/>
                <w:bCs/>
                <w:color w:val="000000"/>
                <w:sz w:val="16"/>
                <w:szCs w:val="16"/>
              </w:rPr>
              <w:t>-135</w:t>
            </w:r>
          </w:p>
        </w:tc>
        <w:tc>
          <w:tcPr>
            <w:tcW w:w="786" w:type="dxa"/>
            <w:noWrap/>
            <w:hideMark/>
          </w:tcPr>
          <w:p w:rsidR="003A03B1" w:rsidRDefault="003A03B1">
            <w:pPr>
              <w:jc w:val="right"/>
              <w:cnfStyle w:val="000000000000"/>
              <w:rPr>
                <w:b/>
                <w:bCs/>
                <w:color w:val="000000"/>
                <w:sz w:val="16"/>
                <w:szCs w:val="16"/>
              </w:rPr>
            </w:pPr>
            <w:r>
              <w:rPr>
                <w:b/>
                <w:bCs/>
                <w:color w:val="000000"/>
                <w:sz w:val="16"/>
                <w:szCs w:val="16"/>
              </w:rPr>
              <w:t>-10</w:t>
            </w:r>
          </w:p>
        </w:tc>
        <w:tc>
          <w:tcPr>
            <w:tcW w:w="787" w:type="dxa"/>
            <w:noWrap/>
            <w:hideMark/>
          </w:tcPr>
          <w:p w:rsidR="003A03B1" w:rsidRDefault="003A03B1">
            <w:pPr>
              <w:jc w:val="right"/>
              <w:cnfStyle w:val="000000000000"/>
              <w:rPr>
                <w:b/>
                <w:bCs/>
                <w:color w:val="000000"/>
                <w:sz w:val="16"/>
                <w:szCs w:val="16"/>
              </w:rPr>
            </w:pPr>
            <w:r>
              <w:rPr>
                <w:b/>
                <w:bCs/>
                <w:color w:val="000000"/>
                <w:sz w:val="16"/>
                <w:szCs w:val="16"/>
              </w:rPr>
              <w:t>0</w:t>
            </w:r>
          </w:p>
        </w:tc>
        <w:tc>
          <w:tcPr>
            <w:tcW w:w="787" w:type="dxa"/>
            <w:noWrap/>
            <w:hideMark/>
          </w:tcPr>
          <w:p w:rsidR="003A03B1" w:rsidRDefault="003A03B1">
            <w:pPr>
              <w:jc w:val="right"/>
              <w:cnfStyle w:val="000000000000"/>
              <w:rPr>
                <w:b/>
                <w:bCs/>
                <w:color w:val="000000"/>
                <w:sz w:val="16"/>
                <w:szCs w:val="16"/>
              </w:rPr>
            </w:pPr>
            <w:r>
              <w:rPr>
                <w:b/>
                <w:bCs/>
                <w:color w:val="000000"/>
                <w:sz w:val="16"/>
                <w:szCs w:val="16"/>
              </w:rPr>
              <w:t>0</w:t>
            </w:r>
          </w:p>
        </w:tc>
      </w:tr>
      <w:tr w:rsidRPr="00292DD2" w:rsidR="003A03B1" w:rsidTr="00CA703A">
        <w:trPr>
          <w:cnfStyle w:val="000000100000"/>
          <w:trHeight w:val="225"/>
        </w:trPr>
        <w:tc>
          <w:tcPr>
            <w:cnfStyle w:val="001000000000"/>
            <w:tcW w:w="534" w:type="dxa"/>
            <w:noWrap/>
            <w:hideMark/>
          </w:tcPr>
          <w:p w:rsidRPr="00292DD2" w:rsidR="003A03B1" w:rsidP="00CA703A" w:rsidRDefault="003A03B1">
            <w:pPr>
              <w:rPr>
                <w:rFonts w:asciiTheme="majorHAnsi" w:hAnsiTheme="majorHAnsi"/>
                <w:i/>
                <w:color w:val="000000"/>
                <w:sz w:val="16"/>
                <w:szCs w:val="16"/>
              </w:rPr>
            </w:pPr>
          </w:p>
        </w:tc>
        <w:tc>
          <w:tcPr>
            <w:tcW w:w="4441" w:type="dxa"/>
            <w:noWrap/>
            <w:hideMark/>
          </w:tcPr>
          <w:p w:rsidRPr="00292DD2" w:rsidR="003A03B1" w:rsidP="00CA703A" w:rsidRDefault="003A03B1">
            <w:pPr>
              <w:cnfStyle w:val="000000100000"/>
              <w:rPr>
                <w:rFonts w:asciiTheme="majorHAnsi" w:hAnsiTheme="majorHAnsi"/>
                <w:b/>
                <w:i/>
                <w:color w:val="000000"/>
                <w:sz w:val="16"/>
                <w:szCs w:val="16"/>
              </w:rPr>
            </w:pPr>
          </w:p>
        </w:tc>
        <w:tc>
          <w:tcPr>
            <w:tcW w:w="786" w:type="dxa"/>
            <w:noWrap/>
            <w:hideMark/>
          </w:tcPr>
          <w:p w:rsidRPr="00292DD2" w:rsidR="003A03B1" w:rsidP="00CA703A" w:rsidRDefault="003A03B1">
            <w:pPr>
              <w:jc w:val="right"/>
              <w:cnfStyle w:val="000000100000"/>
              <w:rPr>
                <w:rFonts w:asciiTheme="majorHAnsi" w:hAnsiTheme="majorHAnsi"/>
                <w:b/>
                <w:i/>
                <w:color w:val="000000"/>
                <w:sz w:val="16"/>
                <w:szCs w:val="16"/>
              </w:rPr>
            </w:pPr>
          </w:p>
        </w:tc>
        <w:tc>
          <w:tcPr>
            <w:tcW w:w="787" w:type="dxa"/>
            <w:noWrap/>
            <w:hideMark/>
          </w:tcPr>
          <w:p w:rsidRPr="00292DD2" w:rsidR="003A03B1" w:rsidP="00CA703A" w:rsidRDefault="003A03B1">
            <w:pPr>
              <w:jc w:val="right"/>
              <w:cnfStyle w:val="000000100000"/>
              <w:rPr>
                <w:rFonts w:asciiTheme="majorHAnsi" w:hAnsiTheme="majorHAnsi"/>
                <w:b/>
                <w:i/>
                <w:color w:val="000000"/>
                <w:sz w:val="16"/>
                <w:szCs w:val="16"/>
              </w:rPr>
            </w:pPr>
          </w:p>
        </w:tc>
        <w:tc>
          <w:tcPr>
            <w:tcW w:w="787" w:type="dxa"/>
            <w:noWrap/>
            <w:hideMark/>
          </w:tcPr>
          <w:p w:rsidRPr="00292DD2" w:rsidR="003A03B1" w:rsidP="00CA703A" w:rsidRDefault="003A03B1">
            <w:pPr>
              <w:jc w:val="right"/>
              <w:cnfStyle w:val="000000100000"/>
              <w:rPr>
                <w:rFonts w:asciiTheme="majorHAnsi" w:hAnsiTheme="majorHAnsi"/>
                <w:b/>
                <w:i/>
                <w:color w:val="000000"/>
                <w:sz w:val="16"/>
                <w:szCs w:val="16"/>
              </w:rPr>
            </w:pPr>
          </w:p>
        </w:tc>
        <w:tc>
          <w:tcPr>
            <w:tcW w:w="786" w:type="dxa"/>
            <w:noWrap/>
            <w:hideMark/>
          </w:tcPr>
          <w:p w:rsidRPr="00292DD2" w:rsidR="003A03B1" w:rsidP="00CA703A" w:rsidRDefault="003A03B1">
            <w:pPr>
              <w:jc w:val="right"/>
              <w:cnfStyle w:val="000000100000"/>
              <w:rPr>
                <w:rFonts w:asciiTheme="majorHAnsi" w:hAnsiTheme="majorHAnsi"/>
                <w:b/>
                <w:i/>
                <w:color w:val="000000"/>
                <w:sz w:val="16"/>
                <w:szCs w:val="16"/>
              </w:rPr>
            </w:pPr>
          </w:p>
        </w:tc>
        <w:tc>
          <w:tcPr>
            <w:tcW w:w="787" w:type="dxa"/>
            <w:noWrap/>
            <w:hideMark/>
          </w:tcPr>
          <w:p w:rsidRPr="00292DD2" w:rsidR="003A03B1" w:rsidP="00CA703A" w:rsidRDefault="003A03B1">
            <w:pPr>
              <w:jc w:val="right"/>
              <w:cnfStyle w:val="000000100000"/>
              <w:rPr>
                <w:rFonts w:asciiTheme="majorHAnsi" w:hAnsiTheme="majorHAnsi"/>
                <w:b/>
                <w:i/>
                <w:color w:val="000000"/>
                <w:sz w:val="16"/>
                <w:szCs w:val="16"/>
              </w:rPr>
            </w:pPr>
          </w:p>
        </w:tc>
        <w:tc>
          <w:tcPr>
            <w:tcW w:w="787" w:type="dxa"/>
            <w:noWrap/>
            <w:hideMark/>
          </w:tcPr>
          <w:p w:rsidRPr="00292DD2" w:rsidR="003A03B1" w:rsidP="00CA703A" w:rsidRDefault="003A03B1">
            <w:pPr>
              <w:jc w:val="right"/>
              <w:cnfStyle w:val="000000100000"/>
              <w:rPr>
                <w:rFonts w:asciiTheme="majorHAnsi" w:hAnsiTheme="majorHAnsi"/>
                <w:b/>
                <w:i/>
                <w:color w:val="000000"/>
                <w:sz w:val="16"/>
                <w:szCs w:val="16"/>
              </w:rPr>
            </w:pPr>
          </w:p>
        </w:tc>
      </w:tr>
      <w:tr w:rsidRPr="00292DD2" w:rsidR="003A03B1" w:rsidTr="00CA703A">
        <w:trPr>
          <w:trHeight w:val="225"/>
        </w:trPr>
        <w:tc>
          <w:tcPr>
            <w:cnfStyle w:val="001000000000"/>
            <w:tcW w:w="534" w:type="dxa"/>
            <w:noWrap/>
            <w:hideMark/>
          </w:tcPr>
          <w:p w:rsidRPr="00292DD2" w:rsidR="003A03B1" w:rsidP="00CA703A" w:rsidRDefault="003A03B1">
            <w:pPr>
              <w:rPr>
                <w:rFonts w:asciiTheme="majorHAnsi" w:hAnsiTheme="majorHAnsi"/>
                <w:i/>
                <w:color w:val="000000"/>
                <w:sz w:val="16"/>
                <w:szCs w:val="16"/>
              </w:rPr>
            </w:pPr>
          </w:p>
        </w:tc>
        <w:tc>
          <w:tcPr>
            <w:tcW w:w="4441" w:type="dxa"/>
            <w:noWrap/>
            <w:hideMark/>
          </w:tcPr>
          <w:p w:rsidRPr="003A03B1" w:rsidR="003A03B1" w:rsidP="00CA703A" w:rsidRDefault="003A03B1">
            <w:pPr>
              <w:cnfStyle w:val="000000000000"/>
              <w:rPr>
                <w:rFonts w:asciiTheme="majorHAnsi" w:hAnsiTheme="majorHAnsi"/>
                <w:b/>
                <w:color w:val="000000"/>
                <w:sz w:val="16"/>
                <w:szCs w:val="16"/>
              </w:rPr>
            </w:pPr>
            <w:r>
              <w:rPr>
                <w:rFonts w:asciiTheme="majorHAnsi" w:hAnsiTheme="majorHAnsi"/>
                <w:b/>
                <w:color w:val="000000"/>
                <w:sz w:val="16"/>
                <w:szCs w:val="16"/>
              </w:rPr>
              <w:t>Totaal</w:t>
            </w:r>
          </w:p>
        </w:tc>
        <w:tc>
          <w:tcPr>
            <w:tcW w:w="786" w:type="dxa"/>
            <w:noWrap/>
            <w:hideMark/>
          </w:tcPr>
          <w:p w:rsidRPr="003A03B1" w:rsidR="003A03B1" w:rsidP="00CA703A" w:rsidRDefault="003A03B1">
            <w:pPr>
              <w:jc w:val="right"/>
              <w:cnfStyle w:val="000000000000"/>
              <w:rPr>
                <w:rFonts w:asciiTheme="majorHAnsi" w:hAnsiTheme="majorHAnsi"/>
                <w:b/>
                <w:color w:val="000000"/>
                <w:sz w:val="16"/>
                <w:szCs w:val="16"/>
              </w:rPr>
            </w:pPr>
            <w:r w:rsidRPr="003A03B1">
              <w:rPr>
                <w:rFonts w:asciiTheme="majorHAnsi" w:hAnsiTheme="majorHAnsi"/>
                <w:b/>
                <w:color w:val="000000"/>
                <w:sz w:val="16"/>
                <w:szCs w:val="16"/>
              </w:rPr>
              <w:t>0</w:t>
            </w:r>
          </w:p>
        </w:tc>
        <w:tc>
          <w:tcPr>
            <w:tcW w:w="787" w:type="dxa"/>
            <w:noWrap/>
            <w:hideMark/>
          </w:tcPr>
          <w:p w:rsidRPr="003A03B1" w:rsidR="003A03B1" w:rsidP="00CA703A" w:rsidRDefault="003A03B1">
            <w:pPr>
              <w:jc w:val="right"/>
              <w:cnfStyle w:val="000000000000"/>
              <w:rPr>
                <w:rFonts w:asciiTheme="majorHAnsi" w:hAnsiTheme="majorHAnsi"/>
                <w:b/>
                <w:color w:val="000000"/>
                <w:sz w:val="16"/>
                <w:szCs w:val="16"/>
              </w:rPr>
            </w:pPr>
            <w:r w:rsidRPr="003A03B1">
              <w:rPr>
                <w:rFonts w:asciiTheme="majorHAnsi" w:hAnsiTheme="majorHAnsi"/>
                <w:b/>
                <w:color w:val="000000"/>
                <w:sz w:val="16"/>
                <w:szCs w:val="16"/>
              </w:rPr>
              <w:t>0</w:t>
            </w:r>
          </w:p>
        </w:tc>
        <w:tc>
          <w:tcPr>
            <w:tcW w:w="787" w:type="dxa"/>
            <w:noWrap/>
            <w:hideMark/>
          </w:tcPr>
          <w:p w:rsidRPr="003A03B1" w:rsidR="003A03B1" w:rsidP="00CA703A" w:rsidRDefault="003A03B1">
            <w:pPr>
              <w:jc w:val="right"/>
              <w:cnfStyle w:val="000000000000"/>
              <w:rPr>
                <w:rFonts w:asciiTheme="majorHAnsi" w:hAnsiTheme="majorHAnsi"/>
                <w:b/>
                <w:color w:val="000000"/>
                <w:sz w:val="16"/>
                <w:szCs w:val="16"/>
              </w:rPr>
            </w:pPr>
            <w:r w:rsidRPr="003A03B1">
              <w:rPr>
                <w:rFonts w:asciiTheme="majorHAnsi" w:hAnsiTheme="majorHAnsi"/>
                <w:b/>
                <w:color w:val="000000"/>
                <w:sz w:val="16"/>
                <w:szCs w:val="16"/>
              </w:rPr>
              <w:t>0</w:t>
            </w:r>
          </w:p>
        </w:tc>
        <w:tc>
          <w:tcPr>
            <w:tcW w:w="786" w:type="dxa"/>
            <w:noWrap/>
            <w:hideMark/>
          </w:tcPr>
          <w:p w:rsidRPr="003A03B1" w:rsidR="003A03B1" w:rsidP="00CA703A" w:rsidRDefault="003A03B1">
            <w:pPr>
              <w:jc w:val="right"/>
              <w:cnfStyle w:val="000000000000"/>
              <w:rPr>
                <w:rFonts w:asciiTheme="majorHAnsi" w:hAnsiTheme="majorHAnsi"/>
                <w:b/>
                <w:color w:val="000000"/>
                <w:sz w:val="16"/>
                <w:szCs w:val="16"/>
              </w:rPr>
            </w:pPr>
            <w:r w:rsidRPr="003A03B1">
              <w:rPr>
                <w:rFonts w:asciiTheme="majorHAnsi" w:hAnsiTheme="majorHAnsi"/>
                <w:b/>
                <w:color w:val="000000"/>
                <w:sz w:val="16"/>
                <w:szCs w:val="16"/>
              </w:rPr>
              <w:t>0</w:t>
            </w:r>
          </w:p>
        </w:tc>
        <w:tc>
          <w:tcPr>
            <w:tcW w:w="787" w:type="dxa"/>
            <w:noWrap/>
            <w:hideMark/>
          </w:tcPr>
          <w:p w:rsidRPr="003A03B1" w:rsidR="003A03B1" w:rsidP="00CA703A" w:rsidRDefault="003A03B1">
            <w:pPr>
              <w:jc w:val="right"/>
              <w:cnfStyle w:val="000000000000"/>
              <w:rPr>
                <w:rFonts w:asciiTheme="majorHAnsi" w:hAnsiTheme="majorHAnsi"/>
                <w:b/>
                <w:color w:val="000000"/>
                <w:sz w:val="16"/>
                <w:szCs w:val="16"/>
              </w:rPr>
            </w:pPr>
            <w:r w:rsidRPr="003A03B1">
              <w:rPr>
                <w:rFonts w:asciiTheme="majorHAnsi" w:hAnsiTheme="majorHAnsi"/>
                <w:b/>
                <w:color w:val="000000"/>
                <w:sz w:val="16"/>
                <w:szCs w:val="16"/>
              </w:rPr>
              <w:t>0</w:t>
            </w:r>
          </w:p>
        </w:tc>
        <w:tc>
          <w:tcPr>
            <w:tcW w:w="787" w:type="dxa"/>
            <w:noWrap/>
            <w:hideMark/>
          </w:tcPr>
          <w:p w:rsidRPr="003A03B1" w:rsidR="003A03B1" w:rsidP="00CA703A" w:rsidRDefault="003A03B1">
            <w:pPr>
              <w:jc w:val="right"/>
              <w:cnfStyle w:val="000000000000"/>
              <w:rPr>
                <w:rFonts w:asciiTheme="majorHAnsi" w:hAnsiTheme="majorHAnsi"/>
                <w:b/>
                <w:color w:val="000000"/>
                <w:sz w:val="16"/>
                <w:szCs w:val="16"/>
              </w:rPr>
            </w:pPr>
            <w:r w:rsidRPr="003A03B1">
              <w:rPr>
                <w:rFonts w:asciiTheme="majorHAnsi" w:hAnsiTheme="majorHAnsi"/>
                <w:b/>
                <w:color w:val="000000"/>
                <w:sz w:val="16"/>
                <w:szCs w:val="16"/>
              </w:rPr>
              <w:t>0</w:t>
            </w:r>
          </w:p>
        </w:tc>
      </w:tr>
    </w:tbl>
    <w:p w:rsidR="00CA703A" w:rsidP="00CA703A" w:rsidRDefault="00CA703A">
      <w:pPr>
        <w:spacing w:after="0" w:line="240" w:lineRule="exact"/>
        <w:rPr>
          <w:szCs w:val="18"/>
        </w:rPr>
      </w:pPr>
    </w:p>
    <w:p w:rsidRPr="00DC75CA" w:rsidR="00CA703A" w:rsidP="00CA703A" w:rsidRDefault="00CA703A">
      <w:pPr>
        <w:spacing w:after="0" w:line="240" w:lineRule="exact"/>
        <w:rPr>
          <w:szCs w:val="18"/>
          <w:u w:val="single"/>
        </w:rPr>
      </w:pPr>
      <w:r w:rsidRPr="00DC75CA">
        <w:rPr>
          <w:szCs w:val="18"/>
          <w:u w:val="single"/>
        </w:rPr>
        <w:t>Intensivering</w:t>
      </w:r>
    </w:p>
    <w:p w:rsidR="00CA703A" w:rsidP="00CA703A" w:rsidRDefault="00CA703A">
      <w:pPr>
        <w:pStyle w:val="Lijstalinea"/>
        <w:spacing w:after="0" w:line="240" w:lineRule="exact"/>
        <w:ind w:left="360"/>
        <w:rPr>
          <w:szCs w:val="18"/>
        </w:rPr>
      </w:pPr>
    </w:p>
    <w:p w:rsidRPr="00CA703A" w:rsidR="00CA703A" w:rsidP="00CA703A" w:rsidRDefault="00CA703A">
      <w:pPr>
        <w:pStyle w:val="Lijstalinea"/>
        <w:numPr>
          <w:ilvl w:val="0"/>
          <w:numId w:val="15"/>
        </w:numPr>
        <w:spacing w:after="0" w:line="240" w:lineRule="exact"/>
        <w:rPr>
          <w:i/>
          <w:szCs w:val="18"/>
        </w:rPr>
      </w:pPr>
      <w:r w:rsidRPr="00CA703A">
        <w:rPr>
          <w:i/>
          <w:szCs w:val="18"/>
        </w:rPr>
        <w:t>Crisisnoodopvang</w:t>
      </w:r>
    </w:p>
    <w:p w:rsidR="00CA703A" w:rsidP="00CA703A" w:rsidRDefault="00CA703A">
      <w:pPr>
        <w:spacing w:after="0" w:line="240" w:lineRule="exact"/>
      </w:pPr>
      <w:r>
        <w:t xml:space="preserve">In 2015 wordt de crisisnoodopvang afgebouwd, wat mogelijk </w:t>
      </w:r>
      <w:r w:rsidR="00D63E76">
        <w:t xml:space="preserve">wordt </w:t>
      </w:r>
      <w:r>
        <w:t>gemaakt door de opbouw van noodopvang. Ter compensatie van de gemeenten die in 2015 hebben bijgedragen aan de crisisnoodopvang wordt de vergoeding die gemeenten</w:t>
      </w:r>
      <w:r w:rsidR="00292DD2">
        <w:t xml:space="preserve"> daarvoor</w:t>
      </w:r>
      <w:r>
        <w:t xml:space="preserve"> ontvangen verhoogd van 40 euro naar 100 euro</w:t>
      </w:r>
      <w:r w:rsidR="00D63E76">
        <w:t xml:space="preserve"> per nacht per bed.</w:t>
      </w:r>
      <w:r>
        <w:t xml:space="preserve"> </w:t>
      </w:r>
    </w:p>
    <w:p w:rsidR="00295A42" w:rsidP="00CA703A" w:rsidRDefault="00295A42">
      <w:pPr>
        <w:spacing w:after="0" w:line="240" w:lineRule="exact"/>
      </w:pPr>
    </w:p>
    <w:p w:rsidRPr="00CA703A" w:rsidR="00CA703A" w:rsidP="00CA703A" w:rsidRDefault="00CA703A">
      <w:pPr>
        <w:pStyle w:val="Lijstalinea"/>
        <w:numPr>
          <w:ilvl w:val="0"/>
          <w:numId w:val="15"/>
        </w:numPr>
        <w:spacing w:after="0" w:line="240" w:lineRule="exact"/>
        <w:rPr>
          <w:i/>
          <w:szCs w:val="18"/>
        </w:rPr>
      </w:pPr>
      <w:r w:rsidRPr="00CA703A">
        <w:rPr>
          <w:i/>
          <w:szCs w:val="18"/>
        </w:rPr>
        <w:t>Verhoging vergoeding maatschappelijke begeleiding</w:t>
      </w:r>
      <w:r>
        <w:rPr>
          <w:i/>
          <w:szCs w:val="18"/>
        </w:rPr>
        <w:t xml:space="preserve"> </w:t>
      </w:r>
      <w:r w:rsidRPr="00CA703A">
        <w:rPr>
          <w:i/>
          <w:szCs w:val="18"/>
        </w:rPr>
        <w:t>/ participatieverklaring</w:t>
      </w:r>
    </w:p>
    <w:p w:rsidR="00643495" w:rsidP="00643495" w:rsidRDefault="00643495">
      <w:pPr>
        <w:spacing w:after="0" w:line="240" w:lineRule="exact"/>
      </w:pPr>
      <w:r w:rsidRPr="00785B26">
        <w:t xml:space="preserve">De middelen die aan gemeenten ter beschikking worden gesteld voor maatschappelijke begeleiding </w:t>
      </w:r>
      <w:r>
        <w:t xml:space="preserve">(inclusief de uitvoering van de participatieverklaring) </w:t>
      </w:r>
      <w:r w:rsidRPr="00785B26">
        <w:t>stijgen van 1</w:t>
      </w:r>
      <w:r>
        <w:t>.</w:t>
      </w:r>
      <w:r w:rsidRPr="00785B26">
        <w:t xml:space="preserve">000 </w:t>
      </w:r>
      <w:r>
        <w:t xml:space="preserve">euro </w:t>
      </w:r>
      <w:r w:rsidRPr="00785B26">
        <w:t xml:space="preserve">naar </w:t>
      </w:r>
      <w:r>
        <w:t xml:space="preserve">2.370 </w:t>
      </w:r>
      <w:r w:rsidR="00D63E76">
        <w:t xml:space="preserve">euro </w:t>
      </w:r>
      <w:r w:rsidRPr="00785B26">
        <w:t xml:space="preserve">per </w:t>
      </w:r>
      <w:r>
        <w:t>vergunninghouder in 2016 en 2017</w:t>
      </w:r>
      <w:r w:rsidRPr="00785B26">
        <w:t>.</w:t>
      </w:r>
    </w:p>
    <w:p w:rsidR="007B3C80" w:rsidP="00643495" w:rsidRDefault="007B3C80">
      <w:pPr>
        <w:spacing w:after="0" w:line="240" w:lineRule="exact"/>
      </w:pPr>
    </w:p>
    <w:p w:rsidRPr="00A25B13" w:rsidR="00A25B13" w:rsidP="00CA703A" w:rsidRDefault="00643495">
      <w:pPr>
        <w:pStyle w:val="Lijstalinea"/>
        <w:numPr>
          <w:ilvl w:val="0"/>
          <w:numId w:val="15"/>
        </w:numPr>
        <w:spacing w:after="0" w:line="240" w:lineRule="exact"/>
      </w:pPr>
      <w:bookmarkStart w:name="_Toc436227130" w:id="0"/>
      <w:r>
        <w:rPr>
          <w:i/>
          <w:szCs w:val="18"/>
        </w:rPr>
        <w:lastRenderedPageBreak/>
        <w:t>G</w:t>
      </w:r>
      <w:r w:rsidR="00A25B13">
        <w:rPr>
          <w:i/>
          <w:szCs w:val="18"/>
        </w:rPr>
        <w:t xml:space="preserve">emeentelijk versnellingsarrangement </w:t>
      </w:r>
    </w:p>
    <w:bookmarkEnd w:id="0"/>
    <w:p w:rsidR="00CA703A" w:rsidP="00A25B13" w:rsidRDefault="00643495">
      <w:pPr>
        <w:spacing w:after="0" w:line="240" w:lineRule="exact"/>
      </w:pPr>
      <w:r>
        <w:t xml:space="preserve">Het </w:t>
      </w:r>
      <w:r w:rsidRPr="000712D6">
        <w:t>gemeentelijk</w:t>
      </w:r>
      <w:r>
        <w:t xml:space="preserve"> versnellingsarrangement (GVA)</w:t>
      </w:r>
      <w:r w:rsidRPr="00130DBC">
        <w:t xml:space="preserve"> is inzetbaar door gemeenten als individuele, tijdelijke huisvestingsoplossing als permanente huisvesting niet mogelijk is.</w:t>
      </w:r>
      <w:r>
        <w:t xml:space="preserve"> </w:t>
      </w:r>
      <w:r w:rsidRPr="00286DB5">
        <w:t xml:space="preserve">De </w:t>
      </w:r>
      <w:r w:rsidRPr="00B95854">
        <w:t>maximale</w:t>
      </w:r>
      <w:r w:rsidRPr="00286DB5">
        <w:t xml:space="preserve"> termijn van de voorliggende voorziening in het COA (</w:t>
      </w:r>
      <w:r>
        <w:t>gerekend vanaf het moment van vergunningverlening</w:t>
      </w:r>
      <w:r w:rsidRPr="00286DB5">
        <w:t>) en G</w:t>
      </w:r>
      <w:r>
        <w:t>V</w:t>
      </w:r>
      <w:r w:rsidRPr="00286DB5">
        <w:t xml:space="preserve">A samen bedraagt </w:t>
      </w:r>
      <w:r>
        <w:t>maximaal</w:t>
      </w:r>
      <w:r w:rsidRPr="00286DB5">
        <w:t xml:space="preserve"> 24 maanden.</w:t>
      </w:r>
      <w:r>
        <w:t xml:space="preserve"> </w:t>
      </w:r>
      <w:r w:rsidRPr="00286DB5">
        <w:t>De instroom van de G</w:t>
      </w:r>
      <w:r>
        <w:t>V</w:t>
      </w:r>
      <w:r w:rsidRPr="00286DB5">
        <w:t>A-regeling wordt begrensd op maximaal 10.000 vergunninghouders</w:t>
      </w:r>
      <w:r>
        <w:t>. De totale kosten bedragen 40 mln. in 2016, hiervan is 16 mln. beschikbaar voor de huisvestings</w:t>
      </w:r>
      <w:r w:rsidRPr="00DD7C8C">
        <w:t>vergoeding</w:t>
      </w:r>
      <w:r>
        <w:t xml:space="preserve"> voor gemeenten (50 euro per week per</w:t>
      </w:r>
      <w:r w:rsidRPr="00DD7C8C">
        <w:t xml:space="preserve"> </w:t>
      </w:r>
      <w:r>
        <w:t>volwassene en 25 euro per week per kind).</w:t>
      </w:r>
      <w:r w:rsidR="00CA703A">
        <w:t xml:space="preserve"> </w:t>
      </w:r>
    </w:p>
    <w:p w:rsidR="00CA703A" w:rsidP="00CA703A" w:rsidRDefault="00CA703A">
      <w:pPr>
        <w:spacing w:after="0" w:line="240" w:lineRule="exact"/>
      </w:pPr>
    </w:p>
    <w:p w:rsidRPr="00CA703A" w:rsidR="00CA703A" w:rsidP="00CA703A" w:rsidRDefault="00CA703A">
      <w:pPr>
        <w:pStyle w:val="Lijstalinea"/>
        <w:numPr>
          <w:ilvl w:val="0"/>
          <w:numId w:val="15"/>
        </w:numPr>
        <w:spacing w:after="0" w:line="240" w:lineRule="exact"/>
        <w:rPr>
          <w:i/>
          <w:szCs w:val="18"/>
        </w:rPr>
      </w:pPr>
      <w:r w:rsidRPr="00CA703A">
        <w:rPr>
          <w:i/>
          <w:szCs w:val="18"/>
        </w:rPr>
        <w:t>Intertemporele tegemoe</w:t>
      </w:r>
      <w:r>
        <w:rPr>
          <w:i/>
          <w:szCs w:val="18"/>
        </w:rPr>
        <w:t xml:space="preserve">tkoming </w:t>
      </w:r>
      <w:r w:rsidRPr="00CA703A">
        <w:rPr>
          <w:i/>
          <w:szCs w:val="18"/>
        </w:rPr>
        <w:t>kosten in de participatiewet</w:t>
      </w:r>
    </w:p>
    <w:p w:rsidR="00CA703A" w:rsidP="00CA703A" w:rsidRDefault="00CA703A">
      <w:pPr>
        <w:spacing w:after="0" w:line="240" w:lineRule="exact"/>
      </w:pPr>
      <w:r>
        <w:t xml:space="preserve">Het </w:t>
      </w:r>
      <w:r w:rsidR="00ED66F8">
        <w:t>R</w:t>
      </w:r>
      <w:r>
        <w:t>ijk komt gemeenten intertemporeel tegemoet in de voorfinanciering van kosten in de participatiewet door de hogere instroom van vergunninghouders ten opzichte van het voorgaande jaar. Hiervoor is 50 mln. beschikbaar gesteld. Voor de verdeling van dit budget over de gemeente</w:t>
      </w:r>
      <w:r w:rsidR="00292DD2">
        <w:t>n</w:t>
      </w:r>
      <w:r>
        <w:t xml:space="preserve"> zal gewerkt worden met een specifieke verdeelsystematiek, buiten het bestaande verdeelmodel, die nader zal worden uitgewerkt in overleg tussen </w:t>
      </w:r>
      <w:r w:rsidR="00ED66F8">
        <w:t>R</w:t>
      </w:r>
      <w:r>
        <w:t xml:space="preserve">ijk en gemeenten.  </w:t>
      </w:r>
    </w:p>
    <w:p w:rsidR="00CA703A" w:rsidP="00CA703A" w:rsidRDefault="00CA703A">
      <w:pPr>
        <w:spacing w:after="0" w:line="240" w:lineRule="exact"/>
      </w:pPr>
    </w:p>
    <w:p w:rsidRPr="00CA703A" w:rsidR="00CA703A" w:rsidP="00CA703A" w:rsidRDefault="00CA703A">
      <w:pPr>
        <w:pStyle w:val="Lijstalinea"/>
        <w:numPr>
          <w:ilvl w:val="0"/>
          <w:numId w:val="15"/>
        </w:numPr>
        <w:spacing w:after="0" w:line="240" w:lineRule="exact"/>
        <w:rPr>
          <w:i/>
          <w:szCs w:val="18"/>
        </w:rPr>
      </w:pPr>
      <w:r w:rsidRPr="00CA703A">
        <w:rPr>
          <w:i/>
          <w:szCs w:val="18"/>
        </w:rPr>
        <w:t>Huisvestingsvoorziening</w:t>
      </w:r>
    </w:p>
    <w:p w:rsidR="00CA703A" w:rsidP="00CA703A" w:rsidRDefault="00CA703A">
      <w:pPr>
        <w:spacing w:after="0" w:line="240" w:lineRule="exact"/>
      </w:pPr>
      <w:r w:rsidRPr="00130DBC">
        <w:t xml:space="preserve">Het </w:t>
      </w:r>
      <w:r w:rsidR="00ED66F8">
        <w:t>R</w:t>
      </w:r>
      <w:r w:rsidRPr="00130DBC">
        <w:t xml:space="preserve">ijk en de gemeenten zetten daarom in op het realiseren van huisvestingsvoorzieningen voor 14.000 vergunninghouders, bovenop de bestaande woningvoorraad. </w:t>
      </w:r>
      <w:r>
        <w:t xml:space="preserve">In deze reeks zijn de uitvoeringskosten meegenomen. </w:t>
      </w:r>
    </w:p>
    <w:p w:rsidR="00CA703A" w:rsidP="00CA703A" w:rsidRDefault="00CA703A">
      <w:pPr>
        <w:spacing w:after="0" w:line="240" w:lineRule="exact"/>
      </w:pPr>
    </w:p>
    <w:p w:rsidRPr="00CA703A" w:rsidR="00CA703A" w:rsidP="00CA703A" w:rsidRDefault="00CA703A">
      <w:pPr>
        <w:pStyle w:val="Lijstalinea"/>
        <w:numPr>
          <w:ilvl w:val="0"/>
          <w:numId w:val="15"/>
        </w:numPr>
        <w:spacing w:after="0" w:line="240" w:lineRule="exact"/>
        <w:rPr>
          <w:i/>
          <w:szCs w:val="18"/>
        </w:rPr>
      </w:pPr>
      <w:r w:rsidRPr="00CA703A">
        <w:rPr>
          <w:i/>
          <w:szCs w:val="18"/>
        </w:rPr>
        <w:t>BRP-straten</w:t>
      </w:r>
    </w:p>
    <w:p w:rsidR="00CA703A" w:rsidP="00CA703A" w:rsidRDefault="00643495">
      <w:pPr>
        <w:spacing w:after="0" w:line="240" w:lineRule="exact"/>
      </w:pPr>
      <w:r>
        <w:t xml:space="preserve">In 2016 stelt het </w:t>
      </w:r>
      <w:r w:rsidR="00ED66F8">
        <w:t>R</w:t>
      </w:r>
      <w:r>
        <w:t>ijk 10 mln. beschikbaar voor het mogelijk maken van de BRP-straten en uitbreiding van het BRP-team dat achterstanden wegwerkt. Vanaf 2017 nemen gemeenten de financiering hiervan over.</w:t>
      </w:r>
      <w:r w:rsidR="00CA703A">
        <w:t xml:space="preserve"> </w:t>
      </w:r>
    </w:p>
    <w:p w:rsidR="00CA703A" w:rsidP="00CA703A" w:rsidRDefault="00CA703A">
      <w:pPr>
        <w:spacing w:after="0" w:line="240" w:lineRule="exact"/>
      </w:pPr>
    </w:p>
    <w:p w:rsidRPr="00DC75CA" w:rsidR="00CA703A" w:rsidP="00CA703A" w:rsidRDefault="00CA703A">
      <w:pPr>
        <w:spacing w:after="0" w:line="240" w:lineRule="exact"/>
        <w:rPr>
          <w:u w:val="single"/>
        </w:rPr>
      </w:pPr>
      <w:r w:rsidRPr="00DC75CA">
        <w:rPr>
          <w:u w:val="single"/>
        </w:rPr>
        <w:t>Dekking</w:t>
      </w:r>
    </w:p>
    <w:p w:rsidR="00CA703A" w:rsidP="00CA703A" w:rsidRDefault="00CA703A">
      <w:pPr>
        <w:spacing w:after="0" w:line="240" w:lineRule="exact"/>
      </w:pPr>
    </w:p>
    <w:p w:rsidRPr="00CA703A" w:rsidR="00CA703A" w:rsidP="00CA703A" w:rsidRDefault="00CA703A">
      <w:pPr>
        <w:pStyle w:val="Lijstalinea"/>
        <w:numPr>
          <w:ilvl w:val="0"/>
          <w:numId w:val="15"/>
        </w:numPr>
        <w:spacing w:after="0" w:line="240" w:lineRule="exact"/>
        <w:rPr>
          <w:i/>
          <w:szCs w:val="18"/>
        </w:rPr>
      </w:pPr>
      <w:r w:rsidRPr="00CA703A">
        <w:rPr>
          <w:i/>
          <w:szCs w:val="18"/>
        </w:rPr>
        <w:t>COA-budget</w:t>
      </w:r>
    </w:p>
    <w:p w:rsidR="00CA703A" w:rsidP="00CA703A" w:rsidRDefault="00CA703A">
      <w:pPr>
        <w:spacing w:after="0" w:line="240" w:lineRule="exact"/>
      </w:pPr>
      <w:r>
        <w:t>De intensivering bij de crisisnoodopvang wordt gefinancierd uit het bestaande COA-budget.</w:t>
      </w:r>
    </w:p>
    <w:p w:rsidR="00CA703A" w:rsidP="00CA703A" w:rsidRDefault="00CA703A">
      <w:pPr>
        <w:pStyle w:val="Lijstalinea"/>
        <w:spacing w:after="0" w:line="240" w:lineRule="exact"/>
        <w:ind w:left="360"/>
      </w:pPr>
    </w:p>
    <w:p w:rsidRPr="00CA703A" w:rsidR="00CA703A" w:rsidP="00CA703A" w:rsidRDefault="00CA703A">
      <w:pPr>
        <w:pStyle w:val="Lijstalinea"/>
        <w:numPr>
          <w:ilvl w:val="0"/>
          <w:numId w:val="15"/>
        </w:numPr>
        <w:spacing w:after="0" w:line="240" w:lineRule="exact"/>
        <w:rPr>
          <w:i/>
          <w:szCs w:val="18"/>
        </w:rPr>
      </w:pPr>
      <w:r w:rsidRPr="00CA703A">
        <w:rPr>
          <w:i/>
          <w:szCs w:val="18"/>
        </w:rPr>
        <w:t>Inzet reservering tbv stimuleren doorstroming</w:t>
      </w:r>
    </w:p>
    <w:p w:rsidR="00CA703A" w:rsidP="00CA703A" w:rsidRDefault="00CA703A">
      <w:pPr>
        <w:spacing w:after="0" w:line="240" w:lineRule="exact"/>
      </w:pPr>
      <w:r>
        <w:t>De reservering op de BHOS</w:t>
      </w:r>
      <w:r w:rsidR="00ED66F8">
        <w:t>-</w:t>
      </w:r>
      <w:r>
        <w:t xml:space="preserve">begroting ten behoeve van doorstroming wordt ingezet als dekking. </w:t>
      </w:r>
    </w:p>
    <w:p w:rsidR="00CA703A" w:rsidP="00CA703A" w:rsidRDefault="00CA703A">
      <w:pPr>
        <w:pStyle w:val="Lijstalinea"/>
        <w:spacing w:after="0" w:line="240" w:lineRule="exact"/>
        <w:ind w:left="360"/>
      </w:pPr>
    </w:p>
    <w:p w:rsidRPr="00CA703A" w:rsidR="00CA703A" w:rsidP="00CA703A" w:rsidRDefault="00CA703A">
      <w:pPr>
        <w:pStyle w:val="Lijstalinea"/>
        <w:numPr>
          <w:ilvl w:val="0"/>
          <w:numId w:val="15"/>
        </w:numPr>
        <w:spacing w:after="0" w:line="240" w:lineRule="exact"/>
        <w:rPr>
          <w:i/>
          <w:szCs w:val="18"/>
        </w:rPr>
      </w:pPr>
      <w:r w:rsidRPr="00CA703A">
        <w:rPr>
          <w:i/>
          <w:szCs w:val="18"/>
        </w:rPr>
        <w:t>Huurtoeslag</w:t>
      </w:r>
    </w:p>
    <w:p w:rsidR="00CA703A" w:rsidP="00CA703A" w:rsidRDefault="007521D1">
      <w:pPr>
        <w:spacing w:after="0" w:line="240" w:lineRule="exact"/>
      </w:pPr>
      <w:r>
        <w:t xml:space="preserve">Mensen in de </w:t>
      </w:r>
      <w:r w:rsidR="00CA703A">
        <w:t xml:space="preserve">huisvestingsvoorziening </w:t>
      </w:r>
      <w:r>
        <w:t xml:space="preserve">hebben geen recht op de </w:t>
      </w:r>
      <w:r w:rsidR="00CA703A">
        <w:t xml:space="preserve">huurtoeslag. </w:t>
      </w:r>
    </w:p>
    <w:p w:rsidR="00CA703A" w:rsidP="00CA703A" w:rsidRDefault="00CA703A">
      <w:pPr>
        <w:pStyle w:val="Lijstalinea"/>
        <w:spacing w:after="0" w:line="240" w:lineRule="exact"/>
        <w:ind w:left="360"/>
        <w:rPr>
          <w:szCs w:val="18"/>
        </w:rPr>
      </w:pPr>
    </w:p>
    <w:p w:rsidRPr="00CA703A" w:rsidR="00CA703A" w:rsidP="00CA703A" w:rsidRDefault="00442396">
      <w:pPr>
        <w:pStyle w:val="Lijstalinea"/>
        <w:numPr>
          <w:ilvl w:val="0"/>
          <w:numId w:val="15"/>
        </w:numPr>
        <w:spacing w:after="0" w:line="240" w:lineRule="exact"/>
        <w:rPr>
          <w:i/>
          <w:szCs w:val="18"/>
        </w:rPr>
      </w:pPr>
      <w:r>
        <w:rPr>
          <w:i/>
          <w:szCs w:val="18"/>
        </w:rPr>
        <w:t>Voorjaarsbesluitvorming</w:t>
      </w:r>
    </w:p>
    <w:p w:rsidR="00CA703A" w:rsidP="00CA703A" w:rsidRDefault="00CA703A">
      <w:pPr>
        <w:spacing w:after="0" w:line="240" w:lineRule="exact"/>
        <w:rPr>
          <w:szCs w:val="18"/>
        </w:rPr>
      </w:pPr>
      <w:r w:rsidRPr="00CA703A">
        <w:rPr>
          <w:szCs w:val="18"/>
        </w:rPr>
        <w:t xml:space="preserve">Ter dekking van de intensiveringen wordt 112 mln. in 2016 en 2017 </w:t>
      </w:r>
      <w:r w:rsidR="00442396">
        <w:rPr>
          <w:szCs w:val="18"/>
        </w:rPr>
        <w:t xml:space="preserve">ingevuld </w:t>
      </w:r>
      <w:r w:rsidRPr="00CA703A">
        <w:rPr>
          <w:szCs w:val="18"/>
        </w:rPr>
        <w:t>bij Voorjaarsnota.</w:t>
      </w:r>
    </w:p>
    <w:p w:rsidRPr="00CA703A" w:rsidR="00CA703A" w:rsidP="00CA703A" w:rsidRDefault="00CA703A">
      <w:pPr>
        <w:spacing w:after="0" w:line="240" w:lineRule="exact"/>
        <w:rPr>
          <w:szCs w:val="18"/>
        </w:rPr>
      </w:pPr>
    </w:p>
    <w:p w:rsidRPr="00CA703A" w:rsidR="00CA703A" w:rsidP="00CA703A" w:rsidRDefault="00CA703A">
      <w:pPr>
        <w:pStyle w:val="Lijstalinea"/>
        <w:numPr>
          <w:ilvl w:val="0"/>
          <w:numId w:val="15"/>
        </w:numPr>
        <w:spacing w:after="0" w:line="240" w:lineRule="exact"/>
        <w:rPr>
          <w:i/>
          <w:szCs w:val="18"/>
        </w:rPr>
      </w:pPr>
      <w:r w:rsidRPr="00CA703A">
        <w:rPr>
          <w:i/>
          <w:szCs w:val="18"/>
        </w:rPr>
        <w:t>In te passen kasschuif</w:t>
      </w:r>
    </w:p>
    <w:p w:rsidRPr="009362A9" w:rsidR="00CA703A" w:rsidP="00CA703A" w:rsidRDefault="00CA703A">
      <w:pPr>
        <w:spacing w:after="0" w:line="240" w:lineRule="exact"/>
      </w:pPr>
      <w:r>
        <w:t xml:space="preserve">Het totale budgettaire beeld sluit in de meerjarenperiode. Om de middelen in de juiste jaren te krijgen is een kasschuif nodig. Deze kasschuif zal in het voorjaar worden ingepast. </w:t>
      </w:r>
    </w:p>
    <w:p w:rsidR="00CA703A" w:rsidP="00A25B13" w:rsidRDefault="00CA703A">
      <w:pPr>
        <w:spacing w:after="0" w:line="240" w:lineRule="exact"/>
      </w:pPr>
    </w:p>
    <w:p w:rsidR="00A25B13" w:rsidRDefault="00A25B13">
      <w:pPr>
        <w:rPr>
          <w:b/>
        </w:rPr>
      </w:pPr>
    </w:p>
    <w:sectPr w:rsidR="00A25B13" w:rsidSect="00A3716A">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30" w:rsidRDefault="004C4230" w:rsidP="00B15DAD">
      <w:pPr>
        <w:spacing w:after="0" w:line="240" w:lineRule="auto"/>
      </w:pPr>
      <w:r>
        <w:separator/>
      </w:r>
    </w:p>
  </w:endnote>
  <w:endnote w:type="continuationSeparator" w:id="0">
    <w:p w:rsidR="004C4230" w:rsidRDefault="004C4230" w:rsidP="00B15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30" w:rsidRDefault="004C4230" w:rsidP="00B15DAD">
      <w:pPr>
        <w:spacing w:after="0" w:line="240" w:lineRule="auto"/>
      </w:pPr>
      <w:r>
        <w:separator/>
      </w:r>
    </w:p>
  </w:footnote>
  <w:footnote w:type="continuationSeparator" w:id="0">
    <w:p w:rsidR="004C4230" w:rsidRDefault="004C4230" w:rsidP="00B15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87F74"/>
    <w:multiLevelType w:val="hybridMultilevel"/>
    <w:tmpl w:val="C22482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54F0D34"/>
    <w:multiLevelType w:val="hybridMultilevel"/>
    <w:tmpl w:val="DADE1A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8237C50"/>
    <w:multiLevelType w:val="hybridMultilevel"/>
    <w:tmpl w:val="B0403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330B57"/>
    <w:multiLevelType w:val="hybridMultilevel"/>
    <w:tmpl w:val="55CCD612"/>
    <w:lvl w:ilvl="0" w:tplc="0BD683EE">
      <w:start w:val="1"/>
      <w:numFmt w:val="decimal"/>
      <w:lvlText w:val="%1)"/>
      <w:lvlJc w:val="left"/>
      <w:pPr>
        <w:ind w:left="1440" w:hanging="360"/>
      </w:pPr>
      <w:rPr>
        <w:b w:val="0"/>
      </w:r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
    <w:nsid w:val="3D650828"/>
    <w:multiLevelType w:val="hybridMultilevel"/>
    <w:tmpl w:val="29085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3D918BD"/>
    <w:multiLevelType w:val="hybridMultilevel"/>
    <w:tmpl w:val="668EBF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6CC54DC"/>
    <w:multiLevelType w:val="hybridMultilevel"/>
    <w:tmpl w:val="659C7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680D29"/>
    <w:multiLevelType w:val="hybridMultilevel"/>
    <w:tmpl w:val="7CE621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58DE794A"/>
    <w:multiLevelType w:val="hybridMultilevel"/>
    <w:tmpl w:val="C7FCA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CB23F0E"/>
    <w:multiLevelType w:val="hybridMultilevel"/>
    <w:tmpl w:val="9A6A5446"/>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70F40FB3"/>
    <w:multiLevelType w:val="hybridMultilevel"/>
    <w:tmpl w:val="14E0398E"/>
    <w:lvl w:ilvl="0" w:tplc="0413000F">
      <w:start w:val="1"/>
      <w:numFmt w:val="decimal"/>
      <w:lvlText w:val="%1."/>
      <w:lvlJc w:val="left"/>
      <w:pPr>
        <w:ind w:left="720" w:hanging="360"/>
      </w:pPr>
      <w:rPr>
        <w:rFonts w:hint="default"/>
      </w:rPr>
    </w:lvl>
    <w:lvl w:ilvl="1" w:tplc="04130003">
      <w:start w:val="1"/>
      <w:numFmt w:val="decimal"/>
      <w:lvlText w:val="%2."/>
      <w:lvlJc w:val="left"/>
      <w:pPr>
        <w:tabs>
          <w:tab w:val="num" w:pos="1800"/>
        </w:tabs>
        <w:ind w:left="1800" w:hanging="360"/>
      </w:pPr>
    </w:lvl>
    <w:lvl w:ilvl="2" w:tplc="04130005">
      <w:start w:val="1"/>
      <w:numFmt w:val="decimal"/>
      <w:lvlText w:val="%3."/>
      <w:lvlJc w:val="left"/>
      <w:pPr>
        <w:tabs>
          <w:tab w:val="num" w:pos="2520"/>
        </w:tabs>
        <w:ind w:left="2520" w:hanging="360"/>
      </w:pPr>
    </w:lvl>
    <w:lvl w:ilvl="3" w:tplc="04130001">
      <w:start w:val="1"/>
      <w:numFmt w:val="decimal"/>
      <w:lvlText w:val="%4."/>
      <w:lvlJc w:val="left"/>
      <w:pPr>
        <w:tabs>
          <w:tab w:val="num" w:pos="3240"/>
        </w:tabs>
        <w:ind w:left="3240" w:hanging="360"/>
      </w:pPr>
    </w:lvl>
    <w:lvl w:ilvl="4" w:tplc="04130003">
      <w:start w:val="1"/>
      <w:numFmt w:val="decimal"/>
      <w:lvlText w:val="%5."/>
      <w:lvlJc w:val="left"/>
      <w:pPr>
        <w:tabs>
          <w:tab w:val="num" w:pos="3960"/>
        </w:tabs>
        <w:ind w:left="3960" w:hanging="360"/>
      </w:pPr>
    </w:lvl>
    <w:lvl w:ilvl="5" w:tplc="04130005">
      <w:start w:val="1"/>
      <w:numFmt w:val="decimal"/>
      <w:lvlText w:val="%6."/>
      <w:lvlJc w:val="left"/>
      <w:pPr>
        <w:tabs>
          <w:tab w:val="num" w:pos="4680"/>
        </w:tabs>
        <w:ind w:left="4680" w:hanging="360"/>
      </w:pPr>
    </w:lvl>
    <w:lvl w:ilvl="6" w:tplc="04130001">
      <w:start w:val="1"/>
      <w:numFmt w:val="decimal"/>
      <w:lvlText w:val="%7."/>
      <w:lvlJc w:val="left"/>
      <w:pPr>
        <w:tabs>
          <w:tab w:val="num" w:pos="5400"/>
        </w:tabs>
        <w:ind w:left="5400" w:hanging="360"/>
      </w:pPr>
    </w:lvl>
    <w:lvl w:ilvl="7" w:tplc="04130003">
      <w:start w:val="1"/>
      <w:numFmt w:val="decimal"/>
      <w:lvlText w:val="%8."/>
      <w:lvlJc w:val="left"/>
      <w:pPr>
        <w:tabs>
          <w:tab w:val="num" w:pos="6120"/>
        </w:tabs>
        <w:ind w:left="6120" w:hanging="360"/>
      </w:pPr>
    </w:lvl>
    <w:lvl w:ilvl="8" w:tplc="04130005">
      <w:start w:val="1"/>
      <w:numFmt w:val="decimal"/>
      <w:lvlText w:val="%9."/>
      <w:lvlJc w:val="left"/>
      <w:pPr>
        <w:tabs>
          <w:tab w:val="num" w:pos="6840"/>
        </w:tabs>
        <w:ind w:left="6840" w:hanging="360"/>
      </w:pPr>
    </w:lvl>
  </w:abstractNum>
  <w:abstractNum w:abstractNumId="11">
    <w:nsid w:val="733501DB"/>
    <w:multiLevelType w:val="hybridMultilevel"/>
    <w:tmpl w:val="B75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B87D75"/>
    <w:multiLevelType w:val="hybridMultilevel"/>
    <w:tmpl w:val="9DF2E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7"/>
  </w:num>
  <w:num w:numId="12">
    <w:abstractNumId w:val="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24196"/>
    <w:rsid w:val="00006429"/>
    <w:rsid w:val="000466B8"/>
    <w:rsid w:val="000467CD"/>
    <w:rsid w:val="00050BBA"/>
    <w:rsid w:val="00051DA5"/>
    <w:rsid w:val="00055E9F"/>
    <w:rsid w:val="000662BC"/>
    <w:rsid w:val="000672C1"/>
    <w:rsid w:val="00075BD4"/>
    <w:rsid w:val="00085467"/>
    <w:rsid w:val="00094771"/>
    <w:rsid w:val="00095344"/>
    <w:rsid w:val="000B5A01"/>
    <w:rsid w:val="000C7245"/>
    <w:rsid w:val="00107CE1"/>
    <w:rsid w:val="00110D67"/>
    <w:rsid w:val="001113C1"/>
    <w:rsid w:val="0013199E"/>
    <w:rsid w:val="00160C4E"/>
    <w:rsid w:val="001700DC"/>
    <w:rsid w:val="001752ED"/>
    <w:rsid w:val="001A6122"/>
    <w:rsid w:val="001B583F"/>
    <w:rsid w:val="001B6A6F"/>
    <w:rsid w:val="001E04E6"/>
    <w:rsid w:val="001E5DE7"/>
    <w:rsid w:val="00221D02"/>
    <w:rsid w:val="00227B4A"/>
    <w:rsid w:val="00256012"/>
    <w:rsid w:val="00265D5B"/>
    <w:rsid w:val="00272A72"/>
    <w:rsid w:val="00281A9A"/>
    <w:rsid w:val="00282D47"/>
    <w:rsid w:val="00292DD2"/>
    <w:rsid w:val="002937F8"/>
    <w:rsid w:val="00295721"/>
    <w:rsid w:val="00295A42"/>
    <w:rsid w:val="002A1A10"/>
    <w:rsid w:val="002C2F4C"/>
    <w:rsid w:val="002C3508"/>
    <w:rsid w:val="002E3E45"/>
    <w:rsid w:val="002E6EEE"/>
    <w:rsid w:val="0031230A"/>
    <w:rsid w:val="00313C2F"/>
    <w:rsid w:val="00320E61"/>
    <w:rsid w:val="00327921"/>
    <w:rsid w:val="00335C18"/>
    <w:rsid w:val="003549A5"/>
    <w:rsid w:val="00385BE0"/>
    <w:rsid w:val="00387E38"/>
    <w:rsid w:val="00396675"/>
    <w:rsid w:val="003A03B1"/>
    <w:rsid w:val="003A37E5"/>
    <w:rsid w:val="003B2004"/>
    <w:rsid w:val="003C13DB"/>
    <w:rsid w:val="003C1C89"/>
    <w:rsid w:val="003D71DC"/>
    <w:rsid w:val="003E741E"/>
    <w:rsid w:val="0041392D"/>
    <w:rsid w:val="0042095C"/>
    <w:rsid w:val="00442396"/>
    <w:rsid w:val="00452DD4"/>
    <w:rsid w:val="00460754"/>
    <w:rsid w:val="004700B2"/>
    <w:rsid w:val="00471EE5"/>
    <w:rsid w:val="00477DDD"/>
    <w:rsid w:val="00481C04"/>
    <w:rsid w:val="00486F2C"/>
    <w:rsid w:val="00487E2F"/>
    <w:rsid w:val="00494C1A"/>
    <w:rsid w:val="004A0D65"/>
    <w:rsid w:val="004C1BDA"/>
    <w:rsid w:val="004C4230"/>
    <w:rsid w:val="004C57DF"/>
    <w:rsid w:val="004D14F0"/>
    <w:rsid w:val="004D66CB"/>
    <w:rsid w:val="004D6731"/>
    <w:rsid w:val="004E1559"/>
    <w:rsid w:val="004E2DA5"/>
    <w:rsid w:val="004F1D3F"/>
    <w:rsid w:val="004F46B5"/>
    <w:rsid w:val="00504C49"/>
    <w:rsid w:val="00527C7F"/>
    <w:rsid w:val="005409FB"/>
    <w:rsid w:val="00541B4E"/>
    <w:rsid w:val="00547B9E"/>
    <w:rsid w:val="00551E83"/>
    <w:rsid w:val="005815E4"/>
    <w:rsid w:val="0058260E"/>
    <w:rsid w:val="00582FF8"/>
    <w:rsid w:val="005832F4"/>
    <w:rsid w:val="00597329"/>
    <w:rsid w:val="005A5CF8"/>
    <w:rsid w:val="005B1B89"/>
    <w:rsid w:val="005D58C1"/>
    <w:rsid w:val="005D6B5E"/>
    <w:rsid w:val="005D7438"/>
    <w:rsid w:val="005E0A67"/>
    <w:rsid w:val="00602B4B"/>
    <w:rsid w:val="006105EC"/>
    <w:rsid w:val="00612358"/>
    <w:rsid w:val="006145F6"/>
    <w:rsid w:val="00614E7D"/>
    <w:rsid w:val="00615803"/>
    <w:rsid w:val="00621566"/>
    <w:rsid w:val="00631328"/>
    <w:rsid w:val="006366A7"/>
    <w:rsid w:val="00636D30"/>
    <w:rsid w:val="00643495"/>
    <w:rsid w:val="006456AE"/>
    <w:rsid w:val="006522F9"/>
    <w:rsid w:val="006628F3"/>
    <w:rsid w:val="00680921"/>
    <w:rsid w:val="0068598C"/>
    <w:rsid w:val="00686EF3"/>
    <w:rsid w:val="00687FCC"/>
    <w:rsid w:val="00692EBB"/>
    <w:rsid w:val="006A06F5"/>
    <w:rsid w:val="006A0ACF"/>
    <w:rsid w:val="006A0C59"/>
    <w:rsid w:val="006B3B7F"/>
    <w:rsid w:val="006B5503"/>
    <w:rsid w:val="006B5866"/>
    <w:rsid w:val="006B79DA"/>
    <w:rsid w:val="006D2AC8"/>
    <w:rsid w:val="00704BD9"/>
    <w:rsid w:val="00706ACC"/>
    <w:rsid w:val="00710BE2"/>
    <w:rsid w:val="007157F7"/>
    <w:rsid w:val="007218C3"/>
    <w:rsid w:val="007218F4"/>
    <w:rsid w:val="00745A5A"/>
    <w:rsid w:val="00745E9B"/>
    <w:rsid w:val="00751FDD"/>
    <w:rsid w:val="007521D1"/>
    <w:rsid w:val="0075315A"/>
    <w:rsid w:val="00756389"/>
    <w:rsid w:val="007832A2"/>
    <w:rsid w:val="007852BE"/>
    <w:rsid w:val="00785C3C"/>
    <w:rsid w:val="007B3C80"/>
    <w:rsid w:val="007B3CE3"/>
    <w:rsid w:val="007B412E"/>
    <w:rsid w:val="007B5E5F"/>
    <w:rsid w:val="007F559C"/>
    <w:rsid w:val="00800B67"/>
    <w:rsid w:val="0082424A"/>
    <w:rsid w:val="008339B8"/>
    <w:rsid w:val="0084668A"/>
    <w:rsid w:val="00852248"/>
    <w:rsid w:val="00867320"/>
    <w:rsid w:val="00895479"/>
    <w:rsid w:val="008A066D"/>
    <w:rsid w:val="008A6957"/>
    <w:rsid w:val="008B4FF2"/>
    <w:rsid w:val="008C3F52"/>
    <w:rsid w:val="008C4F8F"/>
    <w:rsid w:val="008D1B88"/>
    <w:rsid w:val="008D3879"/>
    <w:rsid w:val="008E1D15"/>
    <w:rsid w:val="00905545"/>
    <w:rsid w:val="00910CDA"/>
    <w:rsid w:val="009362A9"/>
    <w:rsid w:val="00942F1D"/>
    <w:rsid w:val="00960EBB"/>
    <w:rsid w:val="00963DF1"/>
    <w:rsid w:val="00971710"/>
    <w:rsid w:val="009929FC"/>
    <w:rsid w:val="009B3F2C"/>
    <w:rsid w:val="009B7AF8"/>
    <w:rsid w:val="009C5D22"/>
    <w:rsid w:val="009C662C"/>
    <w:rsid w:val="00A02A9C"/>
    <w:rsid w:val="00A04FDD"/>
    <w:rsid w:val="00A0589F"/>
    <w:rsid w:val="00A07157"/>
    <w:rsid w:val="00A17C6E"/>
    <w:rsid w:val="00A25B13"/>
    <w:rsid w:val="00A31A69"/>
    <w:rsid w:val="00A3716A"/>
    <w:rsid w:val="00A42E2A"/>
    <w:rsid w:val="00A546FC"/>
    <w:rsid w:val="00A621D5"/>
    <w:rsid w:val="00A9026A"/>
    <w:rsid w:val="00AD1151"/>
    <w:rsid w:val="00AD272A"/>
    <w:rsid w:val="00AD47F7"/>
    <w:rsid w:val="00AD4BCF"/>
    <w:rsid w:val="00AE5F8A"/>
    <w:rsid w:val="00AE7C14"/>
    <w:rsid w:val="00B02319"/>
    <w:rsid w:val="00B15DAD"/>
    <w:rsid w:val="00B21806"/>
    <w:rsid w:val="00B24196"/>
    <w:rsid w:val="00B71E66"/>
    <w:rsid w:val="00BC19AD"/>
    <w:rsid w:val="00BD7B4F"/>
    <w:rsid w:val="00BE201F"/>
    <w:rsid w:val="00BF5BA4"/>
    <w:rsid w:val="00BF5D05"/>
    <w:rsid w:val="00C24E06"/>
    <w:rsid w:val="00C308DC"/>
    <w:rsid w:val="00C410EE"/>
    <w:rsid w:val="00C41D70"/>
    <w:rsid w:val="00C63FC2"/>
    <w:rsid w:val="00C749EA"/>
    <w:rsid w:val="00C922C4"/>
    <w:rsid w:val="00C92A88"/>
    <w:rsid w:val="00C9535C"/>
    <w:rsid w:val="00CA703A"/>
    <w:rsid w:val="00CB7885"/>
    <w:rsid w:val="00CE233A"/>
    <w:rsid w:val="00CE46BD"/>
    <w:rsid w:val="00CF070E"/>
    <w:rsid w:val="00CF2537"/>
    <w:rsid w:val="00CF3397"/>
    <w:rsid w:val="00D04E9C"/>
    <w:rsid w:val="00D20BB0"/>
    <w:rsid w:val="00D2603D"/>
    <w:rsid w:val="00D37F1D"/>
    <w:rsid w:val="00D50791"/>
    <w:rsid w:val="00D605D0"/>
    <w:rsid w:val="00D63E76"/>
    <w:rsid w:val="00D72E57"/>
    <w:rsid w:val="00D83BA3"/>
    <w:rsid w:val="00D96C21"/>
    <w:rsid w:val="00DA0C06"/>
    <w:rsid w:val="00DC5326"/>
    <w:rsid w:val="00DC75CA"/>
    <w:rsid w:val="00DF3D27"/>
    <w:rsid w:val="00E005DC"/>
    <w:rsid w:val="00E02650"/>
    <w:rsid w:val="00E03466"/>
    <w:rsid w:val="00E1652D"/>
    <w:rsid w:val="00E30FB9"/>
    <w:rsid w:val="00E31038"/>
    <w:rsid w:val="00E33E87"/>
    <w:rsid w:val="00E43FA5"/>
    <w:rsid w:val="00E52D7C"/>
    <w:rsid w:val="00E538D1"/>
    <w:rsid w:val="00E652E4"/>
    <w:rsid w:val="00E73222"/>
    <w:rsid w:val="00E7366A"/>
    <w:rsid w:val="00EC2F1C"/>
    <w:rsid w:val="00EC5E0D"/>
    <w:rsid w:val="00ED3BCA"/>
    <w:rsid w:val="00ED66F8"/>
    <w:rsid w:val="00EF29FF"/>
    <w:rsid w:val="00F025E1"/>
    <w:rsid w:val="00F11423"/>
    <w:rsid w:val="00F15BD2"/>
    <w:rsid w:val="00F22CDC"/>
    <w:rsid w:val="00F508F7"/>
    <w:rsid w:val="00F54276"/>
    <w:rsid w:val="00F578C6"/>
    <w:rsid w:val="00FA159D"/>
    <w:rsid w:val="00FC34DE"/>
    <w:rsid w:val="00FC4C42"/>
    <w:rsid w:val="00FC5B0F"/>
    <w:rsid w:val="00FC74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customStyle="1" w:styleId="broodtekst">
    <w:name w:val="broodtekst"/>
    <w:basedOn w:val="Standaard"/>
    <w:rsid w:val="00B24196"/>
    <w:pPr>
      <w:autoSpaceDE w:val="0"/>
      <w:autoSpaceDN w:val="0"/>
      <w:adjustRightInd w:val="0"/>
      <w:spacing w:after="0" w:line="240" w:lineRule="atLeast"/>
    </w:pPr>
    <w:rPr>
      <w:rFonts w:eastAsia="Times New Roman" w:cs="Times New Roman"/>
      <w:szCs w:val="18"/>
      <w:lang w:eastAsia="nl-NL"/>
    </w:rPr>
  </w:style>
  <w:style w:type="table" w:styleId="Lichtelijst-accent3">
    <w:name w:val="Light List Accent 3"/>
    <w:basedOn w:val="Standaardtabel"/>
    <w:uiPriority w:val="61"/>
    <w:rsid w:val="00B24196"/>
    <w:pPr>
      <w:spacing w:after="0" w:line="240" w:lineRule="auto"/>
    </w:pPr>
    <w:rPr>
      <w:rFonts w:ascii="Times New Roman" w:eastAsia="Times New Roman" w:hAnsi="Times New Roman" w:cs="Times New Roman"/>
      <w:sz w:val="20"/>
      <w:szCs w:val="20"/>
      <w:lang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jstalinea">
    <w:name w:val="List Paragraph"/>
    <w:basedOn w:val="Standaard"/>
    <w:uiPriority w:val="34"/>
    <w:qFormat/>
    <w:rsid w:val="00B24196"/>
    <w:pPr>
      <w:ind w:left="720"/>
      <w:contextualSpacing/>
    </w:pPr>
  </w:style>
  <w:style w:type="paragraph" w:styleId="Ballontekst">
    <w:name w:val="Balloon Text"/>
    <w:basedOn w:val="Standaard"/>
    <w:link w:val="BallontekstChar"/>
    <w:uiPriority w:val="99"/>
    <w:semiHidden/>
    <w:unhideWhenUsed/>
    <w:rsid w:val="004D66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66CB"/>
    <w:rPr>
      <w:rFonts w:ascii="Tahoma" w:hAnsi="Tahoma" w:cs="Tahoma"/>
      <w:sz w:val="16"/>
      <w:szCs w:val="16"/>
    </w:rPr>
  </w:style>
  <w:style w:type="paragraph" w:styleId="Revisie">
    <w:name w:val="Revision"/>
    <w:hidden/>
    <w:uiPriority w:val="99"/>
    <w:semiHidden/>
    <w:rsid w:val="00094771"/>
    <w:pPr>
      <w:spacing w:after="0" w:line="240" w:lineRule="auto"/>
    </w:pPr>
    <w:rPr>
      <w:rFonts w:ascii="Verdana" w:hAnsi="Verdana"/>
      <w:sz w:val="18"/>
    </w:rPr>
  </w:style>
  <w:style w:type="table" w:styleId="Tabelraster">
    <w:name w:val="Table Grid"/>
    <w:basedOn w:val="Standaardtabel"/>
    <w:uiPriority w:val="59"/>
    <w:rsid w:val="00A37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B15D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15DAD"/>
    <w:rPr>
      <w:rFonts w:ascii="Verdana" w:hAnsi="Verdana"/>
      <w:sz w:val="18"/>
    </w:rPr>
  </w:style>
  <w:style w:type="paragraph" w:styleId="Voettekst">
    <w:name w:val="footer"/>
    <w:basedOn w:val="Standaard"/>
    <w:link w:val="VoettekstChar"/>
    <w:uiPriority w:val="99"/>
    <w:semiHidden/>
    <w:unhideWhenUsed/>
    <w:rsid w:val="00B15D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15DAD"/>
    <w:rPr>
      <w:rFonts w:ascii="Verdana" w:hAnsi="Verdana"/>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3BA3"/>
    <w:rPr>
      <w:rFonts w:ascii="Verdana" w:hAnsi="Verdana"/>
      <w:sz w:val="18"/>
    </w:rPr>
  </w:style>
  <w:style w:type="paragraph" w:styleId="Kop1">
    <w:name w:val="heading 1"/>
    <w:basedOn w:val="Normaal"/>
    <w:next w:val="Normaal"/>
    <w:link w:val="Kop1Teken"/>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Teken">
    <w:name w:val="Kop 1 Teken"/>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customStyle="1" w:styleId="broodtekst">
    <w:name w:val="broodtekst"/>
    <w:basedOn w:val="Normaal"/>
    <w:rsid w:val="00B24196"/>
    <w:pPr>
      <w:autoSpaceDE w:val="0"/>
      <w:autoSpaceDN w:val="0"/>
      <w:adjustRightInd w:val="0"/>
      <w:spacing w:after="0" w:line="240" w:lineRule="atLeast"/>
    </w:pPr>
    <w:rPr>
      <w:rFonts w:eastAsia="Times New Roman" w:cs="Times New Roman"/>
      <w:szCs w:val="18"/>
      <w:lang w:eastAsia="nl-NL"/>
    </w:rPr>
  </w:style>
  <w:style w:type="table" w:styleId="Lichtelijst-accent3">
    <w:name w:val="Light List Accent 3"/>
    <w:basedOn w:val="Standaardtabel"/>
    <w:uiPriority w:val="61"/>
    <w:rsid w:val="00B24196"/>
    <w:pPr>
      <w:spacing w:after="0" w:line="240" w:lineRule="auto"/>
    </w:pPr>
    <w:rPr>
      <w:rFonts w:ascii="Times New Roman" w:eastAsia="Times New Roman" w:hAnsi="Times New Roman" w:cs="Times New Roman"/>
      <w:sz w:val="20"/>
      <w:szCs w:val="20"/>
      <w:lang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jstalinea">
    <w:name w:val="List Paragraph"/>
    <w:basedOn w:val="Normaal"/>
    <w:uiPriority w:val="34"/>
    <w:qFormat/>
    <w:rsid w:val="00B24196"/>
    <w:pPr>
      <w:ind w:left="720"/>
      <w:contextualSpacing/>
    </w:pPr>
  </w:style>
  <w:style w:type="paragraph" w:styleId="Ballontekst">
    <w:name w:val="Balloon Text"/>
    <w:basedOn w:val="Normaal"/>
    <w:link w:val="BallontekstTeken"/>
    <w:uiPriority w:val="99"/>
    <w:semiHidden/>
    <w:unhideWhenUsed/>
    <w:rsid w:val="004D66CB"/>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D66CB"/>
    <w:rPr>
      <w:rFonts w:ascii="Tahoma" w:hAnsi="Tahoma" w:cs="Tahoma"/>
      <w:sz w:val="16"/>
      <w:szCs w:val="16"/>
    </w:rPr>
  </w:style>
  <w:style w:type="paragraph" w:styleId="Revisie">
    <w:name w:val="Revision"/>
    <w:hidden/>
    <w:uiPriority w:val="99"/>
    <w:semiHidden/>
    <w:rsid w:val="00094771"/>
    <w:pPr>
      <w:spacing w:after="0" w:line="240" w:lineRule="auto"/>
    </w:pPr>
    <w:rPr>
      <w:rFonts w:ascii="Verdana" w:hAnsi="Verdana"/>
      <w:sz w:val="18"/>
    </w:rPr>
  </w:style>
  <w:style w:type="table" w:styleId="Tabelraster">
    <w:name w:val="Table Grid"/>
    <w:basedOn w:val="Standaardtabel"/>
    <w:uiPriority w:val="59"/>
    <w:rsid w:val="00A37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84271">
      <w:bodyDiv w:val="1"/>
      <w:marLeft w:val="0"/>
      <w:marRight w:val="0"/>
      <w:marTop w:val="0"/>
      <w:marBottom w:val="0"/>
      <w:divBdr>
        <w:top w:val="none" w:sz="0" w:space="0" w:color="auto"/>
        <w:left w:val="none" w:sz="0" w:space="0" w:color="auto"/>
        <w:bottom w:val="none" w:sz="0" w:space="0" w:color="auto"/>
        <w:right w:val="none" w:sz="0" w:space="0" w:color="auto"/>
      </w:divBdr>
    </w:div>
    <w:div w:id="323968981">
      <w:bodyDiv w:val="1"/>
      <w:marLeft w:val="0"/>
      <w:marRight w:val="0"/>
      <w:marTop w:val="0"/>
      <w:marBottom w:val="0"/>
      <w:divBdr>
        <w:top w:val="none" w:sz="0" w:space="0" w:color="auto"/>
        <w:left w:val="none" w:sz="0" w:space="0" w:color="auto"/>
        <w:bottom w:val="none" w:sz="0" w:space="0" w:color="auto"/>
        <w:right w:val="none" w:sz="0" w:space="0" w:color="auto"/>
      </w:divBdr>
    </w:div>
    <w:div w:id="686911441">
      <w:bodyDiv w:val="1"/>
      <w:marLeft w:val="0"/>
      <w:marRight w:val="0"/>
      <w:marTop w:val="0"/>
      <w:marBottom w:val="0"/>
      <w:divBdr>
        <w:top w:val="none" w:sz="0" w:space="0" w:color="auto"/>
        <w:left w:val="none" w:sz="0" w:space="0" w:color="auto"/>
        <w:bottom w:val="none" w:sz="0" w:space="0" w:color="auto"/>
        <w:right w:val="none" w:sz="0" w:space="0" w:color="auto"/>
      </w:divBdr>
    </w:div>
    <w:div w:id="863205466">
      <w:bodyDiv w:val="1"/>
      <w:marLeft w:val="0"/>
      <w:marRight w:val="0"/>
      <w:marTop w:val="0"/>
      <w:marBottom w:val="0"/>
      <w:divBdr>
        <w:top w:val="none" w:sz="0" w:space="0" w:color="auto"/>
        <w:left w:val="none" w:sz="0" w:space="0" w:color="auto"/>
        <w:bottom w:val="none" w:sz="0" w:space="0" w:color="auto"/>
        <w:right w:val="none" w:sz="0" w:space="0" w:color="auto"/>
      </w:divBdr>
    </w:div>
    <w:div w:id="1027103039">
      <w:bodyDiv w:val="1"/>
      <w:marLeft w:val="0"/>
      <w:marRight w:val="0"/>
      <w:marTop w:val="0"/>
      <w:marBottom w:val="0"/>
      <w:divBdr>
        <w:top w:val="none" w:sz="0" w:space="0" w:color="auto"/>
        <w:left w:val="none" w:sz="0" w:space="0" w:color="auto"/>
        <w:bottom w:val="none" w:sz="0" w:space="0" w:color="auto"/>
        <w:right w:val="none" w:sz="0" w:space="0" w:color="auto"/>
      </w:divBdr>
    </w:div>
    <w:div w:id="1036806870">
      <w:bodyDiv w:val="1"/>
      <w:marLeft w:val="0"/>
      <w:marRight w:val="0"/>
      <w:marTop w:val="0"/>
      <w:marBottom w:val="0"/>
      <w:divBdr>
        <w:top w:val="none" w:sz="0" w:space="0" w:color="auto"/>
        <w:left w:val="none" w:sz="0" w:space="0" w:color="auto"/>
        <w:bottom w:val="none" w:sz="0" w:space="0" w:color="auto"/>
        <w:right w:val="none" w:sz="0" w:space="0" w:color="auto"/>
      </w:divBdr>
    </w:div>
    <w:div w:id="1060598423">
      <w:bodyDiv w:val="1"/>
      <w:marLeft w:val="0"/>
      <w:marRight w:val="0"/>
      <w:marTop w:val="0"/>
      <w:marBottom w:val="0"/>
      <w:divBdr>
        <w:top w:val="none" w:sz="0" w:space="0" w:color="auto"/>
        <w:left w:val="none" w:sz="0" w:space="0" w:color="auto"/>
        <w:bottom w:val="none" w:sz="0" w:space="0" w:color="auto"/>
        <w:right w:val="none" w:sz="0" w:space="0" w:color="auto"/>
      </w:divBdr>
    </w:div>
    <w:div w:id="1182668076">
      <w:bodyDiv w:val="1"/>
      <w:marLeft w:val="0"/>
      <w:marRight w:val="0"/>
      <w:marTop w:val="0"/>
      <w:marBottom w:val="0"/>
      <w:divBdr>
        <w:top w:val="none" w:sz="0" w:space="0" w:color="auto"/>
        <w:left w:val="none" w:sz="0" w:space="0" w:color="auto"/>
        <w:bottom w:val="none" w:sz="0" w:space="0" w:color="auto"/>
        <w:right w:val="none" w:sz="0" w:space="0" w:color="auto"/>
      </w:divBdr>
    </w:div>
    <w:div w:id="1208954025">
      <w:bodyDiv w:val="1"/>
      <w:marLeft w:val="0"/>
      <w:marRight w:val="0"/>
      <w:marTop w:val="0"/>
      <w:marBottom w:val="0"/>
      <w:divBdr>
        <w:top w:val="none" w:sz="0" w:space="0" w:color="auto"/>
        <w:left w:val="none" w:sz="0" w:space="0" w:color="auto"/>
        <w:bottom w:val="none" w:sz="0" w:space="0" w:color="auto"/>
        <w:right w:val="none" w:sz="0" w:space="0" w:color="auto"/>
      </w:divBdr>
    </w:div>
    <w:div w:id="1571693665">
      <w:bodyDiv w:val="1"/>
      <w:marLeft w:val="0"/>
      <w:marRight w:val="0"/>
      <w:marTop w:val="0"/>
      <w:marBottom w:val="0"/>
      <w:divBdr>
        <w:top w:val="none" w:sz="0" w:space="0" w:color="auto"/>
        <w:left w:val="none" w:sz="0" w:space="0" w:color="auto"/>
        <w:bottom w:val="none" w:sz="0" w:space="0" w:color="auto"/>
        <w:right w:val="none" w:sz="0" w:space="0" w:color="auto"/>
      </w:divBdr>
    </w:div>
    <w:div w:id="1981298372">
      <w:bodyDiv w:val="1"/>
      <w:marLeft w:val="0"/>
      <w:marRight w:val="0"/>
      <w:marTop w:val="0"/>
      <w:marBottom w:val="0"/>
      <w:divBdr>
        <w:top w:val="none" w:sz="0" w:space="0" w:color="auto"/>
        <w:left w:val="none" w:sz="0" w:space="0" w:color="auto"/>
        <w:bottom w:val="none" w:sz="0" w:space="0" w:color="auto"/>
        <w:right w:val="none" w:sz="0" w:space="0" w:color="auto"/>
      </w:divBdr>
    </w:div>
    <w:div w:id="2100245820">
      <w:bodyDiv w:val="1"/>
      <w:marLeft w:val="0"/>
      <w:marRight w:val="0"/>
      <w:marTop w:val="0"/>
      <w:marBottom w:val="0"/>
      <w:divBdr>
        <w:top w:val="none" w:sz="0" w:space="0" w:color="auto"/>
        <w:left w:val="none" w:sz="0" w:space="0" w:color="auto"/>
        <w:bottom w:val="none" w:sz="0" w:space="0" w:color="auto"/>
        <w:right w:val="none" w:sz="0" w:space="0" w:color="auto"/>
      </w:divBdr>
    </w:div>
    <w:div w:id="2115905275">
      <w:bodyDiv w:val="1"/>
      <w:marLeft w:val="0"/>
      <w:marRight w:val="0"/>
      <w:marTop w:val="0"/>
      <w:marBottom w:val="0"/>
      <w:divBdr>
        <w:top w:val="none" w:sz="0" w:space="0" w:color="auto"/>
        <w:left w:val="none" w:sz="0" w:space="0" w:color="auto"/>
        <w:bottom w:val="none" w:sz="0" w:space="0" w:color="auto"/>
        <w:right w:val="none" w:sz="0" w:space="0" w:color="auto"/>
      </w:divBdr>
    </w:div>
    <w:div w:id="2125415037">
      <w:bodyDiv w:val="1"/>
      <w:marLeft w:val="0"/>
      <w:marRight w:val="0"/>
      <w:marTop w:val="0"/>
      <w:marBottom w:val="0"/>
      <w:divBdr>
        <w:top w:val="none" w:sz="0" w:space="0" w:color="auto"/>
        <w:left w:val="none" w:sz="0" w:space="0" w:color="auto"/>
        <w:bottom w:val="none" w:sz="0" w:space="0" w:color="auto"/>
        <w:right w:val="none" w:sz="0" w:space="0" w:color="auto"/>
      </w:divBdr>
    </w:div>
    <w:div w:id="21421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microsoft.com/office/2007/relationships/stylesWithEffects" Target="stylesWithEffects.xml" Id="rId16"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1411</ap:Words>
  <ap:Characters>7761</ap:Characters>
  <ap:DocSecurity>4</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2015-11-26T14:22:00.0000000Z</lastPrinted>
  <dcterms:created xsi:type="dcterms:W3CDTF">2015-11-27T14:42:00.0000000Z</dcterms:created>
  <dcterms:modified xsi:type="dcterms:W3CDTF">2015-11-27T14:42:00.0000000Z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0x01010055DD149E2D5A4A46B15D5867CE985CB5</vt:lpwstr>
  </property>
</Properties>
</file>