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21" w:rsidP="007F755E" w:rsidRDefault="00406521">
      <w:pPr>
        <w:rPr>
          <w:rFonts w:ascii="Verdana" w:hAnsi="Verdana"/>
          <w:b/>
          <w:bCs/>
          <w:color w:val="000080"/>
          <w:sz w:val="20"/>
          <w:szCs w:val="20"/>
        </w:rPr>
      </w:pPr>
      <w:r>
        <w:rPr>
          <w:rFonts w:ascii="Verdana" w:hAnsi="Verdana"/>
          <w:b/>
          <w:bCs/>
          <w:color w:val="000080"/>
          <w:sz w:val="20"/>
          <w:szCs w:val="20"/>
        </w:rPr>
        <w:t>2015Z22388</w:t>
      </w:r>
    </w:p>
    <w:p w:rsidR="00406521" w:rsidP="007F755E" w:rsidRDefault="00406521"/>
    <w:p w:rsidR="007F755E" w:rsidP="007F755E" w:rsidRDefault="007F755E">
      <w:r>
        <w:t>Rik Grashoff zou graag een reactie van de staatssecretaris ontvangen op het bericht en onderzoek over dat ‘</w:t>
      </w:r>
      <w:proofErr w:type="spellStart"/>
      <w:r>
        <w:t>Monsanto</w:t>
      </w:r>
      <w:proofErr w:type="spellEnd"/>
      <w:r>
        <w:t xml:space="preserve"> studies </w:t>
      </w:r>
      <w:proofErr w:type="spellStart"/>
      <w:r>
        <w:t>roundup</w:t>
      </w:r>
      <w:proofErr w:type="spellEnd"/>
      <w:r>
        <w:t xml:space="preserve"> heeft vervalst’, voorafgaand aan het AO gewasbeschermingsmiddelen op 13 januari. </w:t>
      </w:r>
    </w:p>
    <w:p w:rsidR="007F755E" w:rsidP="007F755E" w:rsidRDefault="007F755E">
      <w:r>
        <w:t xml:space="preserve">Kan deze rondvraag nog mee met de procedurevergadering van vandaag? </w:t>
      </w:r>
    </w:p>
    <w:p w:rsidR="007F755E" w:rsidP="007F755E" w:rsidRDefault="007F755E"/>
    <w:p w:rsidR="007F755E" w:rsidP="007F755E" w:rsidRDefault="007F755E">
      <w:hyperlink w:history="1" r:id="rId5">
        <w:r>
          <w:rPr>
            <w:rStyle w:val="Hyperlink"/>
          </w:rPr>
          <w:t>http://www.refdag.nl/nieuws/econo</w:t>
        </w:r>
        <w:r>
          <w:rPr>
            <w:rStyle w:val="Hyperlink"/>
          </w:rPr>
          <w:t>m</w:t>
        </w:r>
        <w:r>
          <w:rPr>
            <w:rStyle w:val="Hyperlink"/>
          </w:rPr>
          <w:t>ie/monsanto_vervalste_studies_roundup_1_954840</w:t>
        </w:r>
      </w:hyperlink>
    </w:p>
    <w:p w:rsidR="00DF6B66" w:rsidRDefault="00DF6B66"/>
    <w:p w:rsidR="007F755E" w:rsidP="007F755E" w:rsidRDefault="007F755E">
      <w:pPr>
        <w:shd w:val="clear" w:color="auto" w:fill="FFFFFF"/>
        <w:spacing w:before="135" w:after="135"/>
        <w:outlineLvl w:val="0"/>
        <w:rPr>
          <w:rFonts w:ascii="Arial" w:hAnsi="Arial" w:eastAsia="Times New Roman" w:cs="Arial"/>
          <w:b/>
          <w:bCs/>
          <w:color w:val="223C7F"/>
          <w:kern w:val="36"/>
          <w:sz w:val="32"/>
          <w:szCs w:val="32"/>
          <w:lang w:eastAsia="nl-NL"/>
        </w:rPr>
      </w:pPr>
    </w:p>
    <w:p w:rsidRPr="007F755E" w:rsidR="007F755E" w:rsidP="007F755E" w:rsidRDefault="007F755E">
      <w:pPr>
        <w:shd w:val="clear" w:color="auto" w:fill="FFFFFF"/>
        <w:spacing w:before="135" w:after="135"/>
        <w:outlineLvl w:val="0"/>
        <w:rPr>
          <w:rFonts w:ascii="Arial" w:hAnsi="Arial" w:eastAsia="Times New Roman" w:cs="Arial"/>
          <w:b/>
          <w:bCs/>
          <w:color w:val="223C7F"/>
          <w:kern w:val="36"/>
          <w:sz w:val="32"/>
          <w:szCs w:val="32"/>
          <w:lang w:eastAsia="nl-NL"/>
        </w:rPr>
      </w:pPr>
      <w:r w:rsidRPr="007F755E">
        <w:rPr>
          <w:rFonts w:ascii="Arial" w:hAnsi="Arial" w:eastAsia="Times New Roman" w:cs="Arial"/>
          <w:b/>
          <w:bCs/>
          <w:color w:val="223C7F"/>
          <w:kern w:val="36"/>
          <w:sz w:val="32"/>
          <w:szCs w:val="32"/>
          <w:lang w:eastAsia="nl-NL"/>
        </w:rPr>
        <w:t>„</w:t>
      </w:r>
      <w:proofErr w:type="spellStart"/>
      <w:r w:rsidRPr="007F755E">
        <w:rPr>
          <w:rFonts w:ascii="Arial" w:hAnsi="Arial" w:eastAsia="Times New Roman" w:cs="Arial"/>
          <w:b/>
          <w:bCs/>
          <w:color w:val="223C7F"/>
          <w:kern w:val="36"/>
          <w:sz w:val="32"/>
          <w:szCs w:val="32"/>
          <w:lang w:eastAsia="nl-NL"/>
        </w:rPr>
        <w:t>Monsanto</w:t>
      </w:r>
      <w:proofErr w:type="spellEnd"/>
      <w:r w:rsidRPr="007F755E">
        <w:rPr>
          <w:rFonts w:ascii="Arial" w:hAnsi="Arial" w:eastAsia="Times New Roman" w:cs="Arial"/>
          <w:b/>
          <w:bCs/>
          <w:color w:val="223C7F"/>
          <w:kern w:val="36"/>
          <w:sz w:val="32"/>
          <w:szCs w:val="32"/>
          <w:lang w:eastAsia="nl-NL"/>
        </w:rPr>
        <w:t xml:space="preserve"> vervalste studies Roundup”</w:t>
      </w:r>
    </w:p>
    <w:p w:rsidRPr="007F755E" w:rsidR="007F755E" w:rsidP="007F755E" w:rsidRDefault="007F755E">
      <w:pPr>
        <w:shd w:val="clear" w:color="auto" w:fill="FFFFFF"/>
        <w:rPr>
          <w:rFonts w:ascii="Arial" w:hAnsi="Arial" w:eastAsia="Times New Roman" w:cs="Arial"/>
          <w:color w:val="989897"/>
          <w:sz w:val="17"/>
          <w:szCs w:val="17"/>
          <w:lang w:eastAsia="nl-NL"/>
        </w:rPr>
      </w:pPr>
      <w:r w:rsidRPr="007F755E">
        <w:rPr>
          <w:rFonts w:ascii="Arial" w:hAnsi="Arial" w:eastAsia="Times New Roman" w:cs="Arial"/>
          <w:color w:val="989897"/>
          <w:sz w:val="17"/>
          <w:szCs w:val="17"/>
          <w:lang w:eastAsia="nl-NL"/>
        </w:rPr>
        <w:t xml:space="preserve">20-11-2015 09:41 | gewijzigd 20-11-2015 12:04 | Redactie wetenschap </w:t>
      </w:r>
    </w:p>
    <w:p w:rsidRPr="007F755E" w:rsidR="007F755E" w:rsidP="007F755E" w:rsidRDefault="007F755E">
      <w:pPr>
        <w:shd w:val="clear" w:color="auto" w:fill="FFFFFF"/>
        <w:rPr>
          <w:rFonts w:ascii="Arial" w:hAnsi="Arial" w:eastAsia="Times New Roman" w:cs="Arial"/>
          <w:color w:val="303030"/>
          <w:sz w:val="18"/>
          <w:szCs w:val="18"/>
          <w:lang w:eastAsia="nl-NL"/>
        </w:rPr>
      </w:pPr>
      <w:r w:rsidRPr="007F755E">
        <w:rPr>
          <w:rFonts w:ascii="Arial" w:hAnsi="Arial" w:eastAsia="Times New Roman" w:cs="Arial"/>
          <w:noProof/>
          <w:color w:val="223C7F"/>
          <w:sz w:val="18"/>
          <w:szCs w:val="18"/>
          <w:lang w:eastAsia="nl-NL"/>
        </w:rPr>
        <w:drawing>
          <wp:inline distT="0" distB="0" distL="0" distR="0" wp14:anchorId="6625178A" wp14:editId="3804E718">
            <wp:extent cx="2857500" cy="1905000"/>
            <wp:effectExtent l="0" t="0" r="0" b="0"/>
            <wp:docPr id="1" name="Afbeelding 1" descr="„Monsanto vervalste studies Roundup” -  beeld Istock ">
              <a:hlinkClick xmlns:a="http://schemas.openxmlformats.org/drawingml/2006/main" r:id="rId6" tooltip="&quot;beeld Isto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anto vervalste studies Roundup” -  beeld Istock ">
                      <a:hlinkClick r:id="rId6" tooltip="&quot;beeld Istoc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Pr="007F755E" w:rsidR="007F755E" w:rsidP="007F755E" w:rsidRDefault="007F755E">
      <w:pPr>
        <w:shd w:val="clear" w:color="auto" w:fill="FFFFFF"/>
        <w:spacing w:line="180" w:lineRule="atLeast"/>
        <w:rPr>
          <w:rFonts w:ascii="Arial" w:hAnsi="Arial" w:eastAsia="Times New Roman" w:cs="Arial"/>
          <w:color w:val="717170"/>
          <w:sz w:val="17"/>
          <w:szCs w:val="17"/>
          <w:lang w:eastAsia="nl-NL"/>
        </w:rPr>
      </w:pPr>
      <w:proofErr w:type="gramStart"/>
      <w:r w:rsidRPr="007F755E">
        <w:rPr>
          <w:rFonts w:ascii="Arial" w:hAnsi="Arial" w:eastAsia="Times New Roman" w:cs="Arial"/>
          <w:color w:val="717170"/>
          <w:sz w:val="17"/>
          <w:szCs w:val="17"/>
          <w:lang w:eastAsia="nl-NL"/>
        </w:rPr>
        <w:t>beeld</w:t>
      </w:r>
      <w:proofErr w:type="gramEnd"/>
      <w:r w:rsidRPr="007F755E">
        <w:rPr>
          <w:rFonts w:ascii="Arial" w:hAnsi="Arial" w:eastAsia="Times New Roman" w:cs="Arial"/>
          <w:color w:val="717170"/>
          <w:sz w:val="17"/>
          <w:szCs w:val="17"/>
          <w:lang w:eastAsia="nl-NL"/>
        </w:rPr>
        <w:t xml:space="preserve"> </w:t>
      </w:r>
      <w:proofErr w:type="spellStart"/>
      <w:r w:rsidRPr="007F755E">
        <w:rPr>
          <w:rFonts w:ascii="Arial" w:hAnsi="Arial" w:eastAsia="Times New Roman" w:cs="Arial"/>
          <w:color w:val="717170"/>
          <w:sz w:val="17"/>
          <w:szCs w:val="17"/>
          <w:lang w:eastAsia="nl-NL"/>
        </w:rPr>
        <w:t>Istock</w:t>
      </w:r>
      <w:proofErr w:type="spellEnd"/>
      <w:r w:rsidRPr="007F755E">
        <w:rPr>
          <w:rFonts w:ascii="Arial" w:hAnsi="Arial" w:eastAsia="Times New Roman" w:cs="Arial"/>
          <w:color w:val="717170"/>
          <w:sz w:val="17"/>
          <w:szCs w:val="17"/>
          <w:lang w:eastAsia="nl-NL"/>
        </w:rPr>
        <w:t xml:space="preserve"> </w:t>
      </w:r>
    </w:p>
    <w:p w:rsidRPr="007F755E" w:rsidR="007F755E" w:rsidP="007F755E" w:rsidRDefault="007F755E">
      <w:pPr>
        <w:shd w:val="clear" w:color="auto" w:fill="FFFFFF"/>
        <w:spacing w:before="100" w:beforeAutospacing="1" w:after="100" w:afterAutospacing="1" w:line="255" w:lineRule="atLeast"/>
        <w:rPr>
          <w:rFonts w:ascii="Arial" w:hAnsi="Arial" w:eastAsia="Times New Roman" w:cs="Arial"/>
          <w:b/>
          <w:bCs/>
          <w:color w:val="303030"/>
          <w:sz w:val="18"/>
          <w:szCs w:val="18"/>
          <w:lang w:eastAsia="nl-NL"/>
        </w:rPr>
      </w:pPr>
      <w:r w:rsidRPr="007F755E">
        <w:rPr>
          <w:rFonts w:ascii="Arial" w:hAnsi="Arial" w:eastAsia="Times New Roman" w:cs="Arial"/>
          <w:b/>
          <w:bCs/>
          <w:color w:val="303030"/>
          <w:sz w:val="18"/>
          <w:szCs w:val="18"/>
          <w:lang w:eastAsia="nl-NL"/>
        </w:rPr>
        <w:t xml:space="preserve">De multinational </w:t>
      </w:r>
      <w:proofErr w:type="spellStart"/>
      <w:r w:rsidRPr="007F755E">
        <w:rPr>
          <w:rFonts w:ascii="Arial" w:hAnsi="Arial" w:eastAsia="Times New Roman" w:cs="Arial"/>
          <w:b/>
          <w:bCs/>
          <w:color w:val="303030"/>
          <w:sz w:val="18"/>
          <w:szCs w:val="18"/>
          <w:lang w:eastAsia="nl-NL"/>
        </w:rPr>
        <w:t>Monsanto</w:t>
      </w:r>
      <w:proofErr w:type="spellEnd"/>
      <w:r w:rsidRPr="007F755E">
        <w:rPr>
          <w:rFonts w:ascii="Arial" w:hAnsi="Arial" w:eastAsia="Times New Roman" w:cs="Arial"/>
          <w:b/>
          <w:bCs/>
          <w:color w:val="303030"/>
          <w:sz w:val="18"/>
          <w:szCs w:val="18"/>
          <w:lang w:eastAsia="nl-NL"/>
        </w:rPr>
        <w:t xml:space="preserve"> heeft bij de toelatingsprocedures van het veelgebruikte onkruidverdelgingsmiddel glyfosaat gerommeld met studieresultaten. Kankerverwekkende effecten van het middel werden hierdoor verdoezeld, waardoor glyfosaat kon worden toegelaten tot de markt. </w:t>
      </w:r>
    </w:p>
    <w:p w:rsidRPr="007F755E" w:rsidR="007F755E" w:rsidP="007F755E" w:rsidRDefault="007F755E">
      <w:pPr>
        <w:shd w:val="clear" w:color="auto" w:fill="FFFFFF"/>
        <w:spacing w:before="100" w:beforeAutospacing="1" w:after="100" w:afterAutospacing="1" w:line="255" w:lineRule="atLeast"/>
        <w:rPr>
          <w:rFonts w:ascii="Arial" w:hAnsi="Arial" w:eastAsia="Times New Roman" w:cs="Arial"/>
          <w:color w:val="303030"/>
          <w:sz w:val="18"/>
          <w:szCs w:val="18"/>
          <w:lang w:eastAsia="nl-NL"/>
        </w:rPr>
      </w:pPr>
      <w:r w:rsidRPr="007F755E">
        <w:rPr>
          <w:rFonts w:ascii="Arial" w:hAnsi="Arial" w:eastAsia="Times New Roman" w:cs="Arial"/>
          <w:color w:val="303030"/>
          <w:sz w:val="18"/>
          <w:szCs w:val="18"/>
          <w:lang w:eastAsia="nl-NL"/>
        </w:rPr>
        <w:t>Dat stellen twee Amerikaanse wetenschappers in een deze week gepubliceerd onderzoeksrapport. Glyfosaat is de werkzame stof van onder meer de middelen Round</w:t>
      </w:r>
      <w:r w:rsidRPr="007F755E">
        <w:rPr>
          <w:rFonts w:ascii="Arial" w:hAnsi="Arial" w:eastAsia="Times New Roman" w:cs="Arial"/>
          <w:color w:val="303030"/>
          <w:sz w:val="18"/>
          <w:szCs w:val="18"/>
          <w:lang w:eastAsia="nl-NL"/>
        </w:rPr>
        <w:softHyphen/>
        <w:t xml:space="preserve">up, </w:t>
      </w:r>
      <w:proofErr w:type="spellStart"/>
      <w:r w:rsidRPr="007F755E">
        <w:rPr>
          <w:rFonts w:ascii="Arial" w:hAnsi="Arial" w:eastAsia="Times New Roman" w:cs="Arial"/>
          <w:color w:val="303030"/>
          <w:sz w:val="18"/>
          <w:szCs w:val="18"/>
          <w:lang w:eastAsia="nl-NL"/>
        </w:rPr>
        <w:t>Cleanup</w:t>
      </w:r>
      <w:proofErr w:type="spellEnd"/>
      <w:r w:rsidRPr="007F755E">
        <w:rPr>
          <w:rFonts w:ascii="Arial" w:hAnsi="Arial" w:eastAsia="Times New Roman" w:cs="Arial"/>
          <w:color w:val="303030"/>
          <w:sz w:val="18"/>
          <w:szCs w:val="18"/>
          <w:lang w:eastAsia="nl-NL"/>
        </w:rPr>
        <w:t xml:space="preserve"> en </w:t>
      </w:r>
      <w:proofErr w:type="spellStart"/>
      <w:r w:rsidRPr="007F755E">
        <w:rPr>
          <w:rFonts w:ascii="Arial" w:hAnsi="Arial" w:eastAsia="Times New Roman" w:cs="Arial"/>
          <w:color w:val="303030"/>
          <w:sz w:val="18"/>
          <w:szCs w:val="18"/>
          <w:lang w:eastAsia="nl-NL"/>
        </w:rPr>
        <w:t>Brushkiller</w:t>
      </w:r>
      <w:proofErr w:type="spellEnd"/>
      <w:r w:rsidRPr="007F755E">
        <w:rPr>
          <w:rFonts w:ascii="Arial" w:hAnsi="Arial" w:eastAsia="Times New Roman" w:cs="Arial"/>
          <w:color w:val="303030"/>
          <w:sz w:val="18"/>
          <w:szCs w:val="18"/>
          <w:lang w:eastAsia="nl-NL"/>
        </w:rPr>
        <w:t>.</w:t>
      </w:r>
    </w:p>
    <w:p w:rsidRPr="007F755E" w:rsidR="007F755E" w:rsidP="007F755E" w:rsidRDefault="007F755E">
      <w:pPr>
        <w:shd w:val="clear" w:color="auto" w:fill="FFFFFF"/>
        <w:spacing w:before="100" w:beforeAutospacing="1" w:after="100" w:afterAutospacing="1" w:line="255" w:lineRule="atLeast"/>
        <w:rPr>
          <w:rFonts w:ascii="Arial" w:hAnsi="Arial" w:eastAsia="Times New Roman" w:cs="Arial"/>
          <w:color w:val="303030"/>
          <w:sz w:val="18"/>
          <w:szCs w:val="18"/>
          <w:lang w:eastAsia="nl-NL"/>
        </w:rPr>
      </w:pPr>
      <w:r w:rsidRPr="007F755E">
        <w:rPr>
          <w:rFonts w:ascii="Arial" w:hAnsi="Arial" w:eastAsia="Times New Roman" w:cs="Arial"/>
          <w:color w:val="303030"/>
          <w:sz w:val="18"/>
          <w:szCs w:val="18"/>
          <w:lang w:eastAsia="nl-NL"/>
        </w:rPr>
        <w:t xml:space="preserve">De wetenschappers kregen met een beroep op wetgeving inzage in niet-openbare studies. Uit deze onderzoeken met glyfosaat die </w:t>
      </w:r>
      <w:proofErr w:type="spellStart"/>
      <w:r w:rsidRPr="007F755E">
        <w:rPr>
          <w:rFonts w:ascii="Arial" w:hAnsi="Arial" w:eastAsia="Times New Roman" w:cs="Arial"/>
          <w:color w:val="303030"/>
          <w:sz w:val="18"/>
          <w:szCs w:val="18"/>
          <w:lang w:eastAsia="nl-NL"/>
        </w:rPr>
        <w:t>Monsanto</w:t>
      </w:r>
      <w:proofErr w:type="spellEnd"/>
      <w:r w:rsidRPr="007F755E">
        <w:rPr>
          <w:rFonts w:ascii="Arial" w:hAnsi="Arial" w:eastAsia="Times New Roman" w:cs="Arial"/>
          <w:color w:val="303030"/>
          <w:sz w:val="18"/>
          <w:szCs w:val="18"/>
          <w:lang w:eastAsia="nl-NL"/>
        </w:rPr>
        <w:t xml:space="preserve"> in de jaren tachtig van de vorige eeuw zelf uitvoerde, bleek een verhoogd risico op kanker bij ratten. Het ging om tumoren van de hypofyse, schildklier, thymus, borstklieren, zaadballen, nieren, alvleesklier, lever en longen. Door de resultaten te combineren met gegevens uit andere studies, kon </w:t>
      </w:r>
      <w:proofErr w:type="spellStart"/>
      <w:r w:rsidRPr="007F755E">
        <w:rPr>
          <w:rFonts w:ascii="Arial" w:hAnsi="Arial" w:eastAsia="Times New Roman" w:cs="Arial"/>
          <w:color w:val="303030"/>
          <w:sz w:val="18"/>
          <w:szCs w:val="18"/>
          <w:lang w:eastAsia="nl-NL"/>
        </w:rPr>
        <w:t>Monsanto</w:t>
      </w:r>
      <w:proofErr w:type="spellEnd"/>
      <w:r w:rsidRPr="007F755E">
        <w:rPr>
          <w:rFonts w:ascii="Arial" w:hAnsi="Arial" w:eastAsia="Times New Roman" w:cs="Arial"/>
          <w:color w:val="303030"/>
          <w:sz w:val="18"/>
          <w:szCs w:val="18"/>
          <w:lang w:eastAsia="nl-NL"/>
        </w:rPr>
        <w:t xml:space="preserve"> het statistisch significante effect wegwerken, aldus de Amerikaanse onderzoekers. Ook uit een studie met muizen bleek dat glyfosaat kankerverwekkende eigenschappen had. „Zonder dit bedrog was het middel waarschijnlijk nooit tot de markt toegelaten”, aldus de twee wetenschappers in hun rapport.</w:t>
      </w:r>
    </w:p>
    <w:p w:rsidRPr="007F755E" w:rsidR="007F755E" w:rsidP="007F755E" w:rsidRDefault="007F755E">
      <w:pPr>
        <w:shd w:val="clear" w:color="auto" w:fill="FFFFFF"/>
        <w:spacing w:before="100" w:beforeAutospacing="1" w:after="100" w:afterAutospacing="1" w:line="255" w:lineRule="atLeast"/>
        <w:rPr>
          <w:rFonts w:ascii="Arial" w:hAnsi="Arial" w:eastAsia="Times New Roman" w:cs="Arial"/>
          <w:color w:val="303030"/>
          <w:sz w:val="18"/>
          <w:szCs w:val="18"/>
          <w:lang w:eastAsia="nl-NL"/>
        </w:rPr>
      </w:pPr>
      <w:r w:rsidRPr="007F755E">
        <w:rPr>
          <w:rFonts w:ascii="Arial" w:hAnsi="Arial" w:eastAsia="Times New Roman" w:cs="Arial"/>
          <w:color w:val="303030"/>
          <w:sz w:val="18"/>
          <w:szCs w:val="18"/>
          <w:lang w:eastAsia="nl-NL"/>
        </w:rPr>
        <w:t>Tegelijk met de toename van het gebruik van glyfosaat signaleren de Amerikaanse onderzoekers in epidemiologische studies bij mensen een duidelijk verband met een stijgend aantal tumoren in schildklier, blaas, lever, alvleesklier en nieren en ook met bepaalde auto-immuunziekten.</w:t>
      </w:r>
    </w:p>
    <w:p w:rsidRPr="007F755E" w:rsidR="007F755E" w:rsidP="007F755E" w:rsidRDefault="007F755E">
      <w:pPr>
        <w:shd w:val="clear" w:color="auto" w:fill="FFFFFF"/>
        <w:spacing w:before="100" w:beforeAutospacing="1" w:after="100" w:afterAutospacing="1" w:line="255" w:lineRule="atLeast"/>
        <w:rPr>
          <w:rFonts w:ascii="Arial" w:hAnsi="Arial" w:eastAsia="Times New Roman" w:cs="Arial"/>
          <w:color w:val="303030"/>
          <w:sz w:val="18"/>
          <w:szCs w:val="18"/>
          <w:lang w:eastAsia="nl-NL"/>
        </w:rPr>
      </w:pPr>
      <w:r w:rsidRPr="007F755E">
        <w:rPr>
          <w:rFonts w:ascii="Arial" w:hAnsi="Arial" w:eastAsia="Times New Roman" w:cs="Arial"/>
          <w:color w:val="303030"/>
          <w:sz w:val="18"/>
          <w:szCs w:val="18"/>
          <w:lang w:eastAsia="nl-NL"/>
        </w:rPr>
        <w:t>Dit voorjaar verklaarde de WHO op basis van een grootschalig literatuuronderzoek al dat glyfosaat „waarschijnlijk kankerverwekkend” is. De Europese voedselautoriteit EFSA adviseerde vorige week echter, tot grote woede van de Duitse milieubeweging, dat de blootstellingslimiet van glyfosaat omhoog kon.</w:t>
      </w:r>
    </w:p>
    <w:p w:rsidR="007F755E" w:rsidP="00406521" w:rsidRDefault="007F755E">
      <w:pPr>
        <w:shd w:val="clear" w:color="auto" w:fill="FFFFFF"/>
        <w:spacing w:before="100" w:beforeAutospacing="1" w:after="100" w:afterAutospacing="1" w:line="255" w:lineRule="atLeast"/>
      </w:pPr>
      <w:r w:rsidRPr="007F755E">
        <w:rPr>
          <w:rFonts w:ascii="Arial" w:hAnsi="Arial" w:eastAsia="Times New Roman" w:cs="Arial"/>
          <w:color w:val="303030"/>
          <w:sz w:val="18"/>
          <w:szCs w:val="18"/>
          <w:lang w:eastAsia="nl-NL"/>
        </w:rPr>
        <w:t>Dit jaar verbood Sri Lanka als eerste land het gebruik van glyfosaat. In ons land hebben veel winkelketens, waaronder Hornbach, Groenrijk en Intratuin, Roundup recent uit het schap gehaald.</w:t>
      </w:r>
      <w:bookmarkStart w:name="_GoBack" w:id="0"/>
      <w:bookmarkEnd w:id="0"/>
    </w:p>
    <w:sectPr w:rsidR="007F755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5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06521"/>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7F755E"/>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755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755E"/>
    <w:rPr>
      <w:color w:val="0000FF"/>
      <w:u w:val="single"/>
    </w:rPr>
  </w:style>
  <w:style w:type="character" w:styleId="GevolgdeHyperlink">
    <w:name w:val="FollowedHyperlink"/>
    <w:basedOn w:val="Standaardalinea-lettertype"/>
    <w:rsid w:val="007F755E"/>
    <w:rPr>
      <w:color w:val="800080" w:themeColor="followedHyperlink"/>
      <w:u w:val="single"/>
    </w:rPr>
  </w:style>
  <w:style w:type="paragraph" w:styleId="Ballontekst">
    <w:name w:val="Balloon Text"/>
    <w:basedOn w:val="Standaard"/>
    <w:link w:val="BallontekstChar"/>
    <w:rsid w:val="007F755E"/>
    <w:rPr>
      <w:rFonts w:ascii="Tahoma" w:hAnsi="Tahoma" w:cs="Tahoma"/>
      <w:sz w:val="16"/>
      <w:szCs w:val="16"/>
    </w:rPr>
  </w:style>
  <w:style w:type="character" w:customStyle="1" w:styleId="BallontekstChar">
    <w:name w:val="Ballontekst Char"/>
    <w:basedOn w:val="Standaardalinea-lettertype"/>
    <w:link w:val="Ballontekst"/>
    <w:rsid w:val="007F755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755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755E"/>
    <w:rPr>
      <w:color w:val="0000FF"/>
      <w:u w:val="single"/>
    </w:rPr>
  </w:style>
  <w:style w:type="character" w:styleId="GevolgdeHyperlink">
    <w:name w:val="FollowedHyperlink"/>
    <w:basedOn w:val="Standaardalinea-lettertype"/>
    <w:rsid w:val="007F755E"/>
    <w:rPr>
      <w:color w:val="800080" w:themeColor="followedHyperlink"/>
      <w:u w:val="single"/>
    </w:rPr>
  </w:style>
  <w:style w:type="paragraph" w:styleId="Ballontekst">
    <w:name w:val="Balloon Text"/>
    <w:basedOn w:val="Standaard"/>
    <w:link w:val="BallontekstChar"/>
    <w:rsid w:val="007F755E"/>
    <w:rPr>
      <w:rFonts w:ascii="Tahoma" w:hAnsi="Tahoma" w:cs="Tahoma"/>
      <w:sz w:val="16"/>
      <w:szCs w:val="16"/>
    </w:rPr>
  </w:style>
  <w:style w:type="character" w:customStyle="1" w:styleId="BallontekstChar">
    <w:name w:val="Ballontekst Char"/>
    <w:basedOn w:val="Standaardalinea-lettertype"/>
    <w:link w:val="Ballontekst"/>
    <w:rsid w:val="007F755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2621">
      <w:bodyDiv w:val="1"/>
      <w:marLeft w:val="0"/>
      <w:marRight w:val="0"/>
      <w:marTop w:val="0"/>
      <w:marBottom w:val="0"/>
      <w:divBdr>
        <w:top w:val="none" w:sz="0" w:space="0" w:color="auto"/>
        <w:left w:val="none" w:sz="0" w:space="0" w:color="auto"/>
        <w:bottom w:val="none" w:sz="0" w:space="0" w:color="auto"/>
        <w:right w:val="none" w:sz="0" w:space="0" w:color="auto"/>
      </w:divBdr>
      <w:divsChild>
        <w:div w:id="394552937">
          <w:marLeft w:val="0"/>
          <w:marRight w:val="0"/>
          <w:marTop w:val="0"/>
          <w:marBottom w:val="0"/>
          <w:divBdr>
            <w:top w:val="none" w:sz="0" w:space="0" w:color="auto"/>
            <w:left w:val="none" w:sz="0" w:space="0" w:color="auto"/>
            <w:bottom w:val="none" w:sz="0" w:space="0" w:color="auto"/>
            <w:right w:val="none" w:sz="0" w:space="0" w:color="auto"/>
          </w:divBdr>
          <w:divsChild>
            <w:div w:id="1580869462">
              <w:marLeft w:val="0"/>
              <w:marRight w:val="0"/>
              <w:marTop w:val="0"/>
              <w:marBottom w:val="0"/>
              <w:divBdr>
                <w:top w:val="none" w:sz="0" w:space="0" w:color="auto"/>
                <w:left w:val="none" w:sz="0" w:space="0" w:color="auto"/>
                <w:bottom w:val="none" w:sz="0" w:space="0" w:color="auto"/>
                <w:right w:val="none" w:sz="0" w:space="0" w:color="auto"/>
              </w:divBdr>
              <w:divsChild>
                <w:div w:id="1364330148">
                  <w:marLeft w:val="0"/>
                  <w:marRight w:val="0"/>
                  <w:marTop w:val="0"/>
                  <w:marBottom w:val="0"/>
                  <w:divBdr>
                    <w:top w:val="none" w:sz="0" w:space="0" w:color="auto"/>
                    <w:left w:val="none" w:sz="0" w:space="0" w:color="auto"/>
                    <w:bottom w:val="none" w:sz="0" w:space="0" w:color="auto"/>
                    <w:right w:val="none" w:sz="0" w:space="0" w:color="auto"/>
                  </w:divBdr>
                  <w:divsChild>
                    <w:div w:id="2145854405">
                      <w:marLeft w:val="0"/>
                      <w:marRight w:val="0"/>
                      <w:marTop w:val="0"/>
                      <w:marBottom w:val="0"/>
                      <w:divBdr>
                        <w:top w:val="none" w:sz="0" w:space="0" w:color="auto"/>
                        <w:left w:val="none" w:sz="0" w:space="0" w:color="auto"/>
                        <w:bottom w:val="none" w:sz="0" w:space="0" w:color="auto"/>
                        <w:right w:val="none" w:sz="0" w:space="0" w:color="auto"/>
                      </w:divBdr>
                      <w:divsChild>
                        <w:div w:id="1789084610">
                          <w:marLeft w:val="0"/>
                          <w:marRight w:val="0"/>
                          <w:marTop w:val="0"/>
                          <w:marBottom w:val="0"/>
                          <w:divBdr>
                            <w:top w:val="none" w:sz="0" w:space="0" w:color="auto"/>
                            <w:left w:val="none" w:sz="0" w:space="0" w:color="auto"/>
                            <w:bottom w:val="none" w:sz="0" w:space="0" w:color="auto"/>
                            <w:right w:val="none" w:sz="0" w:space="0" w:color="auto"/>
                          </w:divBdr>
                          <w:divsChild>
                            <w:div w:id="91902441">
                              <w:marLeft w:val="0"/>
                              <w:marRight w:val="0"/>
                              <w:marTop w:val="0"/>
                              <w:marBottom w:val="0"/>
                              <w:divBdr>
                                <w:top w:val="none" w:sz="0" w:space="0" w:color="auto"/>
                                <w:left w:val="none" w:sz="0" w:space="0" w:color="auto"/>
                                <w:bottom w:val="none" w:sz="0" w:space="0" w:color="auto"/>
                                <w:right w:val="none" w:sz="0" w:space="0" w:color="auto"/>
                              </w:divBdr>
                              <w:divsChild>
                                <w:div w:id="1789351362">
                                  <w:marLeft w:val="0"/>
                                  <w:marRight w:val="0"/>
                                  <w:marTop w:val="0"/>
                                  <w:marBottom w:val="0"/>
                                  <w:divBdr>
                                    <w:top w:val="none" w:sz="0" w:space="0" w:color="auto"/>
                                    <w:left w:val="none" w:sz="0" w:space="0" w:color="auto"/>
                                    <w:bottom w:val="none" w:sz="0" w:space="0" w:color="auto"/>
                                    <w:right w:val="none" w:sz="0" w:space="0" w:color="auto"/>
                                  </w:divBdr>
                                  <w:divsChild>
                                    <w:div w:id="1008630038">
                                      <w:marLeft w:val="0"/>
                                      <w:marRight w:val="0"/>
                                      <w:marTop w:val="0"/>
                                      <w:marBottom w:val="0"/>
                                      <w:divBdr>
                                        <w:top w:val="none" w:sz="0" w:space="0" w:color="auto"/>
                                        <w:left w:val="none" w:sz="0" w:space="0" w:color="auto"/>
                                        <w:bottom w:val="none" w:sz="0" w:space="0" w:color="auto"/>
                                        <w:right w:val="none" w:sz="0" w:space="0" w:color="auto"/>
                                      </w:divBdr>
                                      <w:divsChild>
                                        <w:div w:id="688800657">
                                          <w:marLeft w:val="0"/>
                                          <w:marRight w:val="0"/>
                                          <w:marTop w:val="0"/>
                                          <w:marBottom w:val="0"/>
                                          <w:divBdr>
                                            <w:top w:val="none" w:sz="0" w:space="0" w:color="auto"/>
                                            <w:left w:val="none" w:sz="0" w:space="0" w:color="auto"/>
                                            <w:bottom w:val="none" w:sz="0" w:space="0" w:color="auto"/>
                                            <w:right w:val="none" w:sz="0" w:space="0" w:color="auto"/>
                                          </w:divBdr>
                                        </w:div>
                                        <w:div w:id="921330649">
                                          <w:marLeft w:val="0"/>
                                          <w:marRight w:val="195"/>
                                          <w:marTop w:val="0"/>
                                          <w:marBottom w:val="0"/>
                                          <w:divBdr>
                                            <w:top w:val="none" w:sz="0" w:space="0" w:color="auto"/>
                                            <w:left w:val="none" w:sz="0" w:space="0" w:color="auto"/>
                                            <w:bottom w:val="none" w:sz="0" w:space="0" w:color="auto"/>
                                            <w:right w:val="none" w:sz="0" w:space="0" w:color="auto"/>
                                          </w:divBdr>
                                          <w:divsChild>
                                            <w:div w:id="738290797">
                                              <w:marLeft w:val="0"/>
                                              <w:marRight w:val="0"/>
                                              <w:marTop w:val="0"/>
                                              <w:marBottom w:val="225"/>
                                              <w:divBdr>
                                                <w:top w:val="none" w:sz="0" w:space="0" w:color="auto"/>
                                                <w:left w:val="none" w:sz="0" w:space="0" w:color="auto"/>
                                                <w:bottom w:val="none" w:sz="0" w:space="0" w:color="auto"/>
                                                <w:right w:val="single" w:sz="6" w:space="0" w:color="C8C8C8"/>
                                              </w:divBdr>
                                              <w:divsChild>
                                                <w:div w:id="515770299">
                                                  <w:marLeft w:val="0"/>
                                                  <w:marRight w:val="0"/>
                                                  <w:marTop w:val="0"/>
                                                  <w:marBottom w:val="90"/>
                                                  <w:divBdr>
                                                    <w:top w:val="none" w:sz="0" w:space="0" w:color="auto"/>
                                                    <w:left w:val="none" w:sz="0" w:space="0" w:color="auto"/>
                                                    <w:bottom w:val="single" w:sz="6" w:space="0" w:color="C8C8C8"/>
                                                    <w:right w:val="none" w:sz="0" w:space="0" w:color="auto"/>
                                                  </w:divBdr>
                                                </w:div>
                                                <w:div w:id="1576476261">
                                                  <w:marLeft w:val="0"/>
                                                  <w:marRight w:val="0"/>
                                                  <w:marTop w:val="0"/>
                                                  <w:marBottom w:val="0"/>
                                                  <w:divBdr>
                                                    <w:top w:val="none" w:sz="0" w:space="0" w:color="auto"/>
                                                    <w:left w:val="none" w:sz="0" w:space="0" w:color="auto"/>
                                                    <w:bottom w:val="none" w:sz="0" w:space="0" w:color="auto"/>
                                                    <w:right w:val="none" w:sz="0" w:space="0" w:color="auto"/>
                                                  </w:divBdr>
                                                  <w:divsChild>
                                                    <w:div w:id="1341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refdag.nl/polopoly_fs/2015_11_20_econ14_roundup_3_fc_web_1_954839!image/2271843891.jpg" TargetMode="External" Id="rId6" /><Relationship Type="http://schemas.openxmlformats.org/officeDocument/2006/relationships/hyperlink" Target="http://www.refdag.nl/nieuws/economie/monsanto_vervalste_studies_roundup_1_954840"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324</ap:Words>
  <ap:Characters>2238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2015-11-24T13:02:00.0000000Z</dcterms:created>
  <dcterms:modified xsi:type="dcterms:W3CDTF">2015-11-24T13:02:00.0000000Z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