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E18" w:rsidP="00203D52" w:rsidRDefault="00150E18">
      <w:pPr>
        <w:pStyle w:val="Heading1"/>
        <w:spacing w:before="720" w:after="480"/>
        <w:rPr>
          <w:lang w:val="nl-BE"/>
        </w:rPr>
      </w:pPr>
      <w:r>
        <w:rPr>
          <w:lang w:val="nl-BE"/>
        </w:rPr>
        <w:fldChar w:fldCharType="begin"/>
      </w:r>
      <w:r>
        <w:rPr>
          <w:lang w:val="nl-BE"/>
        </w:rPr>
        <w:instrText xml:space="preserve"> MACROBUTTON NUMBERING </w:instrText>
      </w:r>
      <w:r>
        <w:rPr>
          <w:lang w:val="nl-BE"/>
        </w:rPr>
        <w:fldChar w:fldCharType="begin"/>
      </w:r>
      <w:r>
        <w:rPr>
          <w:lang w:val="nl-BE"/>
        </w:rPr>
        <w:instrText xml:space="preserve"> SEQ  cpara \h \r 0</w:instrText>
      </w:r>
      <w:r>
        <w:rPr>
          <w:lang w:val="nl-BE"/>
        </w:rPr>
        <w:fldChar w:fldCharType="end"/>
      </w:r>
      <w:r>
        <w:rPr>
          <w:lang w:val="nl-BE"/>
        </w:rPr>
        <w:fldChar w:fldCharType="begin"/>
      </w:r>
      <w:r>
        <w:rPr>
          <w:lang w:val="nl-BE"/>
        </w:rPr>
        <w:instrText xml:space="preserve"> SEQ  ccount \h</w:instrText>
      </w:r>
      <w:r>
        <w:rPr>
          <w:lang w:val="nl-BE"/>
        </w:rPr>
        <w:fldChar w:fldCharType="end"/>
      </w:r>
      <w:r>
        <w:rPr>
          <w:lang w:val="nl-BE"/>
        </w:rPr>
        <w:fldChar w:fldCharType="end"/>
      </w:r>
      <w:r w:rsidRPr="00C541FD" w:rsidR="00203D52">
        <w:rPr>
          <w:lang w:val="nl-BE"/>
        </w:rPr>
        <w:t>Notitie Hoorzitting Tweede Kamer</w:t>
      </w:r>
      <w:r w:rsidR="00203D52">
        <w:rPr>
          <w:lang w:val="nl-BE"/>
        </w:rPr>
        <w:t>, Vrijdag</w:t>
      </w:r>
      <w:r w:rsidRPr="00C541FD" w:rsidR="00203D52">
        <w:rPr>
          <w:lang w:val="nl-BE"/>
        </w:rPr>
        <w:t xml:space="preserve"> </w:t>
      </w:r>
      <w:r w:rsidR="00203D52">
        <w:rPr>
          <w:lang w:val="nl-BE"/>
        </w:rPr>
        <w:t>20</w:t>
      </w:r>
      <w:r w:rsidRPr="00C541FD" w:rsidR="00203D52">
        <w:rPr>
          <w:lang w:val="nl-BE"/>
        </w:rPr>
        <w:t xml:space="preserve"> November 2015</w:t>
      </w:r>
    </w:p>
    <w:p w:rsidRPr="00150E18" w:rsidR="00203D52" w:rsidP="00203D52" w:rsidRDefault="00150E18">
      <w:pPr>
        <w:pStyle w:val="Heading1"/>
        <w:spacing w:before="720" w:after="480"/>
        <w:rPr>
          <w:lang w:val="nl-BE"/>
        </w:rPr>
      </w:pPr>
      <w:r>
        <w:rPr>
          <w:lang w:val="nl-BE"/>
        </w:rPr>
        <w:fldChar w:fldCharType="begin"/>
      </w:r>
      <w:r>
        <w:rPr>
          <w:lang w:val="nl-BE"/>
        </w:rPr>
        <w:instrText xml:space="preserve"> MACROBUTTON NUMBERING </w:instrText>
      </w:r>
      <w:r>
        <w:rPr>
          <w:lang w:val="nl-BE"/>
        </w:rPr>
        <w:fldChar w:fldCharType="begin"/>
      </w:r>
      <w:r>
        <w:rPr>
          <w:lang w:val="nl-BE"/>
        </w:rPr>
        <w:instrText xml:space="preserve"> SEQ  cpara \h \r 0</w:instrText>
      </w:r>
      <w:r>
        <w:rPr>
          <w:lang w:val="nl-BE"/>
        </w:rPr>
        <w:fldChar w:fldCharType="end"/>
      </w:r>
      <w:r>
        <w:rPr>
          <w:lang w:val="nl-BE"/>
        </w:rPr>
        <w:fldChar w:fldCharType="begin"/>
      </w:r>
      <w:r>
        <w:rPr>
          <w:lang w:val="nl-BE"/>
        </w:rPr>
        <w:instrText xml:space="preserve"> SEQ  ccount \h</w:instrText>
      </w:r>
      <w:r>
        <w:rPr>
          <w:lang w:val="nl-BE"/>
        </w:rPr>
        <w:fldChar w:fldCharType="end"/>
      </w:r>
      <w:r>
        <w:rPr>
          <w:lang w:val="nl-BE"/>
        </w:rPr>
        <w:fldChar w:fldCharType="end"/>
      </w:r>
      <w:r w:rsidRPr="00150E18" w:rsidR="00203D52">
        <w:rPr>
          <w:lang w:val="nl-BE"/>
        </w:rPr>
        <w:t xml:space="preserve"> </w:t>
      </w:r>
      <w:r w:rsidRPr="00150E18" w:rsidR="00203D52">
        <w:rPr>
          <w:lang w:val="nl-BE"/>
        </w:rPr>
        <w:t>Dirk Pilat, Adjunct directeur voor Wetenschap, Technologie en Innovatie</w:t>
      </w:r>
      <w:r>
        <w:rPr>
          <w:lang w:val="nl-BE"/>
        </w:rPr>
        <w:t xml:space="preserve">, </w:t>
      </w:r>
      <w:r w:rsidRPr="00150E18" w:rsidR="00203D52">
        <w:rPr>
          <w:lang w:val="nl-BE"/>
        </w:rPr>
        <w:t>O</w:t>
      </w:r>
      <w:r>
        <w:rPr>
          <w:lang w:val="nl-BE"/>
        </w:rPr>
        <w:t>rganisatie voor economische samenwerking en ontwikkeling, parijs</w:t>
      </w:r>
    </w:p>
    <w:p w:rsidR="00203D52" w:rsidP="00203D52" w:rsidRDefault="00203D52">
      <w:pPr>
        <w:pStyle w:val="ListParagraph"/>
        <w:numPr>
          <w:ilvl w:val="0"/>
          <w:numId w:val="17"/>
        </w:numPr>
        <w:jc w:val="both"/>
        <w:rPr>
          <w:lang w:val="nl-BE"/>
        </w:rPr>
      </w:pPr>
      <w:r>
        <w:rPr>
          <w:lang w:val="nl-BE"/>
        </w:rPr>
        <w:t>Er is v</w:t>
      </w:r>
      <w:r w:rsidRPr="002F6E97">
        <w:rPr>
          <w:lang w:val="nl-BE"/>
        </w:rPr>
        <w:t xml:space="preserve">eel positief </w:t>
      </w:r>
      <w:r>
        <w:rPr>
          <w:lang w:val="nl-BE"/>
        </w:rPr>
        <w:t>te zeggen over het Nederlandse hoger onderwijs en onderzoek, en de sterke positie van Nederland is o</w:t>
      </w:r>
      <w:r w:rsidRPr="002F6E97">
        <w:rPr>
          <w:lang w:val="nl-BE"/>
        </w:rPr>
        <w:t>ok zichtbaar</w:t>
      </w:r>
      <w:r>
        <w:rPr>
          <w:lang w:val="nl-BE"/>
        </w:rPr>
        <w:t xml:space="preserve"> in relevante OESO indic</w:t>
      </w:r>
      <w:r w:rsidRPr="002F6E97">
        <w:rPr>
          <w:lang w:val="nl-BE"/>
        </w:rPr>
        <w:t>atoren</w:t>
      </w:r>
      <w:r>
        <w:rPr>
          <w:lang w:val="nl-BE"/>
        </w:rPr>
        <w:t xml:space="preserve">, o.a. van het recente </w:t>
      </w:r>
      <w:r w:rsidRPr="00341CC2">
        <w:rPr>
          <w:i/>
          <w:lang w:val="nl-BE"/>
        </w:rPr>
        <w:t>Science, Technology and Industry Scoreboard 2015</w:t>
      </w:r>
      <w:r>
        <w:rPr>
          <w:lang w:val="nl-BE"/>
        </w:rPr>
        <w:t xml:space="preserve"> (</w:t>
      </w:r>
      <w:hyperlink w:history="1" r:id="rId9">
        <w:r w:rsidRPr="007B49AF">
          <w:rPr>
            <w:rStyle w:val="Hyperlink"/>
            <w:lang w:val="nl-BE"/>
          </w:rPr>
          <w:t>www.oe.cd/sti-scoreboard</w:t>
        </w:r>
      </w:hyperlink>
      <w:r>
        <w:rPr>
          <w:lang w:val="nl-BE"/>
        </w:rPr>
        <w:t xml:space="preserve">). De </w:t>
      </w:r>
      <w:r w:rsidRPr="002F6E97">
        <w:rPr>
          <w:lang w:val="nl-BE"/>
        </w:rPr>
        <w:t>kwaliteit van wetenschappelijk onderzoek</w:t>
      </w:r>
      <w:r>
        <w:rPr>
          <w:lang w:val="nl-BE"/>
        </w:rPr>
        <w:t xml:space="preserve"> in Nederland is hoog</w:t>
      </w:r>
      <w:r w:rsidRPr="002F6E97">
        <w:rPr>
          <w:lang w:val="nl-BE"/>
        </w:rPr>
        <w:t>, me</w:t>
      </w:r>
      <w:r>
        <w:rPr>
          <w:lang w:val="nl-BE"/>
        </w:rPr>
        <w:t>de dankzij een</w:t>
      </w:r>
      <w:r w:rsidRPr="002F6E97">
        <w:rPr>
          <w:lang w:val="nl-BE"/>
        </w:rPr>
        <w:t xml:space="preserve"> hoog niveau van in</w:t>
      </w:r>
      <w:r>
        <w:rPr>
          <w:lang w:val="nl-BE"/>
        </w:rPr>
        <w:t>ternationale samenwerking (</w:t>
      </w:r>
      <w:r w:rsidRPr="005148E6">
        <w:rPr>
          <w:b/>
          <w:lang w:val="nl-BE"/>
        </w:rPr>
        <w:t>Figuur 1</w:t>
      </w:r>
      <w:r>
        <w:rPr>
          <w:lang w:val="nl-BE"/>
        </w:rPr>
        <w:t xml:space="preserve">). Er is sterkte in de breedte (met veel sterke universiteiten), een behoorlijk goede samenwerking met het bedrijfsleven, met bijna 20% van onderzoek en ontwikkeling in de publieke sector gefinancierd door het bedrijfsleven. Daarbij hoort wel te worden aangegeven dat Nederland minder attractief </w:t>
      </w:r>
      <w:r w:rsidR="00150E18">
        <w:rPr>
          <w:lang w:val="nl-BE"/>
        </w:rPr>
        <w:t>lijkt te zijn</w:t>
      </w:r>
      <w:r>
        <w:rPr>
          <w:lang w:val="nl-BE"/>
        </w:rPr>
        <w:t xml:space="preserve"> geworden voor internationaal talent, met (volgens de laatste OESO berekeningen) een netto uitstroom van onderzoekers over de laatste 10 jaar (</w:t>
      </w:r>
      <w:r w:rsidRPr="005148E6">
        <w:rPr>
          <w:b/>
          <w:lang w:val="nl-BE"/>
        </w:rPr>
        <w:t>Figuur 2</w:t>
      </w:r>
      <w:r>
        <w:rPr>
          <w:lang w:val="nl-BE"/>
        </w:rPr>
        <w:t xml:space="preserve">). </w:t>
      </w:r>
    </w:p>
    <w:p w:rsidR="00203D52" w:rsidP="00203D52" w:rsidRDefault="00203D52">
      <w:pPr>
        <w:pStyle w:val="ListParagraph"/>
        <w:numPr>
          <w:ilvl w:val="0"/>
          <w:numId w:val="17"/>
        </w:numPr>
        <w:jc w:val="both"/>
        <w:rPr>
          <w:lang w:val="nl-BE"/>
        </w:rPr>
      </w:pPr>
      <w:r>
        <w:rPr>
          <w:lang w:val="nl-BE"/>
        </w:rPr>
        <w:t>Mijn collega Dirk van Damme van de OESO onderwijsdirectie heeft al gesproken over de onderwijskant. Wat betreft onderzoek; de publieke financiering van onderzoek (inclusief universiteiten) is de laatste jaren (sinds 2010) wat achter gebleven, maar is nog steeds in de top 10 van alle OESO landen als % van het BNP (</w:t>
      </w:r>
      <w:r w:rsidRPr="005148E6">
        <w:rPr>
          <w:b/>
          <w:lang w:val="nl-BE"/>
        </w:rPr>
        <w:t>Figuur 3</w:t>
      </w:r>
      <w:r>
        <w:rPr>
          <w:lang w:val="nl-BE"/>
        </w:rPr>
        <w:t>), en is langzaam gestegen over de laatste 20 jaar. Recent OESO onderzoek (</w:t>
      </w:r>
      <w:r w:rsidRPr="005148E6">
        <w:rPr>
          <w:i/>
          <w:lang w:val="nl-BE"/>
        </w:rPr>
        <w:t>The Future of Productivity, 2015</w:t>
      </w:r>
      <w:r>
        <w:rPr>
          <w:lang w:val="nl-BE"/>
        </w:rPr>
        <w:t xml:space="preserve">, </w:t>
      </w:r>
      <w:hyperlink w:history="1" r:id="rId10">
        <w:r w:rsidRPr="00F54865" w:rsidR="006046E5">
          <w:rPr>
            <w:rStyle w:val="Hyperlink"/>
            <w:lang w:val="nl-BE"/>
          </w:rPr>
          <w:t>www.oecd.org/economy/the-future-of-productivity.htm</w:t>
        </w:r>
      </w:hyperlink>
      <w:r>
        <w:rPr>
          <w:lang w:val="nl-BE"/>
        </w:rPr>
        <w:t xml:space="preserve">) benadrukt het belang van publieke investeringen in onderzoek en ontwikkeling, als een belangrijke bron van nieuwe kennis die helpt om internationaal bij te blijven en die het bedrijfsleven helpt om concurrerend en productief te zijn. Het effect van dergelijke investeringen is sterk afhankelijk van de kwaliteit van het onderzoek (wat hoog is in Nederland) en de aansluiting bij de economie en samenleving. Investeringen in fundamenteel onderzoek zijn daarbij belangrijk en het is belangrijk om een balans te vinden tussen meer toegepast onderzoek en fundamenteel onderzoek. Beschikbare OESO indicatoren (van de </w:t>
      </w:r>
      <w:r w:rsidRPr="00341CC2">
        <w:rPr>
          <w:i/>
          <w:lang w:val="nl-BE"/>
        </w:rPr>
        <w:t>Main Science and Technology Indicators</w:t>
      </w:r>
      <w:r>
        <w:rPr>
          <w:lang w:val="nl-BE"/>
        </w:rPr>
        <w:t xml:space="preserve">, </w:t>
      </w:r>
      <w:hyperlink w:history="1" r:id="rId11">
        <w:r w:rsidRPr="007B49AF">
          <w:rPr>
            <w:rStyle w:val="Hyperlink"/>
            <w:lang w:val="nl-BE"/>
          </w:rPr>
          <w:t>www.oecd.org/sti/msti.htm</w:t>
        </w:r>
      </w:hyperlink>
      <w:r>
        <w:rPr>
          <w:lang w:val="nl-BE"/>
        </w:rPr>
        <w:t>) geven aan dat Nederland nog steeds relatief sterk investeert in fundamenteel onderzoek (als % van het BNP), hoewel dit onderscheid steeds moeilijker valt te maken.</w:t>
      </w:r>
    </w:p>
    <w:p w:rsidR="00203D52" w:rsidP="00203D52" w:rsidRDefault="00203D52">
      <w:pPr>
        <w:pStyle w:val="ListParagraph"/>
        <w:numPr>
          <w:ilvl w:val="0"/>
          <w:numId w:val="17"/>
        </w:numPr>
        <w:jc w:val="both"/>
        <w:rPr>
          <w:lang w:val="nl-BE"/>
        </w:rPr>
      </w:pPr>
      <w:r>
        <w:rPr>
          <w:lang w:val="nl-BE"/>
        </w:rPr>
        <w:t xml:space="preserve">Een aantal </w:t>
      </w:r>
      <w:r w:rsidRPr="005148E6">
        <w:rPr>
          <w:b/>
          <w:lang w:val="nl-BE"/>
        </w:rPr>
        <w:t>kritische opmerkingen en aandachtspunten</w:t>
      </w:r>
      <w:r>
        <w:rPr>
          <w:lang w:val="nl-BE"/>
        </w:rPr>
        <w:t xml:space="preserve"> (gebaseerd op het </w:t>
      </w:r>
      <w:r w:rsidRPr="00E32AED">
        <w:rPr>
          <w:i/>
          <w:lang w:val="nl-BE"/>
        </w:rPr>
        <w:t>2014 OECD Review of Innovation Policy – Netherlands</w:t>
      </w:r>
      <w:r>
        <w:rPr>
          <w:lang w:val="nl-BE"/>
        </w:rPr>
        <w:t xml:space="preserve">, aangeboden aan premier Rutte, Minister Kamp en Minister Bussemaker in </w:t>
      </w:r>
      <w:r w:rsidR="00B73F45">
        <w:rPr>
          <w:lang w:val="nl-BE"/>
        </w:rPr>
        <w:t>april</w:t>
      </w:r>
      <w:r>
        <w:rPr>
          <w:lang w:val="nl-BE"/>
        </w:rPr>
        <w:t xml:space="preserve"> 2014: </w:t>
      </w:r>
      <w:hyperlink w:history="1" r:id="rId12">
        <w:r w:rsidRPr="007B49AF">
          <w:rPr>
            <w:rStyle w:val="Hyperlink"/>
            <w:lang w:val="nl-BE"/>
          </w:rPr>
          <w:t>http://www.oecd.org/innovation/netherlands-make-economic-innovation-and-territorial-reforms-work-together-to-boost-growth-and-competitiveness.htm</w:t>
        </w:r>
      </w:hyperlink>
      <w:r>
        <w:rPr>
          <w:lang w:val="nl-BE"/>
        </w:rPr>
        <w:t>):</w:t>
      </w:r>
    </w:p>
    <w:p w:rsidR="00203D52" w:rsidP="00203D52" w:rsidRDefault="00203D52">
      <w:pPr>
        <w:pStyle w:val="ListParagraph"/>
        <w:numPr>
          <w:ilvl w:val="1"/>
          <w:numId w:val="17"/>
        </w:numPr>
        <w:jc w:val="both"/>
        <w:rPr>
          <w:lang w:val="nl-BE"/>
        </w:rPr>
      </w:pPr>
      <w:r>
        <w:rPr>
          <w:lang w:val="nl-BE"/>
        </w:rPr>
        <w:t xml:space="preserve">Zorgen over de </w:t>
      </w:r>
      <w:r w:rsidRPr="0075058C">
        <w:rPr>
          <w:b/>
          <w:lang w:val="nl-BE"/>
        </w:rPr>
        <w:t>kwaliteit van onderwijs in</w:t>
      </w:r>
      <w:r>
        <w:rPr>
          <w:b/>
          <w:lang w:val="nl-BE"/>
        </w:rPr>
        <w:t xml:space="preserve"> (delen van)</w:t>
      </w:r>
      <w:r w:rsidRPr="0075058C">
        <w:rPr>
          <w:b/>
          <w:lang w:val="nl-BE"/>
        </w:rPr>
        <w:t xml:space="preserve"> het HBO</w:t>
      </w:r>
      <w:r>
        <w:rPr>
          <w:lang w:val="nl-BE"/>
        </w:rPr>
        <w:t xml:space="preserve">, met een </w:t>
      </w:r>
      <w:r w:rsidR="006046E5">
        <w:rPr>
          <w:lang w:val="nl-BE"/>
        </w:rPr>
        <w:t xml:space="preserve">relatief </w:t>
      </w:r>
      <w:r>
        <w:rPr>
          <w:lang w:val="nl-BE"/>
        </w:rPr>
        <w:t xml:space="preserve">hoog niveau van </w:t>
      </w:r>
      <w:r w:rsidR="00B73F45">
        <w:rPr>
          <w:lang w:val="nl-BE"/>
        </w:rPr>
        <w:t>drop-outs</w:t>
      </w:r>
      <w:r>
        <w:rPr>
          <w:lang w:val="nl-BE"/>
        </w:rPr>
        <w:t xml:space="preserve"> en </w:t>
      </w:r>
      <w:r w:rsidR="006046E5">
        <w:rPr>
          <w:lang w:val="nl-BE"/>
        </w:rPr>
        <w:t xml:space="preserve">niet altijd </w:t>
      </w:r>
      <w:r>
        <w:rPr>
          <w:lang w:val="nl-BE"/>
        </w:rPr>
        <w:t xml:space="preserve">voldoende aansluiting bij het bedrijfsleven. Aandacht nodig voor versterking van de onderzoekscapaciteit in het HBO, wat samen moet gaan met een versterking van het HBO onderwijs en sterkere (meer strategische en lange termijn) aansluitingen bij het bedrijfsleven. </w:t>
      </w:r>
    </w:p>
    <w:p w:rsidR="00203D52" w:rsidP="00203D52" w:rsidRDefault="00203D52">
      <w:pPr>
        <w:pStyle w:val="ListParagraph"/>
        <w:numPr>
          <w:ilvl w:val="1"/>
          <w:numId w:val="17"/>
        </w:numPr>
        <w:jc w:val="both"/>
        <w:rPr>
          <w:lang w:val="nl-BE"/>
        </w:rPr>
      </w:pPr>
      <w:r>
        <w:rPr>
          <w:lang w:val="nl-BE"/>
        </w:rPr>
        <w:t xml:space="preserve">Zorg over het </w:t>
      </w:r>
      <w:r w:rsidRPr="0075058C">
        <w:rPr>
          <w:b/>
          <w:lang w:val="nl-BE"/>
        </w:rPr>
        <w:t>talent van de toekomst</w:t>
      </w:r>
      <w:r>
        <w:rPr>
          <w:lang w:val="nl-BE"/>
        </w:rPr>
        <w:t xml:space="preserve"> (vooral technische opleidingen), waar de in- en uitstroom relatief laag ligt voor een kennisintensief land als Nederland. Daarbij komt ook dat de aantrekkelijkheid voor vrouwen voor technisch onderwijs en onderzoek nog steeds relatief laag ligt.</w:t>
      </w:r>
      <w:r w:rsidR="00150E18">
        <w:rPr>
          <w:lang w:val="nl-BE"/>
        </w:rPr>
        <w:t xml:space="preserve"> Aandacht hiervoor blijkt nodig.</w:t>
      </w:r>
    </w:p>
    <w:p w:rsidR="00203D52" w:rsidP="00203D52" w:rsidRDefault="00203D52">
      <w:pPr>
        <w:pStyle w:val="ListParagraph"/>
        <w:numPr>
          <w:ilvl w:val="1"/>
          <w:numId w:val="17"/>
        </w:numPr>
        <w:jc w:val="both"/>
        <w:rPr>
          <w:lang w:val="nl-BE"/>
        </w:rPr>
      </w:pPr>
      <w:r>
        <w:rPr>
          <w:lang w:val="nl-BE"/>
        </w:rPr>
        <w:t xml:space="preserve">De huidige aandacht voor de </w:t>
      </w:r>
      <w:r w:rsidRPr="003B63FC">
        <w:rPr>
          <w:b/>
          <w:lang w:val="nl-BE"/>
        </w:rPr>
        <w:t>valorisatie van onderzoek</w:t>
      </w:r>
      <w:r>
        <w:rPr>
          <w:lang w:val="nl-BE"/>
        </w:rPr>
        <w:t xml:space="preserve"> (de derde missie van universiteiten en het HBO) is belangrijk, maar de agenda en doelstellingen moeten realistisch zijn. De problemen bij een gebrekkige aansluiting van publiek onderzoek aan het bedrijfsleven hebben ook te maken met een gebrekkige capaciteit van </w:t>
      </w:r>
      <w:r w:rsidR="006046E5">
        <w:rPr>
          <w:lang w:val="nl-BE"/>
        </w:rPr>
        <w:t>een deel van het</w:t>
      </w:r>
      <w:r>
        <w:rPr>
          <w:lang w:val="nl-BE"/>
        </w:rPr>
        <w:t xml:space="preserve"> bedrij</w:t>
      </w:r>
      <w:r w:rsidR="006046E5">
        <w:rPr>
          <w:lang w:val="nl-BE"/>
        </w:rPr>
        <w:t>fsleven</w:t>
      </w:r>
      <w:r>
        <w:rPr>
          <w:lang w:val="nl-BE"/>
        </w:rPr>
        <w:t xml:space="preserve"> om kennis te gebruiken en te valoriseren. Het Nederlandse innovatiebeleid, inclusief het top sector beleid, kan een belangrijke bijdrage leveren aan het versterken van de capaciteit binnen het Nederlandse bedrijfsleven voor samenwerking met </w:t>
      </w:r>
      <w:r w:rsidR="00B73F45">
        <w:rPr>
          <w:lang w:val="nl-BE"/>
        </w:rPr>
        <w:t>het</w:t>
      </w:r>
      <w:r>
        <w:rPr>
          <w:lang w:val="nl-BE"/>
        </w:rPr>
        <w:t xml:space="preserve"> onderwijs en onderzoeksinstellingen. </w:t>
      </w:r>
    </w:p>
    <w:p w:rsidR="00203D52" w:rsidP="00203D52" w:rsidRDefault="00203D52">
      <w:pPr>
        <w:pStyle w:val="ListParagraph"/>
        <w:numPr>
          <w:ilvl w:val="1"/>
          <w:numId w:val="17"/>
        </w:numPr>
        <w:jc w:val="both"/>
        <w:rPr>
          <w:lang w:val="nl-BE"/>
        </w:rPr>
      </w:pPr>
      <w:r>
        <w:rPr>
          <w:lang w:val="nl-BE"/>
        </w:rPr>
        <w:t xml:space="preserve">Aandacht nodig voor de </w:t>
      </w:r>
      <w:r w:rsidRPr="001229FB">
        <w:rPr>
          <w:b/>
          <w:lang w:val="nl-BE"/>
        </w:rPr>
        <w:t>juiste prikkels voor (en evaluatie van) personeel</w:t>
      </w:r>
      <w:r>
        <w:rPr>
          <w:lang w:val="nl-BE"/>
        </w:rPr>
        <w:t xml:space="preserve"> in het hoger onderwijs systeem, waar onderzoek soms te veel de nadruk heeft gekregen en de andere missies van instellingen (onderwijs en valorisatie) ook nadruk nodig hebben. De vraag is hoever Nederland hier mee moet gaan, omdat een volledig systeem </w:t>
      </w:r>
      <w:r w:rsidR="00B73F45">
        <w:rPr>
          <w:lang w:val="nl-BE"/>
        </w:rPr>
        <w:t xml:space="preserve">gebaseerd </w:t>
      </w:r>
      <w:r>
        <w:rPr>
          <w:lang w:val="nl-BE"/>
        </w:rPr>
        <w:t xml:space="preserve">op ex-ante en ex-post evaluatie vrij ver gaat en kosten met zich mee brengt voor evaluatie (de kosten van het beste voorbeeld van een dergelijk systeem, het Research Excellence Framework van 2010-2014 in het VK, worden geschat op </w:t>
      </w:r>
      <w:r w:rsidR="00B73F45">
        <w:rPr>
          <w:lang w:val="nl-BE"/>
        </w:rPr>
        <w:t>ongeveer</w:t>
      </w:r>
      <w:r>
        <w:rPr>
          <w:lang w:val="nl-BE"/>
        </w:rPr>
        <w:t xml:space="preserve"> 14.4 miljoen pond).</w:t>
      </w:r>
    </w:p>
    <w:p w:rsidR="00150E18" w:rsidP="00150E18" w:rsidRDefault="00150E18">
      <w:pPr>
        <w:pStyle w:val="ListParagraph"/>
        <w:numPr>
          <w:ilvl w:val="1"/>
          <w:numId w:val="17"/>
        </w:numPr>
        <w:jc w:val="both"/>
        <w:rPr>
          <w:lang w:val="nl-BE"/>
        </w:rPr>
      </w:pPr>
      <w:r w:rsidRPr="00150E18">
        <w:rPr>
          <w:lang w:val="nl-BE"/>
        </w:rPr>
        <w:t xml:space="preserve">Belangrijk om de agenda voor </w:t>
      </w:r>
      <w:r w:rsidRPr="00150E18">
        <w:rPr>
          <w:b/>
          <w:lang w:val="nl-BE"/>
        </w:rPr>
        <w:t>scholing en onderwijs te verbreden</w:t>
      </w:r>
      <w:r w:rsidRPr="00150E18">
        <w:rPr>
          <w:lang w:val="nl-BE"/>
        </w:rPr>
        <w:t xml:space="preserve"> naar buiten de top sectoren, vooral ook naar de dienstensector, waar innovatie vaak om processen en organisatorische verandering gaat.</w:t>
      </w:r>
    </w:p>
    <w:p w:rsidR="00150E18" w:rsidP="00150E18" w:rsidRDefault="00150E18">
      <w:pPr>
        <w:pStyle w:val="ListParagraph"/>
        <w:numPr>
          <w:ilvl w:val="1"/>
          <w:numId w:val="17"/>
        </w:numPr>
        <w:jc w:val="both"/>
        <w:rPr>
          <w:lang w:val="nl-BE"/>
        </w:rPr>
      </w:pPr>
      <w:r>
        <w:rPr>
          <w:lang w:val="nl-BE"/>
        </w:rPr>
        <w:t xml:space="preserve">Qua </w:t>
      </w:r>
      <w:r w:rsidRPr="00150E18">
        <w:rPr>
          <w:b/>
          <w:lang w:val="nl-BE"/>
        </w:rPr>
        <w:t>financiering van onderwijs</w:t>
      </w:r>
      <w:r>
        <w:rPr>
          <w:lang w:val="nl-BE"/>
        </w:rPr>
        <w:t xml:space="preserve"> is een deel van de allocatie voor universitair onderzoek (7%) nu gebonden aan prestatie contracten. Afhankelijk van evaluaties van de effectiviteit van deze maatregel qua onderwijsprestaties zou dit percentage misschien verhoogd kunnen worden.</w:t>
      </w:r>
    </w:p>
    <w:p w:rsidRPr="00150E18" w:rsidR="00203D52" w:rsidP="00150E18" w:rsidRDefault="00203D52">
      <w:pPr>
        <w:pStyle w:val="ListParagraph"/>
        <w:numPr>
          <w:ilvl w:val="1"/>
          <w:numId w:val="17"/>
        </w:numPr>
        <w:jc w:val="both"/>
        <w:rPr>
          <w:lang w:val="nl-BE"/>
        </w:rPr>
      </w:pPr>
      <w:r w:rsidRPr="00150E18">
        <w:rPr>
          <w:lang w:val="nl-BE"/>
        </w:rPr>
        <w:t xml:space="preserve">Qua </w:t>
      </w:r>
      <w:r w:rsidRPr="00150E18">
        <w:rPr>
          <w:b/>
          <w:lang w:val="nl-BE"/>
        </w:rPr>
        <w:t>financiering van onderzoek</w:t>
      </w:r>
      <w:r w:rsidRPr="00150E18">
        <w:rPr>
          <w:lang w:val="nl-BE"/>
        </w:rPr>
        <w:t xml:space="preserve"> lijkt Nederland een redelijke balans te hebben gevonden, met volgens OESO data nog steeds een relatief groot aandeel van institutionele financiering in vergelijking met project financiering (</w:t>
      </w:r>
      <w:r w:rsidRPr="00150E18">
        <w:rPr>
          <w:b/>
          <w:lang w:val="nl-BE"/>
        </w:rPr>
        <w:t>Figuur 4</w:t>
      </w:r>
      <w:r w:rsidRPr="00150E18">
        <w:rPr>
          <w:lang w:val="nl-BE"/>
        </w:rPr>
        <w:t xml:space="preserve">). De aandacht in verschillende OESO landen is nu </w:t>
      </w:r>
      <w:r w:rsidRPr="00150E18" w:rsidR="006046E5">
        <w:rPr>
          <w:lang w:val="nl-BE"/>
        </w:rPr>
        <w:t xml:space="preserve">gericht op </w:t>
      </w:r>
      <w:r w:rsidRPr="00150E18">
        <w:rPr>
          <w:lang w:val="nl-BE"/>
        </w:rPr>
        <w:t xml:space="preserve">een sterkere nadruk op </w:t>
      </w:r>
      <w:r w:rsidR="00B73F45">
        <w:rPr>
          <w:lang w:val="nl-BE"/>
        </w:rPr>
        <w:t xml:space="preserve">onderzoek </w:t>
      </w:r>
      <w:r w:rsidRPr="00150E18">
        <w:rPr>
          <w:lang w:val="nl-BE"/>
        </w:rPr>
        <w:t>excellence</w:t>
      </w:r>
      <w:r w:rsidRPr="00150E18" w:rsidR="006046E5">
        <w:rPr>
          <w:lang w:val="nl-BE"/>
        </w:rPr>
        <w:t xml:space="preserve"> </w:t>
      </w:r>
      <w:r w:rsidRPr="00150E18" w:rsidR="00B73F45">
        <w:rPr>
          <w:lang w:val="nl-BE"/>
        </w:rPr>
        <w:t>initiatieven</w:t>
      </w:r>
      <w:r w:rsidRPr="00150E18">
        <w:rPr>
          <w:lang w:val="nl-BE"/>
        </w:rPr>
        <w:t xml:space="preserve">, waar financiering voor langere termijn wordt gegeven (wat de stabiliteit bevordert en mogelijkheden biedt voor meer fundamenteel onderzoek), maar </w:t>
      </w:r>
      <w:r w:rsidRPr="00150E18" w:rsidR="006046E5">
        <w:rPr>
          <w:lang w:val="nl-BE"/>
        </w:rPr>
        <w:t>waar sterke concurrentie bestaat</w:t>
      </w:r>
      <w:r w:rsidRPr="00150E18">
        <w:rPr>
          <w:lang w:val="nl-BE"/>
        </w:rPr>
        <w:t>.</w:t>
      </w:r>
      <w:r w:rsidRPr="00150E18" w:rsidR="006046E5">
        <w:rPr>
          <w:lang w:val="nl-BE"/>
        </w:rPr>
        <w:t xml:space="preserve"> Dergelijke initiatieven kunnen ook helpen om de interdisciplinariteit van onderzoek te versterken.</w:t>
      </w:r>
    </w:p>
    <w:p w:rsidRPr="008C436C" w:rsidR="00203D52" w:rsidP="00203D52" w:rsidRDefault="00203D52">
      <w:pPr>
        <w:pStyle w:val="FigureTitle"/>
        <w:spacing w:after="120"/>
        <w:rPr>
          <w:lang w:val="nl-NL"/>
        </w:rPr>
      </w:pPr>
      <w:r w:rsidRPr="008C436C">
        <w:rPr>
          <w:lang w:val="nl-NL"/>
        </w:rPr>
        <w:br w:type="page"/>
      </w:r>
    </w:p>
    <w:p w:rsidRPr="0001694B" w:rsidR="00203D52" w:rsidP="00203D52" w:rsidRDefault="00203D52">
      <w:pPr>
        <w:pStyle w:val="FigureTitle"/>
        <w:spacing w:after="120"/>
      </w:pPr>
      <w:proofErr w:type="spellStart"/>
      <w:r w:rsidRPr="0001694B">
        <w:t>Figu</w:t>
      </w:r>
      <w:r w:rsidR="0071709E">
        <w:t>u</w:t>
      </w:r>
      <w:r w:rsidRPr="0001694B">
        <w:t>r</w:t>
      </w:r>
      <w:proofErr w:type="spellEnd"/>
      <w:r w:rsidRPr="0001694B">
        <w:t xml:space="preserve"> 1: The citation impact of scien</w:t>
      </w:r>
      <w:r>
        <w:t xml:space="preserve">ce </w:t>
      </w:r>
      <w:r w:rsidRPr="0001694B">
        <w:t>and the extent of international collaboration, 2003-12</w:t>
      </w:r>
    </w:p>
    <w:p w:rsidR="00203D52" w:rsidP="00203D52" w:rsidRDefault="00203D52">
      <w:pPr>
        <w:pStyle w:val="Graphic"/>
        <w:rPr>
          <w:lang w:val="nl-NL"/>
        </w:rPr>
      </w:pPr>
      <w:r w:rsidRPr="0001694B">
        <w:drawing>
          <wp:inline distT="0" distB="0" distL="0" distR="0" wp14:anchorId="1AE8CAA1" wp14:editId="6FB24CBD">
            <wp:extent cx="5731510" cy="25809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580958"/>
                    </a:xfrm>
                    <a:prstGeom prst="rect">
                      <a:avLst/>
                    </a:prstGeom>
                    <a:noFill/>
                    <a:ln>
                      <a:noFill/>
                    </a:ln>
                  </pic:spPr>
                </pic:pic>
              </a:graphicData>
            </a:graphic>
          </wp:inline>
        </w:drawing>
      </w:r>
    </w:p>
    <w:p w:rsidRPr="0001694B" w:rsidR="00203D52" w:rsidP="00203D52" w:rsidRDefault="00203D52">
      <w:pPr>
        <w:pStyle w:val="FigureNote"/>
        <w:widowControl w:val="0"/>
      </w:pPr>
      <w:r>
        <w:t xml:space="preserve">Source: </w:t>
      </w:r>
      <w:r w:rsidRPr="0001694B">
        <w:t xml:space="preserve">OECD and SCImago Research Group (CSIC) (2015), Compendium of Bibliometric Science Indicators 2014, </w:t>
      </w:r>
      <w:hyperlink w:history="1" r:id="rId14">
        <w:r w:rsidRPr="00F54865">
          <w:rPr>
            <w:rStyle w:val="Hyperlink"/>
          </w:rPr>
          <w:t>http://oe.cd/scientometrics</w:t>
        </w:r>
      </w:hyperlink>
      <w:r>
        <w:t xml:space="preserve"> </w:t>
      </w:r>
    </w:p>
    <w:p w:rsidR="00203D52" w:rsidP="00203D52" w:rsidRDefault="00203D52">
      <w:pPr>
        <w:pStyle w:val="FigureTitle"/>
        <w:keepNext w:val="0"/>
        <w:widowControl w:val="0"/>
        <w:spacing w:after="120"/>
      </w:pPr>
      <w:proofErr w:type="spellStart"/>
      <w:r>
        <w:t>Fig</w:t>
      </w:r>
      <w:r w:rsidR="0071709E">
        <w:t>u</w:t>
      </w:r>
      <w:r>
        <w:t>ur</w:t>
      </w:r>
      <w:proofErr w:type="spellEnd"/>
      <w:r>
        <w:t xml:space="preserve"> 2: International new flows of scientific authors</w:t>
      </w:r>
    </w:p>
    <w:p w:rsidR="00203D52" w:rsidP="00203D52" w:rsidRDefault="00203D52">
      <w:pPr>
        <w:pStyle w:val="FigureSub-title"/>
        <w:keepNext w:val="0"/>
        <w:widowControl w:val="0"/>
        <w:rPr>
          <w:lang w:val="en-US"/>
        </w:rPr>
      </w:pPr>
      <w:r w:rsidRPr="00BC4D88">
        <w:rPr>
          <w:lang w:val="en-US"/>
        </w:rPr>
        <w:t>Difference between annual inflows and outflows, as percentage of cumulative net flows, 1999-2013</w:t>
      </w:r>
    </w:p>
    <w:p w:rsidR="00203D52" w:rsidP="00203D52" w:rsidRDefault="00203D52">
      <w:pPr>
        <w:pStyle w:val="Graphic"/>
      </w:pPr>
      <w:r w:rsidRPr="00BC4D88">
        <w:rPr>
          <w:noProof/>
          <w:lang w:eastAsia="en-GB"/>
        </w:rPr>
        <w:drawing>
          <wp:inline distT="0" distB="0" distL="0" distR="0" wp14:anchorId="13E06069" wp14:editId="21DF52EB">
            <wp:extent cx="5731510" cy="3012717"/>
            <wp:effectExtent l="0" t="0" r="0" b="0"/>
            <wp:docPr id="4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012717"/>
                    </a:xfrm>
                    <a:prstGeom prst="rect">
                      <a:avLst/>
                    </a:prstGeom>
                    <a:noFill/>
                    <a:ln>
                      <a:noFill/>
                    </a:ln>
                    <a:effectLst/>
                    <a:extLst/>
                  </pic:spPr>
                </pic:pic>
              </a:graphicData>
            </a:graphic>
          </wp:inline>
        </w:drawing>
      </w:r>
    </w:p>
    <w:p w:rsidRPr="00BC4D88" w:rsidR="00203D52" w:rsidP="00203D52" w:rsidRDefault="00203D52">
      <w:pPr>
        <w:pStyle w:val="FigureNote"/>
      </w:pPr>
      <w:r w:rsidRPr="00BC4D88">
        <w:rPr>
          <w:i/>
          <w:iCs/>
          <w:lang w:val="en-CA"/>
        </w:rPr>
        <w:t xml:space="preserve">Source:  </w:t>
      </w:r>
      <w:r w:rsidRPr="00BC4D88">
        <w:rPr>
          <w:lang w:val="en-CA"/>
        </w:rPr>
        <w:t xml:space="preserve">OECD Science, Technology and Industry Scoreboard 2015, </w:t>
      </w:r>
      <w:hyperlink w:history="1" r:id="rId16">
        <w:r w:rsidRPr="00BC4D88">
          <w:rPr>
            <w:rStyle w:val="Hyperlink"/>
            <w:lang w:val="en-CA"/>
          </w:rPr>
          <w:t>www.oe.cd/sti-scoreboard</w:t>
        </w:r>
      </w:hyperlink>
    </w:p>
    <w:p w:rsidR="00203D52" w:rsidP="00203D52" w:rsidRDefault="0071709E">
      <w:pPr>
        <w:pStyle w:val="FigureTitle"/>
        <w:spacing w:after="120"/>
      </w:pPr>
      <w:proofErr w:type="spellStart"/>
      <w:proofErr w:type="gramStart"/>
      <w:r>
        <w:t>Figuur</w:t>
      </w:r>
      <w:proofErr w:type="spellEnd"/>
      <w:r>
        <w:t xml:space="preserve"> 3.</w:t>
      </w:r>
      <w:proofErr w:type="gramEnd"/>
      <w:r>
        <w:t xml:space="preserve"> </w:t>
      </w:r>
      <w:r w:rsidRPr="008F673F" w:rsidR="00203D52">
        <w:t>Public expenditure by type of research system</w:t>
      </w:r>
    </w:p>
    <w:p w:rsidRPr="00EA2B30" w:rsidR="00203D52" w:rsidP="00203D52" w:rsidRDefault="00203D52">
      <w:pPr>
        <w:pStyle w:val="FigureSub-title"/>
        <w:spacing w:after="0"/>
      </w:pPr>
      <w:r w:rsidRPr="008F673F">
        <w:t>HERD and GOVERD, as a percentage of GDP, 201</w:t>
      </w:r>
      <w:r>
        <w:t>3</w:t>
      </w:r>
      <w:r w:rsidRPr="008F673F">
        <w:t>, and total HERD and GOVERD in 2007</w:t>
      </w:r>
    </w:p>
    <w:p w:rsidRPr="00612071" w:rsidR="00203D52" w:rsidP="00203D52" w:rsidRDefault="00203D52">
      <w:pPr>
        <w:pStyle w:val="Graphic"/>
      </w:pPr>
      <w:r w:rsidRPr="00217F92">
        <w:rPr>
          <w:noProof/>
          <w:lang w:eastAsia="en-GB"/>
        </w:rPr>
        <w:drawing>
          <wp:inline distT="0" distB="0" distL="0" distR="0" wp14:anchorId="38057F11" wp14:editId="45E87E86">
            <wp:extent cx="5764071" cy="29431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7860" cy="2945046"/>
                    </a:xfrm>
                    <a:prstGeom prst="rect">
                      <a:avLst/>
                    </a:prstGeom>
                    <a:noFill/>
                    <a:ln>
                      <a:noFill/>
                    </a:ln>
                  </pic:spPr>
                </pic:pic>
              </a:graphicData>
            </a:graphic>
          </wp:inline>
        </w:drawing>
      </w:r>
    </w:p>
    <w:p w:rsidRPr="00EA2B30" w:rsidR="00203D52" w:rsidP="00203D52" w:rsidRDefault="00203D52">
      <w:pPr>
        <w:pStyle w:val="SourceDescription"/>
        <w:spacing w:after="240"/>
      </w:pPr>
      <w:r w:rsidRPr="00EA2B30">
        <w:rPr>
          <w:i/>
        </w:rPr>
        <w:t>Source</w:t>
      </w:r>
      <w:r w:rsidRPr="00EA2B30">
        <w:t xml:space="preserve">: </w:t>
      </w:r>
      <w:r w:rsidRPr="008F673F">
        <w:t>OECD Main Science and Technology Indicators Database, June 201</w:t>
      </w:r>
      <w:r>
        <w:t>5</w:t>
      </w:r>
      <w:r w:rsidRPr="008F673F">
        <w:t xml:space="preserve">, </w:t>
      </w:r>
      <w:hyperlink w:history="1" r:id="rId18">
        <w:r w:rsidRPr="00881311">
          <w:rPr>
            <w:rStyle w:val="Hyperlink"/>
          </w:rPr>
          <w:t>www.oecd.org/sti/msti</w:t>
        </w:r>
      </w:hyperlink>
      <w:r w:rsidRPr="008F673F">
        <w:t>.</w:t>
      </w:r>
    </w:p>
    <w:p w:rsidRPr="00EC1876" w:rsidR="00203D52" w:rsidP="00203D52" w:rsidRDefault="00203D52">
      <w:pPr>
        <w:pStyle w:val="FigureTitle"/>
        <w:spacing w:after="120"/>
      </w:pPr>
      <w:proofErr w:type="spellStart"/>
      <w:proofErr w:type="gramStart"/>
      <w:r w:rsidRPr="00EC1876">
        <w:t>Figu</w:t>
      </w:r>
      <w:r w:rsidR="0071709E">
        <w:t>u</w:t>
      </w:r>
      <w:r w:rsidRPr="00EC1876">
        <w:t>r</w:t>
      </w:r>
      <w:proofErr w:type="spellEnd"/>
      <w:r w:rsidRPr="00EC1876">
        <w:t xml:space="preserve"> 4.</w:t>
      </w:r>
      <w:proofErr w:type="gramEnd"/>
      <w:r w:rsidRPr="00EC1876">
        <w:t xml:space="preserve"> Government funding of R&amp;D in higher education, by type of funding, 2010</w:t>
      </w:r>
    </w:p>
    <w:p w:rsidRPr="00EC1876" w:rsidR="00203D52" w:rsidP="00203D52" w:rsidRDefault="00203D52">
      <w:pPr>
        <w:pStyle w:val="FigureSub-title"/>
      </w:pPr>
      <w:r w:rsidRPr="00EC1876">
        <w:t>As a percentage of national funding of domestic R&amp;D</w:t>
      </w:r>
    </w:p>
    <w:p w:rsidR="00203D52" w:rsidP="00A77A4F" w:rsidRDefault="00A77A4F">
      <w:pPr>
        <w:pStyle w:val="Default"/>
        <w:spacing w:after="240"/>
        <w:jc w:val="center"/>
        <w:rPr>
          <w:sz w:val="18"/>
          <w:szCs w:val="18"/>
        </w:rPr>
      </w:pPr>
      <w:r>
        <w:rPr>
          <w:noProof/>
          <w:lang w:eastAsia="en-GB"/>
        </w:rPr>
        <w:drawing>
          <wp:inline distT="0" distB="0" distL="0" distR="0" wp14:anchorId="2372437C" wp14:editId="7193B0FA">
            <wp:extent cx="5946405" cy="210929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5489" cy="2108966"/>
                    </a:xfrm>
                    <a:prstGeom prst="rect">
                      <a:avLst/>
                    </a:prstGeom>
                  </pic:spPr>
                </pic:pic>
              </a:graphicData>
            </a:graphic>
          </wp:inline>
        </w:drawing>
      </w:r>
    </w:p>
    <w:p w:rsidRPr="00EC1876" w:rsidR="00203D52" w:rsidP="00203D52" w:rsidRDefault="00203D52">
      <w:pPr>
        <w:pStyle w:val="SourceDescription"/>
      </w:pPr>
      <w:r w:rsidRPr="00EC1876">
        <w:t xml:space="preserve">Source: OECD (2013), Science, Technology and Industry Scoreboard 2013, </w:t>
      </w:r>
      <w:hyperlink w:history="1" r:id="rId20">
        <w:r w:rsidRPr="00EC1876">
          <w:rPr>
            <w:rStyle w:val="Hyperlink"/>
            <w:iCs/>
            <w:szCs w:val="16"/>
          </w:rPr>
          <w:t>http://dx.doi.org/10.1787/sti_scoreboard-2013-en</w:t>
        </w:r>
      </w:hyperlink>
      <w:r w:rsidRPr="00EC1876">
        <w:t xml:space="preserve"> </w:t>
      </w:r>
    </w:p>
    <w:p w:rsidRPr="00203D52" w:rsidR="00125645" w:rsidP="00203D52" w:rsidRDefault="00125645">
      <w:pPr>
        <w:pStyle w:val="BodyText"/>
      </w:pPr>
    </w:p>
    <w:sectPr w:rsidRPr="00203D52" w:rsidR="00125645" w:rsidSect="00203D52">
      <w:headerReference w:type="even" r:id="rId21"/>
      <w:footerReference w:type="even" r:id="rId22"/>
      <w:footerReference w:type="default" r:id="rId23"/>
      <w:endnotePr>
        <w:numFmt w:val="decimal"/>
      </w:endnotePr>
      <w:pgSz w:w="11906" w:h="16838"/>
      <w:pgMar w:top="1984" w:right="1247" w:bottom="1814" w:left="1191" w:header="1247" w:footer="1247" w:gutter="0"/>
      <w:cols w:space="720"/>
      <w:docGrid w:linePitch="299"/>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5FE" w:rsidRDefault="00B735FE">
      <w:r>
        <w:separator/>
      </w:r>
    </w:p>
  </w:endnote>
  <w:endnote w:type="continuationSeparator" w:id="0">
    <w:p w:rsidR="00B735FE" w:rsidRDefault="00B7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645" w:rsidRDefault="002E7A14" w:rsidP="00203D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25645" w:rsidRDefault="001256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52" w:rsidRDefault="00203D52" w:rsidP="00F548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709E">
      <w:rPr>
        <w:rStyle w:val="PageNumber"/>
        <w:noProof/>
      </w:rPr>
      <w:t>1</w:t>
    </w:r>
    <w:r>
      <w:rPr>
        <w:rStyle w:val="PageNumber"/>
      </w:rPr>
      <w:fldChar w:fldCharType="end"/>
    </w:r>
  </w:p>
  <w:p w:rsidR="00125645" w:rsidRPr="00203D52" w:rsidRDefault="00125645" w:rsidP="00203D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5FE" w:rsidRDefault="00B735FE">
      <w:r>
        <w:separator/>
      </w:r>
    </w:p>
  </w:footnote>
  <w:footnote w:type="continuationSeparator" w:id="0">
    <w:p w:rsidR="00B735FE" w:rsidRDefault="00B73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645" w:rsidRDefault="002E7A14">
    <w:pPr>
      <w:pStyle w:val="Header"/>
    </w:pPr>
    <w:r>
      <w:t>AAA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90F62"/>
    <w:multiLevelType w:val="singleLevel"/>
    <w:tmpl w:val="41606694"/>
    <w:name w:val="templateBullet1"/>
    <w:lvl w:ilvl="0">
      <w:start w:val="1"/>
      <w:numFmt w:val="bullet"/>
      <w:pStyle w:val="ListBullet"/>
      <w:lvlText w:val="·"/>
      <w:lvlJc w:val="left"/>
      <w:pPr>
        <w:tabs>
          <w:tab w:val="num" w:pos="850"/>
        </w:tabs>
        <w:ind w:left="850" w:hanging="408"/>
      </w:pPr>
      <w:rPr>
        <w:rFonts w:ascii="Symbol" w:hAnsi="Symbol" w:cs="Times New Roman" w:hint="default"/>
        <w:b w:val="0"/>
        <w:i w:val="0"/>
        <w:sz w:val="22"/>
      </w:rPr>
    </w:lvl>
  </w:abstractNum>
  <w:abstractNum w:abstractNumId="1">
    <w:nsid w:val="0C890C55"/>
    <w:multiLevelType w:val="singleLevel"/>
    <w:tmpl w:val="15B65924"/>
    <w:name w:val="templateBulletBox3"/>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2">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3">
    <w:nsid w:val="0DEA6B1D"/>
    <w:multiLevelType w:val="singleLevel"/>
    <w:tmpl w:val="D5A6E36A"/>
    <w:styleLink w:val="NumericNote"/>
    <w:lvl w:ilvl="0">
      <w:start w:val="1"/>
      <w:numFmt w:val="decimal"/>
      <w:lvlText w:val="%1."/>
      <w:lvlJc w:val="left"/>
      <w:pPr>
        <w:tabs>
          <w:tab w:val="num" w:pos="408"/>
        </w:tabs>
        <w:ind w:left="408" w:hanging="408"/>
      </w:pPr>
    </w:lvl>
  </w:abstractNum>
  <w:abstractNum w:abstractNumId="4">
    <w:nsid w:val="12FE4AF5"/>
    <w:multiLevelType w:val="singleLevel"/>
    <w:tmpl w:val="B882C7F8"/>
    <w:styleLink w:val="NumberedNote"/>
    <w:lvl w:ilvl="0">
      <w:start w:val="1"/>
      <w:numFmt w:val="decimal"/>
      <w:lvlText w:val="%1."/>
      <w:lvlJc w:val="left"/>
      <w:pPr>
        <w:tabs>
          <w:tab w:val="num" w:pos="171"/>
        </w:tabs>
        <w:ind w:left="171" w:hanging="171"/>
      </w:pPr>
    </w:lvl>
  </w:abstractNum>
  <w:abstractNum w:abstractNumId="5">
    <w:nsid w:val="157968A9"/>
    <w:multiLevelType w:val="singleLevel"/>
    <w:tmpl w:val="D5A6E36A"/>
    <w:name w:val="NumericNote"/>
    <w:lvl w:ilvl="0">
      <w:start w:val="1"/>
      <w:numFmt w:val="decimal"/>
      <w:lvlText w:val="%1."/>
      <w:lvlJc w:val="left"/>
      <w:pPr>
        <w:tabs>
          <w:tab w:val="num" w:pos="850"/>
        </w:tabs>
        <w:ind w:left="850" w:hanging="408"/>
      </w:pPr>
    </w:lvl>
  </w:abstractNum>
  <w:abstractNum w:abstractNumId="6">
    <w:nsid w:val="27397F89"/>
    <w:multiLevelType w:val="singleLevel"/>
    <w:tmpl w:val="60A0508A"/>
    <w:name w:val="AlphaNote"/>
    <w:lvl w:ilvl="0">
      <w:start w:val="1"/>
      <w:numFmt w:val="lowerLetter"/>
      <w:lvlText w:val="%1."/>
      <w:lvlJc w:val="left"/>
      <w:pPr>
        <w:tabs>
          <w:tab w:val="num" w:pos="850"/>
        </w:tabs>
        <w:ind w:left="850" w:hanging="408"/>
      </w:pPr>
    </w:lvl>
  </w:abstractNum>
  <w:abstractNum w:abstractNumId="7">
    <w:nsid w:val="2ACF6F84"/>
    <w:multiLevelType w:val="singleLevel"/>
    <w:tmpl w:val="D51E568A"/>
    <w:name w:val="templateBullet2"/>
    <w:lvl w:ilvl="0">
      <w:start w:val="1"/>
      <w:numFmt w:val="bullet"/>
      <w:pStyle w:val="ListBullet2"/>
      <w:lvlText w:val="-"/>
      <w:lvlJc w:val="left"/>
      <w:pPr>
        <w:tabs>
          <w:tab w:val="num" w:pos="1190"/>
        </w:tabs>
        <w:ind w:left="1190" w:hanging="340"/>
      </w:pPr>
      <w:rPr>
        <w:rFonts w:ascii="Symbol" w:hAnsi="Symbol" w:cs="Times New Roman" w:hint="default"/>
        <w:b w:val="0"/>
        <w:i w:val="0"/>
        <w:sz w:val="22"/>
      </w:rPr>
    </w:lvl>
  </w:abstractNum>
  <w:abstractNum w:abstractNumId="8">
    <w:nsid w:val="385D0A84"/>
    <w:multiLevelType w:val="multilevel"/>
    <w:tmpl w:val="7F148E5C"/>
    <w:name w:val="templateNumberBox"/>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8518"/>
        </w:tabs>
        <w:ind w:left="8518" w:hanging="360"/>
      </w:pPr>
    </w:lvl>
    <w:lvl w:ilvl="4">
      <w:start w:val="1"/>
      <w:numFmt w:val="lowerLetter"/>
      <w:lvlText w:val="(%5)"/>
      <w:lvlJc w:val="left"/>
      <w:pPr>
        <w:tabs>
          <w:tab w:val="num" w:pos="8878"/>
        </w:tabs>
        <w:ind w:left="8878" w:hanging="360"/>
      </w:pPr>
    </w:lvl>
    <w:lvl w:ilvl="5">
      <w:start w:val="1"/>
      <w:numFmt w:val="lowerRoman"/>
      <w:lvlText w:val="(%6)"/>
      <w:lvlJc w:val="left"/>
      <w:pPr>
        <w:tabs>
          <w:tab w:val="num" w:pos="9238"/>
        </w:tabs>
        <w:ind w:left="9238" w:hanging="360"/>
      </w:pPr>
    </w:lvl>
    <w:lvl w:ilvl="6">
      <w:start w:val="1"/>
      <w:numFmt w:val="decimal"/>
      <w:lvlText w:val="%7."/>
      <w:lvlJc w:val="left"/>
      <w:pPr>
        <w:tabs>
          <w:tab w:val="num" w:pos="9598"/>
        </w:tabs>
        <w:ind w:left="9598" w:hanging="360"/>
      </w:pPr>
    </w:lvl>
    <w:lvl w:ilvl="7">
      <w:start w:val="1"/>
      <w:numFmt w:val="lowerLetter"/>
      <w:lvlText w:val="%8."/>
      <w:lvlJc w:val="left"/>
      <w:pPr>
        <w:tabs>
          <w:tab w:val="num" w:pos="9958"/>
        </w:tabs>
        <w:ind w:left="9958" w:hanging="360"/>
      </w:pPr>
    </w:lvl>
    <w:lvl w:ilvl="8">
      <w:start w:val="1"/>
      <w:numFmt w:val="lowerRoman"/>
      <w:lvlText w:val="%9."/>
      <w:lvlJc w:val="left"/>
      <w:pPr>
        <w:tabs>
          <w:tab w:val="num" w:pos="10318"/>
        </w:tabs>
        <w:ind w:left="10318" w:hanging="360"/>
      </w:pPr>
    </w:lvl>
  </w:abstractNum>
  <w:abstractNum w:abstractNumId="9">
    <w:nsid w:val="3BC230DE"/>
    <w:multiLevelType w:val="multilevel"/>
    <w:tmpl w:val="F99EB0E0"/>
    <w:name w:val="templateNumber"/>
    <w:lvl w:ilvl="0">
      <w:start w:val="1"/>
      <w:numFmt w:val="decimal"/>
      <w:pStyle w:val="ListNumber"/>
      <w:lvlText w:val="%1."/>
      <w:lvlJc w:val="left"/>
      <w:pPr>
        <w:tabs>
          <w:tab w:val="num" w:pos="850"/>
        </w:tabs>
        <w:ind w:left="850" w:hanging="408"/>
      </w:pPr>
    </w:lvl>
    <w:lvl w:ilvl="1">
      <w:start w:val="1"/>
      <w:numFmt w:val="decimal"/>
      <w:pStyle w:val="ListNumber2"/>
      <w:lvlText w:val="%2."/>
      <w:lvlJc w:val="left"/>
      <w:pPr>
        <w:tabs>
          <w:tab w:val="num" w:pos="1191"/>
        </w:tabs>
        <w:ind w:left="1191" w:hanging="341"/>
      </w:pPr>
    </w:lvl>
    <w:lvl w:ilvl="2">
      <w:start w:val="1"/>
      <w:numFmt w:val="decimal"/>
      <w:pStyle w:val="ListNumber3"/>
      <w:lvlText w:val="%3."/>
      <w:lvlJc w:val="left"/>
      <w:pPr>
        <w:tabs>
          <w:tab w:val="num" w:pos="1474"/>
        </w:tabs>
        <w:ind w:left="1474" w:hanging="340"/>
      </w:pPr>
    </w:lvl>
    <w:lvl w:ilvl="3">
      <w:start w:val="1"/>
      <w:numFmt w:val="decimal"/>
      <w:pStyle w:val="ListNumber4"/>
      <w:lvlText w:val="%4."/>
      <w:lvlJc w:val="left"/>
      <w:pPr>
        <w:tabs>
          <w:tab w:val="num" w:pos="1757"/>
        </w:tabs>
        <w:ind w:left="1757" w:hanging="340"/>
      </w:pPr>
    </w:lvl>
    <w:lvl w:ilvl="4">
      <w:start w:val="1"/>
      <w:numFmt w:val="decimal"/>
      <w:pStyle w:val="ListNumber5"/>
      <w:lvlText w:val="%5."/>
      <w:lvlJc w:val="left"/>
      <w:pPr>
        <w:tabs>
          <w:tab w:val="num" w:pos="2041"/>
        </w:tabs>
        <w:ind w:left="2041"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8BB7503"/>
    <w:multiLevelType w:val="singleLevel"/>
    <w:tmpl w:val="60A0508A"/>
    <w:styleLink w:val="AlphaNote"/>
    <w:lvl w:ilvl="0">
      <w:start w:val="1"/>
      <w:numFmt w:val="lowerLetter"/>
      <w:lvlText w:val="%1."/>
      <w:lvlJc w:val="left"/>
      <w:pPr>
        <w:tabs>
          <w:tab w:val="num" w:pos="408"/>
        </w:tabs>
        <w:ind w:left="408" w:hanging="408"/>
      </w:pPr>
    </w:lvl>
  </w:abstractNum>
  <w:abstractNum w:abstractNumId="11">
    <w:nsid w:val="48EC55A8"/>
    <w:multiLevelType w:val="singleLevel"/>
    <w:tmpl w:val="EBBACA14"/>
    <w:name w:val="templateBullet3"/>
    <w:lvl w:ilvl="0">
      <w:start w:val="1"/>
      <w:numFmt w:val="bullet"/>
      <w:pStyle w:val="ListBullet3"/>
      <w:lvlText w:val="-"/>
      <w:lvlJc w:val="left"/>
      <w:pPr>
        <w:tabs>
          <w:tab w:val="num" w:pos="1474"/>
        </w:tabs>
        <w:ind w:left="1474" w:hanging="340"/>
      </w:pPr>
      <w:rPr>
        <w:rFonts w:ascii="Symbol" w:hAnsi="Symbol" w:cs="Times New Roman" w:hint="default"/>
        <w:b w:val="0"/>
        <w:i w:val="0"/>
        <w:sz w:val="22"/>
      </w:rPr>
    </w:lvl>
  </w:abstractNum>
  <w:abstractNum w:abstractNumId="12">
    <w:nsid w:val="4AAE47B4"/>
    <w:multiLevelType w:val="singleLevel"/>
    <w:tmpl w:val="AB6CFFBC"/>
    <w:name w:val="templateBulletBox2"/>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13">
    <w:nsid w:val="56BE6F79"/>
    <w:multiLevelType w:val="singleLevel"/>
    <w:tmpl w:val="F258D16A"/>
    <w:name w:val="templateBullet4"/>
    <w:lvl w:ilvl="0">
      <w:start w:val="1"/>
      <w:numFmt w:val="bullet"/>
      <w:pStyle w:val="ListBullet4"/>
      <w:lvlText w:val="-"/>
      <w:lvlJc w:val="left"/>
      <w:pPr>
        <w:tabs>
          <w:tab w:val="num" w:pos="1757"/>
        </w:tabs>
        <w:ind w:left="1757" w:hanging="340"/>
      </w:pPr>
      <w:rPr>
        <w:rFonts w:ascii="Symbol" w:hAnsi="Symbol" w:cs="Times New Roman" w:hint="default"/>
        <w:b w:val="0"/>
        <w:i w:val="0"/>
        <w:sz w:val="22"/>
      </w:rPr>
    </w:lvl>
  </w:abstractNum>
  <w:abstractNum w:abstractNumId="14">
    <w:nsid w:val="5C8E0CA3"/>
    <w:multiLevelType w:val="singleLevel"/>
    <w:tmpl w:val="BCFCA2DE"/>
    <w:name w:val="templateBullet5"/>
    <w:lvl w:ilvl="0">
      <w:start w:val="1"/>
      <w:numFmt w:val="bullet"/>
      <w:pStyle w:val="ListBullet5"/>
      <w:lvlText w:val="-"/>
      <w:lvlJc w:val="left"/>
      <w:pPr>
        <w:tabs>
          <w:tab w:val="num" w:pos="2041"/>
        </w:tabs>
        <w:ind w:left="2041" w:hanging="340"/>
      </w:pPr>
      <w:rPr>
        <w:rFonts w:ascii="Symbol" w:hAnsi="Symbol" w:cs="Times New Roman" w:hint="default"/>
        <w:b w:val="0"/>
        <w:i w:val="0"/>
        <w:sz w:val="22"/>
      </w:rPr>
    </w:lvl>
  </w:abstractNum>
  <w:abstractNum w:abstractNumId="15">
    <w:nsid w:val="63E515CF"/>
    <w:multiLevelType w:val="singleLevel"/>
    <w:tmpl w:val="7A00B8A4"/>
    <w:name w:val="templateBulletBox1"/>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16">
    <w:nsid w:val="748F73E9"/>
    <w:multiLevelType w:val="hybridMultilevel"/>
    <w:tmpl w:val="0F4C43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10"/>
  </w:num>
  <w:num w:numId="5">
    <w:abstractNumId w:val="0"/>
  </w:num>
  <w:num w:numId="6">
    <w:abstractNumId w:val="7"/>
  </w:num>
  <w:num w:numId="7">
    <w:abstractNumId w:val="11"/>
  </w:num>
  <w:num w:numId="8">
    <w:abstractNumId w:val="13"/>
  </w:num>
  <w:num w:numId="9">
    <w:abstractNumId w:val="14"/>
  </w:num>
  <w:num w:numId="10">
    <w:abstractNumId w:val="9"/>
  </w:num>
  <w:num w:numId="11">
    <w:abstractNumId w:val="15"/>
  </w:num>
  <w:num w:numId="12">
    <w:abstractNumId w:val="12"/>
  </w:num>
  <w:num w:numId="13">
    <w:abstractNumId w:val="1"/>
  </w:num>
  <w:num w:numId="14">
    <w:abstractNumId w:val="8"/>
  </w:num>
  <w:num w:numId="15">
    <w:abstractNumId w:val="5"/>
  </w:num>
  <w:num w:numId="16">
    <w:abstractNumId w:val="6"/>
  </w:num>
  <w:num w:numId="1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40"/>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2"/>
  </w:compat>
  <w:docVars>
    <w:docVar w:name="Classification" w:val="Document without cote"/>
    <w:docVar w:name="DocumentStyle" w:val="Standard OECD document"/>
    <w:docVar w:name="IsPublication" w:val="0"/>
    <w:docVar w:name="Language" w:val="English"/>
    <w:docVar w:name="PGLANDSCAPE" w:val="0"/>
  </w:docVars>
  <w:rsids>
    <w:rsidRoot w:val="00203D52"/>
    <w:rsid w:val="00043A04"/>
    <w:rsid w:val="00075A6C"/>
    <w:rsid w:val="00080441"/>
    <w:rsid w:val="00123AD1"/>
    <w:rsid w:val="00125645"/>
    <w:rsid w:val="00150E18"/>
    <w:rsid w:val="001C07B9"/>
    <w:rsid w:val="00203D52"/>
    <w:rsid w:val="00205BBA"/>
    <w:rsid w:val="002A6ED9"/>
    <w:rsid w:val="002E7A14"/>
    <w:rsid w:val="0030014E"/>
    <w:rsid w:val="003524DE"/>
    <w:rsid w:val="003A4CF3"/>
    <w:rsid w:val="004A2D61"/>
    <w:rsid w:val="004E1B8E"/>
    <w:rsid w:val="00565A8C"/>
    <w:rsid w:val="005D0C2E"/>
    <w:rsid w:val="006046E5"/>
    <w:rsid w:val="0071709E"/>
    <w:rsid w:val="007C1498"/>
    <w:rsid w:val="00821336"/>
    <w:rsid w:val="00925D11"/>
    <w:rsid w:val="00964BDA"/>
    <w:rsid w:val="00A75C11"/>
    <w:rsid w:val="00A77A4F"/>
    <w:rsid w:val="00AF4353"/>
    <w:rsid w:val="00B735FE"/>
    <w:rsid w:val="00B73F45"/>
    <w:rsid w:val="00C328FC"/>
    <w:rsid w:val="00CA3902"/>
    <w:rsid w:val="00D17AD5"/>
    <w:rsid w:val="00D86DE7"/>
    <w:rsid w:val="00DA2884"/>
    <w:rsid w:val="00E15818"/>
    <w:rsid w:val="00FA6768"/>
    <w:rsid w:val="00FC3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03D52"/>
    <w:pPr>
      <w:spacing w:after="200" w:line="276" w:lineRule="auto"/>
    </w:pPr>
    <w:rPr>
      <w:rFonts w:asciiTheme="minorHAnsi" w:eastAsiaTheme="minorHAnsi" w:hAnsiTheme="minorHAnsi" w:cstheme="minorBidi"/>
      <w:sz w:val="22"/>
      <w:szCs w:val="22"/>
      <w:lang w:val="en-GB"/>
    </w:rPr>
  </w:style>
  <w:style w:type="paragraph" w:styleId="Heading1">
    <w:name w:val="heading 1"/>
    <w:basedOn w:val="Normal"/>
    <w:next w:val="Num-DocParagraph"/>
    <w:link w:val="Heading1Char"/>
    <w:uiPriority w:val="9"/>
    <w:qFormat/>
    <w:pPr>
      <w:keepNext/>
      <w:spacing w:before="1200" w:after="720"/>
      <w:jc w:val="center"/>
      <w:outlineLvl w:val="0"/>
    </w:pPr>
    <w:rPr>
      <w:b/>
      <w:bCs/>
      <w:caps/>
      <w:kern w:val="28"/>
    </w:rPr>
  </w:style>
  <w:style w:type="paragraph" w:styleId="Heading2">
    <w:name w:val="heading 2"/>
    <w:basedOn w:val="Normal"/>
    <w:next w:val="Num-DocParagraph"/>
    <w:qFormat/>
    <w:pPr>
      <w:keepNext/>
      <w:spacing w:before="240" w:after="240"/>
      <w:outlineLvl w:val="1"/>
    </w:pPr>
    <w:rPr>
      <w:b/>
      <w:bCs/>
    </w:rPr>
  </w:style>
  <w:style w:type="paragraph" w:styleId="Heading3">
    <w:name w:val="heading 3"/>
    <w:basedOn w:val="Normal"/>
    <w:next w:val="Num-DocParagraph"/>
    <w:link w:val="Heading3Char"/>
    <w:uiPriority w:val="9"/>
    <w:qFormat/>
    <w:pPr>
      <w:keepNext/>
      <w:spacing w:before="240" w:after="240"/>
      <w:outlineLvl w:val="2"/>
    </w:pPr>
    <w:rPr>
      <w:b/>
      <w:bCs/>
      <w:i/>
      <w:iCs/>
    </w:rPr>
  </w:style>
  <w:style w:type="paragraph" w:styleId="Heading4">
    <w:name w:val="heading 4"/>
    <w:basedOn w:val="Normal"/>
    <w:next w:val="Num-DocParagraph"/>
    <w:qFormat/>
    <w:pPr>
      <w:keepNext/>
      <w:spacing w:before="240" w:after="240"/>
      <w:outlineLvl w:val="3"/>
    </w:pPr>
    <w:rPr>
      <w:i/>
      <w:iCs/>
    </w:rPr>
  </w:style>
  <w:style w:type="paragraph" w:styleId="Heading5">
    <w:name w:val="heading 5"/>
    <w:basedOn w:val="Normal"/>
    <w:next w:val="Num-DocParagraph"/>
    <w:qFormat/>
    <w:pPr>
      <w:spacing w:before="240" w:after="240"/>
      <w:outlineLvl w:val="4"/>
    </w:pPr>
  </w:style>
  <w:style w:type="paragraph" w:styleId="Heading6">
    <w:name w:val="heading 6"/>
    <w:basedOn w:val="Normal"/>
    <w:next w:val="Normal"/>
    <w:qFormat/>
    <w:pPr>
      <w:spacing w:before="240" w:after="60"/>
      <w:outlineLvl w:val="5"/>
    </w:pPr>
    <w:rPr>
      <w:b/>
      <w:bCs/>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ing">
    <w:name w:val="Annex Heading"/>
    <w:basedOn w:val="Normal"/>
    <w:next w:val="BodyText"/>
    <w:pPr>
      <w:keepNext/>
      <w:spacing w:before="1200" w:after="720"/>
      <w:jc w:val="center"/>
    </w:pPr>
    <w:rPr>
      <w:b/>
      <w:bCs/>
      <w:caps/>
    </w:rPr>
  </w:style>
  <w:style w:type="paragraph" w:styleId="BodyText">
    <w:name w:val="Body Text"/>
    <w:basedOn w:val="Normal"/>
    <w:pPr>
      <w:spacing w:after="240"/>
      <w:ind w:firstLine="442"/>
    </w:pPr>
  </w:style>
  <w:style w:type="paragraph" w:customStyle="1" w:styleId="Annotation">
    <w:name w:val="Annotation"/>
    <w:basedOn w:val="BodyText"/>
    <w:pPr>
      <w:ind w:firstLine="0"/>
    </w:pPr>
    <w:rPr>
      <w:b/>
      <w:bCs/>
      <w:i/>
      <w:iCs/>
    </w:rPr>
  </w:style>
  <w:style w:type="paragraph" w:customStyle="1" w:styleId="AppendixHeading">
    <w:name w:val="Appendix Heading"/>
    <w:basedOn w:val="Normal"/>
    <w:next w:val="BodyText"/>
    <w:pPr>
      <w:keepNext/>
      <w:spacing w:before="1200" w:after="720"/>
      <w:jc w:val="center"/>
    </w:pPr>
    <w:rPr>
      <w:b/>
      <w:bCs/>
      <w:caps/>
    </w:rPr>
  </w:style>
  <w:style w:type="paragraph" w:customStyle="1" w:styleId="Biblio-Entry">
    <w:name w:val="Biblio-Entry"/>
    <w:basedOn w:val="BodyText"/>
    <w:pPr>
      <w:ind w:left="567" w:hanging="567"/>
    </w:pPr>
  </w:style>
  <w:style w:type="paragraph" w:customStyle="1" w:styleId="BibliographyHeading">
    <w:name w:val="Bibliography Heading"/>
    <w:basedOn w:val="Normal"/>
    <w:next w:val="Biblio-Entry"/>
    <w:pPr>
      <w:keepNext/>
      <w:spacing w:before="1200" w:after="720"/>
      <w:jc w:val="center"/>
    </w:pPr>
    <w:rPr>
      <w:b/>
      <w:bCs/>
      <w:caps/>
    </w:rPr>
  </w:style>
  <w:style w:type="paragraph" w:customStyle="1" w:styleId="BoxHeading">
    <w:name w:val="Box Heading"/>
    <w:basedOn w:val="Normal"/>
    <w:next w:val="BoxBodyText"/>
    <w:pPr>
      <w:spacing w:before="240" w:after="240"/>
      <w:jc w:val="center"/>
    </w:pPr>
    <w:rPr>
      <w:rFonts w:ascii="Arial" w:hAnsi="Arial" w:cs="Arial"/>
      <w:b/>
      <w:bCs/>
      <w:sz w:val="18"/>
    </w:rPr>
  </w:style>
  <w:style w:type="paragraph" w:customStyle="1" w:styleId="Cell">
    <w:name w:val="Cell"/>
    <w:basedOn w:val="Normal"/>
    <w:rPr>
      <w:rFonts w:ascii="Arial" w:hAnsi="Arial" w:cs="Arial"/>
      <w:sz w:val="18"/>
      <w:szCs w:val="18"/>
    </w:rPr>
  </w:style>
  <w:style w:type="paragraph" w:customStyle="1" w:styleId="ColumnsHeading">
    <w:name w:val="Columns Heading"/>
    <w:basedOn w:val="Normal"/>
    <w:pPr>
      <w:jc w:val="center"/>
    </w:pPr>
    <w:rPr>
      <w:rFonts w:ascii="Arial" w:hAnsi="Arial" w:cs="Arial"/>
      <w:sz w:val="18"/>
      <w:szCs w:val="18"/>
    </w:rPr>
  </w:style>
  <w:style w:type="paragraph" w:customStyle="1" w:styleId="ConclusionHeading">
    <w:name w:val="Conclusion Heading"/>
    <w:basedOn w:val="Normal"/>
    <w:next w:val="BodyText"/>
    <w:pPr>
      <w:keepNext/>
      <w:spacing w:before="1200" w:after="720"/>
      <w:jc w:val="center"/>
    </w:pPr>
    <w:rPr>
      <w:b/>
      <w:bCs/>
      <w:caps/>
    </w:rPr>
  </w:style>
  <w:style w:type="paragraph" w:customStyle="1" w:styleId="DefinitionList">
    <w:name w:val="Definition List"/>
    <w:basedOn w:val="BodyText"/>
    <w:pPr>
      <w:ind w:left="1984" w:hanging="1984"/>
      <w:jc w:val="center"/>
    </w:pPr>
  </w:style>
  <w:style w:type="paragraph" w:styleId="EndnoteText">
    <w:name w:val="endnote text"/>
    <w:basedOn w:val="Normal"/>
    <w:semiHidden/>
    <w:pPr>
      <w:spacing w:after="240"/>
      <w:ind w:left="850" w:hanging="850"/>
    </w:pPr>
    <w:rPr>
      <w:sz w:val="20"/>
      <w:szCs w:val="20"/>
    </w:rPr>
  </w:style>
  <w:style w:type="paragraph" w:customStyle="1" w:styleId="EndnotesHeading">
    <w:name w:val="Endnotes Heading"/>
    <w:basedOn w:val="Normal"/>
    <w:next w:val="BodyText"/>
    <w:pPr>
      <w:keepNext/>
      <w:spacing w:before="1200" w:after="480"/>
      <w:jc w:val="center"/>
    </w:pPr>
    <w:rPr>
      <w:b/>
      <w:bCs/>
      <w:caps/>
    </w:rPr>
  </w:style>
  <w:style w:type="paragraph" w:customStyle="1" w:styleId="ExecutiveSummaryHeading">
    <w:name w:val="Executive Summary Heading"/>
    <w:basedOn w:val="Normal"/>
    <w:next w:val="BodyText"/>
    <w:pPr>
      <w:keepNext/>
      <w:spacing w:before="1200" w:after="720"/>
      <w:jc w:val="center"/>
    </w:pPr>
    <w:rPr>
      <w:b/>
      <w:bCs/>
      <w:caps/>
    </w:rPr>
  </w:style>
  <w:style w:type="paragraph" w:customStyle="1" w:styleId="FigureNote">
    <w:name w:val="Figure Note"/>
    <w:basedOn w:val="Normal"/>
    <w:pPr>
      <w:spacing w:after="120"/>
    </w:pPr>
    <w:rPr>
      <w:rFonts w:ascii="Arial" w:hAnsi="Arial" w:cs="Arial"/>
      <w:sz w:val="16"/>
      <w:szCs w:val="18"/>
    </w:rPr>
  </w:style>
  <w:style w:type="paragraph" w:customStyle="1" w:styleId="FigureSub-title">
    <w:name w:val="Figure Sub-title"/>
    <w:basedOn w:val="Normal"/>
    <w:link w:val="FigureSub-titleChar"/>
    <w:pPr>
      <w:keepNext/>
      <w:spacing w:after="120"/>
      <w:jc w:val="center"/>
    </w:pPr>
    <w:rPr>
      <w:rFonts w:ascii="Arial" w:hAnsi="Arial" w:cs="Arial"/>
      <w:sz w:val="18"/>
    </w:rPr>
  </w:style>
  <w:style w:type="paragraph" w:customStyle="1" w:styleId="FigureTitle">
    <w:name w:val="Figure Title"/>
    <w:basedOn w:val="Normal"/>
    <w:next w:val="FigureSub-title"/>
    <w:link w:val="FigureTitleChar"/>
    <w:pPr>
      <w:keepNext/>
      <w:spacing w:after="240"/>
      <w:jc w:val="center"/>
    </w:pPr>
    <w:rPr>
      <w:rFonts w:ascii="Arial" w:hAnsi="Arial" w:cs="Arial"/>
      <w:b/>
      <w:bCs/>
      <w:sz w:val="18"/>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after="120"/>
      <w:ind w:left="850" w:hanging="850"/>
    </w:pPr>
    <w:rPr>
      <w:sz w:val="20"/>
      <w:szCs w:val="20"/>
    </w:rPr>
  </w:style>
  <w:style w:type="paragraph" w:customStyle="1" w:styleId="ForewordHeading">
    <w:name w:val="Foreword Heading"/>
    <w:basedOn w:val="Normal"/>
    <w:next w:val="BodyText"/>
    <w:pPr>
      <w:keepNext/>
      <w:spacing w:before="1200" w:after="720"/>
      <w:jc w:val="center"/>
    </w:pPr>
    <w:rPr>
      <w:b/>
      <w:bCs/>
      <w:caps/>
    </w:rPr>
  </w:style>
  <w:style w:type="paragraph" w:customStyle="1" w:styleId="GlossaryHeading">
    <w:name w:val="Glossary Heading"/>
    <w:basedOn w:val="Normal"/>
    <w:next w:val="BodyText"/>
    <w:pPr>
      <w:keepNext/>
      <w:spacing w:before="1200" w:after="720"/>
      <w:jc w:val="center"/>
    </w:pPr>
    <w:rPr>
      <w:b/>
      <w:bCs/>
      <w:caps/>
    </w:rPr>
  </w:style>
  <w:style w:type="paragraph" w:customStyle="1" w:styleId="Graphic">
    <w:name w:val="Graphic"/>
    <w:basedOn w:val="Normal"/>
    <w:next w:val="BodyText"/>
    <w:pPr>
      <w:spacing w:after="240"/>
      <w:jc w:val="center"/>
    </w:pPr>
  </w:style>
  <w:style w:type="paragraph" w:customStyle="1" w:styleId="HiddenText">
    <w:name w:val="Hidden Text"/>
    <w:basedOn w:val="BodyText"/>
    <w:pPr>
      <w:keepNext/>
      <w:spacing w:after="0"/>
      <w:ind w:left="442" w:firstLine="0"/>
    </w:pPr>
    <w:rPr>
      <w:sz w:val="2"/>
      <w:szCs w:val="2"/>
    </w:rPr>
  </w:style>
  <w:style w:type="paragraph" w:customStyle="1" w:styleId="Highlight">
    <w:name w:val="Highlight"/>
    <w:basedOn w:val="BodyText"/>
    <w:pPr>
      <w:ind w:left="442" w:firstLine="0"/>
    </w:pPr>
    <w:rPr>
      <w:i/>
      <w:iCs/>
    </w:rPr>
  </w:style>
  <w:style w:type="paragraph" w:customStyle="1" w:styleId="HighlightHeading">
    <w:name w:val="Highlight Heading"/>
    <w:basedOn w:val="Normal"/>
    <w:next w:val="BodyText"/>
    <w:pPr>
      <w:keepNext/>
      <w:spacing w:before="1200" w:after="720"/>
      <w:jc w:val="center"/>
    </w:pPr>
    <w:rPr>
      <w:b/>
      <w:bCs/>
      <w:caps/>
    </w:rPr>
  </w:style>
  <w:style w:type="paragraph" w:styleId="Index1">
    <w:name w:val="index 1"/>
    <w:basedOn w:val="Normal"/>
    <w:next w:val="Normal"/>
    <w:semiHidden/>
    <w:pPr>
      <w:ind w:left="220" w:hanging="220"/>
    </w:pPr>
  </w:style>
  <w:style w:type="paragraph" w:styleId="IndexHeading">
    <w:name w:val="index heading"/>
    <w:basedOn w:val="Normal"/>
    <w:next w:val="BodyText"/>
    <w:semiHidden/>
    <w:pPr>
      <w:keepNext/>
      <w:spacing w:before="1200" w:after="720"/>
      <w:jc w:val="center"/>
    </w:pPr>
    <w:rPr>
      <w:b/>
      <w:bCs/>
      <w:caps/>
    </w:rPr>
  </w:style>
  <w:style w:type="paragraph" w:customStyle="1" w:styleId="IntroductionHeading">
    <w:name w:val="Introduction Heading"/>
    <w:basedOn w:val="Normal"/>
    <w:next w:val="BodyText"/>
    <w:pPr>
      <w:keepNext/>
      <w:spacing w:before="1200" w:after="720"/>
      <w:jc w:val="center"/>
    </w:pPr>
    <w:rPr>
      <w:b/>
      <w:bCs/>
      <w:caps/>
    </w:rPr>
  </w:style>
  <w:style w:type="paragraph" w:styleId="List">
    <w:name w:val="List"/>
    <w:basedOn w:val="Normal"/>
    <w:pPr>
      <w:spacing w:after="240"/>
      <w:ind w:left="850" w:hanging="283"/>
    </w:pPr>
  </w:style>
  <w:style w:type="paragraph" w:styleId="List2">
    <w:name w:val="List 2"/>
    <w:basedOn w:val="Normal"/>
    <w:pPr>
      <w:spacing w:after="240"/>
      <w:ind w:left="1134" w:hanging="283"/>
    </w:pPr>
  </w:style>
  <w:style w:type="paragraph" w:styleId="List3">
    <w:name w:val="List 3"/>
    <w:basedOn w:val="Normal"/>
    <w:pPr>
      <w:spacing w:after="240"/>
      <w:ind w:left="1417" w:hanging="283"/>
    </w:pPr>
  </w:style>
  <w:style w:type="paragraph" w:styleId="List4">
    <w:name w:val="List 4"/>
    <w:basedOn w:val="Normal"/>
    <w:pPr>
      <w:spacing w:after="240"/>
      <w:ind w:left="1701" w:hanging="283"/>
    </w:pPr>
  </w:style>
  <w:style w:type="paragraph" w:styleId="List5">
    <w:name w:val="List 5"/>
    <w:basedOn w:val="Normal"/>
    <w:pPr>
      <w:spacing w:after="240"/>
      <w:ind w:left="1984" w:hanging="283"/>
    </w:pPr>
  </w:style>
  <w:style w:type="paragraph" w:styleId="ListBullet">
    <w:name w:val="List Bullet"/>
    <w:basedOn w:val="Normal"/>
    <w:pPr>
      <w:numPr>
        <w:numId w:val="5"/>
      </w:numPr>
      <w:spacing w:after="240"/>
    </w:pPr>
  </w:style>
  <w:style w:type="paragraph" w:styleId="ListBullet2">
    <w:name w:val="List Bullet 2"/>
    <w:basedOn w:val="Normal"/>
    <w:pPr>
      <w:numPr>
        <w:numId w:val="6"/>
      </w:numPr>
      <w:spacing w:after="240"/>
    </w:pPr>
  </w:style>
  <w:style w:type="paragraph" w:styleId="ListBullet3">
    <w:name w:val="List Bullet 3"/>
    <w:basedOn w:val="Normal"/>
    <w:pPr>
      <w:numPr>
        <w:numId w:val="7"/>
      </w:numPr>
      <w:spacing w:after="240"/>
    </w:pPr>
  </w:style>
  <w:style w:type="paragraph" w:styleId="ListBullet4">
    <w:name w:val="List Bullet 4"/>
    <w:basedOn w:val="Normal"/>
    <w:pPr>
      <w:numPr>
        <w:numId w:val="8"/>
      </w:numPr>
      <w:spacing w:after="240"/>
    </w:pPr>
  </w:style>
  <w:style w:type="paragraph" w:styleId="ListBullet5">
    <w:name w:val="List Bullet 5"/>
    <w:basedOn w:val="Normal"/>
    <w:pPr>
      <w:numPr>
        <w:numId w:val="9"/>
      </w:numPr>
      <w:spacing w:after="240"/>
    </w:pPr>
  </w:style>
  <w:style w:type="paragraph" w:styleId="ListContinue">
    <w:name w:val="List Continue"/>
    <w:basedOn w:val="Normal"/>
    <w:pPr>
      <w:spacing w:after="240"/>
      <w:ind w:left="850"/>
    </w:pPr>
  </w:style>
  <w:style w:type="paragraph" w:styleId="ListContinue2">
    <w:name w:val="List Continue 2"/>
    <w:basedOn w:val="Normal"/>
    <w:pPr>
      <w:spacing w:after="240"/>
      <w:ind w:left="1191"/>
    </w:pPr>
  </w:style>
  <w:style w:type="paragraph" w:styleId="ListContinue3">
    <w:name w:val="List Continue 3"/>
    <w:basedOn w:val="Normal"/>
    <w:pPr>
      <w:spacing w:after="240"/>
      <w:ind w:left="1474"/>
    </w:pPr>
  </w:style>
  <w:style w:type="paragraph" w:styleId="ListContinue4">
    <w:name w:val="List Continue 4"/>
    <w:basedOn w:val="Normal"/>
    <w:pPr>
      <w:spacing w:after="240"/>
      <w:ind w:left="1757"/>
    </w:pPr>
  </w:style>
  <w:style w:type="paragraph" w:styleId="ListContinue5">
    <w:name w:val="List Continue 5"/>
    <w:basedOn w:val="Normal"/>
    <w:pPr>
      <w:spacing w:after="240"/>
      <w:ind w:left="2041"/>
    </w:pPr>
  </w:style>
  <w:style w:type="paragraph" w:styleId="ListNumber">
    <w:name w:val="List Number"/>
    <w:basedOn w:val="Normal"/>
    <w:pPr>
      <w:numPr>
        <w:numId w:val="10"/>
      </w:numPr>
      <w:tabs>
        <w:tab w:val="left" w:pos="1134"/>
      </w:tabs>
      <w:spacing w:after="240"/>
    </w:pPr>
  </w:style>
  <w:style w:type="paragraph" w:styleId="ListNumber2">
    <w:name w:val="List Number 2"/>
    <w:basedOn w:val="Normal"/>
    <w:pPr>
      <w:numPr>
        <w:ilvl w:val="1"/>
        <w:numId w:val="10"/>
      </w:numPr>
      <w:tabs>
        <w:tab w:val="left" w:pos="1417"/>
      </w:tabs>
      <w:spacing w:after="240"/>
    </w:pPr>
  </w:style>
  <w:style w:type="paragraph" w:styleId="ListNumber3">
    <w:name w:val="List Number 3"/>
    <w:basedOn w:val="Normal"/>
    <w:pPr>
      <w:numPr>
        <w:ilvl w:val="2"/>
        <w:numId w:val="10"/>
      </w:numPr>
      <w:tabs>
        <w:tab w:val="left" w:pos="1701"/>
      </w:tabs>
      <w:spacing w:after="240"/>
    </w:pPr>
  </w:style>
  <w:style w:type="paragraph" w:styleId="ListNumber4">
    <w:name w:val="List Number 4"/>
    <w:basedOn w:val="Normal"/>
    <w:pPr>
      <w:numPr>
        <w:ilvl w:val="3"/>
        <w:numId w:val="10"/>
      </w:numPr>
      <w:tabs>
        <w:tab w:val="left" w:pos="1984"/>
      </w:tabs>
      <w:spacing w:after="240"/>
    </w:pPr>
  </w:style>
  <w:style w:type="paragraph" w:styleId="ListNumber5">
    <w:name w:val="List Number 5"/>
    <w:basedOn w:val="Normal"/>
    <w:pPr>
      <w:numPr>
        <w:ilvl w:val="4"/>
        <w:numId w:val="10"/>
      </w:numPr>
      <w:tabs>
        <w:tab w:val="left" w:pos="2268"/>
      </w:tabs>
      <w:spacing w:after="240"/>
    </w:pPr>
  </w:style>
  <w:style w:type="paragraph" w:customStyle="1" w:styleId="Num-ChapParagraph">
    <w:name w:val="Num-Chap Paragraph"/>
    <w:basedOn w:val="BodyText"/>
    <w:pPr>
      <w:ind w:firstLine="0"/>
    </w:pPr>
  </w:style>
  <w:style w:type="paragraph" w:customStyle="1" w:styleId="Num-DocParagraph">
    <w:name w:val="Num-Doc Paragraph"/>
    <w:basedOn w:val="BodyText"/>
    <w:link w:val="Num-DocParagraphChar"/>
    <w:qFormat/>
    <w:pPr>
      <w:ind w:firstLine="0"/>
    </w:pPr>
  </w:style>
  <w:style w:type="paragraph" w:customStyle="1" w:styleId="PartHeading">
    <w:name w:val="Part Heading"/>
    <w:basedOn w:val="Normal"/>
    <w:next w:val="BodyText"/>
    <w:pPr>
      <w:keepNext/>
      <w:spacing w:before="1200" w:after="720"/>
      <w:jc w:val="center"/>
    </w:pPr>
    <w:rPr>
      <w:b/>
      <w:bCs/>
      <w:caps/>
    </w:rPr>
  </w:style>
  <w:style w:type="paragraph" w:customStyle="1" w:styleId="RowsHeading">
    <w:name w:val="Rows Heading"/>
    <w:basedOn w:val="Normal"/>
    <w:rPr>
      <w:rFonts w:ascii="Arial" w:hAnsi="Arial" w:cs="Arial"/>
      <w:sz w:val="18"/>
      <w:szCs w:val="18"/>
    </w:rPr>
  </w:style>
  <w:style w:type="paragraph" w:customStyle="1" w:styleId="SourceDescription">
    <w:name w:val="Source Description"/>
    <w:basedOn w:val="Normal"/>
    <w:next w:val="BodyText"/>
    <w:link w:val="SourceDescriptionChar"/>
    <w:pPr>
      <w:spacing w:after="360"/>
    </w:pPr>
    <w:rPr>
      <w:rFonts w:ascii="Arial" w:hAnsi="Arial" w:cs="Arial"/>
      <w:sz w:val="16"/>
      <w:szCs w:val="18"/>
    </w:rPr>
  </w:style>
  <w:style w:type="paragraph" w:customStyle="1" w:styleId="SubHeading">
    <w:name w:val="SubHeading"/>
    <w:basedOn w:val="BodyText"/>
    <w:pPr>
      <w:ind w:left="442" w:firstLine="0"/>
    </w:pPr>
    <w:rPr>
      <w:i/>
      <w:iCs/>
    </w:rPr>
  </w:style>
  <w:style w:type="paragraph" w:customStyle="1" w:styleId="SummaryHeading">
    <w:name w:val="Summary Heading"/>
    <w:basedOn w:val="Normal"/>
    <w:next w:val="BodyText"/>
    <w:pPr>
      <w:keepNext/>
      <w:spacing w:before="1200" w:after="720"/>
      <w:jc w:val="center"/>
    </w:pPr>
    <w:rPr>
      <w:b/>
      <w:bCs/>
      <w:caps/>
    </w:rPr>
  </w:style>
  <w:style w:type="paragraph" w:customStyle="1" w:styleId="Table">
    <w:name w:val="Table"/>
    <w:basedOn w:val="Normal"/>
    <w:next w:val="BodyText"/>
    <w:pPr>
      <w:spacing w:after="240"/>
      <w:jc w:val="center"/>
    </w:pPr>
  </w:style>
  <w:style w:type="paragraph" w:customStyle="1" w:styleId="TableNote">
    <w:name w:val="Table Note"/>
    <w:basedOn w:val="Normal"/>
    <w:pPr>
      <w:spacing w:after="120"/>
    </w:pPr>
    <w:rPr>
      <w:rFonts w:ascii="Arial" w:hAnsi="Arial" w:cs="Arial"/>
      <w:sz w:val="16"/>
      <w:szCs w:val="18"/>
    </w:rPr>
  </w:style>
  <w:style w:type="paragraph" w:customStyle="1" w:styleId="TableofContentsHeading">
    <w:name w:val="Table of Contents Heading"/>
    <w:basedOn w:val="Normal"/>
    <w:next w:val="BodyText"/>
    <w:pPr>
      <w:keepNext/>
      <w:spacing w:before="1200" w:after="720"/>
      <w:jc w:val="center"/>
    </w:pPr>
    <w:rPr>
      <w:b/>
      <w:bCs/>
      <w:caps/>
    </w:rPr>
  </w:style>
  <w:style w:type="paragraph" w:customStyle="1" w:styleId="TableSub-title">
    <w:name w:val="Table Sub-title"/>
    <w:basedOn w:val="Normal"/>
    <w:pPr>
      <w:keepNext/>
      <w:spacing w:after="240"/>
      <w:jc w:val="center"/>
    </w:pPr>
    <w:rPr>
      <w:rFonts w:ascii="Arial" w:hAnsi="Arial" w:cs="Arial"/>
      <w:sz w:val="18"/>
    </w:rPr>
  </w:style>
  <w:style w:type="paragraph" w:customStyle="1" w:styleId="TableTitle">
    <w:name w:val="Table Title"/>
    <w:basedOn w:val="Normal"/>
    <w:pPr>
      <w:keepNext/>
      <w:spacing w:after="240"/>
      <w:jc w:val="center"/>
    </w:pPr>
    <w:rPr>
      <w:rFonts w:ascii="Arial" w:hAnsi="Arial" w:cs="Arial"/>
      <w:b/>
      <w:bCs/>
      <w:sz w:val="18"/>
    </w:rPr>
  </w:style>
  <w:style w:type="paragraph" w:customStyle="1" w:styleId="TextBox">
    <w:name w:val="Text Box"/>
    <w:basedOn w:val="BodyText"/>
    <w:pPr>
      <w:pBdr>
        <w:top w:val="single" w:sz="6" w:space="1" w:color="auto"/>
        <w:left w:val="single" w:sz="6" w:space="1" w:color="auto"/>
        <w:bottom w:val="single" w:sz="6" w:space="1" w:color="auto"/>
        <w:right w:val="single" w:sz="6" w:space="1" w:color="auto"/>
      </w:pBdr>
      <w:ind w:firstLine="0"/>
    </w:pPr>
    <w:rPr>
      <w:rFonts w:ascii="Arial" w:hAnsi="Arial" w:cs="Arial"/>
      <w:sz w:val="18"/>
    </w:rPr>
  </w:style>
  <w:style w:type="paragraph" w:customStyle="1" w:styleId="TextBoxHeading">
    <w:name w:val="Text Box Heading"/>
    <w:basedOn w:val="TextBox"/>
    <w:next w:val="TextBox"/>
    <w:pPr>
      <w:jc w:val="center"/>
    </w:pPr>
    <w:rPr>
      <w:b/>
      <w:bCs/>
    </w:rPr>
  </w:style>
  <w:style w:type="paragraph" w:styleId="TOC1">
    <w:name w:val="toc 1"/>
    <w:basedOn w:val="Normal"/>
    <w:next w:val="Normal"/>
    <w:uiPriority w:val="39"/>
    <w:qFormat/>
    <w:pPr>
      <w:tabs>
        <w:tab w:val="right" w:leader="dot" w:pos="9468"/>
      </w:tabs>
      <w:spacing w:before="120" w:after="120"/>
    </w:pPr>
    <w:rPr>
      <w:caps/>
    </w:rPr>
  </w:style>
  <w:style w:type="paragraph" w:styleId="TOC2">
    <w:name w:val="toc 2"/>
    <w:basedOn w:val="Normal"/>
    <w:next w:val="Normal"/>
    <w:uiPriority w:val="39"/>
    <w:qFormat/>
    <w:pPr>
      <w:tabs>
        <w:tab w:val="right" w:leader="dot" w:pos="9468"/>
      </w:tabs>
      <w:ind w:left="198"/>
    </w:pPr>
  </w:style>
  <w:style w:type="paragraph" w:styleId="TOC3">
    <w:name w:val="toc 3"/>
    <w:basedOn w:val="Normal"/>
    <w:next w:val="Normal"/>
    <w:qFormat/>
    <w:pPr>
      <w:tabs>
        <w:tab w:val="right" w:leader="dot" w:pos="9468"/>
      </w:tabs>
      <w:ind w:left="397"/>
    </w:pPr>
  </w:style>
  <w:style w:type="paragraph" w:styleId="TOC4">
    <w:name w:val="toc 4"/>
    <w:basedOn w:val="Normal"/>
    <w:next w:val="Normal"/>
    <w:qFormat/>
    <w:pPr>
      <w:tabs>
        <w:tab w:val="right" w:leader="dot" w:pos="9468"/>
      </w:tabs>
      <w:ind w:left="595"/>
    </w:pPr>
    <w:rPr>
      <w:noProof/>
    </w:rPr>
  </w:style>
  <w:style w:type="paragraph" w:styleId="TOC5">
    <w:name w:val="toc 5"/>
    <w:basedOn w:val="Normal"/>
    <w:next w:val="Normal"/>
    <w:qFormat/>
    <w:pPr>
      <w:tabs>
        <w:tab w:val="right" w:leader="dot" w:pos="9468"/>
      </w:tabs>
      <w:ind w:left="794"/>
    </w:pPr>
    <w:rPr>
      <w:noProof/>
    </w:rPr>
  </w:style>
  <w:style w:type="paragraph" w:customStyle="1" w:styleId="IndexHeading1">
    <w:name w:val="Index Heading1"/>
    <w:basedOn w:val="Normal"/>
    <w:next w:val="BodyText"/>
    <w:pPr>
      <w:keepNext/>
      <w:spacing w:before="1200" w:after="720"/>
      <w:jc w:val="center"/>
    </w:pPr>
    <w:rPr>
      <w:b/>
      <w:caps/>
      <w:lang w:val="en-US"/>
    </w:rPr>
  </w:style>
  <w:style w:type="paragraph" w:styleId="BlockText">
    <w:name w:val="Block Text"/>
    <w:basedOn w:val="Normal"/>
    <w:pPr>
      <w:spacing w:after="120"/>
      <w:ind w:left="1440" w:right="1440"/>
    </w:pPr>
  </w:style>
  <w:style w:type="paragraph" w:styleId="TOC9">
    <w:name w:val="toc 9"/>
    <w:basedOn w:val="Normal"/>
    <w:next w:val="Normal"/>
    <w:qFormat/>
    <w:pPr>
      <w:ind w:left="1760"/>
    </w:pPr>
  </w:style>
  <w:style w:type="paragraph" w:customStyle="1" w:styleId="Abstract">
    <w:name w:val="Abstract"/>
    <w:basedOn w:val="BodyText"/>
    <w:pPr>
      <w:pBdr>
        <w:top w:val="single" w:sz="4" w:space="1" w:color="auto"/>
        <w:left w:val="single" w:sz="4" w:space="4" w:color="auto"/>
        <w:bottom w:val="single" w:sz="4" w:space="1" w:color="auto"/>
        <w:right w:val="single" w:sz="4" w:space="4" w:color="auto"/>
      </w:pBdr>
      <w:ind w:left="442" w:firstLine="0"/>
    </w:pPr>
    <w:rPr>
      <w:lang w:val="en-US"/>
    </w:rPr>
  </w:style>
  <w:style w:type="paragraph" w:customStyle="1" w:styleId="Author">
    <w:name w:val="Author"/>
    <w:basedOn w:val="BodyText"/>
    <w:pPr>
      <w:ind w:firstLine="0"/>
    </w:pPr>
    <w:rPr>
      <w:lang w:val="en-US"/>
    </w:rPr>
  </w:style>
  <w:style w:type="paragraph" w:customStyle="1" w:styleId="Chart">
    <w:name w:val="Chart"/>
    <w:basedOn w:val="Normal"/>
    <w:next w:val="BodyText"/>
    <w:pPr>
      <w:spacing w:after="240"/>
      <w:jc w:val="center"/>
    </w:pPr>
    <w:rPr>
      <w:lang w:val="en-US"/>
    </w:rPr>
  </w:style>
  <w:style w:type="paragraph" w:customStyle="1" w:styleId="ChartSub-title">
    <w:name w:val="Chart Sub-title"/>
    <w:basedOn w:val="Normal"/>
    <w:pPr>
      <w:keepNext/>
      <w:spacing w:after="120"/>
      <w:jc w:val="center"/>
    </w:pPr>
    <w:rPr>
      <w:rFonts w:ascii="Arial" w:hAnsi="Arial" w:cs="Arial"/>
      <w:sz w:val="18"/>
      <w:lang w:val="en-US"/>
    </w:rPr>
  </w:style>
  <w:style w:type="paragraph" w:customStyle="1" w:styleId="ChartTitle">
    <w:name w:val="Chart Title"/>
    <w:basedOn w:val="Normal"/>
    <w:next w:val="ChartSub-title"/>
    <w:pPr>
      <w:keepNext/>
      <w:spacing w:after="240"/>
      <w:jc w:val="center"/>
    </w:pPr>
    <w:rPr>
      <w:rFonts w:ascii="Arial" w:hAnsi="Arial" w:cs="Arial"/>
      <w:b/>
      <w:sz w:val="18"/>
      <w:lang w:val="en-US"/>
    </w:rPr>
  </w:style>
  <w:style w:type="paragraph" w:customStyle="1" w:styleId="ChartNote">
    <w:name w:val="Chart Note"/>
    <w:basedOn w:val="Normal"/>
    <w:pPr>
      <w:spacing w:after="120"/>
    </w:pPr>
    <w:rPr>
      <w:rFonts w:ascii="Arial" w:hAnsi="Arial" w:cs="Arial"/>
      <w:sz w:val="16"/>
      <w:lang w:val="en-US"/>
    </w:rPr>
  </w:style>
  <w:style w:type="paragraph" w:customStyle="1" w:styleId="BoxHeading2">
    <w:name w:val="Box Heading 2"/>
    <w:basedOn w:val="Normal"/>
    <w:next w:val="BoxBodyText"/>
    <w:pPr>
      <w:spacing w:before="240" w:after="240"/>
    </w:pPr>
    <w:rPr>
      <w:rFonts w:ascii="Arial" w:hAnsi="Arial" w:cs="Arial"/>
      <w:b/>
      <w:sz w:val="18"/>
      <w:lang w:val="en-US"/>
    </w:rPr>
  </w:style>
  <w:style w:type="paragraph" w:customStyle="1" w:styleId="BoxHeading3">
    <w:name w:val="Box Heading 3"/>
    <w:basedOn w:val="Normal"/>
    <w:next w:val="BoxBodyText"/>
    <w:pPr>
      <w:spacing w:before="240" w:after="240"/>
    </w:pPr>
    <w:rPr>
      <w:rFonts w:ascii="Arial" w:hAnsi="Arial" w:cs="Arial"/>
      <w:b/>
      <w:i/>
      <w:sz w:val="18"/>
      <w:lang w:val="en-US"/>
    </w:rPr>
  </w:style>
  <w:style w:type="paragraph" w:customStyle="1" w:styleId="BoxNote">
    <w:name w:val="Box Note"/>
    <w:basedOn w:val="Normal"/>
    <w:pPr>
      <w:tabs>
        <w:tab w:val="left" w:pos="340"/>
      </w:tabs>
      <w:spacing w:after="120"/>
    </w:pPr>
    <w:rPr>
      <w:rFonts w:ascii="Arial" w:hAnsi="Arial" w:cs="Arial"/>
      <w:sz w:val="18"/>
      <w:lang w:val="en-US"/>
    </w:rPr>
  </w:style>
  <w:style w:type="paragraph" w:customStyle="1" w:styleId="ListBulletBox">
    <w:name w:val="List Bullet Box"/>
    <w:basedOn w:val="Normal"/>
    <w:pPr>
      <w:numPr>
        <w:numId w:val="11"/>
      </w:numPr>
      <w:spacing w:after="240"/>
    </w:pPr>
    <w:rPr>
      <w:rFonts w:ascii="Arial" w:hAnsi="Arial" w:cs="Arial"/>
      <w:sz w:val="18"/>
      <w:lang w:val="en-US"/>
    </w:rPr>
  </w:style>
  <w:style w:type="paragraph" w:customStyle="1" w:styleId="ListBulletBox2">
    <w:name w:val="List Bullet Box 2"/>
    <w:basedOn w:val="Normal"/>
    <w:pPr>
      <w:numPr>
        <w:numId w:val="12"/>
      </w:numPr>
      <w:spacing w:after="240"/>
    </w:pPr>
    <w:rPr>
      <w:rFonts w:ascii="Arial" w:hAnsi="Arial" w:cs="Arial"/>
      <w:sz w:val="18"/>
      <w:lang w:val="en-US"/>
    </w:rPr>
  </w:style>
  <w:style w:type="paragraph" w:customStyle="1" w:styleId="ListBulletBox3">
    <w:name w:val="List Bullet Box 3"/>
    <w:basedOn w:val="Normal"/>
    <w:pPr>
      <w:numPr>
        <w:numId w:val="13"/>
      </w:numPr>
      <w:spacing w:after="240"/>
    </w:pPr>
    <w:rPr>
      <w:rFonts w:ascii="Arial" w:hAnsi="Arial" w:cs="Arial"/>
      <w:sz w:val="18"/>
      <w:lang w:val="en-US"/>
    </w:rPr>
  </w:style>
  <w:style w:type="paragraph" w:customStyle="1" w:styleId="ListNumberBox">
    <w:name w:val="List Number Box"/>
    <w:basedOn w:val="Normal"/>
    <w:pPr>
      <w:numPr>
        <w:numId w:val="14"/>
      </w:numPr>
      <w:tabs>
        <w:tab w:val="clear" w:pos="1950"/>
      </w:tabs>
      <w:spacing w:after="240"/>
      <w:ind w:left="850"/>
    </w:pPr>
    <w:rPr>
      <w:rFonts w:ascii="Arial" w:hAnsi="Arial" w:cs="Arial"/>
      <w:sz w:val="18"/>
      <w:lang w:val="en-US"/>
    </w:rPr>
  </w:style>
  <w:style w:type="paragraph" w:customStyle="1" w:styleId="ListNumberBox2">
    <w:name w:val="List Number Box 2"/>
    <w:basedOn w:val="Normal"/>
    <w:pPr>
      <w:numPr>
        <w:ilvl w:val="1"/>
        <w:numId w:val="14"/>
      </w:numPr>
      <w:tabs>
        <w:tab w:val="clear" w:pos="2291"/>
      </w:tabs>
      <w:spacing w:after="240"/>
      <w:ind w:left="1191" w:hanging="340"/>
    </w:pPr>
    <w:rPr>
      <w:rFonts w:ascii="Arial" w:hAnsi="Arial" w:cs="Arial"/>
      <w:sz w:val="18"/>
      <w:lang w:val="en-US"/>
    </w:rPr>
  </w:style>
  <w:style w:type="paragraph" w:customStyle="1" w:styleId="ListNumberBox3">
    <w:name w:val="List Number Box 3"/>
    <w:basedOn w:val="Normal"/>
    <w:pPr>
      <w:numPr>
        <w:ilvl w:val="2"/>
        <w:numId w:val="14"/>
      </w:numPr>
      <w:tabs>
        <w:tab w:val="clear" w:pos="2574"/>
        <w:tab w:val="left" w:pos="1474"/>
      </w:tabs>
      <w:spacing w:after="240"/>
      <w:ind w:left="1474"/>
    </w:pPr>
    <w:rPr>
      <w:rFonts w:ascii="Arial" w:hAnsi="Arial" w:cs="Arial"/>
      <w:sz w:val="18"/>
      <w:lang w:val="en-US"/>
    </w:rPr>
  </w:style>
  <w:style w:type="paragraph" w:customStyle="1" w:styleId="ListContinueBox">
    <w:name w:val="List Continue Box"/>
    <w:basedOn w:val="Normal"/>
    <w:pPr>
      <w:spacing w:after="240"/>
      <w:ind w:left="850"/>
    </w:pPr>
    <w:rPr>
      <w:rFonts w:ascii="Arial" w:hAnsi="Arial" w:cs="Arial"/>
      <w:sz w:val="18"/>
      <w:lang w:val="en-US"/>
    </w:rPr>
  </w:style>
  <w:style w:type="paragraph" w:customStyle="1" w:styleId="ListContinueBox2">
    <w:name w:val="List Continue Box 2"/>
    <w:basedOn w:val="Normal"/>
    <w:pPr>
      <w:spacing w:after="240"/>
      <w:ind w:left="1191"/>
    </w:pPr>
    <w:rPr>
      <w:rFonts w:ascii="Arial" w:hAnsi="Arial" w:cs="Arial"/>
      <w:sz w:val="18"/>
      <w:lang w:val="en-US"/>
    </w:rPr>
  </w:style>
  <w:style w:type="paragraph" w:customStyle="1" w:styleId="ListContinueBox3">
    <w:name w:val="List Continue Box 3"/>
    <w:basedOn w:val="Normal"/>
    <w:pPr>
      <w:spacing w:after="240"/>
      <w:ind w:left="1474"/>
    </w:pPr>
    <w:rPr>
      <w:rFonts w:ascii="Arial" w:hAnsi="Arial" w:cs="Arial"/>
      <w:sz w:val="18"/>
      <w:lang w:val="en-US"/>
    </w:rPr>
  </w:style>
  <w:style w:type="paragraph" w:customStyle="1" w:styleId="BoxSource">
    <w:name w:val="Box Source"/>
    <w:basedOn w:val="Normal"/>
    <w:next w:val="BodyText"/>
    <w:pPr>
      <w:spacing w:after="360"/>
    </w:pPr>
    <w:rPr>
      <w:rFonts w:ascii="Arial" w:hAnsi="Arial" w:cs="Arial"/>
      <w:sz w:val="16"/>
      <w:lang w:val="en-US"/>
    </w:rPr>
  </w:style>
  <w:style w:type="character" w:customStyle="1" w:styleId="Cote">
    <w:name w:val="Cote"/>
    <w:basedOn w:val="DefaultParagraphFont"/>
    <w:rPr>
      <w:caps/>
      <w:smallCaps w:val="0"/>
      <w:lang w:val="en-US"/>
    </w:rPr>
  </w:style>
  <w:style w:type="numbering" w:customStyle="1" w:styleId="NumberedNote">
    <w:name w:val="Numbered Note"/>
    <w:basedOn w:val="NoList"/>
    <w:pPr>
      <w:numPr>
        <w:numId w:val="1"/>
      </w:numPr>
    </w:pPr>
  </w:style>
  <w:style w:type="numbering" w:customStyle="1" w:styleId="BulletedNote">
    <w:name w:val="Bulleted Note"/>
    <w:basedOn w:val="NoList"/>
    <w:pPr>
      <w:numPr>
        <w:numId w:val="2"/>
      </w:numPr>
    </w:pPr>
  </w:style>
  <w:style w:type="numbering" w:customStyle="1" w:styleId="NumericNote">
    <w:name w:val="Numeric Note"/>
    <w:basedOn w:val="NoList"/>
    <w:pPr>
      <w:numPr>
        <w:numId w:val="3"/>
      </w:numPr>
    </w:pPr>
  </w:style>
  <w:style w:type="numbering" w:customStyle="1" w:styleId="AlphaNote">
    <w:name w:val="Alpha Note"/>
    <w:basedOn w:val="NoList"/>
    <w:pPr>
      <w:numPr>
        <w:numId w:val="4"/>
      </w:numPr>
    </w:pPr>
  </w:style>
  <w:style w:type="paragraph" w:customStyle="1" w:styleId="AcknowledgementHeading">
    <w:name w:val="Acknowledgement Heading"/>
    <w:basedOn w:val="Normal"/>
    <w:next w:val="BodyText"/>
    <w:pPr>
      <w:keepNext/>
      <w:spacing w:before="1200" w:after="720"/>
      <w:jc w:val="center"/>
    </w:pPr>
    <w:rPr>
      <w:b/>
      <w:caps/>
      <w:lang w:val="en-US"/>
    </w:rPr>
  </w:style>
  <w:style w:type="paragraph" w:styleId="EnvelopeAddress">
    <w:name w:val="envelope address"/>
    <w:basedOn w:val="Normal"/>
    <w:pPr>
      <w:framePr w:w="7938" w:h="1985" w:hRule="exact" w:hSpace="141" w:wrap="auto" w:hAnchor="page" w:xAlign="center" w:yAlign="bottom"/>
      <w:ind w:left="2835"/>
    </w:pPr>
    <w:rPr>
      <w:rFonts w:ascii="Arial" w:hAnsi="Arial" w:cs="Arial"/>
      <w:sz w:val="24"/>
      <w:szCs w:val="24"/>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CommentText">
    <w:name w:val="annotation text"/>
    <w:basedOn w:val="Normal"/>
    <w:semiHidden/>
    <w:rPr>
      <w:sz w:val="20"/>
      <w:szCs w:val="20"/>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Date">
    <w:name w:val="Date"/>
    <w:basedOn w:val="Normal"/>
    <w:next w:val="Normal"/>
  </w:style>
  <w:style w:type="paragraph" w:styleId="Header">
    <w:name w:val="header"/>
    <w:basedOn w:val="Normal"/>
    <w:pPr>
      <w:tabs>
        <w:tab w:val="center" w:pos="4536"/>
        <w:tab w:val="right" w:pos="9072"/>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DocumentMap">
    <w:name w:val="Document Map"/>
    <w:basedOn w:val="Normal"/>
    <w:semiHidden/>
    <w:pPr>
      <w:shd w:val="clear" w:color="auto" w:fill="000080"/>
    </w:pPr>
    <w:rPr>
      <w:rFonts w:ascii="Tahoma" w:hAnsi="Tahoma" w:cs="Tahoma"/>
    </w:rPr>
  </w:style>
  <w:style w:type="paragraph" w:styleId="Closing">
    <w:name w:val="Closing"/>
    <w:basedOn w:val="Normal"/>
    <w:pPr>
      <w:ind w:left="4252"/>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Caption">
    <w:name w:val="caption"/>
    <w:basedOn w:val="Normal"/>
    <w:next w:val="Normal"/>
    <w:qFormat/>
    <w:pPr>
      <w:spacing w:before="120" w:after="120"/>
    </w:pPr>
    <w:rPr>
      <w:b/>
      <w:bCs/>
      <w:sz w:val="20"/>
      <w:szCs w:val="20"/>
    </w:rPr>
  </w:style>
  <w:style w:type="paragraph" w:styleId="NormalWeb">
    <w:name w:val="Normal (Web)"/>
    <w:basedOn w:val="Normal"/>
    <w:rPr>
      <w:sz w:val="24"/>
      <w:szCs w:val="24"/>
    </w:rPr>
  </w:style>
  <w:style w:type="paragraph" w:styleId="CommentSubject">
    <w:name w:val="annotation subject"/>
    <w:basedOn w:val="CommentText"/>
    <w:next w:val="CommentText"/>
    <w:semiHidden/>
    <w:rPr>
      <w:b/>
      <w:bCs/>
    </w:rPr>
  </w:style>
  <w:style w:type="paragraph" w:styleId="Footer">
    <w:name w:val="footer"/>
    <w:basedOn w:val="Normal"/>
    <w:pPr>
      <w:tabs>
        <w:tab w:val="center" w:pos="4536"/>
        <w:tab w:val="right" w:pos="9072"/>
      </w:tabs>
    </w:pPr>
  </w:style>
  <w:style w:type="paragraph" w:styleId="HTMLPreformatted">
    <w:name w:val="HTML Preformatted"/>
    <w:basedOn w:val="Normal"/>
    <w:rPr>
      <w:rFonts w:ascii="Courier New" w:hAnsi="Courier New" w:cs="Courier New"/>
      <w:sz w:val="20"/>
      <w:szCs w:val="20"/>
    </w:rPr>
  </w:style>
  <w:style w:type="paragraph" w:styleId="BodyTextFirstIndent">
    <w:name w:val="Body Text First Indent"/>
    <w:basedOn w:val="BodyText"/>
    <w:pPr>
      <w:spacing w:after="120"/>
      <w:ind w:firstLine="210"/>
    </w:pPr>
  </w:style>
  <w:style w:type="paragraph" w:styleId="BodyTextIndent">
    <w:name w:val="Body Text Indent"/>
    <w:basedOn w:val="Normal"/>
    <w:pPr>
      <w:spacing w:after="240"/>
      <w:ind w:left="442"/>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BodyTextFirstIndent2">
    <w:name w:val="Body Text First Indent 2"/>
    <w:basedOn w:val="BodyTextIndent"/>
    <w:pPr>
      <w:ind w:firstLine="210"/>
    </w:pPr>
  </w:style>
  <w:style w:type="paragraph" w:styleId="NormalIndent">
    <w:name w:val="Normal Indent"/>
    <w:basedOn w:val="Normal"/>
    <w:pPr>
      <w:ind w:left="708"/>
    </w:pPr>
  </w:style>
  <w:style w:type="paragraph" w:styleId="Salutation">
    <w:name w:val="Salutation"/>
    <w:basedOn w:val="Normal"/>
    <w:next w:val="Normal"/>
  </w:style>
  <w:style w:type="paragraph" w:styleId="Signature">
    <w:name w:val="Signature"/>
    <w:basedOn w:val="Normal"/>
    <w:pPr>
      <w:ind w:left="4252"/>
    </w:pPr>
  </w:style>
  <w:style w:type="paragraph" w:styleId="E-mailSignature">
    <w:name w:val="E-mail Signature"/>
    <w:basedOn w:val="Normal"/>
  </w:style>
  <w:style w:type="paragraph" w:styleId="Subtitle">
    <w:name w:val="Subtitle"/>
    <w:basedOn w:val="Normal"/>
    <w:qFormat/>
    <w:pPr>
      <w:spacing w:after="60"/>
      <w:jc w:val="center"/>
      <w:outlineLvl w:val="1"/>
    </w:pPr>
    <w:rPr>
      <w:rFonts w:ascii="Arial" w:hAnsi="Arial" w:cs="Arial"/>
      <w:sz w:val="24"/>
      <w:szCs w:val="24"/>
    </w:rPr>
  </w:style>
  <w:style w:type="paragraph" w:styleId="TableofFigures">
    <w:name w:val="table of figures"/>
    <w:basedOn w:val="Normal"/>
    <w:next w:val="Normal"/>
    <w:semiHidden/>
    <w:pPr>
      <w:ind w:left="440" w:hanging="440"/>
    </w:pPr>
  </w:style>
  <w:style w:type="paragraph" w:styleId="TableofAuthorities">
    <w:name w:val="table of authorities"/>
    <w:basedOn w:val="Normal"/>
    <w:next w:val="Normal"/>
    <w:semiHidden/>
    <w:pPr>
      <w:ind w:left="220" w:hanging="220"/>
    </w:pPr>
  </w:style>
  <w:style w:type="paragraph" w:styleId="PlainText">
    <w:name w:val="Plain Text"/>
    <w:basedOn w:val="Normal"/>
    <w:rPr>
      <w:rFonts w:ascii="Courier New" w:hAnsi="Courier New" w:cs="Courier New"/>
      <w:sz w:val="20"/>
      <w:szCs w:val="20"/>
    </w:rPr>
  </w:style>
  <w:style w:type="paragraph" w:styleId="BalloonText">
    <w:name w:val="Balloon Text"/>
    <w:basedOn w:val="Normal"/>
    <w:semiHidden/>
    <w:rPr>
      <w:rFonts w:ascii="Tahoma" w:hAnsi="Tahoma" w:cs="Tahoma"/>
      <w:sz w:val="16"/>
      <w:szCs w:val="16"/>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val="en-GB" w:eastAsia="zh-CN"/>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NoteHeading">
    <w:name w:val="Note Heading"/>
    <w:basedOn w:val="Normal"/>
    <w:next w:val="Normal"/>
  </w:style>
  <w:style w:type="paragraph" w:styleId="TOAHeading">
    <w:name w:val="toa heading"/>
    <w:basedOn w:val="Normal"/>
    <w:next w:val="Normal"/>
    <w:semiHidden/>
    <w:pPr>
      <w:spacing w:before="120"/>
    </w:pPr>
    <w:rPr>
      <w:rFonts w:ascii="Arial" w:hAnsi="Arial" w:cs="Arial"/>
      <w:b/>
      <w:bCs/>
      <w:sz w:val="24"/>
      <w:szCs w:val="24"/>
    </w:rPr>
  </w:style>
  <w:style w:type="paragraph" w:styleId="TOC6">
    <w:name w:val="toc 6"/>
    <w:basedOn w:val="Normal"/>
    <w:next w:val="Normal"/>
    <w:qFormat/>
    <w:pPr>
      <w:ind w:left="1100"/>
    </w:pPr>
  </w:style>
  <w:style w:type="paragraph" w:styleId="TOC7">
    <w:name w:val="toc 7"/>
    <w:basedOn w:val="Normal"/>
    <w:next w:val="Normal"/>
    <w:qFormat/>
    <w:pPr>
      <w:ind w:left="1320"/>
    </w:pPr>
  </w:style>
  <w:style w:type="paragraph" w:styleId="TOC8">
    <w:name w:val="toc 8"/>
    <w:basedOn w:val="Normal"/>
    <w:next w:val="Normal"/>
    <w:qFormat/>
    <w:pPr>
      <w:ind w:left="1540"/>
    </w:pPr>
  </w:style>
  <w:style w:type="paragraph" w:customStyle="1" w:styleId="BoxBodyText">
    <w:name w:val="Box Body Text"/>
    <w:basedOn w:val="Normal"/>
    <w:pPr>
      <w:spacing w:after="240"/>
      <w:ind w:firstLine="442"/>
    </w:pPr>
    <w:rPr>
      <w:rFonts w:ascii="Arial" w:hAnsi="Arial" w:cs="Arial"/>
      <w:sz w:val="18"/>
      <w:lang w:val="en-US"/>
    </w:rPr>
  </w:style>
  <w:style w:type="paragraph" w:customStyle="1" w:styleId="BoxBodyTextIndent">
    <w:name w:val="Box Body Text Indent"/>
    <w:basedOn w:val="Normal"/>
    <w:pPr>
      <w:spacing w:after="240"/>
      <w:ind w:left="442"/>
    </w:pPr>
    <w:rPr>
      <w:rFonts w:ascii="Arial" w:hAnsi="Arial" w:cs="Arial"/>
      <w:sz w:val="18"/>
      <w:lang w:val="en-US"/>
    </w:rPr>
  </w:style>
  <w:style w:type="character" w:styleId="PageNumber">
    <w:name w:val="page number"/>
    <w:basedOn w:val="DefaultParagraphFont"/>
    <w:uiPriority w:val="99"/>
    <w:semiHidden/>
    <w:unhideWhenUsed/>
  </w:style>
  <w:style w:type="paragraph" w:styleId="Bibliography">
    <w:name w:val="Bibliography"/>
    <w:basedOn w:val="Normal"/>
    <w:next w:val="Normal"/>
    <w:uiPriority w:val="37"/>
    <w:semiHidden/>
    <w:unhideWhenUsed/>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sz w:val="22"/>
      <w:szCs w:val="22"/>
      <w:lang w:val="en-GB" w:eastAsia="zh-CN"/>
    </w:rPr>
  </w:style>
  <w:style w:type="paragraph" w:styleId="ListParagraph">
    <w:name w:val="List Paragraph"/>
    <w:basedOn w:val="Normal"/>
    <w:uiPriority w:val="34"/>
    <w:qFormat/>
    <w:pPr>
      <w:ind w:left="720"/>
      <w:contextualSpacing/>
    </w:pPr>
  </w:style>
  <w:style w:type="paragraph" w:styleId="NoSpacing">
    <w:name w:val="No Spacing"/>
    <w:uiPriority w:val="1"/>
    <w:qFormat/>
    <w:pPr>
      <w:tabs>
        <w:tab w:val="left" w:pos="850"/>
        <w:tab w:val="left" w:pos="1191"/>
        <w:tab w:val="left" w:pos="1531"/>
      </w:tabs>
      <w:jc w:val="both"/>
    </w:pPr>
    <w:rPr>
      <w:sz w:val="22"/>
      <w:szCs w:val="22"/>
      <w:lang w:val="en-GB" w:eastAsia="zh-CN"/>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sz w:val="22"/>
      <w:szCs w:val="22"/>
      <w:lang w:val="en-GB" w:eastAsia="zh-CN"/>
    </w:rPr>
  </w:style>
  <w:style w:type="paragraph" w:styleId="TOCHeading">
    <w:name w:val="TOC Heading"/>
    <w:basedOn w:val="Heading1"/>
    <w:next w:val="Normal"/>
    <w:uiPriority w:val="39"/>
    <w:semiHidden/>
    <w:unhideWhenUsed/>
    <w:qFormat/>
    <w:pPr>
      <w:keepLines/>
      <w:spacing w:before="480" w:after="0"/>
      <w:jc w:val="both"/>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Citation">
    <w:name w:val="Citation"/>
    <w:basedOn w:val="BodyText"/>
    <w:link w:val="CitationChar"/>
    <w:pPr>
      <w:ind w:left="850" w:firstLine="0"/>
    </w:pPr>
  </w:style>
  <w:style w:type="character" w:customStyle="1" w:styleId="CitationChar">
    <w:name w:val="Citation Char"/>
    <w:basedOn w:val="DefaultParagraphFont"/>
    <w:link w:val="Citation"/>
    <w:rPr>
      <w:sz w:val="22"/>
      <w:szCs w:val="22"/>
      <w:lang w:val="en-GB" w:eastAsia="zh-CN"/>
    </w:rPr>
  </w:style>
  <w:style w:type="character" w:customStyle="1" w:styleId="Heading1Char">
    <w:name w:val="Heading 1 Char"/>
    <w:basedOn w:val="DefaultParagraphFont"/>
    <w:link w:val="Heading1"/>
    <w:uiPriority w:val="9"/>
    <w:rsid w:val="00203D52"/>
    <w:rPr>
      <w:b/>
      <w:bCs/>
      <w:caps/>
      <w:kern w:val="28"/>
      <w:sz w:val="22"/>
      <w:szCs w:val="22"/>
      <w:lang w:val="en-GB" w:eastAsia="zh-CN"/>
    </w:rPr>
  </w:style>
  <w:style w:type="character" w:customStyle="1" w:styleId="Heading3Char">
    <w:name w:val="Heading 3 Char"/>
    <w:basedOn w:val="DefaultParagraphFont"/>
    <w:link w:val="Heading3"/>
    <w:uiPriority w:val="9"/>
    <w:rsid w:val="00203D52"/>
    <w:rPr>
      <w:b/>
      <w:bCs/>
      <w:i/>
      <w:iCs/>
      <w:sz w:val="22"/>
      <w:szCs w:val="22"/>
      <w:lang w:val="en-GB" w:eastAsia="zh-CN"/>
    </w:rPr>
  </w:style>
  <w:style w:type="character" w:styleId="Hyperlink">
    <w:name w:val="Hyperlink"/>
    <w:basedOn w:val="DefaultParagraphFont"/>
    <w:uiPriority w:val="99"/>
    <w:unhideWhenUsed/>
    <w:rsid w:val="00203D52"/>
    <w:rPr>
      <w:color w:val="0000FF" w:themeColor="hyperlink"/>
      <w:u w:val="single"/>
    </w:rPr>
  </w:style>
  <w:style w:type="character" w:customStyle="1" w:styleId="Num-DocParagraphChar">
    <w:name w:val="Num-Doc Paragraph Char"/>
    <w:basedOn w:val="DefaultParagraphFont"/>
    <w:link w:val="Num-DocParagraph"/>
    <w:rsid w:val="00203D52"/>
    <w:rPr>
      <w:sz w:val="22"/>
      <w:szCs w:val="22"/>
      <w:lang w:val="en-GB" w:eastAsia="zh-CN"/>
    </w:rPr>
  </w:style>
  <w:style w:type="character" w:customStyle="1" w:styleId="FigureTitleChar">
    <w:name w:val="Figure Title Char"/>
    <w:basedOn w:val="DefaultParagraphFont"/>
    <w:link w:val="FigureTitle"/>
    <w:rsid w:val="00203D52"/>
    <w:rPr>
      <w:rFonts w:ascii="Arial" w:hAnsi="Arial" w:cs="Arial"/>
      <w:b/>
      <w:bCs/>
      <w:sz w:val="18"/>
      <w:szCs w:val="22"/>
      <w:lang w:val="en-GB" w:eastAsia="zh-CN"/>
    </w:rPr>
  </w:style>
  <w:style w:type="character" w:customStyle="1" w:styleId="SourceDescriptionChar">
    <w:name w:val="Source Description Char"/>
    <w:basedOn w:val="DefaultParagraphFont"/>
    <w:link w:val="SourceDescription"/>
    <w:rsid w:val="00203D52"/>
    <w:rPr>
      <w:rFonts w:ascii="Arial" w:hAnsi="Arial" w:cs="Arial"/>
      <w:sz w:val="16"/>
      <w:szCs w:val="18"/>
      <w:lang w:val="en-GB" w:eastAsia="zh-CN"/>
    </w:rPr>
  </w:style>
  <w:style w:type="character" w:customStyle="1" w:styleId="FigureSub-titleChar">
    <w:name w:val="Figure Sub-title Char"/>
    <w:basedOn w:val="DefaultParagraphFont"/>
    <w:link w:val="FigureSub-title"/>
    <w:rsid w:val="00203D52"/>
    <w:rPr>
      <w:rFonts w:ascii="Arial" w:hAnsi="Arial" w:cs="Arial"/>
      <w:sz w:val="18"/>
      <w:szCs w:val="22"/>
      <w:lang w:val="en-GB" w:eastAsia="zh-CN"/>
    </w:rPr>
  </w:style>
  <w:style w:type="paragraph" w:customStyle="1" w:styleId="Default">
    <w:name w:val="Default"/>
    <w:rsid w:val="00203D52"/>
    <w:pPr>
      <w:autoSpaceDE w:val="0"/>
      <w:autoSpaceDN w:val="0"/>
      <w:adjustRightInd w:val="0"/>
    </w:pPr>
    <w:rPr>
      <w:rFonts w:ascii="Arial" w:eastAsiaTheme="minorHAnsi"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nnexHeading">
    <w:name w:val="BulletedNote"/>
    <w:pPr>
      <w:numPr>
        <w:numId w:val="2"/>
      </w:numPr>
    </w:pPr>
  </w:style>
  <w:style w:type="numbering" w:customStyle="1" w:styleId="BodyText">
    <w:name w:val="NumericNote"/>
    <w:pPr>
      <w:numPr>
        <w:numId w:val="3"/>
      </w:numPr>
    </w:pPr>
  </w:style>
  <w:style w:type="numbering" w:customStyle="1" w:styleId="Annotation">
    <w:name w:val="NumberedNote"/>
    <w:pPr>
      <w:numPr>
        <w:numId w:val="1"/>
      </w:numPr>
    </w:pPr>
  </w:style>
  <w:style w:type="numbering" w:customStyle="1" w:styleId="AppendixHeading">
    <w:name w:val="AlphaNot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1.emf" Id="rId13" /><Relationship Type="http://schemas.openxmlformats.org/officeDocument/2006/relationships/hyperlink" Target="http://www.oecd.org/sti/msti" TargetMode="External" Id="rId18" /><Relationship Type="http://schemas.openxmlformats.org/officeDocument/2006/relationships/styles" Target="styles.xml" Id="rId3" /><Relationship Type="http://schemas.openxmlformats.org/officeDocument/2006/relationships/header" Target="header1.xml" Id="rId21" /><Relationship Type="http://schemas.openxmlformats.org/officeDocument/2006/relationships/footnotes" Target="footnotes.xml" Id="rId7" /><Relationship Type="http://schemas.openxmlformats.org/officeDocument/2006/relationships/hyperlink" Target="http://www.oecd.org/innovation/netherlands-make-economic-innovation-and-territorial-reforms-work-together-to-boost-growth-and-competitiveness.htm" TargetMode="External" Id="rId12" /><Relationship Type="http://schemas.openxmlformats.org/officeDocument/2006/relationships/image" Target="media/image3.emf" Id="rId17" /><Relationship Type="http://schemas.openxmlformats.org/officeDocument/2006/relationships/theme" Target="theme/theme1.xml" Id="rId25" /><Relationship Type="http://schemas.openxmlformats.org/officeDocument/2006/relationships/numbering" Target="numbering.xml" Id="rId2" /><Relationship Type="http://schemas.openxmlformats.org/officeDocument/2006/relationships/hyperlink" Target="http://www.oe.cd/sti-scoreboard" TargetMode="External" Id="rId16" /><Relationship Type="http://schemas.openxmlformats.org/officeDocument/2006/relationships/hyperlink" Target="http://dx.doi.org/10.1787/sti_scoreboard-2013-en" TargetMode="External" Id="rId20" /><Relationship Type="http://schemas.openxmlformats.org/officeDocument/2006/relationships/webSettings" Target="webSettings.xml" Id="rId6" /><Relationship Type="http://schemas.openxmlformats.org/officeDocument/2006/relationships/hyperlink" Target="http://www.oecd.org/sti/msti.htm" TargetMode="External" Id="rId11" /><Relationship Type="http://schemas.openxmlformats.org/officeDocument/2006/relationships/fontTable" Target="fontTable.xml" Id="rId24" /><Relationship Type="http://schemas.openxmlformats.org/officeDocument/2006/relationships/settings" Target="settings.xml" Id="rId5" /><Relationship Type="http://schemas.openxmlformats.org/officeDocument/2006/relationships/image" Target="media/image2.emf" Id="rId15" /><Relationship Type="http://schemas.openxmlformats.org/officeDocument/2006/relationships/footer" Target="footer2.xml" Id="rId23" /><Relationship Type="http://schemas.openxmlformats.org/officeDocument/2006/relationships/hyperlink" Target="http://www.oecd.org/economy/the-future-of-productivity.htm" TargetMode="External" Id="rId10" /><Relationship Type="http://schemas.openxmlformats.org/officeDocument/2006/relationships/image" Target="media/image4.png" Id="rId19" /><Relationship Type="http://schemas.microsoft.com/office/2007/relationships/stylesWithEffects" Target="stylesWithEffects.xml" Id="rId4" /><Relationship Type="http://schemas.openxmlformats.org/officeDocument/2006/relationships/hyperlink" Target="http://www.oe.cd/sti-scoreboard" TargetMode="External" Id="rId9" /><Relationship Type="http://schemas.openxmlformats.org/officeDocument/2006/relationships/hyperlink" Target="http://oe.cd/scientometrics" TargetMode="External" Id="rId14" /><Relationship Type="http://schemas.openxmlformats.org/officeDocument/2006/relationships/footer" Target="footer1.xml" Id="rId22" /></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2010\Workgroup%20Templates\AE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1105</ap:Words>
  <ap:Characters>6300</ap:Characters>
  <ap:DocSecurity>0</ap:DocSecurity>
  <ap:Lines>52</ap:Lines>
  <ap:Paragraphs>14</ap:Paragraphs>
  <ap:ScaleCrop>false</ap:ScaleCrop>
  <ap:HeadingPairs>
    <vt:vector baseType="variant" size="4">
      <vt:variant>
        <vt:lpstr>Title</vt:lpstr>
      </vt:variant>
      <vt:variant>
        <vt:i4>1</vt:i4>
      </vt:variant>
      <vt:variant>
        <vt:lpstr>Titre</vt:lpstr>
      </vt:variant>
      <vt:variant>
        <vt:i4>1</vt:i4>
      </vt:variant>
    </vt:vector>
  </ap:HeadingPairs>
  <ap:TitlesOfParts>
    <vt:vector baseType="lpstr" size="2">
      <vt:lpstr/>
      <vt:lpstr/>
    </vt:vector>
  </ap:TitlesOfParts>
  <ap:LinksUpToDate>false</ap:LinksUpToDate>
  <ap:CharactersWithSpaces>7391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2015-11-17T15:04:00.0000000Z</dcterms:created>
  <dcterms:modified xsi:type="dcterms:W3CDTF">2015-11-17T15:42:00.0000000Z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ajor Version">
    <vt:lpwstr>1</vt:lpwstr>
  </property>
  <property fmtid="{D5CDD505-2E9C-101B-9397-08002B2CF9AE}" pid="3" name="Minor Version">
    <vt:lpwstr>0</vt:lpwstr>
  </property>
  <property fmtid="{D5CDD505-2E9C-101B-9397-08002B2CF9AE}" pid="4" name="Build">
    <vt:lpwstr>20110530-001</vt:lpwstr>
  </property>
  <property fmtid="{D5CDD505-2E9C-101B-9397-08002B2CF9AE}" pid="5" name="ContentTypeId">
    <vt:lpwstr>0x010100E1376C7E9167C949A8BA47571A017CD6</vt:lpwstr>
  </property>
</Properties>
</file>