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16" w:rsidP="00830916" w:rsidRDefault="00830916"/>
    <w:p w:rsidR="00830916" w:rsidP="00830916" w:rsidRDefault="00830916"/>
    <w:p w:rsidR="00830916" w:rsidP="00830916" w:rsidRDefault="00830916"/>
    <w:p w:rsidR="00830916" w:rsidP="00830916" w:rsidRDefault="00830916"/>
    <w:tbl>
      <w:tblPr>
        <w:tblW w:w="0" w:type="auto"/>
        <w:tblLook w:val="04A0" w:firstRow="1" w:lastRow="0" w:firstColumn="1" w:lastColumn="0" w:noHBand="0" w:noVBand="1"/>
      </w:tblPr>
      <w:tblGrid>
        <w:gridCol w:w="5920"/>
        <w:gridCol w:w="1276"/>
        <w:gridCol w:w="2583"/>
      </w:tblGrid>
      <w:tr w:rsidR="00830916" w:rsidTr="00E6135B">
        <w:tc>
          <w:tcPr>
            <w:tcW w:w="5920" w:type="dxa"/>
          </w:tcPr>
          <w:p w:rsidR="00830916" w:rsidP="00E6135B" w:rsidRDefault="00830916">
            <w:r>
              <w:t>Adres</w:t>
            </w:r>
          </w:p>
        </w:tc>
        <w:tc>
          <w:tcPr>
            <w:tcW w:w="1276" w:type="dxa"/>
          </w:tcPr>
          <w:p w:rsidR="00830916" w:rsidP="00E6135B" w:rsidRDefault="00830916">
            <w:r w:rsidRPr="00C16A18">
              <w:rPr>
                <w:sz w:val="16"/>
                <w:szCs w:val="16"/>
              </w:rPr>
              <w:t>Datum</w:t>
            </w:r>
          </w:p>
        </w:tc>
        <w:tc>
          <w:tcPr>
            <w:tcW w:w="2583" w:type="dxa"/>
          </w:tcPr>
          <w:p w:rsidR="00830916" w:rsidP="00E6135B" w:rsidRDefault="00830916">
            <w:r>
              <w:t>23 november 2015</w:t>
            </w:r>
          </w:p>
        </w:tc>
      </w:tr>
      <w:tr w:rsidR="00830916" w:rsidTr="00E6135B">
        <w:tc>
          <w:tcPr>
            <w:tcW w:w="5920" w:type="dxa"/>
          </w:tcPr>
          <w:p w:rsidR="00830916" w:rsidP="00E6135B" w:rsidRDefault="00830916"/>
        </w:tc>
        <w:tc>
          <w:tcPr>
            <w:tcW w:w="1276" w:type="dxa"/>
          </w:tcPr>
          <w:p w:rsidR="00830916" w:rsidP="00E6135B" w:rsidRDefault="00830916">
            <w:r w:rsidRPr="00C16A18">
              <w:rPr>
                <w:sz w:val="16"/>
                <w:szCs w:val="16"/>
              </w:rPr>
              <w:t>Project</w:t>
            </w:r>
          </w:p>
        </w:tc>
        <w:tc>
          <w:tcPr>
            <w:tcW w:w="2583" w:type="dxa"/>
          </w:tcPr>
          <w:p w:rsidR="00830916" w:rsidP="00E6135B" w:rsidRDefault="00830916">
            <w:r>
              <w:t>Binnenhof</w:t>
            </w:r>
          </w:p>
        </w:tc>
      </w:tr>
      <w:tr w:rsidR="00830916" w:rsidTr="00E6135B">
        <w:tc>
          <w:tcPr>
            <w:tcW w:w="5920" w:type="dxa"/>
          </w:tcPr>
          <w:p w:rsidR="00830916" w:rsidP="00E6135B" w:rsidRDefault="00830916"/>
        </w:tc>
        <w:tc>
          <w:tcPr>
            <w:tcW w:w="1276" w:type="dxa"/>
          </w:tcPr>
          <w:p w:rsidR="00830916" w:rsidP="00E6135B" w:rsidRDefault="00830916">
            <w:r w:rsidRPr="00C16A18">
              <w:rPr>
                <w:sz w:val="16"/>
                <w:szCs w:val="16"/>
              </w:rPr>
              <w:t>Ons kenmerk</w:t>
            </w:r>
          </w:p>
        </w:tc>
        <w:tc>
          <w:tcPr>
            <w:tcW w:w="2583" w:type="dxa"/>
          </w:tcPr>
          <w:p w:rsidRPr="000C30DD" w:rsidR="00830916" w:rsidP="00E6135B" w:rsidRDefault="00830916">
            <w:pPr>
              <w:tabs>
                <w:tab w:val="clear" w:pos="851"/>
                <w:tab w:val="clear" w:pos="1418"/>
                <w:tab w:val="left" w:pos="1134"/>
              </w:tabs>
              <w:rPr>
                <w:sz w:val="20"/>
              </w:rPr>
            </w:pPr>
            <w:r>
              <w:fldChar w:fldCharType="begin"/>
            </w:r>
            <w:r>
              <w:instrText xml:space="preserve"> FILENAME   \* MERGEFORMAT </w:instrText>
            </w:r>
            <w:r>
              <w:fldChar w:fldCharType="separate"/>
            </w:r>
            <w:r>
              <w:rPr>
                <w:noProof/>
                <w:sz w:val="20"/>
              </w:rPr>
              <w:t>15-11-23.binnenhof.tekst 2e kamer</w:t>
            </w:r>
            <w:r>
              <w:rPr>
                <w:noProof/>
                <w:sz w:val="20"/>
              </w:rPr>
              <w:fldChar w:fldCharType="end"/>
            </w:r>
          </w:p>
        </w:tc>
      </w:tr>
      <w:tr w:rsidR="00830916" w:rsidTr="00E6135B">
        <w:tc>
          <w:tcPr>
            <w:tcW w:w="5920" w:type="dxa"/>
          </w:tcPr>
          <w:p w:rsidR="00830916" w:rsidP="00E6135B" w:rsidRDefault="00830916"/>
        </w:tc>
        <w:tc>
          <w:tcPr>
            <w:tcW w:w="1276" w:type="dxa"/>
          </w:tcPr>
          <w:p w:rsidR="00830916" w:rsidP="00E6135B" w:rsidRDefault="00830916">
            <w:r w:rsidRPr="00C16A18">
              <w:rPr>
                <w:sz w:val="16"/>
                <w:szCs w:val="16"/>
              </w:rPr>
              <w:t>Onderwerp</w:t>
            </w:r>
            <w:r w:rsidRPr="00C16A18">
              <w:rPr>
                <w:sz w:val="16"/>
                <w:szCs w:val="16"/>
              </w:rPr>
              <w:tab/>
            </w:r>
          </w:p>
        </w:tc>
        <w:tc>
          <w:tcPr>
            <w:tcW w:w="2583" w:type="dxa"/>
          </w:tcPr>
          <w:p w:rsidR="00830916" w:rsidP="00E6135B" w:rsidRDefault="00830916">
            <w:r>
              <w:t>Tekst 2</w:t>
            </w:r>
            <w:r w:rsidRPr="000C30DD">
              <w:rPr>
                <w:vertAlign w:val="superscript"/>
              </w:rPr>
              <w:t>e</w:t>
            </w:r>
            <w:r>
              <w:t xml:space="preserve"> kamer</w:t>
            </w:r>
          </w:p>
        </w:tc>
      </w:tr>
    </w:tbl>
    <w:p w:rsidR="00830916" w:rsidP="00830916" w:rsidRDefault="00830916"/>
    <w:p w:rsidR="00830916" w:rsidP="00830916" w:rsidRDefault="00830916"/>
    <w:p w:rsidR="00830916" w:rsidP="00830916" w:rsidRDefault="00830916"/>
    <w:p w:rsidR="00830916" w:rsidP="00830916" w:rsidRDefault="00830916">
      <w:r>
        <w:t xml:space="preserve">Ik ben een architect, maar dit is géén open sollicitatie. </w:t>
      </w:r>
    </w:p>
    <w:p w:rsidR="00830916" w:rsidP="00830916" w:rsidRDefault="00830916">
      <w:r>
        <w:t>Ik ben hier als bezorgd burger, maar met grote deskundigheid en ervaring op het gebied van hergebruik, ontwikkeling en juist continuïteit en betrokkenheid die zeer stimulerend is om binnen tijd en budget plannen te realiseren. In een vitale coalitie van betrokkenheid.</w:t>
      </w:r>
    </w:p>
    <w:p w:rsidR="00830916" w:rsidP="00830916" w:rsidRDefault="00830916"/>
    <w:p w:rsidR="00830916" w:rsidP="00830916" w:rsidRDefault="00830916">
      <w:r>
        <w:t xml:space="preserve">Het Binnenhof heeft een voorbeeldfunctie en is een symbool. Als voorbeeld is het een slecht signaal om weg te gaan. Ieder kent situaties dat in zijn woon- en werkomgeving gebouwd wordt, dan kun je niet weg. </w:t>
      </w:r>
    </w:p>
    <w:p w:rsidR="00830916" w:rsidP="00830916" w:rsidRDefault="00830916">
      <w:r>
        <w:t xml:space="preserve">Symbool: je moet het niet willen. </w:t>
      </w:r>
      <w:r w:rsidRPr="00472FB2">
        <w:t>90% van activiteiten en hinder m</w:t>
      </w:r>
      <w:r>
        <w:t>a</w:t>
      </w:r>
      <w:r w:rsidRPr="00472FB2">
        <w:t>ar ook het werk is niet anders</w:t>
      </w:r>
      <w:r>
        <w:t xml:space="preserve"> dan ander werk en weggaan heeft nog nooit tot snelheid geleid, denk aan het Rijksmuseum. </w:t>
      </w:r>
    </w:p>
    <w:p w:rsidR="00830916" w:rsidP="00830916" w:rsidRDefault="00830916">
      <w:r>
        <w:t>Ongestoord bestaat niet, wel goede afspraken in een beheer- en overlastconvenant. Zoals we dat op veel plaatsen bouwend in drukke stedelijke gebieden doen. Op 5 meter van bewoners, achter het Paleis op de Dam, smalle straten, kleine bouwplaatsen. Absolute onzin dat het duurder is</w:t>
      </w:r>
      <w:r w:rsidRPr="00472FB2">
        <w:t xml:space="preserve"> </w:t>
      </w:r>
      <w:r>
        <w:t xml:space="preserve">zeker als je alle kosten, rentelasten en tijdelijke verhuiskosten meeneemt. Echt onzin dat het langer dan 5,5 jaar moet duren met wel een enigszins aangepast </w:t>
      </w:r>
      <w:proofErr w:type="spellStart"/>
      <w:r>
        <w:t>doorfunctioneren</w:t>
      </w:r>
      <w:proofErr w:type="spellEnd"/>
      <w:r>
        <w:t>.</w:t>
      </w:r>
    </w:p>
    <w:p w:rsidR="00830916" w:rsidP="00830916" w:rsidRDefault="00830916">
      <w:r>
        <w:t>Wel met een aangepaste besluitvorming, slim en flexibel. Met afspraken over besluitvorming etc. Ik realiseerde 100.000m</w:t>
      </w:r>
      <w:r>
        <w:rPr>
          <w:vertAlign w:val="superscript"/>
        </w:rPr>
        <w:t>2</w:t>
      </w:r>
      <w:r>
        <w:t xml:space="preserve"> Groothandelsgebouw in Rotterdam met 4.000 mensen in 140 bedrijven en 80% bezet gebouw niet in 6 jaar wat men dacht, maar in 4 jaar. </w:t>
      </w:r>
    </w:p>
    <w:p w:rsidR="00830916" w:rsidP="00830916" w:rsidRDefault="00830916">
      <w:r>
        <w:t>Net 1 jaar Tramremise de Hallen opgeleverd. 22.000m</w:t>
      </w:r>
      <w:r>
        <w:rPr>
          <w:vertAlign w:val="superscript"/>
        </w:rPr>
        <w:t>2</w:t>
      </w:r>
      <w:r>
        <w:t xml:space="preserve"> inclusief funderingen bodem en straat. Na 14 maanden leverden we het eerste deel op, na 22 maanden het totaal, gefaseerde in gebruikstelling met bioscopen, studio’s, bibliotheek en horeca. </w:t>
      </w:r>
    </w:p>
    <w:p w:rsidR="00830916" w:rsidP="00830916" w:rsidRDefault="00830916">
      <w:r>
        <w:t xml:space="preserve">Inktpot, de regiekamer van de NS in Utrecht: tijdens 2,5 jaar bouw de minste storingen ooit bij een gebruik van steeds 75% van het gebouw. </w:t>
      </w:r>
    </w:p>
    <w:p w:rsidR="00830916" w:rsidP="00830916" w:rsidRDefault="00830916"/>
    <w:p w:rsidR="00830916" w:rsidP="00830916" w:rsidRDefault="00830916">
      <w:r>
        <w:t>Essentie</w:t>
      </w:r>
    </w:p>
    <w:p w:rsidR="00830916" w:rsidP="00830916" w:rsidRDefault="00830916">
      <w:r>
        <w:t xml:space="preserve">Een compacte verantwoordelijke organisatie met een gedelegeerd opdrachtgever die in 24 uur besluit waar tijd en budget leidend zijn. </w:t>
      </w:r>
      <w:r w:rsidRPr="008C7B8A">
        <w:rPr>
          <w:i/>
        </w:rPr>
        <w:t>Manag</w:t>
      </w:r>
      <w:r>
        <w:rPr>
          <w:i/>
        </w:rPr>
        <w:t xml:space="preserve">ing </w:t>
      </w:r>
      <w:proofErr w:type="spellStart"/>
      <w:r>
        <w:rPr>
          <w:i/>
        </w:rPr>
        <w:t>by</w:t>
      </w:r>
      <w:proofErr w:type="spellEnd"/>
      <w:r w:rsidRPr="008C7B8A">
        <w:rPr>
          <w:i/>
        </w:rPr>
        <w:t xml:space="preserve"> </w:t>
      </w:r>
      <w:proofErr w:type="spellStart"/>
      <w:r w:rsidRPr="008C7B8A">
        <w:rPr>
          <w:i/>
        </w:rPr>
        <w:t>walking</w:t>
      </w:r>
      <w:proofErr w:type="spellEnd"/>
      <w:r w:rsidRPr="008C7B8A">
        <w:rPr>
          <w:i/>
        </w:rPr>
        <w:t xml:space="preserve"> </w:t>
      </w:r>
      <w:proofErr w:type="spellStart"/>
      <w:r w:rsidRPr="008C7B8A">
        <w:rPr>
          <w:i/>
        </w:rPr>
        <w:t>around</w:t>
      </w:r>
      <w:proofErr w:type="spellEnd"/>
      <w:r>
        <w:t xml:space="preserve">. </w:t>
      </w:r>
    </w:p>
    <w:p w:rsidR="00830916" w:rsidP="00830916" w:rsidRDefault="00830916">
      <w:r>
        <w:t xml:space="preserve">Dan wordt de aanpak Binnenhof een voorbeeldfunctie en niet een elite op afstand die gevrijwaard moet blijven van storing. </w:t>
      </w:r>
    </w:p>
    <w:p w:rsidR="00830916" w:rsidP="00830916" w:rsidRDefault="00830916"/>
    <w:p w:rsidR="00830916" w:rsidP="00830916" w:rsidRDefault="00830916">
      <w:r>
        <w:t xml:space="preserve">2 andere aspecten: </w:t>
      </w:r>
    </w:p>
    <w:p w:rsidR="00830916" w:rsidP="00830916" w:rsidRDefault="00830916">
      <w:pPr>
        <w:pStyle w:val="Lijstalinea"/>
        <w:numPr>
          <w:ilvl w:val="0"/>
          <w:numId w:val="1"/>
        </w:numPr>
      </w:pPr>
      <w:r>
        <w:t xml:space="preserve">Als de situatie zo slecht is als omschreven, dan is meer dan 4 jaar voorbereiden en dus doormodderen feitelijk onverantwoord. 2 à 2,5 jaar is ook lang en royaal. We hebben het over onderhoud en niet over totaal nieuw gebruik. </w:t>
      </w:r>
    </w:p>
    <w:p w:rsidR="00830916" w:rsidP="00830916" w:rsidRDefault="00830916">
      <w:pPr>
        <w:pStyle w:val="Lijstalinea"/>
        <w:numPr>
          <w:ilvl w:val="0"/>
          <w:numId w:val="1"/>
        </w:numPr>
      </w:pPr>
      <w:proofErr w:type="gramStart"/>
      <w:r>
        <w:t xml:space="preserve">Nadeel  </w:t>
      </w:r>
      <w:proofErr w:type="gramEnd"/>
      <w:r>
        <w:t xml:space="preserve">van lang is dat er zoveel in de tijd verandert dat je niet actueel kunt zijn. Wees eerlijk en wie had 5 jaar geleden, in 2010, bedacht wat nu volstrekt normaal is op je telefoon of </w:t>
      </w:r>
      <w:proofErr w:type="spellStart"/>
      <w:r>
        <w:t>Ipad</w:t>
      </w:r>
      <w:proofErr w:type="spellEnd"/>
      <w:r>
        <w:t xml:space="preserve"> te ontvangen? Juist op dit soort data / beveiliging </w:t>
      </w:r>
      <w:proofErr w:type="spellStart"/>
      <w:r>
        <w:t>etc</w:t>
      </w:r>
      <w:proofErr w:type="spellEnd"/>
      <w:r>
        <w:t xml:space="preserve"> zal dit spectaculair </w:t>
      </w:r>
      <w:r>
        <w:lastRenderedPageBreak/>
        <w:t xml:space="preserve">blijven ontwikkelen. Nu geleerd doen over kwaliteit bij oplevering in 2025 bestaat niet en moet je niet willen. </w:t>
      </w:r>
    </w:p>
    <w:p w:rsidR="00830916" w:rsidP="00830916" w:rsidRDefault="00830916"/>
    <w:p w:rsidR="00830916" w:rsidP="00830916" w:rsidRDefault="00830916">
      <w:r>
        <w:t xml:space="preserve">RGD en planningsgeleerden en –managers zullen en hebben vast geroepen dat het niet kan: herinner u Joop Vissers wijze liedje over “onze Jan is manager geworden”. </w:t>
      </w:r>
    </w:p>
    <w:p w:rsidR="00830916" w:rsidP="00830916" w:rsidRDefault="00830916"/>
    <w:p w:rsidR="00830916" w:rsidP="00830916" w:rsidRDefault="00830916">
      <w:r>
        <w:t xml:space="preserve">Denk gezond na, wees betrokken, neem verantwoording en laat niet de angst regeren. Flexibel en alert, bouw stimuleren in plaats van boetes uitdelen. Dat is de kennis en het advies dat ik met u </w:t>
      </w:r>
      <w:proofErr w:type="gramStart"/>
      <w:r>
        <w:t>wil</w:t>
      </w:r>
      <w:proofErr w:type="gramEnd"/>
      <w:r>
        <w:t xml:space="preserve"> delen. </w:t>
      </w:r>
    </w:p>
    <w:p w:rsidR="00830916" w:rsidP="00830916" w:rsidRDefault="00830916"/>
    <w:p w:rsidR="00830916" w:rsidP="00830916" w:rsidRDefault="00830916">
      <w:proofErr w:type="spellStart"/>
      <w:r>
        <w:t>Één</w:t>
      </w:r>
      <w:proofErr w:type="spellEnd"/>
      <w:r>
        <w:t xml:space="preserve"> idee nog, gezien het belang van deze opgave: </w:t>
      </w:r>
    </w:p>
    <w:p w:rsidRPr="008C7B8A" w:rsidR="00830916" w:rsidP="00830916" w:rsidRDefault="00830916">
      <w:r>
        <w:t xml:space="preserve">Zorg dat in een komend kabinet 1 staatssecretaris het als een expliciete taak en verantwoording heeft. Niets op afstand, maar bij het proces. </w:t>
      </w:r>
    </w:p>
    <w:p w:rsidRPr="003839D5" w:rsidR="00830916" w:rsidP="00830916" w:rsidRDefault="00830916"/>
    <w:p w:rsidR="0066158F" w:rsidRDefault="0066158F">
      <w:bookmarkStart w:name="_GoBack" w:id="0"/>
      <w:bookmarkEnd w:id="0"/>
    </w:p>
    <w:sectPr w:rsidR="0066158F" w:rsidSect="00830916">
      <w:footerReference w:type="even" r:id="rId6"/>
      <w:footerReference w:type="default" r:id="rId7"/>
      <w:headerReference w:type="first" r:id="rId8"/>
      <w:footerReference w:type="first" r:id="rId9"/>
      <w:pgSz w:w="11906" w:h="16838" w:code="9"/>
      <w:pgMar w:top="1417" w:right="1133" w:bottom="1417" w:left="1134" w:header="510" w:footer="340" w:gutter="0"/>
      <w:cols w:space="708"/>
      <w:titlePg/>
      <w:docGrid w:linePitch="299"/>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0DD" w:rsidRDefault="0083091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0C30DD" w:rsidRDefault="00830916">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0DD" w:rsidRDefault="0083091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rsidR="000C30DD" w:rsidRDefault="00830916">
    <w:pPr>
      <w:pStyle w:val="Voettekst"/>
      <w:ind w:right="360"/>
    </w:pPr>
    <w:r>
      <w:fldChar w:fldCharType="begin"/>
    </w:r>
    <w:r>
      <w:instrText xml:space="preserve"> FILENAME   \* MERGEFORMAT </w:instrText>
    </w:r>
    <w:r>
      <w:fldChar w:fldCharType="separate"/>
    </w:r>
    <w:r>
      <w:rPr>
        <w:noProof/>
      </w:rPr>
      <w:t>15-11-23.binnenhof.tekst 2e kamer</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0DD" w:rsidRPr="00EA5ED3" w:rsidRDefault="00830916" w:rsidP="0033774F">
    <w:pPr>
      <w:pStyle w:val="Voettekst"/>
      <w:tabs>
        <w:tab w:val="center" w:pos="4820"/>
      </w:tabs>
      <w:ind w:right="1"/>
      <w:rPr>
        <w:rFonts w:ascii="Arial MT" w:hAnsi="Arial MT"/>
        <w:sz w:val="16"/>
        <w:szCs w:val="16"/>
      </w:rPr>
    </w:pPr>
    <w:r w:rsidRPr="00EA5ED3">
      <w:rPr>
        <w:rFonts w:ascii="Arial MT" w:hAnsi="Arial MT"/>
        <w:sz w:val="16"/>
        <w:szCs w:val="16"/>
      </w:rPr>
      <w:t xml:space="preserve">Architectenbureau J. van </w:t>
    </w:r>
    <w:proofErr w:type="spellStart"/>
    <w:r w:rsidRPr="00EA5ED3">
      <w:rPr>
        <w:rFonts w:ascii="Arial MT" w:hAnsi="Arial MT"/>
        <w:sz w:val="16"/>
        <w:szCs w:val="16"/>
      </w:rPr>
      <w:t>Stigt</w:t>
    </w:r>
    <w:proofErr w:type="spellEnd"/>
    <w:r w:rsidRPr="00EA5ED3">
      <w:rPr>
        <w:rFonts w:ascii="Arial MT" w:hAnsi="Arial MT"/>
        <w:sz w:val="16"/>
        <w:szCs w:val="16"/>
      </w:rPr>
      <w:t xml:space="preserve"> BV</w:t>
    </w:r>
    <w:r w:rsidRPr="00EA5ED3">
      <w:rPr>
        <w:rFonts w:ascii="Arial MT" w:hAnsi="Arial MT"/>
        <w:sz w:val="16"/>
        <w:szCs w:val="16"/>
      </w:rPr>
      <w:tab/>
      <w:t>KvK Amsterdam nr. 33.159.707</w:t>
    </w:r>
    <w:r w:rsidRPr="00EA5ED3">
      <w:rPr>
        <w:rFonts w:ascii="Arial MT" w:hAnsi="Arial MT"/>
        <w:sz w:val="16"/>
        <w:szCs w:val="16"/>
      </w:rPr>
      <w:tab/>
      <w:t xml:space="preserve"> www.burovanstigt.nl</w:t>
    </w:r>
  </w:p>
  <w:p w:rsidR="000C30DD" w:rsidRPr="00EA5ED3" w:rsidRDefault="00830916" w:rsidP="0033774F">
    <w:pPr>
      <w:pStyle w:val="Voettekst"/>
      <w:tabs>
        <w:tab w:val="center" w:pos="4820"/>
      </w:tabs>
      <w:ind w:right="1"/>
      <w:jc w:val="left"/>
      <w:rPr>
        <w:rFonts w:ascii="Arial MT" w:hAnsi="Arial MT"/>
        <w:sz w:val="16"/>
        <w:szCs w:val="16"/>
      </w:rPr>
    </w:pPr>
    <w:r w:rsidRPr="00EA5ED3">
      <w:rPr>
        <w:rFonts w:ascii="Arial MT" w:hAnsi="Arial MT"/>
        <w:sz w:val="16"/>
        <w:szCs w:val="16"/>
      </w:rPr>
      <w:t>Herengracht 406</w:t>
    </w:r>
    <w:r w:rsidRPr="00EA5ED3">
      <w:rPr>
        <w:rFonts w:ascii="Arial MT" w:hAnsi="Arial MT"/>
        <w:sz w:val="16"/>
        <w:szCs w:val="16"/>
      </w:rPr>
      <w:tab/>
    </w:r>
    <w:r w:rsidRPr="00EA5ED3">
      <w:rPr>
        <w:rFonts w:ascii="Arial MT" w:hAnsi="Arial MT"/>
        <w:sz w:val="16"/>
        <w:szCs w:val="16"/>
      </w:rPr>
      <w:tab/>
    </w:r>
    <w:r w:rsidRPr="00EA5ED3">
      <w:rPr>
        <w:rFonts w:ascii="Arial MT" w:hAnsi="Arial MT"/>
        <w:sz w:val="16"/>
        <w:szCs w:val="16"/>
      </w:rPr>
      <w:tab/>
      <w:t xml:space="preserve">BTW. nr. </w:t>
    </w:r>
    <w:r w:rsidRPr="00EA5ED3">
      <w:rPr>
        <w:rFonts w:ascii="Arial MT" w:hAnsi="Arial MT"/>
        <w:sz w:val="16"/>
        <w:szCs w:val="16"/>
      </w:rPr>
      <w:t>NL.8095.33.935.B.01</w:t>
    </w:r>
    <w:r w:rsidRPr="00EA5ED3">
      <w:rPr>
        <w:rFonts w:ascii="Arial MT" w:hAnsi="Arial MT"/>
        <w:sz w:val="16"/>
        <w:szCs w:val="16"/>
      </w:rPr>
      <w:tab/>
      <w:t xml:space="preserve"> info@burovanstigt.nl</w:t>
    </w:r>
  </w:p>
  <w:p w:rsidR="000C30DD" w:rsidRPr="00EA5ED3" w:rsidRDefault="00830916" w:rsidP="0033774F">
    <w:pPr>
      <w:pStyle w:val="Voettekst"/>
      <w:tabs>
        <w:tab w:val="center" w:pos="4820"/>
      </w:tabs>
      <w:ind w:right="1"/>
      <w:rPr>
        <w:rFonts w:ascii="Arial MT" w:hAnsi="Arial MT"/>
        <w:sz w:val="16"/>
        <w:szCs w:val="16"/>
      </w:rPr>
    </w:pPr>
    <w:r w:rsidRPr="00EA5ED3">
      <w:rPr>
        <w:rFonts w:ascii="Arial MT" w:hAnsi="Arial MT"/>
        <w:sz w:val="16"/>
        <w:szCs w:val="16"/>
      </w:rPr>
      <w:t>1017BX Amsterdam</w:t>
    </w:r>
    <w:r w:rsidRPr="00EA5ED3">
      <w:rPr>
        <w:rFonts w:ascii="Arial MT" w:hAnsi="Arial MT"/>
        <w:sz w:val="16"/>
        <w:szCs w:val="16"/>
      </w:rPr>
      <w:tab/>
      <w:t xml:space="preserve">ING </w:t>
    </w:r>
    <w:proofErr w:type="gramStart"/>
    <w:r w:rsidRPr="00EA5ED3">
      <w:rPr>
        <w:rFonts w:ascii="Arial MT" w:hAnsi="Arial MT"/>
        <w:sz w:val="16"/>
        <w:szCs w:val="16"/>
      </w:rPr>
      <w:t xml:space="preserve">Bank  </w:t>
    </w:r>
    <w:proofErr w:type="gramEnd"/>
    <w:r>
      <w:rPr>
        <w:rFonts w:ascii="Arial MT" w:hAnsi="Arial MT"/>
        <w:sz w:val="16"/>
        <w:szCs w:val="16"/>
      </w:rPr>
      <w:t xml:space="preserve">NL91 INGB 000 </w:t>
    </w:r>
    <w:r w:rsidRPr="00EA5ED3">
      <w:rPr>
        <w:rFonts w:ascii="Arial MT" w:hAnsi="Arial MT"/>
        <w:sz w:val="16"/>
        <w:szCs w:val="16"/>
      </w:rPr>
      <w:t>7988563</w:t>
    </w:r>
    <w:r w:rsidRPr="00EA5ED3">
      <w:rPr>
        <w:rFonts w:ascii="Arial MT" w:hAnsi="Arial MT"/>
        <w:sz w:val="16"/>
        <w:szCs w:val="16"/>
      </w:rPr>
      <w:tab/>
      <w:t>Telefoon +31 (0)20-6245344</w:t>
    </w:r>
  </w:p>
  <w:p w:rsidR="000C30DD" w:rsidRPr="00EA5ED3" w:rsidRDefault="00830916" w:rsidP="0033774F">
    <w:pPr>
      <w:pStyle w:val="Voettekst"/>
      <w:tabs>
        <w:tab w:val="center" w:pos="4820"/>
      </w:tabs>
      <w:ind w:right="1"/>
      <w:rPr>
        <w:rFonts w:ascii="Arial MT" w:hAnsi="Arial MT"/>
        <w:sz w:val="16"/>
        <w:szCs w:val="16"/>
      </w:rPr>
    </w:pPr>
    <w:r w:rsidRPr="00EA5ED3">
      <w:rPr>
        <w:rFonts w:ascii="Arial MT" w:hAnsi="Arial MT"/>
        <w:sz w:val="16"/>
        <w:szCs w:val="16"/>
      </w:rPr>
      <w:tab/>
    </w:r>
    <w:r w:rsidRPr="00EA5ED3">
      <w:rPr>
        <w:rFonts w:ascii="Arial MT" w:hAnsi="Arial MT"/>
        <w:sz w:val="16"/>
        <w:szCs w:val="16"/>
      </w:rPr>
      <w:tab/>
    </w:r>
    <w:r w:rsidRPr="00EA5ED3">
      <w:rPr>
        <w:rFonts w:ascii="Arial MT" w:hAnsi="Arial MT"/>
        <w:sz w:val="16"/>
        <w:szCs w:val="16"/>
      </w:rPr>
      <w:tab/>
    </w:r>
    <w:r w:rsidRPr="00EA5ED3">
      <w:rPr>
        <w:rFonts w:ascii="Arial MT" w:hAnsi="Arial MT"/>
        <w:sz w:val="16"/>
        <w:szCs w:val="16"/>
      </w:rPr>
      <w:tab/>
    </w:r>
    <w:r w:rsidRPr="00EA5ED3">
      <w:rPr>
        <w:rFonts w:ascii="Arial MT" w:hAnsi="Arial MT"/>
        <w:sz w:val="16"/>
        <w:szCs w:val="16"/>
      </w:rPr>
      <w:tab/>
    </w:r>
  </w:p>
  <w:p w:rsidR="000C30DD" w:rsidRPr="00EA5ED3" w:rsidRDefault="00830916" w:rsidP="00143A68">
    <w:pPr>
      <w:pStyle w:val="Voettekst"/>
      <w:rPr>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0DD" w:rsidRPr="005A6F70" w:rsidRDefault="00830916" w:rsidP="007D02BB">
    <w:pPr>
      <w:tabs>
        <w:tab w:val="clear" w:pos="851"/>
        <w:tab w:val="clear" w:pos="1418"/>
        <w:tab w:val="clear" w:pos="1559"/>
      </w:tabs>
      <w:spacing w:line="240" w:lineRule="auto"/>
      <w:rPr>
        <w:sz w:val="18"/>
        <w:szCs w:val="18"/>
      </w:rPr>
    </w:pPr>
    <w:r>
      <w:rPr>
        <w:noProof/>
        <w:snapToGrid/>
        <w:sz w:val="18"/>
        <w:szCs w:val="18"/>
      </w:rPr>
      <w:drawing>
        <wp:inline distT="0" distB="0" distL="0" distR="0" wp14:anchorId="5A424949" wp14:editId="3C026B4F">
          <wp:extent cx="1799590" cy="650875"/>
          <wp:effectExtent l="19050" t="0" r="0" b="0"/>
          <wp:docPr id="1" name="Afbeelding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jpg"/>
                  <pic:cNvPicPr>
                    <a:picLocks noChangeAspect="1" noChangeArrowheads="1"/>
                  </pic:cNvPicPr>
                </pic:nvPicPr>
                <pic:blipFill>
                  <a:blip r:embed="rId1"/>
                  <a:srcRect/>
                  <a:stretch>
                    <a:fillRect/>
                  </a:stretch>
                </pic:blipFill>
                <pic:spPr bwMode="auto">
                  <a:xfrm>
                    <a:off x="0" y="0"/>
                    <a:ext cx="1799590" cy="650875"/>
                  </a:xfrm>
                  <a:prstGeom prst="rect">
                    <a:avLst/>
                  </a:prstGeom>
                  <a:noFill/>
                  <a:ln w="9525">
                    <a:noFill/>
                    <a:miter lim="800000"/>
                    <a:headEnd/>
                    <a:tailEnd/>
                  </a:ln>
                </pic:spPr>
              </pic:pic>
            </a:graphicData>
          </a:graphic>
        </wp:inline>
      </w:drawing>
    </w:r>
    <w:r w:rsidRPr="005A6F70">
      <w:rPr>
        <w:sz w:val="18"/>
        <w:szCs w:val="18"/>
      </w:rPr>
      <w:tab/>
    </w:r>
    <w:r w:rsidRPr="005A6F70">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00123"/>
    <w:multiLevelType w:val="hybridMultilevel"/>
    <w:tmpl w:val="552032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16"/>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30916"/>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0916"/>
    <w:pPr>
      <w:widowControl w:val="0"/>
      <w:tabs>
        <w:tab w:val="left" w:pos="851"/>
        <w:tab w:val="left" w:pos="1418"/>
        <w:tab w:val="left" w:pos="1559"/>
        <w:tab w:val="right" w:pos="9639"/>
      </w:tabs>
      <w:spacing w:line="280" w:lineRule="atLeast"/>
      <w:jc w:val="both"/>
    </w:pPr>
    <w:rPr>
      <w:rFonts w:ascii="Arial" w:hAnsi="Arial"/>
      <w:snapToGrid w:val="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830916"/>
    <w:pPr>
      <w:widowControl/>
      <w:spacing w:line="240" w:lineRule="auto"/>
    </w:pPr>
    <w:rPr>
      <w:snapToGrid/>
      <w:spacing w:val="10"/>
      <w:sz w:val="12"/>
      <w:szCs w:val="24"/>
    </w:rPr>
  </w:style>
  <w:style w:type="character" w:customStyle="1" w:styleId="VoettekstChar">
    <w:name w:val="Voettekst Char"/>
    <w:basedOn w:val="Standaardalinea-lettertype"/>
    <w:link w:val="Voettekst"/>
    <w:rsid w:val="00830916"/>
    <w:rPr>
      <w:rFonts w:ascii="Arial" w:hAnsi="Arial"/>
      <w:spacing w:val="10"/>
      <w:sz w:val="12"/>
      <w:szCs w:val="24"/>
    </w:rPr>
  </w:style>
  <w:style w:type="character" w:styleId="Paginanummer">
    <w:name w:val="page number"/>
    <w:basedOn w:val="Standaardalinea-lettertype"/>
    <w:rsid w:val="00830916"/>
  </w:style>
  <w:style w:type="paragraph" w:styleId="Lijstalinea">
    <w:name w:val="List Paragraph"/>
    <w:basedOn w:val="Standaard"/>
    <w:uiPriority w:val="34"/>
    <w:qFormat/>
    <w:rsid w:val="00830916"/>
    <w:pPr>
      <w:ind w:left="720"/>
      <w:contextualSpacing/>
    </w:pPr>
  </w:style>
  <w:style w:type="paragraph" w:styleId="Ballontekst">
    <w:name w:val="Balloon Text"/>
    <w:basedOn w:val="Standaard"/>
    <w:link w:val="BallontekstChar"/>
    <w:rsid w:val="0083091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30916"/>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0916"/>
    <w:pPr>
      <w:widowControl w:val="0"/>
      <w:tabs>
        <w:tab w:val="left" w:pos="851"/>
        <w:tab w:val="left" w:pos="1418"/>
        <w:tab w:val="left" w:pos="1559"/>
        <w:tab w:val="right" w:pos="9639"/>
      </w:tabs>
      <w:spacing w:line="280" w:lineRule="atLeast"/>
      <w:jc w:val="both"/>
    </w:pPr>
    <w:rPr>
      <w:rFonts w:ascii="Arial" w:hAnsi="Arial"/>
      <w:snapToGrid w:val="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830916"/>
    <w:pPr>
      <w:widowControl/>
      <w:spacing w:line="240" w:lineRule="auto"/>
    </w:pPr>
    <w:rPr>
      <w:snapToGrid/>
      <w:spacing w:val="10"/>
      <w:sz w:val="12"/>
      <w:szCs w:val="24"/>
    </w:rPr>
  </w:style>
  <w:style w:type="character" w:customStyle="1" w:styleId="VoettekstChar">
    <w:name w:val="Voettekst Char"/>
    <w:basedOn w:val="Standaardalinea-lettertype"/>
    <w:link w:val="Voettekst"/>
    <w:rsid w:val="00830916"/>
    <w:rPr>
      <w:rFonts w:ascii="Arial" w:hAnsi="Arial"/>
      <w:spacing w:val="10"/>
      <w:sz w:val="12"/>
      <w:szCs w:val="24"/>
    </w:rPr>
  </w:style>
  <w:style w:type="character" w:styleId="Paginanummer">
    <w:name w:val="page number"/>
    <w:basedOn w:val="Standaardalinea-lettertype"/>
    <w:rsid w:val="00830916"/>
  </w:style>
  <w:style w:type="paragraph" w:styleId="Lijstalinea">
    <w:name w:val="List Paragraph"/>
    <w:basedOn w:val="Standaard"/>
    <w:uiPriority w:val="34"/>
    <w:qFormat/>
    <w:rsid w:val="00830916"/>
    <w:pPr>
      <w:ind w:left="720"/>
      <w:contextualSpacing/>
    </w:pPr>
  </w:style>
  <w:style w:type="paragraph" w:styleId="Ballontekst">
    <w:name w:val="Balloon Text"/>
    <w:basedOn w:val="Standaard"/>
    <w:link w:val="BallontekstChar"/>
    <w:rsid w:val="0083091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30916"/>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footer" Target="footer2.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er" Target="footer1.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3.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558</ap:Words>
  <ap:Characters>2917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2015-11-24T14:03:00.0000000Z</dcterms:created>
  <dcterms:modified xsi:type="dcterms:W3CDTF">2015-11-24T14:03:00.0000000Z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0x0101005308141F4BAFF0469144FC4376F087CA</vt:lpwstr>
  </property>
</Properties>
</file>