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79" w:rsidP="00FB4079" w:rsidRDefault="00FB4079">
      <w:pPr>
        <w:spacing w:after="0"/>
        <w:rPr>
          <w:rFonts w:ascii="Verdana" w:hAnsi="Verdana"/>
          <w:sz w:val="18"/>
          <w:szCs w:val="18"/>
        </w:rPr>
      </w:pPr>
      <w:bookmarkStart w:name="_GoBack" w:id="0"/>
      <w:bookmarkEnd w:id="0"/>
    </w:p>
    <w:p w:rsidRPr="00FB4079" w:rsidR="00FB4079" w:rsidP="00FB4079" w:rsidRDefault="00FB4079">
      <w:pPr>
        <w:spacing w:after="0"/>
        <w:rPr>
          <w:rFonts w:ascii="Verdana" w:hAnsi="Verdana"/>
          <w:sz w:val="18"/>
          <w:szCs w:val="18"/>
          <w:u w:val="single"/>
        </w:rPr>
      </w:pPr>
      <w:r w:rsidRPr="00FB4079">
        <w:rPr>
          <w:rFonts w:ascii="Verdana" w:hAnsi="Verdana"/>
          <w:sz w:val="18"/>
          <w:szCs w:val="18"/>
          <w:u w:val="single"/>
        </w:rPr>
        <w:t>Beoordeling klachten ten aanzien van EasyJet en Ryanair</w:t>
      </w:r>
    </w:p>
    <w:p w:rsidR="00FB4079" w:rsidP="00254D82" w:rsidRDefault="00FB4079">
      <w:pPr>
        <w:spacing w:after="0"/>
        <w:rPr>
          <w:rFonts w:ascii="Verdana" w:hAnsi="Verdana"/>
          <w:sz w:val="18"/>
          <w:szCs w:val="18"/>
        </w:rPr>
      </w:pPr>
    </w:p>
    <w:p w:rsidRPr="00FB4079" w:rsidR="00FB4079" w:rsidP="00254D82" w:rsidRDefault="00FB4079">
      <w:pPr>
        <w:spacing w:after="0"/>
        <w:rPr>
          <w:rFonts w:ascii="Verdana" w:hAnsi="Verdana"/>
          <w:sz w:val="18"/>
          <w:szCs w:val="18"/>
        </w:rPr>
      </w:pPr>
    </w:p>
    <w:p w:rsidRPr="00FB4079" w:rsidR="00FB4079" w:rsidP="00FB4079" w:rsidRDefault="00FB4079">
      <w:pPr>
        <w:pStyle w:val="ListParagraph"/>
        <w:numPr>
          <w:ilvl w:val="0"/>
          <w:numId w:val="2"/>
        </w:numPr>
        <w:spacing w:after="0"/>
        <w:rPr>
          <w:rFonts w:ascii="Verdana" w:hAnsi="Verdana"/>
          <w:sz w:val="18"/>
          <w:szCs w:val="18"/>
        </w:rPr>
      </w:pPr>
      <w:r>
        <w:rPr>
          <w:rFonts w:ascii="Verdana" w:hAnsi="Verdana"/>
          <w:sz w:val="18"/>
          <w:szCs w:val="18"/>
        </w:rPr>
        <w:t>In aantallen</w:t>
      </w:r>
    </w:p>
    <w:p w:rsidR="00D91720" w:rsidP="00FB4079" w:rsidRDefault="00FB4079">
      <w:pPr>
        <w:pStyle w:val="ListParagraph"/>
        <w:numPr>
          <w:ilvl w:val="1"/>
          <w:numId w:val="2"/>
        </w:numPr>
        <w:spacing w:after="0"/>
        <w:rPr>
          <w:rFonts w:ascii="Verdana" w:hAnsi="Verdana"/>
          <w:sz w:val="18"/>
          <w:szCs w:val="18"/>
        </w:rPr>
      </w:pPr>
      <w:r w:rsidRPr="00FB4079">
        <w:rPr>
          <w:rFonts w:ascii="Verdana" w:hAnsi="Verdana"/>
          <w:sz w:val="18"/>
          <w:szCs w:val="18"/>
        </w:rPr>
        <w:t>EasyJet</w:t>
      </w:r>
    </w:p>
    <w:p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2014: van de 1221 onderzochte klachten ging ongeveer 5% over EasyJet</w:t>
      </w:r>
      <w:r>
        <w:rPr>
          <w:rFonts w:ascii="Verdana" w:hAnsi="Verdana"/>
          <w:sz w:val="18"/>
          <w:szCs w:val="18"/>
        </w:rPr>
        <w:br/>
      </w:r>
      <w:r w:rsidRPr="00FB4079">
        <w:rPr>
          <w:rFonts w:ascii="Verdana" w:hAnsi="Verdana"/>
          <w:sz w:val="18"/>
          <w:szCs w:val="18"/>
        </w:rPr>
        <w:t>Aantal ontvangen klachten 2014: 71, waarvan ongegrond 61 en gegrond: 10</w:t>
      </w:r>
      <w:r>
        <w:rPr>
          <w:rFonts w:ascii="Verdana" w:hAnsi="Verdana"/>
          <w:sz w:val="18"/>
          <w:szCs w:val="18"/>
        </w:rPr>
        <w:br/>
      </w:r>
    </w:p>
    <w:p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2015: van de 383 onderzochte klachten ging zo’n 5% over EasyJet</w:t>
      </w:r>
      <w:r>
        <w:rPr>
          <w:rFonts w:ascii="Verdana" w:hAnsi="Verdana"/>
          <w:sz w:val="18"/>
          <w:szCs w:val="18"/>
        </w:rPr>
        <w:br/>
      </w:r>
      <w:r w:rsidRPr="00FB4079">
        <w:rPr>
          <w:rFonts w:ascii="Verdana" w:hAnsi="Verdana"/>
          <w:sz w:val="18"/>
          <w:szCs w:val="18"/>
        </w:rPr>
        <w:t>Aantal ontvangen klachten 2015: 19, waarvan gegrond: 5</w:t>
      </w:r>
      <w:r>
        <w:rPr>
          <w:rFonts w:ascii="Verdana" w:hAnsi="Verdana"/>
          <w:sz w:val="18"/>
          <w:szCs w:val="18"/>
        </w:rPr>
        <w:br/>
      </w:r>
    </w:p>
    <w:p w:rsidR="00FB4079" w:rsidP="00FB4079" w:rsidRDefault="00FB4079">
      <w:pPr>
        <w:pStyle w:val="ListParagraph"/>
        <w:numPr>
          <w:ilvl w:val="1"/>
          <w:numId w:val="2"/>
        </w:numPr>
        <w:spacing w:after="0"/>
        <w:rPr>
          <w:rFonts w:ascii="Verdana" w:hAnsi="Verdana"/>
          <w:sz w:val="18"/>
          <w:szCs w:val="18"/>
        </w:rPr>
      </w:pPr>
      <w:r w:rsidRPr="00FB4079">
        <w:rPr>
          <w:rFonts w:ascii="Verdana" w:hAnsi="Verdana"/>
          <w:sz w:val="18"/>
          <w:szCs w:val="18"/>
        </w:rPr>
        <w:t xml:space="preserve">Ryanair </w:t>
      </w:r>
    </w:p>
    <w:p w:rsidRPr="00FB4079"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2014: van de 1221 onderzochte klachten ging 6% over Ryanair</w:t>
      </w:r>
      <w:r>
        <w:rPr>
          <w:rFonts w:ascii="Verdana" w:hAnsi="Verdana"/>
          <w:sz w:val="18"/>
          <w:szCs w:val="18"/>
        </w:rPr>
        <w:br/>
      </w:r>
      <w:r w:rsidRPr="00FB4079">
        <w:rPr>
          <w:rFonts w:ascii="Verdana" w:hAnsi="Verdana"/>
          <w:sz w:val="18"/>
          <w:szCs w:val="18"/>
        </w:rPr>
        <w:t>Aantal ontvangen klachten 2014: 73, waarvan ongegrond 54 en gegrond: 19</w:t>
      </w:r>
      <w:r>
        <w:rPr>
          <w:rFonts w:ascii="Verdana" w:hAnsi="Verdana"/>
          <w:sz w:val="18"/>
          <w:szCs w:val="18"/>
        </w:rPr>
        <w:br/>
      </w:r>
    </w:p>
    <w:p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2015: van de 383 onderzochte klachten ging ongeveer 5% over Ryanair</w:t>
      </w:r>
      <w:r>
        <w:rPr>
          <w:rFonts w:ascii="Verdana" w:hAnsi="Verdana"/>
          <w:sz w:val="18"/>
          <w:szCs w:val="18"/>
        </w:rPr>
        <w:br/>
      </w:r>
      <w:r w:rsidRPr="00FB4079">
        <w:rPr>
          <w:rFonts w:ascii="Verdana" w:hAnsi="Verdana"/>
          <w:sz w:val="18"/>
          <w:szCs w:val="18"/>
        </w:rPr>
        <w:t>Aantal ontvangen klachten 2015: 20, waarvan gegrond: 5</w:t>
      </w:r>
      <w:r>
        <w:rPr>
          <w:rFonts w:ascii="Verdana" w:hAnsi="Verdana"/>
          <w:sz w:val="18"/>
          <w:szCs w:val="18"/>
        </w:rPr>
        <w:br/>
      </w:r>
    </w:p>
    <w:p w:rsidRPr="00FB4079" w:rsidR="00FB4079" w:rsidP="00FB4079" w:rsidRDefault="00FB4079">
      <w:pPr>
        <w:spacing w:after="0"/>
        <w:ind w:left="680"/>
        <w:rPr>
          <w:rFonts w:ascii="Verdana" w:hAnsi="Verdana"/>
          <w:sz w:val="18"/>
          <w:szCs w:val="18"/>
        </w:rPr>
      </w:pPr>
    </w:p>
    <w:p w:rsidR="00FB4079" w:rsidP="00FB4079" w:rsidRDefault="00FB4079">
      <w:pPr>
        <w:pStyle w:val="ListParagraph"/>
        <w:numPr>
          <w:ilvl w:val="0"/>
          <w:numId w:val="2"/>
        </w:numPr>
        <w:spacing w:after="0"/>
        <w:rPr>
          <w:rFonts w:ascii="Verdana" w:hAnsi="Verdana"/>
          <w:sz w:val="18"/>
          <w:szCs w:val="18"/>
        </w:rPr>
      </w:pPr>
      <w:r>
        <w:rPr>
          <w:rFonts w:ascii="Verdana" w:hAnsi="Verdana"/>
          <w:sz w:val="18"/>
          <w:szCs w:val="18"/>
        </w:rPr>
        <w:t>Inhoudelijk</w:t>
      </w:r>
      <w:r>
        <w:rPr>
          <w:rFonts w:ascii="Verdana" w:hAnsi="Verdana"/>
          <w:sz w:val="18"/>
          <w:szCs w:val="18"/>
        </w:rPr>
        <w:br/>
        <w:t>Op basis van beoordeling van alle klachten van 2015 over de beide maatschappijen en een steekproef van de in 2014 ingediende klachten komt het volgende beeld naar voren:</w:t>
      </w:r>
    </w:p>
    <w:p w:rsidRPr="00FB4079"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Veel klachten worden gecompenseerd voordat ILT een inhoudelijk onderzoek heeft gedaan.</w:t>
      </w:r>
    </w:p>
    <w:p w:rsidRPr="00FB4079"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Voor sommige klachten heroverweegt de luchtvaartmaatschappij de primaire weigering wegens buitengewone omstandigheden en betaal alsnog.</w:t>
      </w:r>
    </w:p>
    <w:p w:rsidRPr="00FB4079"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 xml:space="preserve">De indruk ontstaat dat het soms goedkoper is om de compensatie te betalen dan te voldoen aan de bewijslast die de ILT stelt voor buitengewone omstandigheden. </w:t>
      </w:r>
    </w:p>
    <w:p w:rsidRPr="00FB4079" w:rsidR="00FB4079" w:rsidP="00FB4079" w:rsidRDefault="00FB4079">
      <w:pPr>
        <w:pStyle w:val="ListParagraph"/>
        <w:numPr>
          <w:ilvl w:val="2"/>
          <w:numId w:val="2"/>
        </w:numPr>
        <w:spacing w:after="0"/>
        <w:rPr>
          <w:rFonts w:ascii="Verdana" w:hAnsi="Verdana"/>
          <w:sz w:val="18"/>
          <w:szCs w:val="18"/>
        </w:rPr>
      </w:pPr>
      <w:r w:rsidRPr="00FB4079">
        <w:rPr>
          <w:rFonts w:ascii="Verdana" w:hAnsi="Verdana"/>
          <w:sz w:val="18"/>
          <w:szCs w:val="18"/>
        </w:rPr>
        <w:t>Ook in dossiers waarin duidelijk wordt dat de luchtvaartmaatschappij door factoren die zij niet zelf kan beïnvloeden niet aan de bewijslast kan voldoen wordt alsnog compensatie betaald. (bijv. weersomstandigheden en problemen met een ingehuurd vliegtuig)</w:t>
      </w:r>
    </w:p>
    <w:p w:rsidRPr="00FB4079" w:rsidR="00FB4079" w:rsidP="00FB4079" w:rsidRDefault="00FB4079">
      <w:pPr>
        <w:spacing w:after="0"/>
        <w:rPr>
          <w:rFonts w:ascii="Verdana" w:hAnsi="Verdana"/>
          <w:sz w:val="18"/>
          <w:szCs w:val="18"/>
        </w:rPr>
      </w:pPr>
    </w:p>
    <w:p w:rsidRPr="00FB4079" w:rsidR="00E16C12" w:rsidP="00254D82" w:rsidRDefault="00E16C12">
      <w:pPr>
        <w:spacing w:after="0"/>
        <w:rPr>
          <w:rFonts w:ascii="Verdana" w:hAnsi="Verdana"/>
          <w:sz w:val="18"/>
          <w:szCs w:val="18"/>
        </w:rPr>
      </w:pPr>
    </w:p>
    <w:sectPr w:rsidRPr="00FB4079" w:rsidR="00E16C12" w:rsidSect="001C6B9E">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79" w:rsidRDefault="00FB4079" w:rsidP="00FB4079">
      <w:pPr>
        <w:spacing w:after="0" w:line="240" w:lineRule="auto"/>
      </w:pPr>
      <w:r>
        <w:separator/>
      </w:r>
    </w:p>
  </w:endnote>
  <w:endnote w:type="continuationSeparator" w:id="0">
    <w:p w:rsidR="00FB4079" w:rsidRDefault="00FB4079" w:rsidP="00FB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79" w:rsidRDefault="00FB4079" w:rsidP="00FB4079">
      <w:pPr>
        <w:spacing w:after="0" w:line="240" w:lineRule="auto"/>
      </w:pPr>
      <w:r>
        <w:separator/>
      </w:r>
    </w:p>
  </w:footnote>
  <w:footnote w:type="continuationSeparator" w:id="0">
    <w:p w:rsidR="00FB4079" w:rsidRDefault="00FB4079" w:rsidP="00FB4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79" w:rsidRPr="00FB4079" w:rsidRDefault="00FB4079" w:rsidP="00FB4079">
    <w:pPr>
      <w:pStyle w:val="Header"/>
      <w:jc w:val="right"/>
      <w:rPr>
        <w:rFonts w:ascii="Verdana" w:hAnsi="Verdana"/>
        <w:b/>
        <w:sz w:val="18"/>
        <w:szCs w:val="18"/>
      </w:rPr>
    </w:pPr>
    <w:r w:rsidRPr="00FB4079">
      <w:rPr>
        <w:rFonts w:ascii="Verdana" w:hAnsi="Verdana"/>
        <w:b/>
        <w:sz w:val="18"/>
        <w:szCs w:val="18"/>
      </w:rPr>
      <w:t>Bijlage</w:t>
    </w:r>
    <w:r>
      <w:rPr>
        <w:rFonts w:ascii="Verdana" w:hAnsi="Verdana"/>
        <w:b/>
        <w:sz w:val="18"/>
        <w:szCs w:val="18"/>
      </w:rPr>
      <w:t xml:space="preserve"> bij kamerbrief met kenmerk </w:t>
    </w:r>
    <w:r w:rsidRPr="00FB4079">
      <w:rPr>
        <w:rFonts w:ascii="Verdana" w:hAnsi="Verdana"/>
        <w:b/>
        <w:sz w:val="18"/>
        <w:szCs w:val="18"/>
      </w:rPr>
      <w:t>ILT-2015/59266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54616"/>
    <w:multiLevelType w:val="hybridMultilevel"/>
    <w:tmpl w:val="5D60C2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295153C"/>
    <w:multiLevelType w:val="multilevel"/>
    <w:tmpl w:val="C666F33C"/>
    <w:lvl w:ilvl="0">
      <w:start w:val="1"/>
      <w:numFmt w:val="upperRoman"/>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bullet"/>
      <w:lvlText w:val=""/>
      <w:lvlJc w:val="left"/>
      <w:pPr>
        <w:ind w:left="1021" w:hanging="341"/>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91720"/>
    <w:rsid w:val="000F5D01"/>
    <w:rsid w:val="00152E6E"/>
    <w:rsid w:val="001C6B9E"/>
    <w:rsid w:val="00251C6B"/>
    <w:rsid w:val="00254D82"/>
    <w:rsid w:val="00336DF7"/>
    <w:rsid w:val="003E164F"/>
    <w:rsid w:val="00506096"/>
    <w:rsid w:val="00570645"/>
    <w:rsid w:val="008B6B45"/>
    <w:rsid w:val="00A95BB9"/>
    <w:rsid w:val="00CB4BC1"/>
    <w:rsid w:val="00D36125"/>
    <w:rsid w:val="00D91720"/>
    <w:rsid w:val="00E16C12"/>
    <w:rsid w:val="00E71493"/>
    <w:rsid w:val="00F172CC"/>
    <w:rsid w:val="00F96873"/>
    <w:rsid w:val="00FA0CB7"/>
    <w:rsid w:val="00FB4079"/>
    <w:rsid w:val="00FD6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12"/>
    <w:pPr>
      <w:ind w:left="720"/>
      <w:contextualSpacing/>
    </w:pPr>
  </w:style>
  <w:style w:type="paragraph" w:styleId="Header">
    <w:name w:val="header"/>
    <w:basedOn w:val="Normal"/>
    <w:link w:val="HeaderChar"/>
    <w:uiPriority w:val="99"/>
    <w:semiHidden/>
    <w:unhideWhenUsed/>
    <w:rsid w:val="00FB40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B4079"/>
  </w:style>
  <w:style w:type="paragraph" w:styleId="Footer">
    <w:name w:val="footer"/>
    <w:basedOn w:val="Normal"/>
    <w:link w:val="FooterChar"/>
    <w:uiPriority w:val="99"/>
    <w:semiHidden/>
    <w:unhideWhenUsed/>
    <w:rsid w:val="00FB40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B4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2015-09-29T11:23:00.0000000Z</dcterms:created>
  <dcterms:modified xsi:type="dcterms:W3CDTF">2015-09-29T11:23:00.0000000Z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0x010100303113E95DA6564FB929A30A4E4FAD47</vt:lpwstr>
  </property>
</Properties>
</file>