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7FE" w:rsidP="00FC7C11" w:rsidRDefault="00B737FE">
      <w:pPr>
        <w:rPr>
          <w:b/>
          <w:sz w:val="16"/>
          <w:szCs w:val="16"/>
        </w:rPr>
      </w:pPr>
    </w:p>
    <w:p w:rsidRPr="00B737FE" w:rsidR="00B10AEF" w:rsidP="00FC7C11" w:rsidRDefault="00B10AEF">
      <w:pPr>
        <w:rPr>
          <w:sz w:val="16"/>
          <w:szCs w:val="16"/>
        </w:rPr>
      </w:pPr>
      <w:r w:rsidRPr="00B737FE">
        <w:rPr>
          <w:b/>
          <w:sz w:val="16"/>
          <w:szCs w:val="16"/>
        </w:rPr>
        <w:t xml:space="preserve">Bijlage – </w:t>
      </w:r>
      <w:r w:rsidRPr="00B737FE" w:rsidR="00FC5A25">
        <w:rPr>
          <w:b/>
          <w:sz w:val="16"/>
          <w:szCs w:val="16"/>
        </w:rPr>
        <w:t xml:space="preserve">Overleg met de Algemene Rekenkamer op grond van de Comptabiliteitswet 2001 </w:t>
      </w:r>
    </w:p>
    <w:p w:rsidR="00300A01" w:rsidP="00FC7C11" w:rsidRDefault="00300A01"/>
    <w:p w:rsidR="00BD79F3" w:rsidP="00FC7C11" w:rsidRDefault="006577AE">
      <w:r>
        <w:t>Veranderingen in</w:t>
      </w:r>
      <w:r w:rsidR="00EC1AB9">
        <w:t xml:space="preserve"> publieke taakuitvoering door instellingen op afstand van het Rijk kunnen ook gevolgen hebben voor de controletaak of </w:t>
      </w:r>
      <w:r w:rsidR="005B65BD">
        <w:t>-</w:t>
      </w:r>
      <w:r w:rsidR="00EC1AB9">
        <w:t xml:space="preserve">bevoegdheden van de Algemene Rekenkamer. </w:t>
      </w:r>
    </w:p>
    <w:p w:rsidRPr="0091083F" w:rsidR="00DC6589" w:rsidP="00FC7C11" w:rsidRDefault="00EC1AB9">
      <w:pPr>
        <w:rPr>
          <w:szCs w:val="17"/>
        </w:rPr>
      </w:pPr>
      <w:r w:rsidRPr="00C44B43">
        <w:t xml:space="preserve">Om </w:t>
      </w:r>
      <w:r w:rsidR="006577AE">
        <w:t>te voorkomen dat on</w:t>
      </w:r>
      <w:r w:rsidRPr="00C44B43">
        <w:t xml:space="preserve">duidelijkheid </w:t>
      </w:r>
      <w:r w:rsidR="005249D4">
        <w:t xml:space="preserve">over deze </w:t>
      </w:r>
      <w:r w:rsidR="00327375">
        <w:t>taak of</w:t>
      </w:r>
      <w:r w:rsidR="003623A8">
        <w:t xml:space="preserve"> </w:t>
      </w:r>
      <w:r w:rsidR="005B65BD">
        <w:t xml:space="preserve">bevoegdheden </w:t>
      </w:r>
      <w:r w:rsidR="006577AE">
        <w:t>ont</w:t>
      </w:r>
      <w:r w:rsidRPr="00C44B43">
        <w:t>staat</w:t>
      </w:r>
      <w:r w:rsidR="006577AE">
        <w:t>,</w:t>
      </w:r>
      <w:r w:rsidRPr="00C44B43">
        <w:t xml:space="preserve"> bepaalt de Comptabiliteitswet 2001 dat ministers </w:t>
      </w:r>
      <w:r w:rsidRPr="00D32250">
        <w:rPr>
          <w:i/>
        </w:rPr>
        <w:t xml:space="preserve">vooraf </w:t>
      </w:r>
      <w:r w:rsidRPr="00C44B43">
        <w:t>overleg moeten voeren met de Algemene Rekenkamer</w:t>
      </w:r>
      <w:r w:rsidR="00D32250">
        <w:t xml:space="preserve">. </w:t>
      </w:r>
      <w:r w:rsidRPr="0091083F" w:rsidR="00DC6589">
        <w:rPr>
          <w:szCs w:val="17"/>
        </w:rPr>
        <w:t xml:space="preserve">Dit </w:t>
      </w:r>
      <w:r w:rsidR="00DC6589">
        <w:rPr>
          <w:szCs w:val="17"/>
        </w:rPr>
        <w:t>geldt</w:t>
      </w:r>
      <w:r w:rsidRPr="0091083F" w:rsidR="00DC6589">
        <w:rPr>
          <w:szCs w:val="17"/>
        </w:rPr>
        <w:t xml:space="preserve"> </w:t>
      </w:r>
      <w:r w:rsidR="00DC6589">
        <w:rPr>
          <w:szCs w:val="17"/>
        </w:rPr>
        <w:t xml:space="preserve">in </w:t>
      </w:r>
      <w:r w:rsidR="006577AE">
        <w:rPr>
          <w:szCs w:val="17"/>
        </w:rPr>
        <w:t>twee</w:t>
      </w:r>
      <w:r w:rsidR="00DC6589">
        <w:rPr>
          <w:szCs w:val="17"/>
        </w:rPr>
        <w:t xml:space="preserve"> gevallen</w:t>
      </w:r>
      <w:r w:rsidRPr="0091083F" w:rsidR="00DC6589">
        <w:rPr>
          <w:szCs w:val="17"/>
        </w:rPr>
        <w:t>:</w:t>
      </w:r>
    </w:p>
    <w:p w:rsidRPr="000F2D11" w:rsidR="00DC6589" w:rsidP="00FC7C11" w:rsidRDefault="00DC6589">
      <w:pPr>
        <w:pStyle w:val="Lijstalinea"/>
        <w:numPr>
          <w:ilvl w:val="0"/>
          <w:numId w:val="5"/>
        </w:numPr>
        <w:ind w:left="360"/>
        <w:contextualSpacing w:val="0"/>
        <w:rPr>
          <w:szCs w:val="17"/>
        </w:rPr>
      </w:pPr>
      <w:r w:rsidRPr="00007CB5">
        <w:rPr>
          <w:i/>
          <w:szCs w:val="17"/>
        </w:rPr>
        <w:t xml:space="preserve">Bij nieuwe of gewijzigde wet- en regelgeving met gevolgen voor de taken of bevoegdheden van de Algemene Rekenkamer </w:t>
      </w:r>
      <w:r w:rsidRPr="00E566D6">
        <w:rPr>
          <w:szCs w:val="17"/>
        </w:rPr>
        <w:t>(artikel 96</w:t>
      </w:r>
      <w:r>
        <w:rPr>
          <w:szCs w:val="17"/>
        </w:rPr>
        <w:t>, 1</w:t>
      </w:r>
      <w:r w:rsidRPr="00007CB5">
        <w:rPr>
          <w:szCs w:val="17"/>
          <w:vertAlign w:val="superscript"/>
        </w:rPr>
        <w:t>e</w:t>
      </w:r>
      <w:r>
        <w:rPr>
          <w:szCs w:val="17"/>
        </w:rPr>
        <w:t xml:space="preserve"> lid </w:t>
      </w:r>
      <w:r w:rsidRPr="00A86652">
        <w:rPr>
          <w:szCs w:val="17"/>
        </w:rPr>
        <w:t xml:space="preserve">) </w:t>
      </w:r>
    </w:p>
    <w:p w:rsidR="00DC6589" w:rsidP="00FC7C11" w:rsidRDefault="00DC6589">
      <w:pPr>
        <w:ind w:left="360"/>
        <w:rPr>
          <w:szCs w:val="17"/>
        </w:rPr>
      </w:pPr>
      <w:r w:rsidRPr="00007CB5">
        <w:rPr>
          <w:lang w:eastAsia="nl-NL"/>
        </w:rPr>
        <w:t xml:space="preserve">In de praktijk gaat het dan meestal om wetgeving die een nieuwe taak of bevoegdheden voor de Algemene Rekenkamer met zich meebrengt. </w:t>
      </w:r>
      <w:r w:rsidR="00D32250">
        <w:rPr>
          <w:szCs w:val="17"/>
        </w:rPr>
        <w:t xml:space="preserve">Bijvoorbeeld </w:t>
      </w:r>
      <w:r w:rsidR="005B65BD">
        <w:rPr>
          <w:szCs w:val="17"/>
        </w:rPr>
        <w:t xml:space="preserve">wanneer </w:t>
      </w:r>
      <w:r w:rsidR="00D32250">
        <w:rPr>
          <w:szCs w:val="17"/>
        </w:rPr>
        <w:t xml:space="preserve">bij of krachtens wet </w:t>
      </w:r>
      <w:r w:rsidRPr="00007CB5">
        <w:rPr>
          <w:szCs w:val="17"/>
        </w:rPr>
        <w:t xml:space="preserve">een publiekrechtelijke rechtspersoon wordt opgericht of wettelijke taken bij een organisatie buiten het Rijk worden </w:t>
      </w:r>
      <w:r w:rsidR="00E66ED3">
        <w:rPr>
          <w:szCs w:val="17"/>
        </w:rPr>
        <w:t>ondergebracht</w:t>
      </w:r>
      <w:r w:rsidRPr="00007CB5">
        <w:rPr>
          <w:lang w:eastAsia="nl-NL"/>
        </w:rPr>
        <w:t xml:space="preserve">. Het kan ook zijn dat door nieuwe wetgeving bepaalde bevoegdheden van de Algemene Rekenkamer juist komen te vervallen, bijvoorbeeld omdat </w:t>
      </w:r>
      <w:r>
        <w:rPr>
          <w:szCs w:val="17"/>
        </w:rPr>
        <w:t xml:space="preserve">een organisatie niet langer een wettelijke taak uitvoert. </w:t>
      </w:r>
    </w:p>
    <w:p w:rsidRPr="00CE0E1B" w:rsidR="00DC6589" w:rsidP="00FC7C11" w:rsidRDefault="00DC6589">
      <w:pPr>
        <w:pStyle w:val="Lijstalinea"/>
        <w:numPr>
          <w:ilvl w:val="0"/>
          <w:numId w:val="5"/>
        </w:numPr>
        <w:ind w:left="360"/>
        <w:contextualSpacing w:val="0"/>
        <w:rPr>
          <w:szCs w:val="17"/>
        </w:rPr>
      </w:pPr>
      <w:r w:rsidRPr="00007CB5">
        <w:rPr>
          <w:i/>
          <w:szCs w:val="17"/>
        </w:rPr>
        <w:t>Als de Staat een privaatrechtelijke rechtspersoon opricht, mede opricht of doet oprichten</w:t>
      </w:r>
      <w:r w:rsidRPr="001E7152">
        <w:rPr>
          <w:i/>
          <w:szCs w:val="17"/>
        </w:rPr>
        <w:t xml:space="preserve">  </w:t>
      </w:r>
      <w:r w:rsidRPr="00CE0E1B">
        <w:rPr>
          <w:szCs w:val="17"/>
        </w:rPr>
        <w:t>(artikelen 34 en 96</w:t>
      </w:r>
      <w:r w:rsidR="006577AE">
        <w:rPr>
          <w:szCs w:val="17"/>
        </w:rPr>
        <w:t>,</w:t>
      </w:r>
      <w:r w:rsidRPr="00CE0E1B">
        <w:rPr>
          <w:szCs w:val="17"/>
        </w:rPr>
        <w:t xml:space="preserve"> 2e lid)</w:t>
      </w:r>
      <w:r w:rsidR="00300A01">
        <w:rPr>
          <w:szCs w:val="17"/>
        </w:rPr>
        <w:t>.</w:t>
      </w:r>
    </w:p>
    <w:p w:rsidR="00C83046" w:rsidP="00FC7C11" w:rsidRDefault="00C83046">
      <w:pPr>
        <w:rPr>
          <w:rFonts w:cs="TTBC123018t00"/>
          <w:szCs w:val="17"/>
          <w:lang w:eastAsia="nl-NL"/>
        </w:rPr>
      </w:pPr>
    </w:p>
    <w:p w:rsidR="00EC1AB9" w:rsidP="00FC7C11" w:rsidRDefault="00EC1AB9">
      <w:r>
        <w:t xml:space="preserve">De wettelijk voorgeschreven overlegprocedure </w:t>
      </w:r>
      <w:r w:rsidR="000344E7">
        <w:t xml:space="preserve">houdt in dat de Algemene Rekenkamer het voorstel beoordeelt </w:t>
      </w:r>
      <w:r w:rsidR="00CE3859">
        <w:t xml:space="preserve">en </w:t>
      </w:r>
      <w:r w:rsidR="00311327">
        <w:t xml:space="preserve">in een brief </w:t>
      </w:r>
      <w:r w:rsidRPr="00390030">
        <w:t xml:space="preserve">de controlebevoegdheden van de Algemene Rekenkamer en eventuele lacunes in de controle-, verantwoording- en toezichtstructuur onder de aandacht van de minister </w:t>
      </w:r>
      <w:r w:rsidR="00311327">
        <w:rPr>
          <w:rFonts w:cs="TTBC123018t00"/>
          <w:szCs w:val="17"/>
          <w:lang w:eastAsia="nl-NL"/>
        </w:rPr>
        <w:t>brengt</w:t>
      </w:r>
      <w:r>
        <w:rPr>
          <w:rFonts w:cs="TTBC123018t00"/>
          <w:szCs w:val="17"/>
          <w:lang w:eastAsia="nl-NL"/>
        </w:rPr>
        <w:t xml:space="preserve">. </w:t>
      </w:r>
      <w:r>
        <w:t xml:space="preserve">De Algemene Rekenkamer treedt bij de beoordeling van voorstellen overigens nooit in de beleidskeuze. </w:t>
      </w:r>
    </w:p>
    <w:p w:rsidR="00737E42" w:rsidP="00FC7C11" w:rsidRDefault="00737E42"/>
    <w:p w:rsidR="00737E42" w:rsidP="00737E42" w:rsidRDefault="00737E42">
      <w:r w:rsidRPr="002E2641">
        <w:t>Het is goed gebruik dat bewindspersonen een afschrift van de ‘artikel 34/96-brief’ van de Algemene Rekenkamer als bijlage bij het betreffende voorstel meesturen aan de Staten-Generaal</w:t>
      </w:r>
      <w:r w:rsidRPr="002E2641" w:rsidR="002E2641">
        <w:t>, maar zij zijn hiertoe niet verplicht</w:t>
      </w:r>
      <w:r w:rsidRPr="002E2641">
        <w:t xml:space="preserve">. Aanvullend hierop zal de Algemene Rekenkamer de brieven voortaan ook zelf openbaar maken via haar website. </w:t>
      </w:r>
      <w:r w:rsidRPr="002E2641" w:rsidR="000D5876">
        <w:t xml:space="preserve">Publicatie vindt in principe plaats nadat </w:t>
      </w:r>
      <w:r w:rsidRPr="002E2641">
        <w:t xml:space="preserve">het voorstel waarop een brief betrekking heeft aan de Staten-Generaal is aangeboden. </w:t>
      </w:r>
    </w:p>
    <w:p w:rsidR="00300A01" w:rsidP="00FC7C11" w:rsidRDefault="00300A01"/>
    <w:p w:rsidRPr="007C6E52" w:rsidR="00300A01" w:rsidP="00FC7C11" w:rsidRDefault="00311327">
      <w:r w:rsidRPr="002E2641">
        <w:t>Hieronder staat een</w:t>
      </w:r>
      <w:r w:rsidRPr="002E2641" w:rsidR="00300A01">
        <w:t xml:space="preserve"> overzicht van de voorstellen waarover </w:t>
      </w:r>
      <w:r w:rsidRPr="002E2641" w:rsidR="001B10E9">
        <w:t>sinds 2011</w:t>
      </w:r>
      <w:r w:rsidRPr="002E2641" w:rsidR="00300A01">
        <w:t xml:space="preserve"> overleg is gevoerd met de Algemene Rekenkamer. </w:t>
      </w:r>
      <w:r w:rsidRPr="002E2641" w:rsidR="00841A0B">
        <w:t>D</w:t>
      </w:r>
      <w:r w:rsidRPr="002E2641" w:rsidR="000D5876">
        <w:t xml:space="preserve">e brieven van de Algemene Rekenkamer over deze voorstellen worden met terugwerkende kracht </w:t>
      </w:r>
      <w:r w:rsidRPr="002E2641" w:rsidR="007C6E52">
        <w:t xml:space="preserve">gepubliceerd </w:t>
      </w:r>
      <w:r w:rsidRPr="002E2641" w:rsidR="000D5876">
        <w:t xml:space="preserve">op </w:t>
      </w:r>
      <w:hyperlink w:history="1" r:id="rId9">
        <w:r w:rsidRPr="002E2641" w:rsidR="007C6E52">
          <w:rPr>
            <w:rStyle w:val="Hyperlink"/>
            <w:color w:val="auto"/>
            <w:u w:val="none"/>
          </w:rPr>
          <w:t>www.rekenkamer.nl</w:t>
        </w:r>
      </w:hyperlink>
      <w:r w:rsidRPr="002E2641" w:rsidR="000D5876">
        <w:t>.</w:t>
      </w:r>
    </w:p>
    <w:p w:rsidR="00EC1AB9" w:rsidP="00FC7C11" w:rsidRDefault="00EC1AB9">
      <w:pPr>
        <w:rPr>
          <w:rFonts w:cs="TTBC123018t00"/>
          <w:szCs w:val="17"/>
          <w:lang w:eastAsia="nl-NL"/>
        </w:rPr>
      </w:pPr>
    </w:p>
    <w:p w:rsidR="007C6E52" w:rsidRDefault="007C6E52">
      <w:pPr>
        <w:spacing w:after="200" w:line="276" w:lineRule="auto"/>
      </w:pPr>
      <w:r>
        <w:br w:type="page"/>
      </w:r>
    </w:p>
    <w:p w:rsidR="00B737FE" w:rsidP="00FC7C11" w:rsidRDefault="00B737FE">
      <w:pPr>
        <w:rPr>
          <w:b/>
          <w:szCs w:val="17"/>
        </w:rPr>
      </w:pPr>
    </w:p>
    <w:p w:rsidR="005249D4" w:rsidP="00FC7C11" w:rsidRDefault="00001AFD">
      <w:r w:rsidRPr="001B10E9">
        <w:rPr>
          <w:b/>
          <w:szCs w:val="17"/>
        </w:rPr>
        <w:t>Door Algemene Rekenkamer beoordeelde voorstellen</w:t>
      </w:r>
      <w:r w:rsidR="00060B7A">
        <w:rPr>
          <w:b/>
          <w:szCs w:val="17"/>
        </w:rPr>
        <w:t xml:space="preserve"> januari 2011 – augustus 2015</w:t>
      </w:r>
      <w:r w:rsidR="007C6E52">
        <w:rPr>
          <w:rStyle w:val="Voetnootmarkering"/>
          <w:b/>
          <w:szCs w:val="17"/>
        </w:rPr>
        <w:footnoteReference w:id="1"/>
      </w:r>
    </w:p>
    <w:p w:rsidR="00671FEF" w:rsidP="00FC7C11" w:rsidRDefault="00671FEF"/>
    <w:tbl>
      <w:tblPr>
        <w:tblStyle w:val="Tabelraster"/>
        <w:tblW w:w="9640" w:type="dxa"/>
        <w:tblInd w:w="-34" w:type="dxa"/>
        <w:tblLayout w:type="fixed"/>
        <w:tblLook w:val="01E0" w:firstRow="1" w:lastRow="1" w:firstColumn="1" w:lastColumn="1" w:noHBand="0" w:noVBand="0"/>
      </w:tblPr>
      <w:tblGrid>
        <w:gridCol w:w="6379"/>
        <w:gridCol w:w="3261"/>
      </w:tblGrid>
      <w:tr w:rsidRPr="0089475B" w:rsidR="00517DB6" w:rsidTr="00517DB6">
        <w:tc>
          <w:tcPr>
            <w:tcW w:w="6379" w:type="dxa"/>
            <w:tcBorders>
              <w:top w:val="single" w:color="FFFFFF" w:sz="4" w:space="0"/>
              <w:left w:val="single" w:color="FFFFFF" w:sz="4" w:space="0"/>
              <w:bottom w:val="single" w:color="auto" w:sz="4" w:space="0"/>
              <w:right w:val="single" w:color="FFFFFF" w:sz="4" w:space="0"/>
            </w:tcBorders>
            <w:shd w:val="clear" w:color="auto" w:fill="000000"/>
          </w:tcPr>
          <w:p w:rsidRPr="00C443E2" w:rsidR="00517DB6" w:rsidP="00FC7C11" w:rsidRDefault="00517DB6">
            <w:pPr>
              <w:pStyle w:val="Standaardklein"/>
              <w:spacing w:after="120"/>
              <w:rPr>
                <w:b/>
              </w:rPr>
            </w:pPr>
          </w:p>
        </w:tc>
        <w:tc>
          <w:tcPr>
            <w:tcW w:w="3261" w:type="dxa"/>
            <w:tcBorders>
              <w:top w:val="single" w:color="FFFFFF" w:sz="4" w:space="0"/>
              <w:left w:val="single" w:color="FFFFFF" w:sz="4" w:space="0"/>
              <w:bottom w:val="single" w:color="auto" w:sz="4" w:space="0"/>
              <w:right w:val="single" w:color="FFFFFF" w:sz="4" w:space="0"/>
            </w:tcBorders>
            <w:shd w:val="clear" w:color="auto" w:fill="000000"/>
          </w:tcPr>
          <w:p w:rsidRPr="0089475B" w:rsidR="00517DB6" w:rsidP="00FC7C11" w:rsidRDefault="00517DB6">
            <w:pPr>
              <w:pStyle w:val="Standaardklein"/>
              <w:rPr>
                <w:b/>
              </w:rPr>
            </w:pPr>
            <w:r>
              <w:rPr>
                <w:b/>
              </w:rPr>
              <w:t>Type voorstel</w:t>
            </w:r>
            <w:r>
              <w:rPr>
                <w:rStyle w:val="Voetnootmarkering"/>
                <w:b/>
              </w:rPr>
              <w:footnoteReference w:id="2"/>
            </w:r>
          </w:p>
        </w:tc>
      </w:tr>
      <w:tr w:rsidRPr="003623A8" w:rsidR="00517DB6" w:rsidTr="00517DB6">
        <w:tc>
          <w:tcPr>
            <w:tcW w:w="6379" w:type="dxa"/>
            <w:shd w:val="pct20" w:color="auto" w:fill="auto"/>
          </w:tcPr>
          <w:p w:rsidRPr="003623A8" w:rsidR="00517DB6" w:rsidP="00066035" w:rsidRDefault="00517DB6">
            <w:pPr>
              <w:pStyle w:val="Standaardklein"/>
              <w:rPr>
                <w:b/>
              </w:rPr>
            </w:pPr>
            <w:r w:rsidRPr="003623A8">
              <w:rPr>
                <w:b/>
              </w:rPr>
              <w:t>Ministerie van Binnenlandse Zaken en Koninkrijksrelaties</w:t>
            </w:r>
          </w:p>
        </w:tc>
        <w:tc>
          <w:tcPr>
            <w:tcW w:w="3261" w:type="dxa"/>
            <w:shd w:val="pct20" w:color="auto" w:fill="auto"/>
          </w:tcPr>
          <w:p w:rsidRPr="003623A8" w:rsidR="00517DB6" w:rsidP="00FC7C11" w:rsidRDefault="00517DB6">
            <w:pPr>
              <w:pStyle w:val="Standaardklein"/>
              <w:rPr>
                <w:szCs w:val="13"/>
              </w:rPr>
            </w:pPr>
          </w:p>
        </w:tc>
      </w:tr>
      <w:tr w:rsidRPr="0089475B" w:rsidR="00517DB6" w:rsidTr="00517DB6">
        <w:tc>
          <w:tcPr>
            <w:tcW w:w="6379" w:type="dxa"/>
          </w:tcPr>
          <w:p w:rsidRPr="00066035" w:rsidR="00517DB6" w:rsidP="00066035" w:rsidRDefault="00517DB6">
            <w:pPr>
              <w:pStyle w:val="Standaardklein"/>
              <w:rPr>
                <w:b/>
                <w:color w:val="00B050"/>
              </w:rPr>
            </w:pPr>
            <w:r w:rsidRPr="00066035">
              <w:rPr>
                <w:b/>
                <w:i/>
              </w:rPr>
              <w:t>European Urban Knowledge Network</w:t>
            </w:r>
            <w:r w:rsidRPr="00066035">
              <w:rPr>
                <w:b/>
              </w:rPr>
              <w:t xml:space="preserve"> (2011)</w:t>
            </w:r>
          </w:p>
          <w:p w:rsidRPr="00925E73" w:rsidR="00517DB6" w:rsidP="00925E73" w:rsidRDefault="00517DB6">
            <w:pPr>
              <w:pStyle w:val="Standaardklein"/>
              <w:spacing w:after="120"/>
            </w:pPr>
            <w:r w:rsidRPr="00833E59">
              <w:t xml:space="preserve">Oprichting van een Europese groepering voor territoriale samenwerking (EGTS), het European Urban Knowledge Network (EUKN). Met deze oprichting heeft een reeds bestaand intergouvernementeel kennisnetwerk op het gebied van stedelijke vraagstukken eigen rechtspersoonlijkheid gekregen. </w:t>
            </w:r>
          </w:p>
        </w:tc>
        <w:tc>
          <w:tcPr>
            <w:tcW w:w="3261" w:type="dxa"/>
          </w:tcPr>
          <w:p w:rsidR="00517DB6" w:rsidP="00FC7C11" w:rsidRDefault="00517DB6">
            <w:pPr>
              <w:pStyle w:val="Standaardklein"/>
            </w:pPr>
            <w:r w:rsidRPr="00D1342D">
              <w:rPr>
                <w:szCs w:val="13"/>
              </w:rPr>
              <w:t>Oprichting privaatrechtelijke rechtspersoon</w:t>
            </w:r>
          </w:p>
        </w:tc>
      </w:tr>
      <w:tr w:rsidRPr="0089475B" w:rsidR="00517DB6" w:rsidTr="00517DB6">
        <w:tc>
          <w:tcPr>
            <w:tcW w:w="6379" w:type="dxa"/>
          </w:tcPr>
          <w:p w:rsidRPr="00066035" w:rsidR="00517DB6" w:rsidP="00066035" w:rsidRDefault="00517DB6">
            <w:pPr>
              <w:pStyle w:val="Standaardklein"/>
              <w:rPr>
                <w:b/>
                <w:lang w:val="en-GB"/>
              </w:rPr>
            </w:pPr>
            <w:proofErr w:type="spellStart"/>
            <w:r w:rsidRPr="00066035">
              <w:rPr>
                <w:b/>
                <w:i/>
                <w:lang w:val="en-GB"/>
              </w:rPr>
              <w:t>Saba</w:t>
            </w:r>
            <w:proofErr w:type="spellEnd"/>
            <w:r w:rsidRPr="00066035">
              <w:rPr>
                <w:b/>
                <w:i/>
                <w:lang w:val="en-GB"/>
              </w:rPr>
              <w:t xml:space="preserve"> </w:t>
            </w:r>
            <w:proofErr w:type="spellStart"/>
            <w:r w:rsidRPr="00066035">
              <w:rPr>
                <w:b/>
                <w:i/>
                <w:lang w:val="en-GB"/>
              </w:rPr>
              <w:t>Statia</w:t>
            </w:r>
            <w:proofErr w:type="spellEnd"/>
            <w:r w:rsidRPr="00066035">
              <w:rPr>
                <w:b/>
                <w:i/>
                <w:lang w:val="en-GB"/>
              </w:rPr>
              <w:t xml:space="preserve"> Cable System</w:t>
            </w:r>
            <w:r w:rsidRPr="00066035">
              <w:rPr>
                <w:b/>
                <w:lang w:val="en-GB"/>
              </w:rPr>
              <w:t xml:space="preserve"> BV (2013)</w:t>
            </w:r>
          </w:p>
          <w:p w:rsidRPr="00925E73" w:rsidR="00517DB6" w:rsidP="00925E73" w:rsidRDefault="00517DB6">
            <w:pPr>
              <w:pStyle w:val="Standaardklein"/>
              <w:spacing w:after="120"/>
              <w:rPr>
                <w:szCs w:val="13"/>
              </w:rPr>
            </w:pPr>
            <w:r w:rsidRPr="00833E59">
              <w:rPr>
                <w:szCs w:val="13"/>
              </w:rPr>
              <w:t xml:space="preserve">Oprichting van de besloten vennootschap Saba </w:t>
            </w:r>
            <w:proofErr w:type="spellStart"/>
            <w:r w:rsidRPr="00833E59">
              <w:rPr>
                <w:szCs w:val="13"/>
              </w:rPr>
              <w:t>Statia</w:t>
            </w:r>
            <w:proofErr w:type="spellEnd"/>
            <w:r w:rsidRPr="00833E59">
              <w:rPr>
                <w:szCs w:val="13"/>
              </w:rPr>
              <w:t xml:space="preserve"> Cable System (SSCS BV). SSCS BV is opgericht om (in de toekomst) de telecommunicatieverbinding (zeekabel) tussen Saba en Sint </w:t>
            </w:r>
            <w:proofErr w:type="spellStart"/>
            <w:r w:rsidRPr="00833E59">
              <w:rPr>
                <w:szCs w:val="13"/>
              </w:rPr>
              <w:t>Eustatius</w:t>
            </w:r>
            <w:proofErr w:type="spellEnd"/>
            <w:r w:rsidRPr="00833E59">
              <w:rPr>
                <w:szCs w:val="13"/>
              </w:rPr>
              <w:t xml:space="preserve"> te beheren en exploiteren. </w:t>
            </w:r>
          </w:p>
        </w:tc>
        <w:tc>
          <w:tcPr>
            <w:tcW w:w="3261" w:type="dxa"/>
          </w:tcPr>
          <w:p w:rsidR="00517DB6" w:rsidP="00FC7C11" w:rsidRDefault="00517DB6">
            <w:pPr>
              <w:pStyle w:val="Standaardklein"/>
            </w:pPr>
            <w:r w:rsidRPr="00D1342D">
              <w:rPr>
                <w:szCs w:val="13"/>
              </w:rPr>
              <w:t>Oprichting privaatrechtelijke rechtspersoon</w:t>
            </w:r>
          </w:p>
        </w:tc>
      </w:tr>
      <w:tr w:rsidRPr="0089475B" w:rsidR="00517DB6" w:rsidTr="00517DB6">
        <w:tc>
          <w:tcPr>
            <w:tcW w:w="6379" w:type="dxa"/>
          </w:tcPr>
          <w:p w:rsidRPr="00066035" w:rsidR="00517DB6" w:rsidP="00066035" w:rsidRDefault="00517DB6">
            <w:pPr>
              <w:pStyle w:val="Standaardklein"/>
              <w:rPr>
                <w:b/>
              </w:rPr>
            </w:pPr>
            <w:r w:rsidRPr="00066035">
              <w:rPr>
                <w:b/>
              </w:rPr>
              <w:t xml:space="preserve">Stichting Nationaal </w:t>
            </w:r>
            <w:proofErr w:type="spellStart"/>
            <w:r w:rsidRPr="00066035">
              <w:rPr>
                <w:b/>
              </w:rPr>
              <w:t>Energiebespaarfonds</w:t>
            </w:r>
            <w:proofErr w:type="spellEnd"/>
            <w:r w:rsidRPr="00066035">
              <w:rPr>
                <w:b/>
              </w:rPr>
              <w:t xml:space="preserve"> (2013)</w:t>
            </w:r>
          </w:p>
          <w:p w:rsidRPr="00925E73" w:rsidR="00517DB6" w:rsidP="00925E73" w:rsidRDefault="00517DB6">
            <w:pPr>
              <w:pStyle w:val="Standaardklein"/>
              <w:spacing w:after="120"/>
            </w:pPr>
            <w:r w:rsidRPr="00833E59">
              <w:t xml:space="preserve">Oprichting van de stichting Nationaal </w:t>
            </w:r>
            <w:proofErr w:type="spellStart"/>
            <w:r w:rsidRPr="00833E59">
              <w:t>Energiebespaarfonds</w:t>
            </w:r>
            <w:proofErr w:type="spellEnd"/>
            <w:r w:rsidRPr="00833E59">
              <w:t>. In de stichting is het (</w:t>
            </w:r>
            <w:proofErr w:type="spellStart"/>
            <w:r w:rsidRPr="00833E59">
              <w:t>revolverende</w:t>
            </w:r>
            <w:proofErr w:type="spellEnd"/>
            <w:r w:rsidRPr="00833E59">
              <w:t xml:space="preserve">) Nationaal </w:t>
            </w:r>
            <w:proofErr w:type="spellStart"/>
            <w:r w:rsidRPr="00833E59">
              <w:t>Energiebespaarfonds</w:t>
            </w:r>
            <w:proofErr w:type="spellEnd"/>
            <w:r w:rsidRPr="00833E59">
              <w:t xml:space="preserve"> (NEF) ondergebracht, waaruit laagrentende leningen aan eigenaar-bewoners worden verstrekt voor de financiering van energiebesparende maatregelingen aan hun woning. </w:t>
            </w:r>
          </w:p>
        </w:tc>
        <w:tc>
          <w:tcPr>
            <w:tcW w:w="3261" w:type="dxa"/>
          </w:tcPr>
          <w:p w:rsidR="00517DB6" w:rsidP="00FC7C11" w:rsidRDefault="00517DB6">
            <w:pPr>
              <w:pStyle w:val="Standaardklein"/>
            </w:pPr>
            <w:r w:rsidRPr="00D1342D">
              <w:rPr>
                <w:szCs w:val="13"/>
              </w:rPr>
              <w:t>Oprichting privaatrechtelijke rechtspersoon</w:t>
            </w:r>
          </w:p>
        </w:tc>
      </w:tr>
      <w:tr w:rsidRPr="0089475B" w:rsidR="00517DB6" w:rsidTr="00517DB6">
        <w:tc>
          <w:tcPr>
            <w:tcW w:w="6379" w:type="dxa"/>
          </w:tcPr>
          <w:p w:rsidRPr="00833E59" w:rsidR="00517DB6" w:rsidP="00FC5A25" w:rsidRDefault="00517DB6">
            <w:pPr>
              <w:pStyle w:val="Standaardklein"/>
            </w:pPr>
            <w:r w:rsidRPr="00FC5A25">
              <w:rPr>
                <w:b/>
              </w:rPr>
              <w:t>Wetsvoorstel Tijdelijke wet deelfonds sociaal domein</w:t>
            </w:r>
            <w:r w:rsidRPr="00FC5A25">
              <w:rPr>
                <w:b/>
                <w:vertAlign w:val="superscript"/>
              </w:rPr>
              <w:t xml:space="preserve"> </w:t>
            </w:r>
            <w:r w:rsidRPr="00FC5A25">
              <w:rPr>
                <w:b/>
              </w:rPr>
              <w:t xml:space="preserve"> (2014)</w:t>
            </w:r>
            <w:r w:rsidRPr="00C443E2">
              <w:t xml:space="preserve"> – </w:t>
            </w:r>
            <w:r w:rsidRPr="00833E59">
              <w:rPr>
                <w:i/>
              </w:rPr>
              <w:t>wetsvoorstel ingetrokken</w:t>
            </w:r>
            <w:r w:rsidRPr="00833E59">
              <w:t xml:space="preserve"> </w:t>
            </w:r>
          </w:p>
          <w:p w:rsidRPr="00925E73" w:rsidR="00517DB6" w:rsidP="00925E73" w:rsidRDefault="00517DB6">
            <w:pPr>
              <w:pStyle w:val="Standaardklein"/>
              <w:spacing w:after="120"/>
            </w:pPr>
            <w:r w:rsidRPr="00833E59">
              <w:t xml:space="preserve">Dit wetsvoorstel voorzag erin middelen voor de bekostiging van gemeentelijke taken en verantwoordelijkheden op het terrein van maatschappelijke ondersteuning, participatie en jeugd uit te keren aan gemeenten via een tijdelijk deelfonds sociaal domein binnen het gemeentefonds. </w:t>
            </w:r>
          </w:p>
        </w:tc>
        <w:tc>
          <w:tcPr>
            <w:tcW w:w="3261" w:type="dxa"/>
          </w:tcPr>
          <w:p w:rsidRPr="0089475B" w:rsidR="00517DB6" w:rsidP="00FC7C11" w:rsidRDefault="00517DB6">
            <w:pPr>
              <w:pStyle w:val="Standaardklein"/>
            </w:pPr>
            <w:r>
              <w:t>Regelgeving met g</w:t>
            </w:r>
            <w:r>
              <w:rPr>
                <w:szCs w:val="13"/>
              </w:rPr>
              <w:t xml:space="preserve">evolgen </w:t>
            </w:r>
            <w:r w:rsidRPr="00D1342D">
              <w:rPr>
                <w:szCs w:val="13"/>
              </w:rPr>
              <w:t>bevoegdheden AR</w:t>
            </w:r>
          </w:p>
        </w:tc>
      </w:tr>
      <w:tr w:rsidRPr="0089475B" w:rsidR="00517DB6" w:rsidTr="00517DB6">
        <w:tc>
          <w:tcPr>
            <w:tcW w:w="6379" w:type="dxa"/>
          </w:tcPr>
          <w:p w:rsidRPr="00FC5A25" w:rsidR="00517DB6" w:rsidP="00FC5A25" w:rsidRDefault="00517DB6">
            <w:pPr>
              <w:pStyle w:val="Standaardklein"/>
              <w:rPr>
                <w:b/>
              </w:rPr>
            </w:pPr>
            <w:r w:rsidRPr="00FC5A25">
              <w:rPr>
                <w:b/>
              </w:rPr>
              <w:t>Novelle op de Herzieningswet toegelaten instellingen volkshuisvesting (2014)</w:t>
            </w:r>
          </w:p>
          <w:p w:rsidRPr="00833E59" w:rsidR="00517DB6" w:rsidP="00925E73" w:rsidRDefault="00517DB6">
            <w:pPr>
              <w:pStyle w:val="Standaardklein"/>
              <w:spacing w:after="120"/>
            </w:pPr>
            <w:r w:rsidRPr="00833E59">
              <w:t xml:space="preserve">De novelle wijzigt het voorstel Herzieningswet toegelaten instellingen volkshuisvesting, onder meer door de verplaatsing van het financiële toezicht, de saneringsfunctie en de verlening van projectsteun naar de minister voor Wonen en Rijksdienst. </w:t>
            </w:r>
          </w:p>
        </w:tc>
        <w:tc>
          <w:tcPr>
            <w:tcW w:w="3261" w:type="dxa"/>
          </w:tcPr>
          <w:p w:rsidRPr="0089475B" w:rsidR="00517DB6" w:rsidP="00FC7C11" w:rsidRDefault="00517DB6">
            <w:pPr>
              <w:pStyle w:val="Standaardklein"/>
            </w:pPr>
            <w:r>
              <w:t>Regelgeving met g</w:t>
            </w:r>
            <w:r>
              <w:rPr>
                <w:szCs w:val="13"/>
              </w:rPr>
              <w:t xml:space="preserve">evolgen </w:t>
            </w:r>
            <w:r w:rsidRPr="00D1342D">
              <w:rPr>
                <w:szCs w:val="13"/>
              </w:rPr>
              <w:t>bevoegdheden AR</w:t>
            </w:r>
          </w:p>
        </w:tc>
      </w:tr>
    </w:tbl>
    <w:p w:rsidR="006F0277" w:rsidRDefault="006F0277">
      <w:r>
        <w:br w:type="page"/>
      </w:r>
    </w:p>
    <w:p w:rsidR="006F0277" w:rsidRDefault="006F0277"/>
    <w:p w:rsidR="006F0277" w:rsidRDefault="006F0277"/>
    <w:tbl>
      <w:tblPr>
        <w:tblStyle w:val="Tabelraster"/>
        <w:tblW w:w="9640" w:type="dxa"/>
        <w:tblInd w:w="-34" w:type="dxa"/>
        <w:tblLayout w:type="fixed"/>
        <w:tblLook w:val="01E0" w:firstRow="1" w:lastRow="1" w:firstColumn="1" w:lastColumn="1" w:noHBand="0" w:noVBand="0"/>
      </w:tblPr>
      <w:tblGrid>
        <w:gridCol w:w="6379"/>
        <w:gridCol w:w="3261"/>
      </w:tblGrid>
      <w:tr w:rsidRPr="003623A8" w:rsidR="00517DB6" w:rsidTr="00517DB6">
        <w:tc>
          <w:tcPr>
            <w:tcW w:w="6379" w:type="dxa"/>
            <w:shd w:val="pct20" w:color="auto" w:fill="auto"/>
          </w:tcPr>
          <w:p w:rsidRPr="003623A8" w:rsidR="00517DB6" w:rsidP="007C6E52" w:rsidRDefault="00517DB6">
            <w:pPr>
              <w:pStyle w:val="Standaardklein"/>
              <w:rPr>
                <w:b/>
              </w:rPr>
            </w:pPr>
            <w:r w:rsidRPr="003623A8">
              <w:rPr>
                <w:b/>
              </w:rPr>
              <w:t xml:space="preserve">Ministerie van </w:t>
            </w:r>
            <w:r>
              <w:rPr>
                <w:b/>
              </w:rPr>
              <w:t>Defensie</w:t>
            </w:r>
          </w:p>
        </w:tc>
        <w:tc>
          <w:tcPr>
            <w:tcW w:w="3261" w:type="dxa"/>
            <w:shd w:val="pct20" w:color="auto" w:fill="auto"/>
          </w:tcPr>
          <w:p w:rsidRPr="003623A8" w:rsidR="00517DB6" w:rsidP="00C9788C" w:rsidRDefault="00517DB6">
            <w:pPr>
              <w:pStyle w:val="Standaardklein"/>
              <w:rPr>
                <w:szCs w:val="13"/>
              </w:rPr>
            </w:pPr>
          </w:p>
        </w:tc>
      </w:tr>
      <w:tr w:rsidRPr="0089475B" w:rsidR="00517DB6" w:rsidTr="00517DB6">
        <w:tc>
          <w:tcPr>
            <w:tcW w:w="6379" w:type="dxa"/>
          </w:tcPr>
          <w:p w:rsidRPr="00FC5A25" w:rsidR="00517DB6" w:rsidP="00FC5A25" w:rsidRDefault="00517DB6">
            <w:pPr>
              <w:pStyle w:val="Standaardklein"/>
              <w:rPr>
                <w:b/>
                <w:color w:val="0070C0"/>
              </w:rPr>
            </w:pPr>
            <w:r w:rsidRPr="00FC5A25">
              <w:rPr>
                <w:b/>
              </w:rPr>
              <w:t>Stichting Wetenschappelijk onderwijs en onderzoek Nederlandse Defensie Academie (2011)</w:t>
            </w:r>
          </w:p>
          <w:p w:rsidRPr="00925E73" w:rsidR="00517DB6" w:rsidP="00925E73" w:rsidRDefault="00517DB6">
            <w:pPr>
              <w:pStyle w:val="Standaardklein"/>
              <w:spacing w:after="120"/>
              <w:rPr>
                <w:spacing w:val="5"/>
              </w:rPr>
            </w:pPr>
            <w:r w:rsidRPr="00833E59">
              <w:rPr>
                <w:spacing w:val="5"/>
              </w:rPr>
              <w:t>Oprichting van de Stichting Wetenschappelijk onderwijs en onderzoek Nederlandse Defensie Academie (NLDA). De NLDA verzorgt onder meer militair wetenschappelijk onderwijs.</w:t>
            </w:r>
          </w:p>
        </w:tc>
        <w:tc>
          <w:tcPr>
            <w:tcW w:w="3261" w:type="dxa"/>
          </w:tcPr>
          <w:p w:rsidR="00517DB6" w:rsidP="00FC7C11" w:rsidRDefault="00517DB6">
            <w:pPr>
              <w:pStyle w:val="Standaardklein"/>
            </w:pPr>
            <w:r w:rsidRPr="00D1342D">
              <w:rPr>
                <w:szCs w:val="13"/>
              </w:rPr>
              <w:t>Oprichting privaatrechtelijke rechtspersoon</w:t>
            </w:r>
          </w:p>
        </w:tc>
      </w:tr>
      <w:tr w:rsidRPr="0089475B" w:rsidR="00517DB6" w:rsidTr="00517DB6">
        <w:tc>
          <w:tcPr>
            <w:tcW w:w="6379" w:type="dxa"/>
          </w:tcPr>
          <w:p w:rsidRPr="00007F31" w:rsidR="00517DB6" w:rsidP="00007F31" w:rsidRDefault="00517DB6">
            <w:pPr>
              <w:pStyle w:val="Standaardklein"/>
              <w:rPr>
                <w:b/>
              </w:rPr>
            </w:pPr>
            <w:r>
              <w:rPr>
                <w:spacing w:val="5"/>
                <w:sz w:val="17"/>
                <w:lang w:eastAsia="en-US"/>
              </w:rPr>
              <w:br w:type="page"/>
            </w:r>
            <w:r w:rsidRPr="00007F31">
              <w:rPr>
                <w:b/>
              </w:rPr>
              <w:t>Stichting Defensiemusea (2013)</w:t>
            </w:r>
          </w:p>
          <w:p w:rsidRPr="00B40E1F" w:rsidR="00517DB6" w:rsidP="00B40E1F" w:rsidRDefault="00517DB6">
            <w:pPr>
              <w:pStyle w:val="Standaardklein"/>
              <w:spacing w:after="120"/>
            </w:pPr>
            <w:r w:rsidRPr="00833E59">
              <w:t xml:space="preserve">Oprichting van de stichting Defensiemusea. De stichting beheert vier Defensiemusea: het Nationaal Militair Museum (NMM), het </w:t>
            </w:r>
            <w:proofErr w:type="spellStart"/>
            <w:r w:rsidRPr="00833E59">
              <w:t>Marinemuseum</w:t>
            </w:r>
            <w:proofErr w:type="spellEnd"/>
            <w:r w:rsidRPr="00833E59">
              <w:t xml:space="preserve">, het Mariniersmuseum en het Marechausseemuseum. </w:t>
            </w:r>
          </w:p>
        </w:tc>
        <w:tc>
          <w:tcPr>
            <w:tcW w:w="3261" w:type="dxa"/>
          </w:tcPr>
          <w:p w:rsidR="00517DB6" w:rsidP="00FC7C11" w:rsidRDefault="00517DB6">
            <w:pPr>
              <w:pStyle w:val="Standaardklein"/>
            </w:pPr>
            <w:r w:rsidRPr="00D1342D">
              <w:rPr>
                <w:szCs w:val="13"/>
              </w:rPr>
              <w:t>Oprichting privaatrechtelijke rechtspersoon</w:t>
            </w:r>
          </w:p>
        </w:tc>
      </w:tr>
      <w:tr w:rsidRPr="003623A8" w:rsidR="00517DB6" w:rsidTr="00517DB6">
        <w:tc>
          <w:tcPr>
            <w:tcW w:w="6379" w:type="dxa"/>
            <w:shd w:val="pct20" w:color="auto" w:fill="auto"/>
          </w:tcPr>
          <w:p w:rsidRPr="003623A8" w:rsidR="00517DB6" w:rsidP="00550A20" w:rsidRDefault="00517DB6">
            <w:pPr>
              <w:pStyle w:val="Standaardklein"/>
              <w:rPr>
                <w:b/>
              </w:rPr>
            </w:pPr>
            <w:r w:rsidRPr="003623A8">
              <w:rPr>
                <w:b/>
              </w:rPr>
              <w:t xml:space="preserve">Ministerie van </w:t>
            </w:r>
            <w:r>
              <w:rPr>
                <w:b/>
              </w:rPr>
              <w:t xml:space="preserve">Economische Zaken </w:t>
            </w:r>
          </w:p>
        </w:tc>
        <w:tc>
          <w:tcPr>
            <w:tcW w:w="3261" w:type="dxa"/>
            <w:shd w:val="pct20" w:color="auto" w:fill="auto"/>
          </w:tcPr>
          <w:p w:rsidRPr="003623A8" w:rsidR="00517DB6" w:rsidP="00C9788C" w:rsidRDefault="00517DB6">
            <w:pPr>
              <w:pStyle w:val="Standaardklein"/>
              <w:rPr>
                <w:szCs w:val="13"/>
              </w:rPr>
            </w:pPr>
          </w:p>
        </w:tc>
      </w:tr>
      <w:tr w:rsidRPr="0089475B" w:rsidR="00517DB6" w:rsidTr="00517DB6">
        <w:tc>
          <w:tcPr>
            <w:tcW w:w="6379" w:type="dxa"/>
          </w:tcPr>
          <w:p w:rsidRPr="00007F31" w:rsidR="00517DB6" w:rsidP="00007F31" w:rsidRDefault="00517DB6">
            <w:pPr>
              <w:pStyle w:val="Standaardklein"/>
              <w:rPr>
                <w:b/>
                <w:color w:val="0070C0"/>
              </w:rPr>
            </w:pPr>
            <w:r w:rsidRPr="00007F31">
              <w:rPr>
                <w:b/>
              </w:rPr>
              <w:t>Instellingswet Autoriteit Consument en Markt (ACM)  (2011)</w:t>
            </w:r>
          </w:p>
          <w:p w:rsidRPr="00B40E1F" w:rsidR="00517DB6" w:rsidP="00B40E1F" w:rsidRDefault="00517DB6">
            <w:pPr>
              <w:pStyle w:val="Standaardklein"/>
              <w:spacing w:after="120"/>
            </w:pPr>
            <w:r w:rsidRPr="00833E59">
              <w:t>De wet regelt oprichting van de Autoriteit Consument en Markt (ACM,) waarin de Nederlandse Mededingingsautoriteit (NMa), Onafhankelijke Post en Telecommunicatieautoriteit (OPTA) en de Consumentenautoriteit (CA) zijn samengegaan.</w:t>
            </w:r>
          </w:p>
        </w:tc>
        <w:tc>
          <w:tcPr>
            <w:tcW w:w="3261" w:type="dxa"/>
          </w:tcPr>
          <w:p w:rsidRPr="0089475B" w:rsidR="00517DB6" w:rsidP="00FC7C11" w:rsidRDefault="00517DB6">
            <w:pPr>
              <w:pStyle w:val="Standaardklein"/>
            </w:pPr>
            <w:r>
              <w:t>Regelgeving met g</w:t>
            </w:r>
            <w:r>
              <w:rPr>
                <w:szCs w:val="13"/>
              </w:rPr>
              <w:t xml:space="preserve">evolgen </w:t>
            </w:r>
            <w:r w:rsidRPr="00D1342D">
              <w:rPr>
                <w:szCs w:val="13"/>
              </w:rPr>
              <w:t>bevoegdheden AR</w:t>
            </w:r>
          </w:p>
        </w:tc>
      </w:tr>
      <w:tr w:rsidRPr="0089475B" w:rsidR="00517DB6" w:rsidTr="00517DB6">
        <w:tc>
          <w:tcPr>
            <w:tcW w:w="6379" w:type="dxa"/>
          </w:tcPr>
          <w:p w:rsidRPr="00007F31" w:rsidR="00517DB6" w:rsidP="00007F31" w:rsidRDefault="00517DB6">
            <w:pPr>
              <w:pStyle w:val="Standaardklein"/>
              <w:rPr>
                <w:b/>
                <w:color w:val="0070C0"/>
              </w:rPr>
            </w:pPr>
            <w:r w:rsidRPr="00007F31">
              <w:rPr>
                <w:b/>
              </w:rPr>
              <w:t>Wet op de Kamer van Koophandel (2012)</w:t>
            </w:r>
          </w:p>
          <w:p w:rsidRPr="00B40E1F" w:rsidR="00517DB6" w:rsidP="00B40E1F" w:rsidRDefault="00517DB6">
            <w:pPr>
              <w:pStyle w:val="Standaardklein"/>
              <w:spacing w:after="120"/>
            </w:pPr>
            <w:r w:rsidRPr="00833E59">
              <w:t xml:space="preserve">De wet voorziet in het samenvoegen van 12 Kamers van Koophandel, de vereniging Kamers van Koophandel en de stichting </w:t>
            </w:r>
            <w:proofErr w:type="spellStart"/>
            <w:r w:rsidRPr="00833E59">
              <w:t>Syntens</w:t>
            </w:r>
            <w:proofErr w:type="spellEnd"/>
            <w:r w:rsidRPr="00833E59">
              <w:t xml:space="preserve"> tot één Kamer van Koophandel. </w:t>
            </w:r>
          </w:p>
        </w:tc>
        <w:tc>
          <w:tcPr>
            <w:tcW w:w="3261" w:type="dxa"/>
          </w:tcPr>
          <w:p w:rsidRPr="0089475B" w:rsidR="00517DB6" w:rsidP="00FC7C11" w:rsidRDefault="00517DB6">
            <w:pPr>
              <w:pStyle w:val="Standaardklein"/>
            </w:pPr>
            <w:r>
              <w:t>Regelgeving met g</w:t>
            </w:r>
            <w:r>
              <w:rPr>
                <w:szCs w:val="13"/>
              </w:rPr>
              <w:t xml:space="preserve">evolgen </w:t>
            </w:r>
            <w:r w:rsidRPr="00D1342D">
              <w:rPr>
                <w:szCs w:val="13"/>
              </w:rPr>
              <w:t>bevoegdheden AR</w:t>
            </w:r>
          </w:p>
        </w:tc>
      </w:tr>
      <w:tr w:rsidRPr="0089475B" w:rsidR="00517DB6" w:rsidTr="00517DB6">
        <w:tc>
          <w:tcPr>
            <w:tcW w:w="6379" w:type="dxa"/>
          </w:tcPr>
          <w:p w:rsidRPr="00007F31" w:rsidR="00517DB6" w:rsidP="00007F31" w:rsidRDefault="00517DB6">
            <w:pPr>
              <w:pStyle w:val="Standaardklein"/>
              <w:rPr>
                <w:b/>
                <w:vanish/>
                <w:color w:val="0070C0"/>
                <w:lang w:val="en-GB"/>
                <w:specVanish/>
              </w:rPr>
            </w:pPr>
            <w:proofErr w:type="spellStart"/>
            <w:r w:rsidRPr="00007F31">
              <w:rPr>
                <w:b/>
                <w:lang w:val="en-GB"/>
              </w:rPr>
              <w:t>Vereniging</w:t>
            </w:r>
            <w:proofErr w:type="spellEnd"/>
            <w:r w:rsidRPr="00007F31">
              <w:rPr>
                <w:b/>
                <w:lang w:val="en-GB"/>
              </w:rPr>
              <w:t xml:space="preserve"> </w:t>
            </w:r>
            <w:r w:rsidRPr="00007F31">
              <w:rPr>
                <w:b/>
                <w:i/>
                <w:lang w:val="en-GB"/>
              </w:rPr>
              <w:t>Association of the Voluntary Principles on Security and Human Rights</w:t>
            </w:r>
            <w:r w:rsidRPr="00007F31">
              <w:rPr>
                <w:b/>
                <w:lang w:val="en-GB"/>
              </w:rPr>
              <w:t xml:space="preserve"> </w:t>
            </w:r>
          </w:p>
          <w:p w:rsidRPr="00007F31" w:rsidR="00517DB6" w:rsidP="00007F31" w:rsidRDefault="00517DB6">
            <w:pPr>
              <w:pStyle w:val="Standaardklein"/>
              <w:rPr>
                <w:b/>
                <w:vanish/>
                <w:color w:val="0070C0"/>
                <w:lang w:val="en-GB"/>
                <w:specVanish/>
              </w:rPr>
            </w:pPr>
          </w:p>
          <w:p w:rsidRPr="00007F31" w:rsidR="00517DB6" w:rsidP="00007F31" w:rsidRDefault="00517DB6">
            <w:pPr>
              <w:pStyle w:val="Standaardklein"/>
              <w:rPr>
                <w:b/>
                <w:lang w:val="en-GB"/>
              </w:rPr>
            </w:pPr>
            <w:r w:rsidRPr="00007F31">
              <w:rPr>
                <w:b/>
                <w:lang w:val="en-GB"/>
              </w:rPr>
              <w:t>(2012)</w:t>
            </w:r>
          </w:p>
          <w:p w:rsidRPr="00B40E1F" w:rsidR="00517DB6" w:rsidP="00B40E1F" w:rsidRDefault="00517DB6">
            <w:pPr>
              <w:pStyle w:val="Standaardklein"/>
              <w:spacing w:after="120"/>
            </w:pPr>
            <w:r w:rsidRPr="00833E59">
              <w:rPr>
                <w:lang w:val="en-GB"/>
              </w:rPr>
              <w:t>Mede-</w:t>
            </w:r>
            <w:proofErr w:type="spellStart"/>
            <w:r w:rsidRPr="00833E59">
              <w:rPr>
                <w:lang w:val="en-GB"/>
              </w:rPr>
              <w:t>oprichting</w:t>
            </w:r>
            <w:proofErr w:type="spellEnd"/>
            <w:r w:rsidRPr="00833E59">
              <w:rPr>
                <w:lang w:val="en-GB"/>
              </w:rPr>
              <w:t xml:space="preserve"> van de </w:t>
            </w:r>
            <w:proofErr w:type="spellStart"/>
            <w:r w:rsidRPr="00833E59">
              <w:rPr>
                <w:lang w:val="en-GB"/>
              </w:rPr>
              <w:t>vereniging</w:t>
            </w:r>
            <w:proofErr w:type="spellEnd"/>
            <w:r w:rsidRPr="00833E59">
              <w:rPr>
                <w:lang w:val="en-GB"/>
              </w:rPr>
              <w:t xml:space="preserve"> Association of the Voluntary Principles on Security and Human Right</w:t>
            </w:r>
            <w:r w:rsidR="007544CD">
              <w:rPr>
                <w:lang w:val="en-GB"/>
              </w:rPr>
              <w:t>s</w:t>
            </w:r>
            <w:r w:rsidRPr="00833E59">
              <w:rPr>
                <w:lang w:val="en-GB"/>
              </w:rPr>
              <w:t xml:space="preserve">. </w:t>
            </w:r>
            <w:r w:rsidRPr="00833E59">
              <w:t>Een reeds bestaand internationaal multi-stakeholderinitiatief - gericht op het bevorderen van het respect voor mensenrechten bij de bescherming van energie- en grondstofbedrijven in conflictgebieden - heeft hiermee rechtspersoonlijkheid naar Nederlands recht gekregen.</w:t>
            </w:r>
          </w:p>
        </w:tc>
        <w:tc>
          <w:tcPr>
            <w:tcW w:w="3261" w:type="dxa"/>
          </w:tcPr>
          <w:p w:rsidR="00517DB6" w:rsidP="00FC7C11" w:rsidRDefault="00517DB6">
            <w:pPr>
              <w:pStyle w:val="Standaardklein"/>
            </w:pPr>
            <w:r w:rsidRPr="00D1342D">
              <w:rPr>
                <w:szCs w:val="13"/>
              </w:rPr>
              <w:t>Oprichting privaatrechtelijke rechtspersoon</w:t>
            </w:r>
          </w:p>
        </w:tc>
      </w:tr>
      <w:tr w:rsidRPr="0089475B" w:rsidR="00517DB6" w:rsidTr="00517DB6">
        <w:tc>
          <w:tcPr>
            <w:tcW w:w="6379" w:type="dxa"/>
          </w:tcPr>
          <w:p w:rsidRPr="00007F31" w:rsidR="00517DB6" w:rsidP="00007F31" w:rsidRDefault="00517DB6">
            <w:pPr>
              <w:pStyle w:val="Standaardklein"/>
              <w:rPr>
                <w:b/>
                <w:color w:val="4F81BD" w:themeColor="accent1"/>
              </w:rPr>
            </w:pPr>
            <w:r w:rsidRPr="00007F31">
              <w:rPr>
                <w:b/>
              </w:rPr>
              <w:t>Stichting Voorbereiding Pallas-reactor (2013)</w:t>
            </w:r>
          </w:p>
          <w:p w:rsidRPr="00B40E1F" w:rsidR="00517DB6" w:rsidP="00B40E1F" w:rsidRDefault="00517DB6">
            <w:pPr>
              <w:pStyle w:val="Standaardklein"/>
              <w:spacing w:after="120"/>
            </w:pPr>
            <w:r w:rsidRPr="00833E59">
              <w:t>Oprichting van de Stichting Voorbereiding Pallas-reactor. De stichting is opgericht om de realisatie van een nieuwe onderzoeksreactor in Petten – genaamd ‘Pallas’ - voor te bereiden.</w:t>
            </w:r>
          </w:p>
        </w:tc>
        <w:tc>
          <w:tcPr>
            <w:tcW w:w="3261" w:type="dxa"/>
          </w:tcPr>
          <w:p w:rsidR="00517DB6" w:rsidP="00FC7C11" w:rsidRDefault="00517DB6">
            <w:pPr>
              <w:pStyle w:val="Standaardklein"/>
            </w:pPr>
            <w:r w:rsidRPr="00D1342D">
              <w:rPr>
                <w:szCs w:val="13"/>
              </w:rPr>
              <w:t>Oprichting privaatrechtelijke rechtspersoon</w:t>
            </w:r>
          </w:p>
        </w:tc>
      </w:tr>
      <w:tr w:rsidRPr="0089475B" w:rsidR="00517DB6" w:rsidTr="00517DB6">
        <w:tc>
          <w:tcPr>
            <w:tcW w:w="6379" w:type="dxa"/>
          </w:tcPr>
          <w:p w:rsidRPr="00833E59" w:rsidR="00517DB6" w:rsidP="00007F31" w:rsidRDefault="00517DB6">
            <w:pPr>
              <w:pStyle w:val="Standaardklein"/>
              <w:rPr>
                <w:i/>
              </w:rPr>
            </w:pPr>
            <w:r w:rsidRPr="00007F31">
              <w:rPr>
                <w:b/>
              </w:rPr>
              <w:t>Wetsvoorstel Wet elektriciteit en drinkwater BES (2014)</w:t>
            </w:r>
            <w:r w:rsidRPr="00C443E2">
              <w:t xml:space="preserve"> – </w:t>
            </w:r>
            <w:r w:rsidRPr="00833E59">
              <w:rPr>
                <w:i/>
              </w:rPr>
              <w:t>wetsvoorstel in behandeling bij Tweede Kamer</w:t>
            </w:r>
          </w:p>
          <w:p w:rsidRPr="00C443E2" w:rsidR="00517DB6" w:rsidP="00B40E1F" w:rsidRDefault="00517DB6">
            <w:pPr>
              <w:pStyle w:val="Standaardklein"/>
              <w:spacing w:after="120"/>
            </w:pPr>
            <w:r w:rsidRPr="00833E59">
              <w:t xml:space="preserve">In het wetsvoorstel  worden wettelijke taken toegedeeld aan de producenten en distributeurs van elektriciteit en drinkwater in de openbare lichamen Bonaire, Sint </w:t>
            </w:r>
            <w:proofErr w:type="spellStart"/>
            <w:r w:rsidRPr="00833E59">
              <w:t>Eustatius</w:t>
            </w:r>
            <w:proofErr w:type="spellEnd"/>
            <w:r w:rsidRPr="00833E59">
              <w:t xml:space="preserve"> en Saba.</w:t>
            </w:r>
          </w:p>
        </w:tc>
        <w:tc>
          <w:tcPr>
            <w:tcW w:w="3261" w:type="dxa"/>
          </w:tcPr>
          <w:p w:rsidRPr="0089475B" w:rsidR="00517DB6" w:rsidP="00FC7C11" w:rsidRDefault="00517DB6">
            <w:pPr>
              <w:pStyle w:val="Standaardklein"/>
            </w:pPr>
            <w:r>
              <w:t>Regelgeving met g</w:t>
            </w:r>
            <w:r>
              <w:rPr>
                <w:szCs w:val="13"/>
              </w:rPr>
              <w:t xml:space="preserve">evolgen </w:t>
            </w:r>
            <w:r w:rsidRPr="00D1342D">
              <w:rPr>
                <w:szCs w:val="13"/>
              </w:rPr>
              <w:t>bevoegdheden AR</w:t>
            </w:r>
          </w:p>
        </w:tc>
      </w:tr>
      <w:tr w:rsidRPr="0089475B" w:rsidR="00517DB6" w:rsidTr="00517DB6">
        <w:tc>
          <w:tcPr>
            <w:tcW w:w="6379" w:type="dxa"/>
          </w:tcPr>
          <w:p w:rsidRPr="00007F31" w:rsidR="00517DB6" w:rsidP="00007F31" w:rsidRDefault="00517DB6">
            <w:pPr>
              <w:pStyle w:val="Standaardklein"/>
              <w:rPr>
                <w:b/>
              </w:rPr>
            </w:pPr>
            <w:r w:rsidRPr="00007F31">
              <w:rPr>
                <w:b/>
              </w:rPr>
              <w:t>Regionale Ontwikkelingsmaatschappij Zuidvleugel BV (</w:t>
            </w:r>
            <w:proofErr w:type="spellStart"/>
            <w:r w:rsidRPr="00007F31">
              <w:rPr>
                <w:b/>
                <w:i/>
              </w:rPr>
              <w:t>Innovation</w:t>
            </w:r>
            <w:proofErr w:type="spellEnd"/>
            <w:r w:rsidRPr="00007F31">
              <w:rPr>
                <w:b/>
                <w:i/>
              </w:rPr>
              <w:t xml:space="preserve"> </w:t>
            </w:r>
            <w:proofErr w:type="spellStart"/>
            <w:r w:rsidRPr="00007F31">
              <w:rPr>
                <w:b/>
                <w:i/>
              </w:rPr>
              <w:t>Quarter</w:t>
            </w:r>
            <w:proofErr w:type="spellEnd"/>
            <w:r w:rsidRPr="00007F31">
              <w:rPr>
                <w:b/>
              </w:rPr>
              <w:t>) (2014)</w:t>
            </w:r>
          </w:p>
          <w:p w:rsidRPr="00C443E2" w:rsidR="00517DB6" w:rsidP="00B40E1F" w:rsidRDefault="00517DB6">
            <w:pPr>
              <w:pStyle w:val="Standaardklein"/>
              <w:spacing w:after="120"/>
            </w:pPr>
            <w:r w:rsidRPr="00833E59">
              <w:t>Mede-oprichting van een ontwikkelingsmaatschappij voor de regio Zuid-Holland: de Regionale Ontwikkelingsmaatschappij Zuidvleugel BV (‘</w:t>
            </w:r>
            <w:proofErr w:type="spellStart"/>
            <w:r w:rsidRPr="00833E59">
              <w:t>Innovation</w:t>
            </w:r>
            <w:proofErr w:type="spellEnd"/>
            <w:r w:rsidRPr="00833E59">
              <w:t xml:space="preserve"> </w:t>
            </w:r>
            <w:proofErr w:type="spellStart"/>
            <w:r w:rsidRPr="00833E59">
              <w:t>Quarter</w:t>
            </w:r>
            <w:proofErr w:type="spellEnd"/>
            <w:r w:rsidRPr="00833E59">
              <w:t>’).</w:t>
            </w:r>
          </w:p>
        </w:tc>
        <w:tc>
          <w:tcPr>
            <w:tcW w:w="3261" w:type="dxa"/>
          </w:tcPr>
          <w:p w:rsidR="00517DB6" w:rsidP="00FC7C11" w:rsidRDefault="00517DB6">
            <w:pPr>
              <w:pStyle w:val="Standaardklein"/>
            </w:pPr>
            <w:r w:rsidRPr="00D1342D">
              <w:rPr>
                <w:szCs w:val="13"/>
              </w:rPr>
              <w:t>Oprichting privaatrechtelijke rechtspersoon</w:t>
            </w:r>
          </w:p>
        </w:tc>
      </w:tr>
    </w:tbl>
    <w:p w:rsidR="006F0277" w:rsidRDefault="006F0277">
      <w:r>
        <w:br w:type="page"/>
      </w:r>
    </w:p>
    <w:p w:rsidR="006F0277" w:rsidRDefault="006F0277"/>
    <w:p w:rsidR="006F0277" w:rsidRDefault="006F0277"/>
    <w:tbl>
      <w:tblPr>
        <w:tblStyle w:val="Tabelraster"/>
        <w:tblW w:w="9640" w:type="dxa"/>
        <w:tblInd w:w="-34" w:type="dxa"/>
        <w:tblLayout w:type="fixed"/>
        <w:tblLook w:val="01E0" w:firstRow="1" w:lastRow="1" w:firstColumn="1" w:lastColumn="1" w:noHBand="0" w:noVBand="0"/>
      </w:tblPr>
      <w:tblGrid>
        <w:gridCol w:w="6379"/>
        <w:gridCol w:w="3261"/>
      </w:tblGrid>
      <w:tr w:rsidRPr="003623A8" w:rsidR="00517DB6" w:rsidTr="00517DB6">
        <w:tc>
          <w:tcPr>
            <w:tcW w:w="6379" w:type="dxa"/>
            <w:shd w:val="pct20" w:color="auto" w:fill="auto"/>
          </w:tcPr>
          <w:p w:rsidRPr="003623A8" w:rsidR="00517DB6" w:rsidP="008A3E27" w:rsidRDefault="00517DB6">
            <w:pPr>
              <w:pStyle w:val="Standaardklein"/>
              <w:rPr>
                <w:b/>
              </w:rPr>
            </w:pPr>
            <w:r w:rsidRPr="003623A8">
              <w:rPr>
                <w:b/>
              </w:rPr>
              <w:t xml:space="preserve">Ministerie van </w:t>
            </w:r>
            <w:r>
              <w:rPr>
                <w:b/>
              </w:rPr>
              <w:t>Financiën</w:t>
            </w:r>
          </w:p>
        </w:tc>
        <w:tc>
          <w:tcPr>
            <w:tcW w:w="3261" w:type="dxa"/>
            <w:shd w:val="pct20" w:color="auto" w:fill="auto"/>
          </w:tcPr>
          <w:p w:rsidRPr="003623A8" w:rsidR="00517DB6" w:rsidP="00C9788C" w:rsidRDefault="00517DB6">
            <w:pPr>
              <w:pStyle w:val="Standaardklein"/>
              <w:rPr>
                <w:szCs w:val="13"/>
              </w:rPr>
            </w:pPr>
          </w:p>
        </w:tc>
      </w:tr>
      <w:tr w:rsidRPr="0089475B" w:rsidR="00517DB6" w:rsidTr="00517DB6">
        <w:tc>
          <w:tcPr>
            <w:tcW w:w="6379" w:type="dxa"/>
          </w:tcPr>
          <w:p w:rsidRPr="00007F31" w:rsidR="00517DB6" w:rsidP="00007F31" w:rsidRDefault="00517DB6">
            <w:pPr>
              <w:pStyle w:val="Standaardklein"/>
              <w:rPr>
                <w:b/>
              </w:rPr>
            </w:pPr>
            <w:r w:rsidRPr="00007F31">
              <w:rPr>
                <w:b/>
              </w:rPr>
              <w:t>Besluit ex-ante-financiering depositogarantiestelsel/Stichting Depositogarantiefonds (2011)</w:t>
            </w:r>
          </w:p>
          <w:p w:rsidRPr="00C443E2" w:rsidR="00F60682" w:rsidP="00F60682" w:rsidRDefault="00517DB6">
            <w:pPr>
              <w:pStyle w:val="Standaardklein"/>
              <w:spacing w:after="120"/>
            </w:pPr>
            <w:r w:rsidRPr="00833E59">
              <w:t>Het Besluit ex</w:t>
            </w:r>
            <w:r>
              <w:t>-</w:t>
            </w:r>
            <w:r w:rsidRPr="00833E59">
              <w:t>ante</w:t>
            </w:r>
            <w:r>
              <w:t>-</w:t>
            </w:r>
            <w:r w:rsidRPr="00833E59">
              <w:t xml:space="preserve">financiering Depositogarantiestelsel regelt herziening van het depositogarantiestelsel. In dit kader heeft de minister de Stichting </w:t>
            </w:r>
            <w:r w:rsidRPr="004919CF">
              <w:t>Depositogarantiefonds doen oprichten</w:t>
            </w:r>
            <w:r w:rsidRPr="00833E59">
              <w:t>, belast met het beheer van de bijdragen van banken aan het depositogarantiestelsel.</w:t>
            </w:r>
          </w:p>
        </w:tc>
        <w:tc>
          <w:tcPr>
            <w:tcW w:w="3261" w:type="dxa"/>
          </w:tcPr>
          <w:p w:rsidRPr="00953EC1" w:rsidR="00517DB6" w:rsidP="00FC7C11" w:rsidRDefault="00517DB6">
            <w:pPr>
              <w:pStyle w:val="Standaardklein"/>
              <w:rPr>
                <w:highlight w:val="green"/>
              </w:rPr>
            </w:pPr>
            <w:r w:rsidRPr="00D1342D">
              <w:rPr>
                <w:szCs w:val="13"/>
              </w:rPr>
              <w:t>Oprichting privaatrechtelijke rechtspersoon</w:t>
            </w:r>
          </w:p>
        </w:tc>
      </w:tr>
      <w:tr w:rsidRPr="009B503C" w:rsidR="00517DB6" w:rsidTr="00517DB6">
        <w:tc>
          <w:tcPr>
            <w:tcW w:w="6379" w:type="dxa"/>
          </w:tcPr>
          <w:p w:rsidRPr="00007F31" w:rsidR="00517DB6" w:rsidP="00007F31" w:rsidRDefault="00517DB6">
            <w:pPr>
              <w:pStyle w:val="Standaardklein"/>
              <w:rPr>
                <w:b/>
              </w:rPr>
            </w:pPr>
            <w:r w:rsidRPr="00007F31">
              <w:rPr>
                <w:b/>
              </w:rPr>
              <w:t>Wijziging van de Wet op het financieel toezicht (2013)</w:t>
            </w:r>
          </w:p>
          <w:p w:rsidRPr="00F60682" w:rsidR="00517DB6" w:rsidP="00B40E1F" w:rsidRDefault="00517DB6">
            <w:pPr>
              <w:pStyle w:val="Standaardklein"/>
              <w:spacing w:after="120"/>
            </w:pPr>
            <w:r w:rsidRPr="00833E59">
              <w:t>Wijziging van de Wet op het financieel toezicht (</w:t>
            </w:r>
            <w:proofErr w:type="spellStart"/>
            <w:r w:rsidRPr="00833E59">
              <w:t>Wft</w:t>
            </w:r>
            <w:proofErr w:type="spellEnd"/>
            <w:r w:rsidRPr="00833E59">
              <w:t>) in verband met het geven van toegang aan de Algemene Rekenkamer tot toezichtvertrouwelijke informatie bij De Nederlandsche Bank en de Autoriteit Financiële Markten.</w:t>
            </w:r>
          </w:p>
        </w:tc>
        <w:tc>
          <w:tcPr>
            <w:tcW w:w="3261" w:type="dxa"/>
          </w:tcPr>
          <w:p w:rsidRPr="009B503C" w:rsidR="00517DB6" w:rsidP="00007F31" w:rsidRDefault="00517DB6">
            <w:pPr>
              <w:pStyle w:val="Standaardklein"/>
            </w:pPr>
            <w:r>
              <w:t xml:space="preserve">Regelgeving met gevolgen </w:t>
            </w:r>
            <w:r w:rsidRPr="00D1342D">
              <w:t>bevoegdheden AR</w:t>
            </w:r>
          </w:p>
        </w:tc>
      </w:tr>
      <w:tr w:rsidRPr="003623A8" w:rsidR="00517DB6" w:rsidTr="00517DB6">
        <w:tc>
          <w:tcPr>
            <w:tcW w:w="6379" w:type="dxa"/>
            <w:shd w:val="pct20" w:color="auto" w:fill="auto"/>
          </w:tcPr>
          <w:p w:rsidRPr="003623A8" w:rsidR="00517DB6" w:rsidP="008A3E27" w:rsidRDefault="00517DB6">
            <w:pPr>
              <w:pStyle w:val="Standaardklein"/>
              <w:rPr>
                <w:b/>
              </w:rPr>
            </w:pPr>
            <w:r w:rsidRPr="003623A8">
              <w:rPr>
                <w:b/>
              </w:rPr>
              <w:t xml:space="preserve">Ministerie van </w:t>
            </w:r>
            <w:r>
              <w:rPr>
                <w:b/>
              </w:rPr>
              <w:t>Infrastructuur en Milieu</w:t>
            </w:r>
          </w:p>
        </w:tc>
        <w:tc>
          <w:tcPr>
            <w:tcW w:w="3261" w:type="dxa"/>
            <w:shd w:val="pct20" w:color="auto" w:fill="auto"/>
          </w:tcPr>
          <w:p w:rsidRPr="003623A8" w:rsidR="00517DB6" w:rsidP="00C9788C" w:rsidRDefault="00517DB6">
            <w:pPr>
              <w:pStyle w:val="Standaardklein"/>
              <w:rPr>
                <w:szCs w:val="13"/>
              </w:rPr>
            </w:pPr>
          </w:p>
        </w:tc>
      </w:tr>
      <w:tr w:rsidRPr="0089475B" w:rsidR="00517DB6" w:rsidTr="00517DB6">
        <w:tc>
          <w:tcPr>
            <w:tcW w:w="6379" w:type="dxa"/>
          </w:tcPr>
          <w:p w:rsidRPr="00007F31" w:rsidR="00517DB6" w:rsidP="00007F31" w:rsidRDefault="00517DB6">
            <w:pPr>
              <w:pStyle w:val="Standaardklein"/>
              <w:rPr>
                <w:b/>
              </w:rPr>
            </w:pPr>
            <w:r w:rsidRPr="00007F31">
              <w:rPr>
                <w:b/>
              </w:rPr>
              <w:t>Stichting Samenwerkingsverband van Bronhouders - Basisregistratie Grootschalige Topografie (2013)</w:t>
            </w:r>
          </w:p>
          <w:p w:rsidRPr="00F60682" w:rsidR="00517DB6" w:rsidP="00B40E1F" w:rsidRDefault="00517DB6">
            <w:pPr>
              <w:pStyle w:val="Standaardklein"/>
              <w:spacing w:after="120"/>
            </w:pPr>
            <w:r w:rsidRPr="00833E59">
              <w:t xml:space="preserve">Doen oprichten van de stichting Samenwerkingsverband van Bronhouders – Basisregistraties Grootschalige Topografie (SVB-BGT). De stichting bevordert en ondersteunt de samenwerking tussen bronhouders van </w:t>
            </w:r>
            <w:proofErr w:type="spellStart"/>
            <w:r w:rsidRPr="00833E59">
              <w:t>geo</w:t>
            </w:r>
            <w:proofErr w:type="spellEnd"/>
            <w:r w:rsidRPr="00833E59">
              <w:t xml:space="preserve">-informatie. </w:t>
            </w:r>
          </w:p>
        </w:tc>
        <w:tc>
          <w:tcPr>
            <w:tcW w:w="3261" w:type="dxa"/>
          </w:tcPr>
          <w:p w:rsidR="00517DB6" w:rsidP="00007F31" w:rsidRDefault="00517DB6">
            <w:pPr>
              <w:pStyle w:val="Standaardklein"/>
            </w:pPr>
            <w:r w:rsidRPr="00D1342D">
              <w:t>Oprichting privaatrechtelijke rechtspersoon</w:t>
            </w:r>
          </w:p>
        </w:tc>
      </w:tr>
      <w:tr w:rsidRPr="003623A8" w:rsidR="00517DB6" w:rsidTr="00517DB6">
        <w:tc>
          <w:tcPr>
            <w:tcW w:w="6379" w:type="dxa"/>
            <w:shd w:val="pct20" w:color="auto" w:fill="auto"/>
          </w:tcPr>
          <w:p w:rsidRPr="003623A8" w:rsidR="00517DB6" w:rsidP="008A3E27" w:rsidRDefault="00517DB6">
            <w:pPr>
              <w:pStyle w:val="Standaardklein"/>
              <w:rPr>
                <w:b/>
              </w:rPr>
            </w:pPr>
            <w:r w:rsidRPr="003623A8">
              <w:rPr>
                <w:b/>
              </w:rPr>
              <w:t xml:space="preserve">Ministerie van </w:t>
            </w:r>
            <w:r>
              <w:rPr>
                <w:b/>
              </w:rPr>
              <w:t>Onderwijs, Cultuur en Wetenschap</w:t>
            </w:r>
          </w:p>
        </w:tc>
        <w:tc>
          <w:tcPr>
            <w:tcW w:w="3261" w:type="dxa"/>
            <w:shd w:val="pct20" w:color="auto" w:fill="auto"/>
          </w:tcPr>
          <w:p w:rsidRPr="003623A8" w:rsidR="00517DB6" w:rsidP="00C9788C" w:rsidRDefault="00517DB6">
            <w:pPr>
              <w:pStyle w:val="Standaardklein"/>
              <w:rPr>
                <w:szCs w:val="13"/>
              </w:rPr>
            </w:pPr>
          </w:p>
        </w:tc>
      </w:tr>
      <w:tr w:rsidRPr="0089475B" w:rsidR="00517DB6" w:rsidTr="00517DB6">
        <w:tc>
          <w:tcPr>
            <w:tcW w:w="6379" w:type="dxa"/>
          </w:tcPr>
          <w:p w:rsidRPr="00007F31" w:rsidR="00517DB6" w:rsidP="00007F31" w:rsidRDefault="00517DB6">
            <w:pPr>
              <w:pStyle w:val="Standaardklein"/>
              <w:rPr>
                <w:b/>
              </w:rPr>
            </w:pPr>
            <w:r w:rsidRPr="00007F31">
              <w:rPr>
                <w:b/>
              </w:rPr>
              <w:t>Wet passend onderwijs (2011)</w:t>
            </w:r>
          </w:p>
          <w:p w:rsidRPr="00F60682" w:rsidR="00517DB6" w:rsidP="00B40E1F" w:rsidRDefault="00517DB6">
            <w:pPr>
              <w:pStyle w:val="Standaardklein"/>
              <w:spacing w:after="120"/>
            </w:pPr>
            <w:r w:rsidRPr="00833E59">
              <w:t>De wet verplicht o.a. bevoegde gezagsorganen in het primair en voortgezet onderwijs om samenwerkingsverbanden passend onderwijs (stichtingen of verenigingen) te gaan vormen.</w:t>
            </w:r>
          </w:p>
        </w:tc>
        <w:tc>
          <w:tcPr>
            <w:tcW w:w="3261" w:type="dxa"/>
          </w:tcPr>
          <w:p w:rsidRPr="0089475B" w:rsidR="00517DB6" w:rsidP="00007F31" w:rsidRDefault="00517DB6">
            <w:pPr>
              <w:pStyle w:val="Standaardklein"/>
            </w:pPr>
            <w:r>
              <w:t xml:space="preserve">Regelgeving met gevolgen </w:t>
            </w:r>
            <w:r w:rsidRPr="00D1342D">
              <w:t>bevoegdheden AR</w:t>
            </w:r>
          </w:p>
        </w:tc>
      </w:tr>
      <w:tr w:rsidRPr="0089475B" w:rsidR="00517DB6" w:rsidTr="00517DB6">
        <w:tc>
          <w:tcPr>
            <w:tcW w:w="6379" w:type="dxa"/>
          </w:tcPr>
          <w:p w:rsidRPr="00007F31" w:rsidR="00517DB6" w:rsidP="00007F31" w:rsidRDefault="00517DB6">
            <w:pPr>
              <w:pStyle w:val="Standaardklein"/>
              <w:rPr>
                <w:b/>
                <w:u w:val="single"/>
              </w:rPr>
            </w:pPr>
            <w:r w:rsidRPr="00007F31">
              <w:rPr>
                <w:b/>
              </w:rPr>
              <w:t>Wijziging van de Wet Subsidiering Onderwijsondersteunende Activiteiten 2013 (2012)</w:t>
            </w:r>
          </w:p>
          <w:p w:rsidRPr="00F60682" w:rsidR="00517DB6" w:rsidP="00B40E1F" w:rsidRDefault="00517DB6">
            <w:pPr>
              <w:pStyle w:val="Standaardklein"/>
              <w:spacing w:after="120"/>
            </w:pPr>
            <w:r w:rsidRPr="00833E59">
              <w:t>De wet voorziet o.a. in het wettelijk verankeren van de taken van de Stichting Leerplanontwikkeling (SLO) en de Stichting Cito Instituut voor Toetsontwikkeling (Stichting Cito).</w:t>
            </w:r>
          </w:p>
        </w:tc>
        <w:tc>
          <w:tcPr>
            <w:tcW w:w="3261" w:type="dxa"/>
          </w:tcPr>
          <w:p w:rsidRPr="0089475B" w:rsidR="00517DB6" w:rsidP="00007F31" w:rsidRDefault="00517DB6">
            <w:pPr>
              <w:pStyle w:val="Standaardklein"/>
            </w:pPr>
            <w:r>
              <w:t xml:space="preserve">Regelgeving met gevolgen </w:t>
            </w:r>
            <w:r w:rsidRPr="00D1342D">
              <w:t>bevoegdheden AR</w:t>
            </w:r>
          </w:p>
        </w:tc>
      </w:tr>
      <w:tr w:rsidRPr="0089475B" w:rsidR="00517DB6" w:rsidTr="00517DB6">
        <w:tc>
          <w:tcPr>
            <w:tcW w:w="6379" w:type="dxa"/>
          </w:tcPr>
          <w:p w:rsidRPr="00007F31" w:rsidR="00517DB6" w:rsidP="00007F31" w:rsidRDefault="00517DB6">
            <w:pPr>
              <w:pStyle w:val="Standaardklein"/>
              <w:rPr>
                <w:b/>
              </w:rPr>
            </w:pPr>
            <w:r w:rsidRPr="00007F31">
              <w:rPr>
                <w:b/>
              </w:rPr>
              <w:t>Wijziging van onder meer de Wet educatie en beroepsonderwijs inzake overgang van de wettelijke taken van kenniscentra beroepsonderwijs bedrijfsleven naar de Samenwerkingsorganisatie beroepsonderwijs bedrijfsleven (2014)</w:t>
            </w:r>
          </w:p>
          <w:p w:rsidRPr="00F60682" w:rsidR="00517DB6" w:rsidP="00B40E1F" w:rsidRDefault="00517DB6">
            <w:pPr>
              <w:pStyle w:val="Standaardklein"/>
              <w:spacing w:after="120"/>
            </w:pPr>
            <w:r w:rsidRPr="00833E59">
              <w:t>De wet regelt de bevoegdheid voor de minister van OCW om een rechtspersoon aan te wijzen als Samenwerkingsorganisatie beroepsonderwijs bedrijfsleven, die de wettelijke taken met betrekking tot de afstemming tussen het beroepsonderwijs en het bedrijfsleven overneemt van de huidige 17 kenniscentra beroepsonderwijs bedrijfsleven. Deze rechtspersoon wordt de</w:t>
            </w:r>
            <w:r>
              <w:t xml:space="preserve"> Stichting</w:t>
            </w:r>
            <w:r w:rsidRPr="00833E59">
              <w:t xml:space="preserve"> Samenwerking Beroepsonderwijs Bedrijfsleven (Stichting SBB).</w:t>
            </w:r>
          </w:p>
        </w:tc>
        <w:tc>
          <w:tcPr>
            <w:tcW w:w="3261" w:type="dxa"/>
          </w:tcPr>
          <w:p w:rsidRPr="0089475B" w:rsidR="00517DB6" w:rsidP="00007F31" w:rsidRDefault="00517DB6">
            <w:pPr>
              <w:pStyle w:val="Standaardklein"/>
            </w:pPr>
            <w:r>
              <w:t xml:space="preserve">Regelgeving met gevolgen </w:t>
            </w:r>
            <w:r w:rsidRPr="00D1342D">
              <w:t>bevoegdheden AR</w:t>
            </w:r>
          </w:p>
        </w:tc>
      </w:tr>
      <w:tr w:rsidRPr="0089475B" w:rsidR="00517DB6" w:rsidTr="00517DB6">
        <w:tc>
          <w:tcPr>
            <w:tcW w:w="6379" w:type="dxa"/>
          </w:tcPr>
          <w:p w:rsidRPr="00C443E2" w:rsidR="00517DB6" w:rsidP="00007F31" w:rsidRDefault="00517DB6">
            <w:pPr>
              <w:pStyle w:val="Standaardklein"/>
            </w:pPr>
            <w:r w:rsidRPr="00007F31">
              <w:rPr>
                <w:b/>
              </w:rPr>
              <w:t>Erfgoedwet  (2014)</w:t>
            </w:r>
            <w:r w:rsidRPr="00C443E2">
              <w:t xml:space="preserve"> - </w:t>
            </w:r>
            <w:r w:rsidRPr="00833E59">
              <w:rPr>
                <w:i/>
              </w:rPr>
              <w:t>wetsvoorstel in behandeling bij Eerste Kamer</w:t>
            </w:r>
          </w:p>
          <w:p w:rsidRPr="00FC7C11" w:rsidR="00517DB6" w:rsidP="00B40E1F" w:rsidRDefault="00517DB6">
            <w:pPr>
              <w:pStyle w:val="Standaardklein"/>
              <w:spacing w:after="120"/>
              <w:rPr>
                <w:spacing w:val="5"/>
              </w:rPr>
            </w:pPr>
            <w:r w:rsidRPr="00833E59">
              <w:rPr>
                <w:spacing w:val="5"/>
              </w:rPr>
              <w:t>Met dit wetsvoorstel worden verschillende bestaande wettelijke regelingen betreffende het behoud en beheer van het Nederlandse erfgoed geïntegreerd. Het voorstel regelt o.a. de grondslag om (museale) instellingen met de zorg voor het beheer van collecties te belasten en vervangt het vergunningstelsel voor het verrichten van archeologische opgravingen door een stelsel van wettelijk geregelde certificering.</w:t>
            </w:r>
          </w:p>
        </w:tc>
        <w:tc>
          <w:tcPr>
            <w:tcW w:w="3261" w:type="dxa"/>
          </w:tcPr>
          <w:p w:rsidRPr="0089475B" w:rsidR="00517DB6" w:rsidP="00007F31" w:rsidRDefault="00517DB6">
            <w:pPr>
              <w:pStyle w:val="Standaardklein"/>
            </w:pPr>
            <w:r>
              <w:t xml:space="preserve">Regelgeving met gevolgen </w:t>
            </w:r>
            <w:r w:rsidRPr="00D1342D">
              <w:t>bevoegdheden AR</w:t>
            </w:r>
          </w:p>
        </w:tc>
      </w:tr>
    </w:tbl>
    <w:p w:rsidR="006F0277" w:rsidRDefault="006F0277">
      <w:r>
        <w:br w:type="page"/>
      </w:r>
    </w:p>
    <w:p w:rsidR="006F0277" w:rsidRDefault="006F0277"/>
    <w:p w:rsidR="006F0277" w:rsidRDefault="006F0277"/>
    <w:tbl>
      <w:tblPr>
        <w:tblStyle w:val="Tabelraster"/>
        <w:tblW w:w="9640" w:type="dxa"/>
        <w:tblInd w:w="-34" w:type="dxa"/>
        <w:tblLayout w:type="fixed"/>
        <w:tblLook w:val="01E0" w:firstRow="1" w:lastRow="1" w:firstColumn="1" w:lastColumn="1" w:noHBand="0" w:noVBand="0"/>
      </w:tblPr>
      <w:tblGrid>
        <w:gridCol w:w="6379"/>
        <w:gridCol w:w="3261"/>
      </w:tblGrid>
      <w:tr w:rsidRPr="003623A8" w:rsidR="00303632" w:rsidTr="001F4E74">
        <w:tc>
          <w:tcPr>
            <w:tcW w:w="6379" w:type="dxa"/>
            <w:shd w:val="pct20" w:color="auto" w:fill="auto"/>
          </w:tcPr>
          <w:p w:rsidRPr="003623A8" w:rsidR="00303632" w:rsidP="001F4E74" w:rsidRDefault="00303632">
            <w:pPr>
              <w:pStyle w:val="Standaardklein"/>
              <w:rPr>
                <w:b/>
              </w:rPr>
            </w:pPr>
            <w:r w:rsidRPr="003623A8">
              <w:rPr>
                <w:b/>
              </w:rPr>
              <w:t xml:space="preserve">Ministerie van </w:t>
            </w:r>
            <w:r>
              <w:rPr>
                <w:b/>
              </w:rPr>
              <w:t>Onderwijs, Cultuur en Wetenschap</w:t>
            </w:r>
          </w:p>
        </w:tc>
        <w:tc>
          <w:tcPr>
            <w:tcW w:w="3261" w:type="dxa"/>
            <w:shd w:val="pct20" w:color="auto" w:fill="auto"/>
          </w:tcPr>
          <w:p w:rsidRPr="003623A8" w:rsidR="00303632" w:rsidP="001F4E74" w:rsidRDefault="00303632">
            <w:pPr>
              <w:pStyle w:val="Standaardklein"/>
              <w:rPr>
                <w:szCs w:val="13"/>
              </w:rPr>
            </w:pPr>
          </w:p>
        </w:tc>
      </w:tr>
      <w:tr w:rsidRPr="0089475B" w:rsidR="00517DB6" w:rsidTr="00517DB6">
        <w:tc>
          <w:tcPr>
            <w:tcW w:w="6379" w:type="dxa"/>
          </w:tcPr>
          <w:p w:rsidRPr="004919CF" w:rsidR="00517DB6" w:rsidP="00007F31" w:rsidRDefault="00517DB6">
            <w:pPr>
              <w:pStyle w:val="Standaardklein"/>
            </w:pPr>
            <w:r w:rsidRPr="00007F31">
              <w:rPr>
                <w:b/>
              </w:rPr>
              <w:t>Wet tot wijziging van de Mediawet 2008 in verband met het toekomstbestendig maken van de publieke mediadienst (</w:t>
            </w:r>
            <w:r w:rsidRPr="00BD79F3">
              <w:rPr>
                <w:b/>
              </w:rPr>
              <w:t xml:space="preserve">2015) </w:t>
            </w:r>
            <w:r w:rsidRPr="00BD79F3">
              <w:t>-</w:t>
            </w:r>
            <w:r w:rsidRPr="00BD79F3">
              <w:rPr>
                <w:i/>
              </w:rPr>
              <w:t xml:space="preserve"> wetsvoorstel</w:t>
            </w:r>
            <w:r w:rsidRPr="004919CF">
              <w:rPr>
                <w:i/>
              </w:rPr>
              <w:t xml:space="preserve"> in behandeling</w:t>
            </w:r>
            <w:r>
              <w:rPr>
                <w:i/>
              </w:rPr>
              <w:t xml:space="preserve"> bij</w:t>
            </w:r>
            <w:r w:rsidRPr="004919CF">
              <w:rPr>
                <w:i/>
              </w:rPr>
              <w:t xml:space="preserve"> Tweede Kamer</w:t>
            </w:r>
          </w:p>
          <w:p w:rsidRPr="00671FEF" w:rsidR="00517DB6" w:rsidP="00B40E1F" w:rsidRDefault="00517DB6">
            <w:pPr>
              <w:pStyle w:val="Standaardklein"/>
              <w:spacing w:after="120"/>
            </w:pPr>
            <w:r w:rsidRPr="00997D22">
              <w:t xml:space="preserve">Dit wetsvoorstel beoogt modernisering van het publieke mediabestel. Hiertoe wijzigt o.a. de rol van de Stichting Nederlandse Publieke Omroep (NPO) </w:t>
            </w:r>
            <w:r>
              <w:t xml:space="preserve">van </w:t>
            </w:r>
            <w:r w:rsidRPr="00997D22">
              <w:t xml:space="preserve">een coördinerende naar een regierol. Ook wordt de Stichting Regionale Publieke Omroep aangewezen als samenwerkings- en coördinatieorgaan voor de regionale omroepen. </w:t>
            </w:r>
          </w:p>
        </w:tc>
        <w:tc>
          <w:tcPr>
            <w:tcW w:w="3261" w:type="dxa"/>
          </w:tcPr>
          <w:p w:rsidRPr="0089475B" w:rsidR="00517DB6" w:rsidP="00007F31" w:rsidRDefault="00517DB6">
            <w:pPr>
              <w:pStyle w:val="Standaardklein"/>
            </w:pPr>
            <w:r>
              <w:t xml:space="preserve">Regelgeving met gevolgen </w:t>
            </w:r>
            <w:r w:rsidRPr="00D1342D">
              <w:t>bevoegdheden AR</w:t>
            </w:r>
          </w:p>
        </w:tc>
      </w:tr>
      <w:tr w:rsidRPr="003623A8" w:rsidR="00517DB6" w:rsidTr="00517DB6">
        <w:tc>
          <w:tcPr>
            <w:tcW w:w="6379" w:type="dxa"/>
            <w:shd w:val="pct20" w:color="auto" w:fill="auto"/>
          </w:tcPr>
          <w:p w:rsidRPr="003623A8" w:rsidR="00517DB6" w:rsidP="008A3E27" w:rsidRDefault="00517DB6">
            <w:pPr>
              <w:pStyle w:val="Standaardklein"/>
              <w:rPr>
                <w:b/>
              </w:rPr>
            </w:pPr>
            <w:r w:rsidRPr="003623A8">
              <w:rPr>
                <w:b/>
              </w:rPr>
              <w:t xml:space="preserve">Ministerie van </w:t>
            </w:r>
            <w:r>
              <w:rPr>
                <w:b/>
              </w:rPr>
              <w:t xml:space="preserve">Sociale Zaken en Werkgelegenheid </w:t>
            </w:r>
          </w:p>
        </w:tc>
        <w:tc>
          <w:tcPr>
            <w:tcW w:w="3261" w:type="dxa"/>
            <w:shd w:val="pct20" w:color="auto" w:fill="auto"/>
          </w:tcPr>
          <w:p w:rsidRPr="003623A8" w:rsidR="00517DB6" w:rsidP="00C9788C" w:rsidRDefault="00517DB6">
            <w:pPr>
              <w:pStyle w:val="Standaardklein"/>
              <w:rPr>
                <w:szCs w:val="13"/>
              </w:rPr>
            </w:pPr>
          </w:p>
        </w:tc>
      </w:tr>
      <w:tr w:rsidRPr="0089475B" w:rsidR="00517DB6" w:rsidTr="00517DB6">
        <w:tc>
          <w:tcPr>
            <w:tcW w:w="6379" w:type="dxa"/>
          </w:tcPr>
          <w:p w:rsidRPr="00007F31" w:rsidR="00517DB6" w:rsidP="00007F31" w:rsidRDefault="00517DB6">
            <w:pPr>
              <w:pStyle w:val="Standaardklein"/>
              <w:rPr>
                <w:b/>
              </w:rPr>
            </w:pPr>
            <w:r w:rsidRPr="00007F31">
              <w:rPr>
                <w:b/>
              </w:rPr>
              <w:t>Stichting Certificering Opleiding Ondernemingsraden (2013)</w:t>
            </w:r>
          </w:p>
          <w:p w:rsidRPr="00F60682" w:rsidR="00517DB6" w:rsidP="00B40E1F" w:rsidRDefault="00517DB6">
            <w:pPr>
              <w:pStyle w:val="Standaardklein"/>
              <w:spacing w:after="120"/>
            </w:pPr>
            <w:r w:rsidRPr="00997D22">
              <w:t>Oprichting van de Stichting Certificering Opleiding Ondernemingsraden (SCOOR) door de Sociaal Economische Raad (SER).</w:t>
            </w:r>
          </w:p>
        </w:tc>
        <w:tc>
          <w:tcPr>
            <w:tcW w:w="3261" w:type="dxa"/>
          </w:tcPr>
          <w:p w:rsidR="00517DB6" w:rsidP="00007F31" w:rsidRDefault="00517DB6">
            <w:pPr>
              <w:pStyle w:val="Standaardklein"/>
            </w:pPr>
            <w:r w:rsidRPr="00D1342D">
              <w:t>Oprichting privaatrechtelijke rechtspersoon</w:t>
            </w:r>
          </w:p>
        </w:tc>
      </w:tr>
      <w:tr w:rsidRPr="003623A8" w:rsidR="00517DB6" w:rsidTr="00517DB6">
        <w:tc>
          <w:tcPr>
            <w:tcW w:w="6379" w:type="dxa"/>
            <w:shd w:val="pct20" w:color="auto" w:fill="auto"/>
          </w:tcPr>
          <w:p w:rsidRPr="003623A8" w:rsidR="00517DB6" w:rsidP="008A3E27" w:rsidRDefault="00517DB6">
            <w:pPr>
              <w:pStyle w:val="Standaardklein"/>
              <w:rPr>
                <w:b/>
              </w:rPr>
            </w:pPr>
            <w:r w:rsidRPr="003623A8">
              <w:rPr>
                <w:b/>
              </w:rPr>
              <w:t xml:space="preserve">Ministerie van </w:t>
            </w:r>
            <w:r>
              <w:rPr>
                <w:b/>
              </w:rPr>
              <w:t>Veiligheid en Justitie</w:t>
            </w:r>
          </w:p>
        </w:tc>
        <w:tc>
          <w:tcPr>
            <w:tcW w:w="3261" w:type="dxa"/>
            <w:shd w:val="pct20" w:color="auto" w:fill="auto"/>
          </w:tcPr>
          <w:p w:rsidRPr="003623A8" w:rsidR="00517DB6" w:rsidP="00C9788C" w:rsidRDefault="00517DB6">
            <w:pPr>
              <w:pStyle w:val="Standaardklein"/>
              <w:rPr>
                <w:szCs w:val="13"/>
              </w:rPr>
            </w:pPr>
          </w:p>
        </w:tc>
      </w:tr>
      <w:tr w:rsidRPr="00245E57" w:rsidR="00517DB6" w:rsidTr="00517DB6">
        <w:tc>
          <w:tcPr>
            <w:tcW w:w="6379" w:type="dxa"/>
          </w:tcPr>
          <w:p w:rsidRPr="00007F31" w:rsidR="00517DB6" w:rsidP="00B40E1F" w:rsidRDefault="00517DB6">
            <w:pPr>
              <w:pStyle w:val="Standaardklein"/>
              <w:spacing w:after="120"/>
              <w:rPr>
                <w:b/>
              </w:rPr>
            </w:pPr>
            <w:r w:rsidRPr="00007F31">
              <w:rPr>
                <w:b/>
              </w:rPr>
              <w:t>Wijziging van de Wet op de Kansspelen in verband met de instelling van de kansspelautoriteit (2011)</w:t>
            </w:r>
          </w:p>
          <w:p w:rsidRPr="00C443E2" w:rsidR="00517DB6" w:rsidP="00B40E1F" w:rsidRDefault="00517DB6">
            <w:pPr>
              <w:pStyle w:val="Standaardklein"/>
              <w:spacing w:after="120"/>
            </w:pPr>
            <w:r>
              <w:t>Oprichting van de K</w:t>
            </w:r>
            <w:r w:rsidRPr="00997D22">
              <w:t>ansspelautoriteit, belast met o.a. het verstrekken, wijzigen en intrekken van vergunningen in de kansspelsector en het toezicht op de naleving en de handhaving van de wet- en regelgeving.</w:t>
            </w:r>
          </w:p>
        </w:tc>
        <w:tc>
          <w:tcPr>
            <w:tcW w:w="3261" w:type="dxa"/>
          </w:tcPr>
          <w:p w:rsidRPr="00245E57" w:rsidR="00517DB6" w:rsidP="00007F31" w:rsidRDefault="00517DB6">
            <w:pPr>
              <w:pStyle w:val="Standaardklein"/>
            </w:pPr>
            <w:r>
              <w:t xml:space="preserve">Regelgeving met gevolgen </w:t>
            </w:r>
            <w:r w:rsidRPr="00D1342D">
              <w:t>bevoegdheden AR</w:t>
            </w:r>
          </w:p>
        </w:tc>
      </w:tr>
      <w:tr w:rsidRPr="00D47945" w:rsidR="00517DB6" w:rsidTr="00517DB6">
        <w:tc>
          <w:tcPr>
            <w:tcW w:w="6379" w:type="dxa"/>
          </w:tcPr>
          <w:p w:rsidRPr="00007F31" w:rsidR="00517DB6" w:rsidP="00007F31" w:rsidRDefault="00517DB6">
            <w:pPr>
              <w:pStyle w:val="Standaardklein"/>
              <w:rPr>
                <w:b/>
              </w:rPr>
            </w:pPr>
            <w:r w:rsidRPr="00007F31">
              <w:rPr>
                <w:b/>
              </w:rPr>
              <w:t>Nota van wijziging bij het wetsvoorstel houdende vaststelling van een nieuwe Politiewet (2011)</w:t>
            </w:r>
          </w:p>
          <w:p w:rsidRPr="00C443E2" w:rsidR="00517DB6" w:rsidP="00B40E1F" w:rsidRDefault="00517DB6">
            <w:pPr>
              <w:pStyle w:val="Standaardklein"/>
              <w:spacing w:after="120"/>
            </w:pPr>
            <w:r>
              <w:t>Met de wijziging van de P</w:t>
            </w:r>
            <w:r w:rsidRPr="00997D22">
              <w:t>olitiewet is één landelijke politieorganisatie opgericht, waarin de voormalige 25 regionale politiekorpsen en de voorziening tot samenwerking Politie Nederland (</w:t>
            </w:r>
            <w:proofErr w:type="spellStart"/>
            <w:r w:rsidRPr="00997D22">
              <w:t>vtsPN</w:t>
            </w:r>
            <w:proofErr w:type="spellEnd"/>
            <w:r w:rsidRPr="00997D22">
              <w:t xml:space="preserve">) zijn opgegaan. </w:t>
            </w:r>
          </w:p>
        </w:tc>
        <w:tc>
          <w:tcPr>
            <w:tcW w:w="3261" w:type="dxa"/>
          </w:tcPr>
          <w:p w:rsidRPr="00D47945" w:rsidR="00517DB6" w:rsidP="00007F31" w:rsidRDefault="00517DB6">
            <w:pPr>
              <w:pStyle w:val="Standaardklein"/>
            </w:pPr>
            <w:r>
              <w:t xml:space="preserve">Regelgeving met gevolgen </w:t>
            </w:r>
            <w:r w:rsidRPr="00D1342D">
              <w:t>bevoegdheden AR</w:t>
            </w:r>
          </w:p>
        </w:tc>
      </w:tr>
      <w:tr w:rsidRPr="00D47945" w:rsidR="00517DB6" w:rsidTr="00517DB6">
        <w:tc>
          <w:tcPr>
            <w:tcW w:w="6379" w:type="dxa"/>
          </w:tcPr>
          <w:p w:rsidRPr="00997D22" w:rsidR="00517DB6" w:rsidP="00007F31" w:rsidRDefault="00517DB6">
            <w:pPr>
              <w:pStyle w:val="Standaardklein"/>
              <w:rPr>
                <w:i/>
              </w:rPr>
            </w:pPr>
            <w:r w:rsidRPr="00007F31">
              <w:rPr>
                <w:b/>
              </w:rPr>
              <w:t>Wet Forensische zorg (2011) –</w:t>
            </w:r>
            <w:r w:rsidRPr="00C443E2">
              <w:t xml:space="preserve"> </w:t>
            </w:r>
            <w:r w:rsidRPr="00997D22">
              <w:rPr>
                <w:i/>
              </w:rPr>
              <w:t>wetsvoorstel in behandeling bij Eerste Kamer</w:t>
            </w:r>
          </w:p>
          <w:p w:rsidRPr="00C443E2" w:rsidR="00517DB6" w:rsidP="00B40E1F" w:rsidRDefault="00517DB6">
            <w:pPr>
              <w:pStyle w:val="Standaardklein"/>
              <w:spacing w:after="120"/>
            </w:pPr>
            <w:r w:rsidRPr="00997D22">
              <w:t xml:space="preserve">Het wetsvoorstel regelt de invoering van een nieuw stelsel voor forensische zorg, o.a. door aanpassing van de sturing en financiering van het tbs-stelsel. Met de inwerkingtreding van de Wet Forensische zorg koopt de minister van V&amp;J de vereiste zorg bij particuliere tbs-instellingen in op basis van contracten. </w:t>
            </w:r>
          </w:p>
        </w:tc>
        <w:tc>
          <w:tcPr>
            <w:tcW w:w="3261" w:type="dxa"/>
          </w:tcPr>
          <w:p w:rsidRPr="00D47945" w:rsidR="00517DB6" w:rsidP="00007F31" w:rsidRDefault="00517DB6">
            <w:pPr>
              <w:pStyle w:val="Standaardklein"/>
            </w:pPr>
            <w:r>
              <w:t xml:space="preserve">Regelgeving met gevolgen </w:t>
            </w:r>
            <w:r w:rsidRPr="00D1342D">
              <w:t>bevoegdheden AR</w:t>
            </w:r>
          </w:p>
        </w:tc>
      </w:tr>
      <w:tr w:rsidRPr="00D47945" w:rsidR="00517DB6" w:rsidTr="00517DB6">
        <w:tc>
          <w:tcPr>
            <w:tcW w:w="6379" w:type="dxa"/>
          </w:tcPr>
          <w:p w:rsidRPr="00007F31" w:rsidR="00517DB6" w:rsidP="00007F31" w:rsidRDefault="00517DB6">
            <w:pPr>
              <w:pStyle w:val="Standaardklein"/>
              <w:rPr>
                <w:b/>
              </w:rPr>
            </w:pPr>
            <w:r w:rsidRPr="00007F31">
              <w:rPr>
                <w:b/>
              </w:rPr>
              <w:t>Wijziging van de Wet Veiligheidsregio’s in verband met de oprichting van het Instituut Fysieke Veiligheid (IFV) en Regionalisering brandweer (2011)</w:t>
            </w:r>
          </w:p>
          <w:p w:rsidRPr="00C443E2" w:rsidR="00517DB6" w:rsidP="00B40E1F" w:rsidRDefault="00517DB6">
            <w:pPr>
              <w:pStyle w:val="Standaardklein"/>
              <w:spacing w:after="120"/>
            </w:pPr>
            <w:r w:rsidRPr="00997D22">
              <w:t>Oprichting van het Instituut Fysieke Veiligheid (IFV). Het Nederlands instituut fysieke veiligheid (</w:t>
            </w:r>
            <w:proofErr w:type="spellStart"/>
            <w:r w:rsidRPr="00997D22">
              <w:t>Nifv</w:t>
            </w:r>
            <w:proofErr w:type="spellEnd"/>
            <w:r w:rsidRPr="00997D22">
              <w:t>) en het Nederlands bureau brandweerexamens (</w:t>
            </w:r>
            <w:proofErr w:type="spellStart"/>
            <w:r w:rsidRPr="00997D22">
              <w:t>Nbbe</w:t>
            </w:r>
            <w:proofErr w:type="spellEnd"/>
            <w:r w:rsidRPr="00997D22">
              <w:t xml:space="preserve">) – beide rechtspersonen met een wettelijke taak - zijn opgegaan in het IFV. </w:t>
            </w:r>
          </w:p>
        </w:tc>
        <w:tc>
          <w:tcPr>
            <w:tcW w:w="3261" w:type="dxa"/>
          </w:tcPr>
          <w:p w:rsidRPr="00D47945" w:rsidR="00517DB6" w:rsidP="00007F31" w:rsidRDefault="00517DB6">
            <w:pPr>
              <w:pStyle w:val="Standaardklein"/>
            </w:pPr>
            <w:r>
              <w:t xml:space="preserve">Regelgeving met gevolgen </w:t>
            </w:r>
            <w:r w:rsidRPr="00D1342D">
              <w:t>bevoegdheden AR</w:t>
            </w:r>
          </w:p>
        </w:tc>
      </w:tr>
      <w:tr w:rsidRPr="00D47945" w:rsidR="00517DB6" w:rsidTr="00517DB6">
        <w:tc>
          <w:tcPr>
            <w:tcW w:w="6379" w:type="dxa"/>
          </w:tcPr>
          <w:p w:rsidRPr="00007F31" w:rsidR="00517DB6" w:rsidP="00007F31" w:rsidRDefault="00517DB6">
            <w:pPr>
              <w:pStyle w:val="Standaardklein"/>
              <w:rPr>
                <w:b/>
                <w:color w:val="00B050"/>
              </w:rPr>
            </w:pPr>
            <w:r w:rsidRPr="00007F31">
              <w:rPr>
                <w:b/>
              </w:rPr>
              <w:t>Reparatiewet Nationale Politie (2012)</w:t>
            </w:r>
          </w:p>
          <w:p w:rsidRPr="00C443E2" w:rsidR="00517DB6" w:rsidP="00B40E1F" w:rsidRDefault="00517DB6">
            <w:pPr>
              <w:pStyle w:val="Standaardklein"/>
              <w:spacing w:after="120"/>
            </w:pPr>
            <w:r w:rsidRPr="00997D22">
              <w:t xml:space="preserve">De wet wijzigt in de Politiewet 2012 de positie van de korpschef en van de regioburgemeester. </w:t>
            </w:r>
          </w:p>
        </w:tc>
        <w:tc>
          <w:tcPr>
            <w:tcW w:w="3261" w:type="dxa"/>
          </w:tcPr>
          <w:p w:rsidRPr="00D47945" w:rsidR="00517DB6" w:rsidP="00007F31" w:rsidRDefault="00517DB6">
            <w:pPr>
              <w:pStyle w:val="Standaardklein"/>
            </w:pPr>
            <w:r>
              <w:t xml:space="preserve">Regelgeving met gevolgen </w:t>
            </w:r>
            <w:r w:rsidRPr="00D1342D">
              <w:t>bevoegdheden AR</w:t>
            </w:r>
          </w:p>
        </w:tc>
      </w:tr>
      <w:tr w:rsidRPr="00D47945" w:rsidR="00517DB6" w:rsidTr="00517DB6">
        <w:tc>
          <w:tcPr>
            <w:tcW w:w="6379" w:type="dxa"/>
          </w:tcPr>
          <w:p w:rsidRPr="00007F31" w:rsidR="00517DB6" w:rsidP="00007F31" w:rsidRDefault="00517DB6">
            <w:pPr>
              <w:pStyle w:val="Standaardklein"/>
              <w:rPr>
                <w:b/>
              </w:rPr>
            </w:pPr>
            <w:r w:rsidRPr="00007F31">
              <w:rPr>
                <w:b/>
              </w:rPr>
              <w:t>Besluit Beheer Politie en Besluit Financieel Beheer Politie (2013)</w:t>
            </w:r>
          </w:p>
          <w:p w:rsidRPr="00C443E2" w:rsidR="00517DB6" w:rsidP="00B40E1F" w:rsidRDefault="00517DB6">
            <w:pPr>
              <w:pStyle w:val="Standaardklein"/>
              <w:spacing w:after="120"/>
            </w:pPr>
            <w:r w:rsidRPr="00997D22">
              <w:t xml:space="preserve">De besluiten geven nadere uitwerking aan het (financieel) beheer van de Nationale Politie. </w:t>
            </w:r>
          </w:p>
        </w:tc>
        <w:tc>
          <w:tcPr>
            <w:tcW w:w="3261" w:type="dxa"/>
          </w:tcPr>
          <w:p w:rsidRPr="00D47945" w:rsidR="00517DB6" w:rsidP="00007F31" w:rsidRDefault="00517DB6">
            <w:pPr>
              <w:pStyle w:val="Standaardklein"/>
            </w:pPr>
            <w:r>
              <w:t xml:space="preserve">Regelgeving met gevolgen </w:t>
            </w:r>
            <w:r w:rsidRPr="00D1342D">
              <w:t>bevoegdheden AR</w:t>
            </w:r>
          </w:p>
        </w:tc>
      </w:tr>
    </w:tbl>
    <w:p w:rsidR="006F0277" w:rsidRDefault="006F0277">
      <w:r>
        <w:br w:type="page"/>
      </w:r>
    </w:p>
    <w:p w:rsidR="006F0277" w:rsidRDefault="006F0277"/>
    <w:p w:rsidR="006F0277" w:rsidRDefault="006F0277"/>
    <w:tbl>
      <w:tblPr>
        <w:tblStyle w:val="Tabelraster"/>
        <w:tblW w:w="9640" w:type="dxa"/>
        <w:tblInd w:w="-34" w:type="dxa"/>
        <w:tblLayout w:type="fixed"/>
        <w:tblLook w:val="01E0" w:firstRow="1" w:lastRow="1" w:firstColumn="1" w:lastColumn="1" w:noHBand="0" w:noVBand="0"/>
      </w:tblPr>
      <w:tblGrid>
        <w:gridCol w:w="6379"/>
        <w:gridCol w:w="3261"/>
      </w:tblGrid>
      <w:tr w:rsidRPr="003623A8" w:rsidR="00303632" w:rsidTr="001F4E74">
        <w:tc>
          <w:tcPr>
            <w:tcW w:w="6379" w:type="dxa"/>
            <w:shd w:val="pct20" w:color="auto" w:fill="auto"/>
          </w:tcPr>
          <w:p w:rsidRPr="003623A8" w:rsidR="00303632" w:rsidP="001F4E74" w:rsidRDefault="00303632">
            <w:pPr>
              <w:pStyle w:val="Standaardklein"/>
              <w:rPr>
                <w:b/>
              </w:rPr>
            </w:pPr>
            <w:r w:rsidRPr="003623A8">
              <w:rPr>
                <w:b/>
              </w:rPr>
              <w:t xml:space="preserve">Ministerie van </w:t>
            </w:r>
            <w:r>
              <w:rPr>
                <w:b/>
              </w:rPr>
              <w:t>Veiligheid en Justitie</w:t>
            </w:r>
          </w:p>
        </w:tc>
        <w:tc>
          <w:tcPr>
            <w:tcW w:w="3261" w:type="dxa"/>
            <w:shd w:val="pct20" w:color="auto" w:fill="auto"/>
          </w:tcPr>
          <w:p w:rsidRPr="003623A8" w:rsidR="00303632" w:rsidP="001F4E74" w:rsidRDefault="00303632">
            <w:pPr>
              <w:pStyle w:val="Standaardklein"/>
              <w:rPr>
                <w:szCs w:val="13"/>
              </w:rPr>
            </w:pPr>
          </w:p>
        </w:tc>
      </w:tr>
      <w:tr w:rsidRPr="00D47945" w:rsidR="00517DB6" w:rsidTr="00517DB6">
        <w:tc>
          <w:tcPr>
            <w:tcW w:w="6379" w:type="dxa"/>
          </w:tcPr>
          <w:p w:rsidRPr="00997D22" w:rsidR="00517DB6" w:rsidP="00007F31" w:rsidRDefault="00517DB6">
            <w:pPr>
              <w:pStyle w:val="Standaardklein"/>
              <w:rPr>
                <w:i/>
                <w:color w:val="00B050"/>
              </w:rPr>
            </w:pPr>
            <w:r w:rsidRPr="00007F31">
              <w:rPr>
                <w:b/>
              </w:rPr>
              <w:t>Wijziging van de Politiewet 2012 in verband met de inbedding van de Politieacademie in het nieuwe politiebestel (2014)</w:t>
            </w:r>
            <w:r w:rsidRPr="00C443E2">
              <w:t xml:space="preserve"> - </w:t>
            </w:r>
            <w:r w:rsidRPr="00997D22">
              <w:rPr>
                <w:i/>
              </w:rPr>
              <w:t>wetsvoorstel in behandeling bij Tweede Kamer</w:t>
            </w:r>
          </w:p>
          <w:p w:rsidRPr="00C443E2" w:rsidR="00517DB6" w:rsidP="00B40E1F" w:rsidRDefault="00517DB6">
            <w:pPr>
              <w:pStyle w:val="Standaardklein"/>
              <w:spacing w:after="120"/>
            </w:pPr>
            <w:r w:rsidRPr="00997D22">
              <w:t>Het wetsvoorstel voorziet in inbedding van de Politieacademie – thans een publ</w:t>
            </w:r>
            <w:r w:rsidR="00925E73">
              <w:t xml:space="preserve">iekrechtelijke rechtspersoon - </w:t>
            </w:r>
            <w:r w:rsidRPr="00997D22">
              <w:t>in het huidige politiebestel.</w:t>
            </w:r>
          </w:p>
        </w:tc>
        <w:tc>
          <w:tcPr>
            <w:tcW w:w="3261" w:type="dxa"/>
          </w:tcPr>
          <w:p w:rsidRPr="00D47945" w:rsidR="00517DB6" w:rsidP="00007F31" w:rsidRDefault="00517DB6">
            <w:pPr>
              <w:pStyle w:val="Standaardklein"/>
            </w:pPr>
            <w:r>
              <w:t xml:space="preserve">Regelgeving met gevolgen </w:t>
            </w:r>
            <w:r w:rsidRPr="00D1342D">
              <w:t>bevoegdheden AR</w:t>
            </w:r>
          </w:p>
        </w:tc>
      </w:tr>
      <w:tr w:rsidRPr="003623A8" w:rsidR="00517DB6" w:rsidTr="00517DB6">
        <w:tc>
          <w:tcPr>
            <w:tcW w:w="6379" w:type="dxa"/>
            <w:shd w:val="pct20" w:color="auto" w:fill="auto"/>
          </w:tcPr>
          <w:p w:rsidRPr="003623A8" w:rsidR="00517DB6" w:rsidP="00A16910" w:rsidRDefault="00517DB6">
            <w:pPr>
              <w:pStyle w:val="Standaardklein"/>
              <w:rPr>
                <w:b/>
              </w:rPr>
            </w:pPr>
            <w:r w:rsidRPr="003623A8">
              <w:rPr>
                <w:b/>
              </w:rPr>
              <w:t xml:space="preserve">Ministerie van </w:t>
            </w:r>
            <w:r>
              <w:rPr>
                <w:b/>
              </w:rPr>
              <w:t>Volksgezondheid, Welzijn en Sport</w:t>
            </w:r>
          </w:p>
        </w:tc>
        <w:tc>
          <w:tcPr>
            <w:tcW w:w="3261" w:type="dxa"/>
            <w:shd w:val="pct20" w:color="auto" w:fill="auto"/>
          </w:tcPr>
          <w:p w:rsidRPr="003623A8" w:rsidR="00517DB6" w:rsidP="00C9788C" w:rsidRDefault="00517DB6">
            <w:pPr>
              <w:pStyle w:val="Standaardklein"/>
              <w:rPr>
                <w:szCs w:val="13"/>
              </w:rPr>
            </w:pPr>
          </w:p>
        </w:tc>
      </w:tr>
      <w:tr w:rsidRPr="00D47945" w:rsidR="00517DB6" w:rsidTr="00517DB6">
        <w:tc>
          <w:tcPr>
            <w:tcW w:w="6379" w:type="dxa"/>
          </w:tcPr>
          <w:p w:rsidRPr="00007F31" w:rsidR="00517DB6" w:rsidP="00007F31" w:rsidRDefault="00517DB6">
            <w:pPr>
              <w:pStyle w:val="Standaardklein"/>
              <w:rPr>
                <w:b/>
              </w:rPr>
            </w:pPr>
            <w:r w:rsidRPr="00007F31">
              <w:rPr>
                <w:b/>
              </w:rPr>
              <w:t>Besloten vennootschap Nederlands Vaccin Instituut (2011)</w:t>
            </w:r>
          </w:p>
          <w:p w:rsidRPr="00C443E2" w:rsidR="00517DB6" w:rsidP="00B40E1F" w:rsidRDefault="00517DB6">
            <w:pPr>
              <w:pStyle w:val="Standaardklein"/>
              <w:spacing w:after="120"/>
            </w:pPr>
            <w:r w:rsidRPr="00997D22">
              <w:t>Oprichting van een besloten vennootschap ten behoeve van de verzelfstandiging en uiteindelijke privatisering  van een deel (van de productiefaciliteiten) van het Nederlands Vaccin Instituut (NVI).</w:t>
            </w:r>
          </w:p>
        </w:tc>
        <w:tc>
          <w:tcPr>
            <w:tcW w:w="3261" w:type="dxa"/>
          </w:tcPr>
          <w:p w:rsidR="00517DB6" w:rsidP="00007F31" w:rsidRDefault="00517DB6">
            <w:pPr>
              <w:pStyle w:val="Standaardklein"/>
            </w:pPr>
            <w:r w:rsidRPr="00D1342D">
              <w:t>Oprichting privaatrechtelijke rechtspersoon</w:t>
            </w:r>
          </w:p>
        </w:tc>
      </w:tr>
      <w:tr w:rsidRPr="00D47945" w:rsidR="00517DB6" w:rsidTr="00517DB6">
        <w:tc>
          <w:tcPr>
            <w:tcW w:w="6379" w:type="dxa"/>
          </w:tcPr>
          <w:p w:rsidRPr="00007F31" w:rsidR="00517DB6" w:rsidP="00007F31" w:rsidRDefault="00517DB6">
            <w:pPr>
              <w:pStyle w:val="Standaardklein"/>
              <w:rPr>
                <w:b/>
              </w:rPr>
            </w:pPr>
            <w:r w:rsidRPr="00007F31">
              <w:rPr>
                <w:b/>
              </w:rPr>
              <w:t>Wet Uitvoering Algemene Wet Bijzondere Ziektekosten (Wet UAV) (2011)</w:t>
            </w:r>
          </w:p>
          <w:p w:rsidRPr="00C443E2" w:rsidR="00517DB6" w:rsidP="00B40E1F" w:rsidRDefault="00517DB6">
            <w:pPr>
              <w:pStyle w:val="Standaardklein"/>
              <w:spacing w:after="120"/>
            </w:pPr>
            <w:r w:rsidRPr="00997D22">
              <w:t>De wet wijzigt de uitvoeringsstructuur van de Algemene Wet Bijzondere Ziektekosten (AWBZ), o.a. door koppeling van de uitvoering van de AWBZ aan de uitvoering van de Zorgverzekeringswet (</w:t>
            </w:r>
            <w:proofErr w:type="spellStart"/>
            <w:r w:rsidRPr="00997D22">
              <w:t>Zvw</w:t>
            </w:r>
            <w:proofErr w:type="spellEnd"/>
            <w:r w:rsidRPr="00997D22">
              <w:t xml:space="preserve">) en door afschaffing van de zorgkantoorconstructie. </w:t>
            </w:r>
          </w:p>
        </w:tc>
        <w:tc>
          <w:tcPr>
            <w:tcW w:w="3261" w:type="dxa"/>
          </w:tcPr>
          <w:p w:rsidRPr="00D47945" w:rsidR="00517DB6" w:rsidP="00007F31" w:rsidRDefault="00517DB6">
            <w:pPr>
              <w:pStyle w:val="Standaardklein"/>
            </w:pPr>
            <w:r>
              <w:t xml:space="preserve">Regelgeving met gevolgen </w:t>
            </w:r>
            <w:r w:rsidRPr="00D1342D">
              <w:t>bevoegdheden AR</w:t>
            </w:r>
          </w:p>
        </w:tc>
      </w:tr>
      <w:tr w:rsidRPr="00D47945" w:rsidR="00517DB6" w:rsidTr="00517DB6">
        <w:tc>
          <w:tcPr>
            <w:tcW w:w="6379" w:type="dxa"/>
          </w:tcPr>
          <w:p w:rsidRPr="00007F31" w:rsidR="00517DB6" w:rsidP="00007F31" w:rsidRDefault="00517DB6">
            <w:pPr>
              <w:pStyle w:val="Standaardklein"/>
              <w:rPr>
                <w:b/>
              </w:rPr>
            </w:pPr>
            <w:r w:rsidRPr="00007F31">
              <w:rPr>
                <w:b/>
              </w:rPr>
              <w:t>Stichting Antonie van Leeuwenhoekterrein (2012)</w:t>
            </w:r>
          </w:p>
          <w:p w:rsidRPr="00C443E2" w:rsidR="00517DB6" w:rsidP="00B40E1F" w:rsidRDefault="00517DB6">
            <w:pPr>
              <w:pStyle w:val="Standaardklein"/>
              <w:spacing w:after="120"/>
            </w:pPr>
            <w:r w:rsidRPr="00FC7C11">
              <w:t xml:space="preserve">Oprichting van de Stichting Antonie van Leeuwenhoekterrein. De stichting beheert de omgevingsvergunning voor de partijen op het Antonie van Leeuwenhoekterrein in </w:t>
            </w:r>
            <w:proofErr w:type="spellStart"/>
            <w:r w:rsidRPr="00FC7C11">
              <w:t>Bilthoven</w:t>
            </w:r>
            <w:proofErr w:type="spellEnd"/>
            <w:r w:rsidRPr="00FC7C11">
              <w:t xml:space="preserve">, waaronder het RIVM. </w:t>
            </w:r>
          </w:p>
        </w:tc>
        <w:tc>
          <w:tcPr>
            <w:tcW w:w="3261" w:type="dxa"/>
          </w:tcPr>
          <w:p w:rsidR="00517DB6" w:rsidP="00007F31" w:rsidRDefault="00517DB6">
            <w:pPr>
              <w:pStyle w:val="Standaardklein"/>
            </w:pPr>
            <w:r w:rsidRPr="00D1342D">
              <w:t>Oprichting privaatrechtelijke rechtspersoon</w:t>
            </w:r>
          </w:p>
        </w:tc>
      </w:tr>
      <w:tr w:rsidRPr="00D47945" w:rsidR="00517DB6" w:rsidTr="00517DB6">
        <w:tc>
          <w:tcPr>
            <w:tcW w:w="6379" w:type="dxa"/>
          </w:tcPr>
          <w:p w:rsidRPr="00007F31" w:rsidR="00517DB6" w:rsidP="00007F31" w:rsidRDefault="00517DB6">
            <w:pPr>
              <w:pStyle w:val="Standaardklein"/>
              <w:rPr>
                <w:b/>
              </w:rPr>
            </w:pPr>
            <w:proofErr w:type="spellStart"/>
            <w:r w:rsidRPr="00007F31">
              <w:rPr>
                <w:b/>
              </w:rPr>
              <w:t>Jeugdwet</w:t>
            </w:r>
            <w:proofErr w:type="spellEnd"/>
            <w:r w:rsidRPr="00007F31">
              <w:rPr>
                <w:b/>
              </w:rPr>
              <w:t xml:space="preserve"> (2013)</w:t>
            </w:r>
          </w:p>
          <w:p w:rsidRPr="00C443E2" w:rsidR="00517DB6" w:rsidP="00925E73" w:rsidRDefault="00517DB6">
            <w:pPr>
              <w:pStyle w:val="Standaardklein"/>
              <w:spacing w:after="120"/>
            </w:pPr>
            <w:r w:rsidRPr="00FC7C11">
              <w:t xml:space="preserve">Met de </w:t>
            </w:r>
            <w:proofErr w:type="spellStart"/>
            <w:r w:rsidRPr="00FC7C11">
              <w:t>Jeugdwet</w:t>
            </w:r>
            <w:proofErr w:type="spellEnd"/>
            <w:r w:rsidRPr="00FC7C11">
              <w:t xml:space="preserve"> is met ingang van 2015 de bestuurlijke en financiële verantwoordelijkheid voor de jeugdhulp vrijwel volledig bij gemeenten komen te liggen. </w:t>
            </w:r>
          </w:p>
        </w:tc>
        <w:tc>
          <w:tcPr>
            <w:tcW w:w="3261" w:type="dxa"/>
          </w:tcPr>
          <w:p w:rsidRPr="00D47945" w:rsidR="00517DB6" w:rsidP="00007F31" w:rsidRDefault="00517DB6">
            <w:pPr>
              <w:pStyle w:val="Standaardklein"/>
            </w:pPr>
            <w:r>
              <w:t xml:space="preserve">Regelgeving met gevolgen </w:t>
            </w:r>
            <w:r w:rsidRPr="00D1342D">
              <w:t>bevoegdheden AR</w:t>
            </w:r>
          </w:p>
        </w:tc>
      </w:tr>
      <w:tr w:rsidRPr="00D47945" w:rsidR="00517DB6" w:rsidTr="00517DB6">
        <w:tc>
          <w:tcPr>
            <w:tcW w:w="6379" w:type="dxa"/>
          </w:tcPr>
          <w:p w:rsidRPr="00007F31" w:rsidR="00517DB6" w:rsidP="00007F31" w:rsidRDefault="00517DB6">
            <w:pPr>
              <w:pStyle w:val="Standaardklein"/>
              <w:rPr>
                <w:b/>
              </w:rPr>
            </w:pPr>
            <w:r w:rsidRPr="00007F31">
              <w:rPr>
                <w:b/>
              </w:rPr>
              <w:t>Stichting Q-support (2013)</w:t>
            </w:r>
          </w:p>
          <w:p w:rsidRPr="00C443E2" w:rsidR="00517DB6" w:rsidP="00925E73" w:rsidRDefault="00517DB6">
            <w:pPr>
              <w:pStyle w:val="Standaardklein"/>
              <w:spacing w:after="120"/>
            </w:pPr>
            <w:r w:rsidRPr="00FC7C11">
              <w:t xml:space="preserve">Oprichting van de Stichting Q-support, belast met de feitelijke uitvoering van hulpverlening aan patiënten met chronische Q-koorts en het Q-koorts vermoeidheidssyndroom. </w:t>
            </w:r>
          </w:p>
        </w:tc>
        <w:tc>
          <w:tcPr>
            <w:tcW w:w="3261" w:type="dxa"/>
          </w:tcPr>
          <w:p w:rsidR="00517DB6" w:rsidP="00007F31" w:rsidRDefault="00517DB6">
            <w:pPr>
              <w:pStyle w:val="Standaardklein"/>
            </w:pPr>
            <w:r w:rsidRPr="00D1342D">
              <w:t>Oprichting privaatrechtelijke rechtspersoon</w:t>
            </w:r>
          </w:p>
        </w:tc>
      </w:tr>
      <w:tr w:rsidRPr="00D47945" w:rsidR="00517DB6" w:rsidTr="00517DB6">
        <w:tc>
          <w:tcPr>
            <w:tcW w:w="6379" w:type="dxa"/>
          </w:tcPr>
          <w:p w:rsidRPr="00007F31" w:rsidR="00517DB6" w:rsidP="00007F31" w:rsidRDefault="00517DB6">
            <w:pPr>
              <w:pStyle w:val="Standaardklein"/>
              <w:rPr>
                <w:b/>
              </w:rPr>
            </w:pPr>
            <w:r w:rsidRPr="00007F31">
              <w:rPr>
                <w:b/>
              </w:rPr>
              <w:t>Stichting Kwaliteitsregister Jeugd (2013)</w:t>
            </w:r>
          </w:p>
          <w:p w:rsidRPr="00C443E2" w:rsidR="00517DB6" w:rsidP="00925E73" w:rsidRDefault="00517DB6">
            <w:pPr>
              <w:pStyle w:val="Standaardklein"/>
              <w:spacing w:after="120"/>
            </w:pPr>
            <w:r w:rsidRPr="00FC7C11">
              <w:t xml:space="preserve">De wijziging van het Uitvoeringsbesluit Wet op de Jeugdzorg (AMvB professionalisering) bevat een erkenningsregeling voor een kwaliteitsregister voor jeugdzorgpersoneel. De Stichting Kwaliteitsregister Jeugd beheert het register. De Staat heeft de stichting doen oprichten. </w:t>
            </w:r>
          </w:p>
        </w:tc>
        <w:tc>
          <w:tcPr>
            <w:tcW w:w="3261" w:type="dxa"/>
          </w:tcPr>
          <w:p w:rsidR="00517DB6" w:rsidP="00007F31" w:rsidRDefault="00517DB6">
            <w:pPr>
              <w:pStyle w:val="Standaardklein"/>
            </w:pPr>
            <w:r w:rsidRPr="00D1342D">
              <w:t>Oprichting privaatrechtelijke rechtspersoon</w:t>
            </w:r>
          </w:p>
        </w:tc>
      </w:tr>
      <w:tr w:rsidRPr="00D47945" w:rsidR="00517DB6" w:rsidTr="00517DB6">
        <w:tc>
          <w:tcPr>
            <w:tcW w:w="6379" w:type="dxa"/>
          </w:tcPr>
          <w:p w:rsidRPr="0001096F" w:rsidR="00517DB6" w:rsidP="0001096F" w:rsidRDefault="00517DB6">
            <w:pPr>
              <w:pStyle w:val="Standaardklein"/>
              <w:rPr>
                <w:b/>
                <w:color w:val="00B050"/>
              </w:rPr>
            </w:pPr>
            <w:r w:rsidRPr="0001096F">
              <w:rPr>
                <w:b/>
              </w:rPr>
              <w:t>Wet langdurige zorg (2014)</w:t>
            </w:r>
          </w:p>
          <w:p w:rsidRPr="00C443E2" w:rsidR="00517DB6" w:rsidP="00925E73" w:rsidRDefault="00517DB6">
            <w:pPr>
              <w:pStyle w:val="Standaardklein"/>
              <w:spacing w:after="120"/>
            </w:pPr>
            <w:r w:rsidRPr="00FC7C11">
              <w:t xml:space="preserve">De </w:t>
            </w:r>
            <w:proofErr w:type="spellStart"/>
            <w:r w:rsidRPr="00FC7C11">
              <w:t>Wlz</w:t>
            </w:r>
            <w:proofErr w:type="spellEnd"/>
            <w:r w:rsidRPr="00FC7C11">
              <w:t xml:space="preserve"> vervangt de Algemene Wet Bijzondere Ziektekosten (AWBZ). De reikwijdte van de </w:t>
            </w:r>
            <w:proofErr w:type="spellStart"/>
            <w:r w:rsidRPr="00FC7C11">
              <w:t>Wlz</w:t>
            </w:r>
            <w:proofErr w:type="spellEnd"/>
            <w:r w:rsidRPr="00FC7C11">
              <w:t xml:space="preserve"> is aanzienlijk beperkter dan de AWBZ, omdat grote delen van de AWBZ zijn overgeheveld naar de </w:t>
            </w:r>
            <w:proofErr w:type="spellStart"/>
            <w:r w:rsidRPr="00FC7C11">
              <w:t>Wmo</w:t>
            </w:r>
            <w:proofErr w:type="spellEnd"/>
            <w:r w:rsidRPr="00FC7C11">
              <w:t xml:space="preserve"> 2015 en de Zorgverzekeringswet. </w:t>
            </w:r>
          </w:p>
        </w:tc>
        <w:tc>
          <w:tcPr>
            <w:tcW w:w="3261" w:type="dxa"/>
          </w:tcPr>
          <w:p w:rsidRPr="00D47945" w:rsidR="00517DB6" w:rsidP="0001096F" w:rsidRDefault="00517DB6">
            <w:pPr>
              <w:pStyle w:val="Standaardklein"/>
            </w:pPr>
            <w:r>
              <w:t xml:space="preserve">Regelgeving met gevolgen </w:t>
            </w:r>
            <w:r w:rsidRPr="00D1342D">
              <w:t>bevoegdheden AR</w:t>
            </w:r>
          </w:p>
        </w:tc>
      </w:tr>
      <w:tr w:rsidRPr="00D47945" w:rsidR="00517DB6" w:rsidTr="00517DB6">
        <w:tc>
          <w:tcPr>
            <w:tcW w:w="6379" w:type="dxa"/>
          </w:tcPr>
          <w:p w:rsidRPr="0001096F" w:rsidR="00517DB6" w:rsidP="0001096F" w:rsidRDefault="00517DB6">
            <w:pPr>
              <w:pStyle w:val="Standaardklein"/>
              <w:rPr>
                <w:b/>
              </w:rPr>
            </w:pPr>
            <w:r w:rsidRPr="0001096F">
              <w:rPr>
                <w:b/>
              </w:rPr>
              <w:t>Wet maatschappelijke ondersteuning 2015 (2014)</w:t>
            </w:r>
          </w:p>
          <w:p w:rsidRPr="003E7F7F" w:rsidR="00517DB6" w:rsidP="00925E73" w:rsidRDefault="00517DB6">
            <w:pPr>
              <w:pStyle w:val="Standaardklein"/>
              <w:spacing w:after="120"/>
            </w:pPr>
            <w:r w:rsidRPr="00FC7C11">
              <w:t>Op basis van de Wet maatschappelijke ondersteuning 2015 (</w:t>
            </w:r>
            <w:proofErr w:type="spellStart"/>
            <w:r w:rsidRPr="00FC7C11">
              <w:t>Wmo</w:t>
            </w:r>
            <w:proofErr w:type="spellEnd"/>
            <w:r w:rsidRPr="00FC7C11">
              <w:t xml:space="preserve"> 2015) zijn gemeenten sinds 2015 verantwoordelijk voor het ondersteunen van de zelfredzaamheid en participatie van mensen met een beperking, chronische psychische of psychosociale problemen. </w:t>
            </w:r>
          </w:p>
        </w:tc>
        <w:tc>
          <w:tcPr>
            <w:tcW w:w="3261" w:type="dxa"/>
          </w:tcPr>
          <w:p w:rsidRPr="00D47945" w:rsidR="00517DB6" w:rsidP="0001096F" w:rsidRDefault="00517DB6">
            <w:pPr>
              <w:pStyle w:val="Standaardklein"/>
            </w:pPr>
            <w:r>
              <w:t xml:space="preserve">Regelgeving met gevolgen </w:t>
            </w:r>
            <w:r w:rsidRPr="00D1342D">
              <w:t>bevoegdheden AR</w:t>
            </w:r>
          </w:p>
        </w:tc>
      </w:tr>
    </w:tbl>
    <w:p w:rsidR="00303632" w:rsidRDefault="00303632">
      <w:r>
        <w:br w:type="page"/>
      </w:r>
    </w:p>
    <w:p w:rsidR="00303632" w:rsidRDefault="00303632"/>
    <w:p w:rsidR="00303632" w:rsidRDefault="00303632"/>
    <w:tbl>
      <w:tblPr>
        <w:tblStyle w:val="Tabelraster"/>
        <w:tblW w:w="9640" w:type="dxa"/>
        <w:tblInd w:w="-34" w:type="dxa"/>
        <w:tblLayout w:type="fixed"/>
        <w:tblLook w:val="01E0" w:firstRow="1" w:lastRow="1" w:firstColumn="1" w:lastColumn="1" w:noHBand="0" w:noVBand="0"/>
      </w:tblPr>
      <w:tblGrid>
        <w:gridCol w:w="6379"/>
        <w:gridCol w:w="3261"/>
      </w:tblGrid>
      <w:tr w:rsidRPr="003623A8" w:rsidR="00303632" w:rsidTr="001F4E74">
        <w:tc>
          <w:tcPr>
            <w:tcW w:w="6379" w:type="dxa"/>
            <w:shd w:val="pct20" w:color="auto" w:fill="auto"/>
          </w:tcPr>
          <w:p w:rsidRPr="003623A8" w:rsidR="00303632" w:rsidP="001F4E74" w:rsidRDefault="00303632">
            <w:pPr>
              <w:pStyle w:val="Standaardklein"/>
              <w:rPr>
                <w:b/>
              </w:rPr>
            </w:pPr>
            <w:r w:rsidRPr="003623A8">
              <w:rPr>
                <w:b/>
              </w:rPr>
              <w:t xml:space="preserve">Ministerie van </w:t>
            </w:r>
            <w:r>
              <w:rPr>
                <w:b/>
              </w:rPr>
              <w:t>Volksgezondheid, Welzijn en Sport</w:t>
            </w:r>
          </w:p>
        </w:tc>
        <w:tc>
          <w:tcPr>
            <w:tcW w:w="3261" w:type="dxa"/>
            <w:shd w:val="pct20" w:color="auto" w:fill="auto"/>
          </w:tcPr>
          <w:p w:rsidRPr="003623A8" w:rsidR="00303632" w:rsidP="001F4E74" w:rsidRDefault="00303632">
            <w:pPr>
              <w:pStyle w:val="Standaardklein"/>
              <w:rPr>
                <w:szCs w:val="13"/>
              </w:rPr>
            </w:pPr>
          </w:p>
        </w:tc>
      </w:tr>
      <w:tr w:rsidRPr="00D47945" w:rsidR="00517DB6" w:rsidTr="00517DB6">
        <w:tc>
          <w:tcPr>
            <w:tcW w:w="6379" w:type="dxa"/>
          </w:tcPr>
          <w:p w:rsidRPr="0001096F" w:rsidR="00517DB6" w:rsidP="0001096F" w:rsidRDefault="00517DB6">
            <w:pPr>
              <w:pStyle w:val="Standaardklein"/>
              <w:rPr>
                <w:b/>
                <w:color w:val="00B050"/>
              </w:rPr>
            </w:pPr>
            <w:r w:rsidRPr="0001096F">
              <w:rPr>
                <w:b/>
              </w:rPr>
              <w:t xml:space="preserve">Besluit </w:t>
            </w:r>
            <w:proofErr w:type="spellStart"/>
            <w:r w:rsidRPr="0001096F">
              <w:rPr>
                <w:b/>
              </w:rPr>
              <w:t>Jeugdwet</w:t>
            </w:r>
            <w:proofErr w:type="spellEnd"/>
            <w:r w:rsidRPr="0001096F">
              <w:rPr>
                <w:b/>
              </w:rPr>
              <w:t xml:space="preserve"> (2014)</w:t>
            </w:r>
          </w:p>
          <w:p w:rsidRPr="003E7F7F" w:rsidR="00517DB6" w:rsidP="00925E73" w:rsidRDefault="00517DB6">
            <w:pPr>
              <w:pStyle w:val="Standaardklein"/>
              <w:spacing w:after="120"/>
            </w:pPr>
            <w:r w:rsidRPr="00FC7C11">
              <w:t xml:space="preserve">In het Besluit </w:t>
            </w:r>
            <w:proofErr w:type="spellStart"/>
            <w:r w:rsidRPr="00FC7C11">
              <w:t>Jeugdwet</w:t>
            </w:r>
            <w:proofErr w:type="spellEnd"/>
            <w:r w:rsidRPr="00FC7C11">
              <w:t xml:space="preserve"> wordt een aantal elementen voor de uitvoering van de </w:t>
            </w:r>
            <w:proofErr w:type="spellStart"/>
            <w:r w:rsidRPr="00FC7C11">
              <w:t>Jeugdwet</w:t>
            </w:r>
            <w:proofErr w:type="spellEnd"/>
            <w:r w:rsidRPr="00FC7C11">
              <w:t xml:space="preserve"> nader geregeld, o.a. inning van de ouderb</w:t>
            </w:r>
            <w:bookmarkStart w:name="_GoBack" w:id="0"/>
            <w:bookmarkEnd w:id="0"/>
            <w:r w:rsidRPr="00FC7C11">
              <w:t xml:space="preserve">ijdrage door het CAK en de certificering van aanbieders van jeugdbescherming en jeugdreclassering door een certificerende instelling. </w:t>
            </w:r>
          </w:p>
        </w:tc>
        <w:tc>
          <w:tcPr>
            <w:tcW w:w="3261" w:type="dxa"/>
          </w:tcPr>
          <w:p w:rsidRPr="00D47945" w:rsidR="00517DB6" w:rsidP="0001096F" w:rsidRDefault="00517DB6">
            <w:pPr>
              <w:pStyle w:val="Standaardklein"/>
            </w:pPr>
            <w:r>
              <w:t xml:space="preserve">Regelgeving met gevolgen </w:t>
            </w:r>
            <w:r w:rsidRPr="00D1342D">
              <w:t>bevoegdheden AR</w:t>
            </w:r>
          </w:p>
        </w:tc>
      </w:tr>
      <w:tr w:rsidRPr="00D47945" w:rsidR="00517DB6" w:rsidTr="00517DB6">
        <w:tc>
          <w:tcPr>
            <w:tcW w:w="6379" w:type="dxa"/>
          </w:tcPr>
          <w:p w:rsidRPr="0001096F" w:rsidR="00517DB6" w:rsidP="0001096F" w:rsidRDefault="00517DB6">
            <w:pPr>
              <w:pStyle w:val="Standaardklein"/>
              <w:rPr>
                <w:b/>
                <w:color w:val="0070C0"/>
              </w:rPr>
            </w:pPr>
            <w:r w:rsidRPr="0001096F">
              <w:rPr>
                <w:b/>
              </w:rPr>
              <w:t>Stichting Gezond Gewicht (2014)</w:t>
            </w:r>
          </w:p>
          <w:p w:rsidRPr="003E7F7F" w:rsidR="00517DB6" w:rsidP="00925E73" w:rsidRDefault="00517DB6">
            <w:pPr>
              <w:pStyle w:val="Standaardklein"/>
              <w:spacing w:after="120"/>
            </w:pPr>
            <w:r w:rsidRPr="00FC7C11">
              <w:t xml:space="preserve">Oprichting van de Stichting Gezond Gewicht, die het werk faciliteert van alle partijen die het Convenant Gezond Gewicht (CGG) hebben ondertekend. </w:t>
            </w:r>
          </w:p>
        </w:tc>
        <w:tc>
          <w:tcPr>
            <w:tcW w:w="3261" w:type="dxa"/>
          </w:tcPr>
          <w:p w:rsidR="00517DB6" w:rsidP="0001096F" w:rsidRDefault="00517DB6">
            <w:pPr>
              <w:pStyle w:val="Standaardklein"/>
            </w:pPr>
            <w:r w:rsidRPr="00D1342D">
              <w:t>Oprichting privaatrechtelijke rechtspersoon</w:t>
            </w:r>
          </w:p>
        </w:tc>
      </w:tr>
    </w:tbl>
    <w:p w:rsidR="00FD1490" w:rsidP="00E77976" w:rsidRDefault="00FD1490"/>
    <w:sectPr w:rsidR="00FD1490">
      <w:footerReference w:type="default" r:id="rId10"/>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D4" w:rsidRDefault="005249D4" w:rsidP="005249D4">
      <w:pPr>
        <w:spacing w:line="240" w:lineRule="auto"/>
      </w:pPr>
      <w:r>
        <w:separator/>
      </w:r>
    </w:p>
  </w:endnote>
  <w:endnote w:type="continuationSeparator" w:id="0">
    <w:p w:rsidR="005249D4" w:rsidRDefault="005249D4" w:rsidP="005249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BC12301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032654"/>
      <w:docPartObj>
        <w:docPartGallery w:val="Page Numbers (Bottom of Page)"/>
        <w:docPartUnique/>
      </w:docPartObj>
    </w:sdtPr>
    <w:sdtEndPr>
      <w:rPr>
        <w:sz w:val="13"/>
        <w:szCs w:val="13"/>
      </w:rPr>
    </w:sdtEndPr>
    <w:sdtContent>
      <w:p w:rsidR="006B2065" w:rsidRDefault="006B2065">
        <w:pPr>
          <w:pStyle w:val="Voettekst"/>
          <w:jc w:val="right"/>
        </w:pPr>
        <w:r w:rsidRPr="006B2065">
          <w:rPr>
            <w:sz w:val="13"/>
            <w:szCs w:val="13"/>
          </w:rPr>
          <w:fldChar w:fldCharType="begin"/>
        </w:r>
        <w:r w:rsidRPr="006B2065">
          <w:rPr>
            <w:sz w:val="13"/>
            <w:szCs w:val="13"/>
          </w:rPr>
          <w:instrText>PAGE   \* MERGEFORMAT</w:instrText>
        </w:r>
        <w:r w:rsidRPr="006B2065">
          <w:rPr>
            <w:sz w:val="13"/>
            <w:szCs w:val="13"/>
          </w:rPr>
          <w:fldChar w:fldCharType="separate"/>
        </w:r>
        <w:r>
          <w:rPr>
            <w:noProof/>
            <w:sz w:val="13"/>
            <w:szCs w:val="13"/>
          </w:rPr>
          <w:t>7</w:t>
        </w:r>
        <w:r w:rsidRPr="006B2065">
          <w:rPr>
            <w:sz w:val="13"/>
            <w:szCs w:val="13"/>
          </w:rPr>
          <w:fldChar w:fldCharType="end"/>
        </w:r>
      </w:p>
    </w:sdtContent>
  </w:sdt>
  <w:p w:rsidR="006B2065" w:rsidRDefault="006B206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D4" w:rsidRDefault="005249D4" w:rsidP="005249D4">
      <w:pPr>
        <w:spacing w:line="240" w:lineRule="auto"/>
      </w:pPr>
      <w:r>
        <w:separator/>
      </w:r>
    </w:p>
  </w:footnote>
  <w:footnote w:type="continuationSeparator" w:id="0">
    <w:p w:rsidR="005249D4" w:rsidRDefault="005249D4" w:rsidP="005249D4">
      <w:pPr>
        <w:spacing w:line="240" w:lineRule="auto"/>
      </w:pPr>
      <w:r>
        <w:continuationSeparator/>
      </w:r>
    </w:p>
  </w:footnote>
  <w:footnote w:id="1">
    <w:p w:rsidR="00550A20" w:rsidRPr="002E2641" w:rsidRDefault="007C6E52">
      <w:pPr>
        <w:pStyle w:val="Voetnoottekst"/>
        <w:rPr>
          <w:rFonts w:ascii="Verdana" w:hAnsi="Verdana"/>
          <w:sz w:val="13"/>
          <w:szCs w:val="13"/>
        </w:rPr>
      </w:pPr>
      <w:r w:rsidRPr="002E2641">
        <w:rPr>
          <w:rStyle w:val="Voetnootmarkering"/>
          <w:rFonts w:ascii="Verdana" w:eastAsia="Times New Roman" w:hAnsi="Verdana" w:cs="Times New Roman"/>
          <w:sz w:val="13"/>
          <w:szCs w:val="24"/>
        </w:rPr>
        <w:footnoteRef/>
      </w:r>
      <w:r w:rsidRPr="002E2641">
        <w:rPr>
          <w:rStyle w:val="Voetnootmarkering"/>
          <w:rFonts w:ascii="Verdana" w:eastAsia="Times New Roman" w:hAnsi="Verdana" w:cs="Times New Roman"/>
          <w:sz w:val="13"/>
          <w:szCs w:val="24"/>
        </w:rPr>
        <w:t xml:space="preserve"> </w:t>
      </w:r>
      <w:r w:rsidR="00550A20" w:rsidRPr="002E2641">
        <w:rPr>
          <w:rFonts w:ascii="Verdana" w:hAnsi="Verdana"/>
          <w:sz w:val="13"/>
          <w:szCs w:val="13"/>
        </w:rPr>
        <w:t xml:space="preserve">Opgenomen zijn de voorstellen waarover op 31 augustus 2015 de besluitvorming in het kabinet was afgerond. </w:t>
      </w:r>
    </w:p>
    <w:p w:rsidR="007C6E52" w:rsidRPr="002E2641" w:rsidRDefault="00550A20">
      <w:pPr>
        <w:pStyle w:val="Voetnoottekst"/>
        <w:rPr>
          <w:rFonts w:ascii="Verdana" w:hAnsi="Verdana"/>
          <w:sz w:val="13"/>
          <w:szCs w:val="13"/>
        </w:rPr>
      </w:pPr>
      <w:r w:rsidRPr="002E2641">
        <w:rPr>
          <w:rFonts w:ascii="Verdana" w:eastAsia="Times New Roman" w:hAnsi="Verdana" w:cs="Times New Roman"/>
          <w:sz w:val="13"/>
          <w:szCs w:val="24"/>
        </w:rPr>
        <w:t xml:space="preserve">De voorstellen zijn geordend naar ministerie en daarbinnen naar het jaar waarin het overleg met de Algemene Rekenkamer is gevoerd. </w:t>
      </w:r>
    </w:p>
  </w:footnote>
  <w:footnote w:id="2">
    <w:p w:rsidR="00517DB6" w:rsidRPr="002E2641" w:rsidRDefault="00517DB6" w:rsidP="00550A20">
      <w:pPr>
        <w:pStyle w:val="Voetnoottekst"/>
        <w:rPr>
          <w:rFonts w:ascii="Verdana" w:eastAsia="Times New Roman" w:hAnsi="Verdana" w:cs="Times New Roman"/>
          <w:sz w:val="13"/>
          <w:szCs w:val="24"/>
        </w:rPr>
      </w:pPr>
      <w:r w:rsidRPr="002E2641">
        <w:rPr>
          <w:rStyle w:val="Voetnootmarkering"/>
          <w:rFonts w:ascii="Verdana" w:eastAsia="Times New Roman" w:hAnsi="Verdana" w:cs="Times New Roman"/>
          <w:sz w:val="13"/>
          <w:szCs w:val="24"/>
        </w:rPr>
        <w:footnoteRef/>
      </w:r>
      <w:r w:rsidRPr="002E2641">
        <w:rPr>
          <w:rStyle w:val="Voetnootmarkering"/>
          <w:rFonts w:ascii="Verdana" w:eastAsia="Times New Roman" w:hAnsi="Verdana" w:cs="Times New Roman"/>
          <w:sz w:val="13"/>
          <w:szCs w:val="24"/>
        </w:rPr>
        <w:t xml:space="preserve"> </w:t>
      </w:r>
      <w:r w:rsidRPr="002E2641">
        <w:rPr>
          <w:rFonts w:ascii="Verdana" w:eastAsia="Times New Roman" w:hAnsi="Verdana" w:cs="Times New Roman"/>
          <w:sz w:val="13"/>
          <w:szCs w:val="24"/>
        </w:rPr>
        <w:t>Regelgeving = Nieuwe of gewijzigde wet- en regelgeving met gevolgen voor de bevoegdheden van de Algemene Rekenkamer (art. 96, 1e lid CW 2001)</w:t>
      </w:r>
    </w:p>
    <w:p w:rsidR="00517DB6" w:rsidRPr="002E2641" w:rsidRDefault="00517DB6" w:rsidP="00550A20">
      <w:pPr>
        <w:pStyle w:val="Voetnoottekst"/>
        <w:rPr>
          <w:rFonts w:ascii="Verdana" w:eastAsia="Times New Roman" w:hAnsi="Verdana" w:cs="Times New Roman"/>
          <w:sz w:val="13"/>
          <w:szCs w:val="24"/>
        </w:rPr>
      </w:pPr>
      <w:r w:rsidRPr="002E2641">
        <w:rPr>
          <w:rFonts w:ascii="Verdana" w:eastAsia="Times New Roman" w:hAnsi="Verdana" w:cs="Times New Roman"/>
          <w:sz w:val="13"/>
          <w:szCs w:val="24"/>
        </w:rPr>
        <w:t xml:space="preserve">  Oprichting = Oprichting privaatrechtelijke rechtspersoon  (art. 34/96, 2e lid, CW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66287"/>
    <w:multiLevelType w:val="hybridMultilevel"/>
    <w:tmpl w:val="375ADD0C"/>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nsid w:val="363D0F83"/>
    <w:multiLevelType w:val="hybridMultilevel"/>
    <w:tmpl w:val="063695A2"/>
    <w:lvl w:ilvl="0" w:tplc="04130011">
      <w:start w:val="1"/>
      <w:numFmt w:val="decimal"/>
      <w:lvlText w:val="%1)"/>
      <w:lvlJc w:val="left"/>
      <w:pPr>
        <w:ind w:left="-360" w:hanging="360"/>
      </w:pPr>
    </w:lvl>
    <w:lvl w:ilvl="1" w:tplc="04130019" w:tentative="1">
      <w:start w:val="1"/>
      <w:numFmt w:val="lowerLetter"/>
      <w:lvlText w:val="%2."/>
      <w:lvlJc w:val="left"/>
      <w:pPr>
        <w:ind w:left="360" w:hanging="360"/>
      </w:pPr>
    </w:lvl>
    <w:lvl w:ilvl="2" w:tplc="0413001B" w:tentative="1">
      <w:start w:val="1"/>
      <w:numFmt w:val="lowerRoman"/>
      <w:lvlText w:val="%3."/>
      <w:lvlJc w:val="right"/>
      <w:pPr>
        <w:ind w:left="1080" w:hanging="180"/>
      </w:pPr>
    </w:lvl>
    <w:lvl w:ilvl="3" w:tplc="0413000F" w:tentative="1">
      <w:start w:val="1"/>
      <w:numFmt w:val="decimal"/>
      <w:lvlText w:val="%4."/>
      <w:lvlJc w:val="left"/>
      <w:pPr>
        <w:ind w:left="1800" w:hanging="360"/>
      </w:pPr>
    </w:lvl>
    <w:lvl w:ilvl="4" w:tplc="04130019" w:tentative="1">
      <w:start w:val="1"/>
      <w:numFmt w:val="lowerLetter"/>
      <w:lvlText w:val="%5."/>
      <w:lvlJc w:val="left"/>
      <w:pPr>
        <w:ind w:left="2520" w:hanging="360"/>
      </w:pPr>
    </w:lvl>
    <w:lvl w:ilvl="5" w:tplc="0413001B" w:tentative="1">
      <w:start w:val="1"/>
      <w:numFmt w:val="lowerRoman"/>
      <w:lvlText w:val="%6."/>
      <w:lvlJc w:val="right"/>
      <w:pPr>
        <w:ind w:left="3240" w:hanging="180"/>
      </w:pPr>
    </w:lvl>
    <w:lvl w:ilvl="6" w:tplc="0413000F" w:tentative="1">
      <w:start w:val="1"/>
      <w:numFmt w:val="decimal"/>
      <w:lvlText w:val="%7."/>
      <w:lvlJc w:val="left"/>
      <w:pPr>
        <w:ind w:left="3960" w:hanging="360"/>
      </w:pPr>
    </w:lvl>
    <w:lvl w:ilvl="7" w:tplc="04130019" w:tentative="1">
      <w:start w:val="1"/>
      <w:numFmt w:val="lowerLetter"/>
      <w:lvlText w:val="%8."/>
      <w:lvlJc w:val="left"/>
      <w:pPr>
        <w:ind w:left="4680" w:hanging="360"/>
      </w:pPr>
    </w:lvl>
    <w:lvl w:ilvl="8" w:tplc="0413001B" w:tentative="1">
      <w:start w:val="1"/>
      <w:numFmt w:val="lowerRoman"/>
      <w:lvlText w:val="%9."/>
      <w:lvlJc w:val="right"/>
      <w:pPr>
        <w:ind w:left="5400" w:hanging="180"/>
      </w:pPr>
    </w:lvl>
  </w:abstractNum>
  <w:abstractNum w:abstractNumId="2">
    <w:nsid w:val="45B45747"/>
    <w:multiLevelType w:val="hybridMultilevel"/>
    <w:tmpl w:val="B5089282"/>
    <w:lvl w:ilvl="0" w:tplc="F96C34AE">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871508C"/>
    <w:multiLevelType w:val="hybridMultilevel"/>
    <w:tmpl w:val="B6AC8806"/>
    <w:lvl w:ilvl="0" w:tplc="72AA7C40">
      <w:start w:val="4"/>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9944FB0"/>
    <w:multiLevelType w:val="hybridMultilevel"/>
    <w:tmpl w:val="CAD03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1AA13C6"/>
    <w:multiLevelType w:val="multilevel"/>
    <w:tmpl w:val="C0003B2C"/>
    <w:lvl w:ilvl="0">
      <w:start w:val="1"/>
      <w:numFmt w:val="decimal"/>
      <w:pStyle w:val="Kop1eniveau"/>
      <w:lvlText w:val="%1"/>
      <w:lvlJc w:val="left"/>
      <w:pPr>
        <w:tabs>
          <w:tab w:val="num" w:pos="76"/>
        </w:tabs>
        <w:ind w:left="0" w:hanging="284"/>
      </w:pPr>
      <w:rPr>
        <w:rFonts w:hint="default"/>
      </w:rPr>
    </w:lvl>
    <w:lvl w:ilvl="1">
      <w:start w:val="1"/>
      <w:numFmt w:val="decimal"/>
      <w:pStyle w:val="Kop2eniveau"/>
      <w:lvlText w:val="%1.%2"/>
      <w:lvlJc w:val="left"/>
      <w:pPr>
        <w:tabs>
          <w:tab w:val="num" w:pos="266"/>
        </w:tabs>
        <w:ind w:left="0" w:hanging="454"/>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6">
    <w:nsid w:val="6F1716CB"/>
    <w:multiLevelType w:val="hybridMultilevel"/>
    <w:tmpl w:val="43080FA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78BB7E6C"/>
    <w:multiLevelType w:val="hybridMultilevel"/>
    <w:tmpl w:val="851AAA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AB9"/>
    <w:rsid w:val="00001AFD"/>
    <w:rsid w:val="00007F31"/>
    <w:rsid w:val="0001096F"/>
    <w:rsid w:val="000344E7"/>
    <w:rsid w:val="00060B7A"/>
    <w:rsid w:val="00066035"/>
    <w:rsid w:val="000D5876"/>
    <w:rsid w:val="001B10E9"/>
    <w:rsid w:val="001F63C6"/>
    <w:rsid w:val="00210D68"/>
    <w:rsid w:val="002E2641"/>
    <w:rsid w:val="00300A01"/>
    <w:rsid w:val="00303632"/>
    <w:rsid w:val="00311327"/>
    <w:rsid w:val="0031229D"/>
    <w:rsid w:val="00327375"/>
    <w:rsid w:val="003623A8"/>
    <w:rsid w:val="003E7F7F"/>
    <w:rsid w:val="004919CF"/>
    <w:rsid w:val="004C6651"/>
    <w:rsid w:val="00517DB6"/>
    <w:rsid w:val="005249D4"/>
    <w:rsid w:val="0054767D"/>
    <w:rsid w:val="00550A20"/>
    <w:rsid w:val="005765D7"/>
    <w:rsid w:val="005B65BD"/>
    <w:rsid w:val="005E63C4"/>
    <w:rsid w:val="006577AE"/>
    <w:rsid w:val="00671FEF"/>
    <w:rsid w:val="00697A55"/>
    <w:rsid w:val="006B2065"/>
    <w:rsid w:val="006E6B85"/>
    <w:rsid w:val="006F0277"/>
    <w:rsid w:val="00737E42"/>
    <w:rsid w:val="007544CD"/>
    <w:rsid w:val="007A0F0B"/>
    <w:rsid w:val="007A5B49"/>
    <w:rsid w:val="007C6E52"/>
    <w:rsid w:val="00833E59"/>
    <w:rsid w:val="00841A0B"/>
    <w:rsid w:val="00844734"/>
    <w:rsid w:val="00884AC3"/>
    <w:rsid w:val="008A3E27"/>
    <w:rsid w:val="008D0653"/>
    <w:rsid w:val="00925E73"/>
    <w:rsid w:val="00953EC1"/>
    <w:rsid w:val="00997D22"/>
    <w:rsid w:val="009D6AC6"/>
    <w:rsid w:val="00A16910"/>
    <w:rsid w:val="00B10AEF"/>
    <w:rsid w:val="00B2065F"/>
    <w:rsid w:val="00B40E1F"/>
    <w:rsid w:val="00B737FE"/>
    <w:rsid w:val="00BD00F5"/>
    <w:rsid w:val="00BD79F3"/>
    <w:rsid w:val="00C2688C"/>
    <w:rsid w:val="00C419FD"/>
    <w:rsid w:val="00C443E2"/>
    <w:rsid w:val="00C83046"/>
    <w:rsid w:val="00CA4508"/>
    <w:rsid w:val="00CE3859"/>
    <w:rsid w:val="00D042D4"/>
    <w:rsid w:val="00D06E4B"/>
    <w:rsid w:val="00D32250"/>
    <w:rsid w:val="00D35DF1"/>
    <w:rsid w:val="00D751B4"/>
    <w:rsid w:val="00DC6021"/>
    <w:rsid w:val="00DC6589"/>
    <w:rsid w:val="00E20394"/>
    <w:rsid w:val="00E66ED3"/>
    <w:rsid w:val="00E77976"/>
    <w:rsid w:val="00E84444"/>
    <w:rsid w:val="00EC1AB9"/>
    <w:rsid w:val="00F60682"/>
    <w:rsid w:val="00FC3F56"/>
    <w:rsid w:val="00FC5A25"/>
    <w:rsid w:val="00FC7C11"/>
    <w:rsid w:val="00FD1490"/>
    <w:rsid w:val="00FE76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AB9"/>
    <w:pPr>
      <w:spacing w:after="0" w:line="300" w:lineRule="atLeast"/>
    </w:pPr>
    <w:rPr>
      <w:rFonts w:ascii="Verdana" w:eastAsia="Times New Roman" w:hAnsi="Verdana" w:cs="Times New Roman"/>
      <w:spacing w:val="5"/>
      <w:sz w:val="1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eniveau">
    <w:name w:val="Kop 1e niveau"/>
    <w:basedOn w:val="Standaard"/>
    <w:next w:val="Standaard"/>
    <w:qFormat/>
    <w:rsid w:val="00EC1AB9"/>
    <w:pPr>
      <w:numPr>
        <w:numId w:val="1"/>
      </w:numPr>
      <w:tabs>
        <w:tab w:val="left" w:pos="0"/>
      </w:tabs>
      <w:spacing w:after="300"/>
    </w:pPr>
    <w:rPr>
      <w:b/>
    </w:rPr>
  </w:style>
  <w:style w:type="paragraph" w:customStyle="1" w:styleId="Kop2eniveau">
    <w:name w:val="Kop 2e niveau"/>
    <w:basedOn w:val="Standaard"/>
    <w:next w:val="Standaard"/>
    <w:qFormat/>
    <w:rsid w:val="00EC1AB9"/>
    <w:pPr>
      <w:numPr>
        <w:ilvl w:val="1"/>
        <w:numId w:val="1"/>
      </w:numPr>
      <w:tabs>
        <w:tab w:val="left" w:pos="0"/>
        <w:tab w:val="left" w:pos="170"/>
      </w:tabs>
    </w:pPr>
    <w:rPr>
      <w:i/>
    </w:rPr>
  </w:style>
  <w:style w:type="paragraph" w:customStyle="1" w:styleId="Standaardklein">
    <w:name w:val="Standaard klein"/>
    <w:basedOn w:val="Standaard"/>
    <w:qFormat/>
    <w:rsid w:val="00EC1AB9"/>
    <w:rPr>
      <w:spacing w:val="0"/>
      <w:sz w:val="13"/>
    </w:rPr>
  </w:style>
  <w:style w:type="table" w:styleId="Tabelraster">
    <w:name w:val="Table Grid"/>
    <w:basedOn w:val="Standaardtabel"/>
    <w:rsid w:val="00EC1AB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751B4"/>
    <w:pPr>
      <w:ind w:left="720"/>
      <w:contextualSpacing/>
    </w:pPr>
  </w:style>
  <w:style w:type="character" w:styleId="Verwijzingopmerking">
    <w:name w:val="annotation reference"/>
    <w:basedOn w:val="Standaardalinea-lettertype"/>
    <w:uiPriority w:val="99"/>
    <w:semiHidden/>
    <w:unhideWhenUsed/>
    <w:rsid w:val="00D06E4B"/>
    <w:rPr>
      <w:sz w:val="16"/>
      <w:szCs w:val="16"/>
    </w:rPr>
  </w:style>
  <w:style w:type="paragraph" w:styleId="Tekstopmerking">
    <w:name w:val="annotation text"/>
    <w:basedOn w:val="Standaard"/>
    <w:link w:val="TekstopmerkingChar"/>
    <w:uiPriority w:val="99"/>
    <w:semiHidden/>
    <w:unhideWhenUsed/>
    <w:rsid w:val="00D06E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6E4B"/>
    <w:rPr>
      <w:rFonts w:ascii="Verdana" w:eastAsia="Times New Roman" w:hAnsi="Verdana" w:cs="Times New Roman"/>
      <w:spacing w:val="5"/>
      <w:sz w:val="20"/>
      <w:szCs w:val="20"/>
    </w:rPr>
  </w:style>
  <w:style w:type="paragraph" w:styleId="Onderwerpvanopmerking">
    <w:name w:val="annotation subject"/>
    <w:basedOn w:val="Tekstopmerking"/>
    <w:next w:val="Tekstopmerking"/>
    <w:link w:val="OnderwerpvanopmerkingChar"/>
    <w:uiPriority w:val="99"/>
    <w:semiHidden/>
    <w:unhideWhenUsed/>
    <w:rsid w:val="00D06E4B"/>
    <w:rPr>
      <w:b/>
      <w:bCs/>
    </w:rPr>
  </w:style>
  <w:style w:type="character" w:customStyle="1" w:styleId="OnderwerpvanopmerkingChar">
    <w:name w:val="Onderwerp van opmerking Char"/>
    <w:basedOn w:val="TekstopmerkingChar"/>
    <w:link w:val="Onderwerpvanopmerking"/>
    <w:uiPriority w:val="99"/>
    <w:semiHidden/>
    <w:rsid w:val="00D06E4B"/>
    <w:rPr>
      <w:rFonts w:ascii="Verdana" w:eastAsia="Times New Roman" w:hAnsi="Verdana" w:cs="Times New Roman"/>
      <w:b/>
      <w:bCs/>
      <w:spacing w:val="5"/>
      <w:sz w:val="20"/>
      <w:szCs w:val="20"/>
    </w:rPr>
  </w:style>
  <w:style w:type="paragraph" w:styleId="Ballontekst">
    <w:name w:val="Balloon Text"/>
    <w:basedOn w:val="Standaard"/>
    <w:link w:val="BallontekstChar"/>
    <w:uiPriority w:val="99"/>
    <w:semiHidden/>
    <w:unhideWhenUsed/>
    <w:rsid w:val="00D06E4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6E4B"/>
    <w:rPr>
      <w:rFonts w:ascii="Tahoma" w:eastAsia="Times New Roman" w:hAnsi="Tahoma" w:cs="Tahoma"/>
      <w:spacing w:val="5"/>
      <w:sz w:val="16"/>
      <w:szCs w:val="16"/>
    </w:rPr>
  </w:style>
  <w:style w:type="paragraph" w:styleId="Voetnoottekst">
    <w:name w:val="footnote text"/>
    <w:basedOn w:val="Standaard"/>
    <w:link w:val="VoetnoottekstChar"/>
    <w:semiHidden/>
    <w:unhideWhenUsed/>
    <w:rsid w:val="005249D4"/>
    <w:pPr>
      <w:spacing w:line="240" w:lineRule="auto"/>
    </w:pPr>
    <w:rPr>
      <w:rFonts w:asciiTheme="minorHAnsi" w:eastAsiaTheme="minorHAnsi" w:hAnsiTheme="minorHAnsi" w:cstheme="minorBidi"/>
      <w:spacing w:val="0"/>
      <w:sz w:val="20"/>
      <w:szCs w:val="20"/>
    </w:rPr>
  </w:style>
  <w:style w:type="character" w:customStyle="1" w:styleId="VoetnoottekstChar">
    <w:name w:val="Voetnoottekst Char"/>
    <w:basedOn w:val="Standaardalinea-lettertype"/>
    <w:link w:val="Voetnoottekst"/>
    <w:semiHidden/>
    <w:rsid w:val="005249D4"/>
    <w:rPr>
      <w:sz w:val="20"/>
      <w:szCs w:val="20"/>
    </w:rPr>
  </w:style>
  <w:style w:type="character" w:styleId="Voetnootmarkering">
    <w:name w:val="footnote reference"/>
    <w:basedOn w:val="Standaardalinea-lettertype"/>
    <w:rsid w:val="005249D4"/>
    <w:rPr>
      <w:vertAlign w:val="superscript"/>
    </w:rPr>
  </w:style>
  <w:style w:type="character" w:styleId="Hyperlink">
    <w:name w:val="Hyperlink"/>
    <w:basedOn w:val="Standaardalinea-lettertype"/>
    <w:uiPriority w:val="99"/>
    <w:unhideWhenUsed/>
    <w:rsid w:val="007C6E52"/>
    <w:rPr>
      <w:color w:val="0000FF" w:themeColor="hyperlink"/>
      <w:u w:val="single"/>
    </w:rPr>
  </w:style>
  <w:style w:type="paragraph" w:styleId="Koptekst">
    <w:name w:val="header"/>
    <w:basedOn w:val="Standaard"/>
    <w:link w:val="KoptekstChar"/>
    <w:uiPriority w:val="99"/>
    <w:unhideWhenUsed/>
    <w:rsid w:val="006B20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B2065"/>
    <w:rPr>
      <w:rFonts w:ascii="Verdana" w:eastAsia="Times New Roman" w:hAnsi="Verdana" w:cs="Times New Roman"/>
      <w:spacing w:val="5"/>
      <w:sz w:val="17"/>
      <w:szCs w:val="24"/>
    </w:rPr>
  </w:style>
  <w:style w:type="paragraph" w:styleId="Voettekst">
    <w:name w:val="footer"/>
    <w:basedOn w:val="Standaard"/>
    <w:link w:val="VoettekstChar"/>
    <w:uiPriority w:val="99"/>
    <w:unhideWhenUsed/>
    <w:rsid w:val="006B20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B2065"/>
    <w:rPr>
      <w:rFonts w:ascii="Verdana" w:eastAsia="Times New Roman" w:hAnsi="Verdana" w:cs="Times New Roman"/>
      <w:spacing w:val="5"/>
      <w:sz w:val="17"/>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AB9"/>
    <w:pPr>
      <w:spacing w:after="0" w:line="300" w:lineRule="atLeast"/>
    </w:pPr>
    <w:rPr>
      <w:rFonts w:ascii="Verdana" w:eastAsia="Times New Roman" w:hAnsi="Verdana" w:cs="Times New Roman"/>
      <w:spacing w:val="5"/>
      <w:sz w:val="17"/>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eniveau">
    <w:name w:val="Kop 1e niveau"/>
    <w:basedOn w:val="Standaard"/>
    <w:next w:val="Standaard"/>
    <w:qFormat/>
    <w:rsid w:val="00EC1AB9"/>
    <w:pPr>
      <w:numPr>
        <w:numId w:val="1"/>
      </w:numPr>
      <w:tabs>
        <w:tab w:val="left" w:pos="0"/>
      </w:tabs>
      <w:spacing w:after="300"/>
    </w:pPr>
    <w:rPr>
      <w:b/>
    </w:rPr>
  </w:style>
  <w:style w:type="paragraph" w:customStyle="1" w:styleId="Kop2eniveau">
    <w:name w:val="Kop 2e niveau"/>
    <w:basedOn w:val="Standaard"/>
    <w:next w:val="Standaard"/>
    <w:qFormat/>
    <w:rsid w:val="00EC1AB9"/>
    <w:pPr>
      <w:numPr>
        <w:ilvl w:val="1"/>
        <w:numId w:val="1"/>
      </w:numPr>
      <w:tabs>
        <w:tab w:val="left" w:pos="0"/>
        <w:tab w:val="left" w:pos="170"/>
      </w:tabs>
    </w:pPr>
    <w:rPr>
      <w:i/>
    </w:rPr>
  </w:style>
  <w:style w:type="paragraph" w:customStyle="1" w:styleId="Standaardklein">
    <w:name w:val="Standaard klein"/>
    <w:basedOn w:val="Standaard"/>
    <w:qFormat/>
    <w:rsid w:val="00EC1AB9"/>
    <w:rPr>
      <w:spacing w:val="0"/>
      <w:sz w:val="13"/>
    </w:rPr>
  </w:style>
  <w:style w:type="table" w:styleId="Tabelraster">
    <w:name w:val="Table Grid"/>
    <w:basedOn w:val="Standaardtabel"/>
    <w:rsid w:val="00EC1AB9"/>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751B4"/>
    <w:pPr>
      <w:ind w:left="720"/>
      <w:contextualSpacing/>
    </w:pPr>
  </w:style>
  <w:style w:type="character" w:styleId="Verwijzingopmerking">
    <w:name w:val="annotation reference"/>
    <w:basedOn w:val="Standaardalinea-lettertype"/>
    <w:uiPriority w:val="99"/>
    <w:semiHidden/>
    <w:unhideWhenUsed/>
    <w:rsid w:val="00D06E4B"/>
    <w:rPr>
      <w:sz w:val="16"/>
      <w:szCs w:val="16"/>
    </w:rPr>
  </w:style>
  <w:style w:type="paragraph" w:styleId="Tekstopmerking">
    <w:name w:val="annotation text"/>
    <w:basedOn w:val="Standaard"/>
    <w:link w:val="TekstopmerkingChar"/>
    <w:uiPriority w:val="99"/>
    <w:semiHidden/>
    <w:unhideWhenUsed/>
    <w:rsid w:val="00D06E4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06E4B"/>
    <w:rPr>
      <w:rFonts w:ascii="Verdana" w:eastAsia="Times New Roman" w:hAnsi="Verdana" w:cs="Times New Roman"/>
      <w:spacing w:val="5"/>
      <w:sz w:val="20"/>
      <w:szCs w:val="20"/>
    </w:rPr>
  </w:style>
  <w:style w:type="paragraph" w:styleId="Onderwerpvanopmerking">
    <w:name w:val="annotation subject"/>
    <w:basedOn w:val="Tekstopmerking"/>
    <w:next w:val="Tekstopmerking"/>
    <w:link w:val="OnderwerpvanopmerkingChar"/>
    <w:uiPriority w:val="99"/>
    <w:semiHidden/>
    <w:unhideWhenUsed/>
    <w:rsid w:val="00D06E4B"/>
    <w:rPr>
      <w:b/>
      <w:bCs/>
    </w:rPr>
  </w:style>
  <w:style w:type="character" w:customStyle="1" w:styleId="OnderwerpvanopmerkingChar">
    <w:name w:val="Onderwerp van opmerking Char"/>
    <w:basedOn w:val="TekstopmerkingChar"/>
    <w:link w:val="Onderwerpvanopmerking"/>
    <w:uiPriority w:val="99"/>
    <w:semiHidden/>
    <w:rsid w:val="00D06E4B"/>
    <w:rPr>
      <w:rFonts w:ascii="Verdana" w:eastAsia="Times New Roman" w:hAnsi="Verdana" w:cs="Times New Roman"/>
      <w:b/>
      <w:bCs/>
      <w:spacing w:val="5"/>
      <w:sz w:val="20"/>
      <w:szCs w:val="20"/>
    </w:rPr>
  </w:style>
  <w:style w:type="paragraph" w:styleId="Ballontekst">
    <w:name w:val="Balloon Text"/>
    <w:basedOn w:val="Standaard"/>
    <w:link w:val="BallontekstChar"/>
    <w:uiPriority w:val="99"/>
    <w:semiHidden/>
    <w:unhideWhenUsed/>
    <w:rsid w:val="00D06E4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06E4B"/>
    <w:rPr>
      <w:rFonts w:ascii="Tahoma" w:eastAsia="Times New Roman" w:hAnsi="Tahoma" w:cs="Tahoma"/>
      <w:spacing w:val="5"/>
      <w:sz w:val="16"/>
      <w:szCs w:val="16"/>
    </w:rPr>
  </w:style>
  <w:style w:type="paragraph" w:styleId="Voetnoottekst">
    <w:name w:val="footnote text"/>
    <w:basedOn w:val="Standaard"/>
    <w:link w:val="VoetnoottekstChar"/>
    <w:semiHidden/>
    <w:unhideWhenUsed/>
    <w:rsid w:val="005249D4"/>
    <w:pPr>
      <w:spacing w:line="240" w:lineRule="auto"/>
    </w:pPr>
    <w:rPr>
      <w:rFonts w:asciiTheme="minorHAnsi" w:eastAsiaTheme="minorHAnsi" w:hAnsiTheme="minorHAnsi" w:cstheme="minorBidi"/>
      <w:spacing w:val="0"/>
      <w:sz w:val="20"/>
      <w:szCs w:val="20"/>
    </w:rPr>
  </w:style>
  <w:style w:type="character" w:customStyle="1" w:styleId="VoetnoottekstChar">
    <w:name w:val="Voetnoottekst Char"/>
    <w:basedOn w:val="Standaardalinea-lettertype"/>
    <w:link w:val="Voetnoottekst"/>
    <w:semiHidden/>
    <w:rsid w:val="005249D4"/>
    <w:rPr>
      <w:sz w:val="20"/>
      <w:szCs w:val="20"/>
    </w:rPr>
  </w:style>
  <w:style w:type="character" w:styleId="Voetnootmarkering">
    <w:name w:val="footnote reference"/>
    <w:basedOn w:val="Standaardalinea-lettertype"/>
    <w:rsid w:val="005249D4"/>
    <w:rPr>
      <w:vertAlign w:val="superscript"/>
    </w:rPr>
  </w:style>
  <w:style w:type="character" w:styleId="Hyperlink">
    <w:name w:val="Hyperlink"/>
    <w:basedOn w:val="Standaardalinea-lettertype"/>
    <w:uiPriority w:val="99"/>
    <w:unhideWhenUsed/>
    <w:rsid w:val="007C6E52"/>
    <w:rPr>
      <w:color w:val="0000FF" w:themeColor="hyperlink"/>
      <w:u w:val="single"/>
    </w:rPr>
  </w:style>
  <w:style w:type="paragraph" w:styleId="Koptekst">
    <w:name w:val="header"/>
    <w:basedOn w:val="Standaard"/>
    <w:link w:val="KoptekstChar"/>
    <w:uiPriority w:val="99"/>
    <w:unhideWhenUsed/>
    <w:rsid w:val="006B206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B2065"/>
    <w:rPr>
      <w:rFonts w:ascii="Verdana" w:eastAsia="Times New Roman" w:hAnsi="Verdana" w:cs="Times New Roman"/>
      <w:spacing w:val="5"/>
      <w:sz w:val="17"/>
      <w:szCs w:val="24"/>
    </w:rPr>
  </w:style>
  <w:style w:type="paragraph" w:styleId="Voettekst">
    <w:name w:val="footer"/>
    <w:basedOn w:val="Standaard"/>
    <w:link w:val="VoettekstChar"/>
    <w:uiPriority w:val="99"/>
    <w:unhideWhenUsed/>
    <w:rsid w:val="006B206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B2065"/>
    <w:rPr>
      <w:rFonts w:ascii="Verdana" w:eastAsia="Times New Roman" w:hAnsi="Verdana" w:cs="Times New Roman"/>
      <w:spacing w:val="5"/>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yperlink" Target="http://www.rekenkamer.nl"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2486</ap:Words>
  <ap:Characters>13676</ap:Characters>
  <ap:DocSecurity>0</ap:DocSecurity>
  <ap:Lines>113</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2015-09-15T13:32:00.0000000Z</lastPrinted>
  <dcterms:created xsi:type="dcterms:W3CDTF">2015-09-15T07:27:00.0000000Z</dcterms:created>
  <dcterms:modified xsi:type="dcterms:W3CDTF">2015-09-15T13:42:00.0000000Z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0x010100A2A6005E0635364CAB810D55EEC46A7E</vt:lpwstr>
  </property>
</Properties>
</file>