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331A03" w:rsidR="00E96859" w:rsidP="00B3106D" w:rsidRDefault="00125059" w14:paraId="7A93DC10" w14:textId="79A5061F">
      <w:pPr>
        <w:rPr>
          <w:b/>
          <w:color w:val="548DD4" w:themeColor="text2" w:themeTint="99"/>
        </w:rPr>
      </w:pPr>
      <w:r w:rsidRPr="00331A03">
        <w:rPr>
          <w:b/>
          <w:color w:val="548DD4" w:themeColor="text2" w:themeTint="99"/>
        </w:rPr>
        <w:t>M</w:t>
      </w:r>
      <w:r w:rsidRPr="00331A03" w:rsidR="00E96859">
        <w:rPr>
          <w:b/>
          <w:color w:val="548DD4" w:themeColor="text2" w:themeTint="99"/>
        </w:rPr>
        <w:t>ogelijkheden voor extra vermindering van uitstoot</w:t>
      </w:r>
      <w:r w:rsidRPr="00331A03">
        <w:rPr>
          <w:b/>
          <w:color w:val="548DD4" w:themeColor="text2" w:themeTint="99"/>
        </w:rPr>
        <w:t xml:space="preserve"> broeikasgassen in 2</w:t>
      </w:r>
      <w:bookmarkStart w:name="_GoBack" w:id="0"/>
      <w:bookmarkEnd w:id="0"/>
      <w:r w:rsidRPr="00331A03">
        <w:rPr>
          <w:b/>
          <w:color w:val="548DD4" w:themeColor="text2" w:themeTint="99"/>
        </w:rPr>
        <w:t>020</w:t>
      </w:r>
    </w:p>
    <w:p w:rsidRPr="00331A03" w:rsidR="00125059" w:rsidP="00B3106D" w:rsidRDefault="00125059" w14:paraId="470283E3" w14:textId="77777777">
      <w:pPr>
        <w:rPr>
          <w:i/>
          <w:color w:val="548DD4" w:themeColor="text2" w:themeTint="99"/>
        </w:rPr>
      </w:pPr>
      <w:r w:rsidRPr="00331A03">
        <w:rPr>
          <w:i/>
          <w:color w:val="548DD4" w:themeColor="text2" w:themeTint="99"/>
        </w:rPr>
        <w:t>Dr. Pieter Boot, hoofd sector Klimaat, Lucht en Energie, Planbureau voor de Leefomgeving</w:t>
      </w:r>
    </w:p>
    <w:p w:rsidRPr="00331A03" w:rsidR="00E96859" w:rsidP="00B3106D" w:rsidRDefault="00125059" w14:paraId="156E4F05" w14:textId="468A74B4">
      <w:pPr>
        <w:rPr>
          <w:i/>
          <w:color w:val="548DD4" w:themeColor="text2" w:themeTint="99"/>
        </w:rPr>
      </w:pPr>
      <w:r w:rsidRPr="00331A03">
        <w:rPr>
          <w:i/>
          <w:color w:val="548DD4" w:themeColor="text2" w:themeTint="99"/>
        </w:rPr>
        <w:t xml:space="preserve"> </w:t>
      </w:r>
    </w:p>
    <w:p w:rsidRPr="00965F4C" w:rsidR="00B3106D" w:rsidP="00B3106D" w:rsidRDefault="005B4BDA" w14:paraId="43DA3A5F" w14:textId="43DAFE4A">
      <w:r w:rsidRPr="00965F4C">
        <w:t xml:space="preserve">Ten behoeve van de politiek-bestuurlijke afweging hebben </w:t>
      </w:r>
      <w:r w:rsidRPr="00965F4C" w:rsidR="00B3106D">
        <w:t xml:space="preserve">ECN en PBL </w:t>
      </w:r>
      <w:r w:rsidRPr="00965F4C">
        <w:t>in een ‘</w:t>
      </w:r>
      <w:proofErr w:type="spellStart"/>
      <w:r w:rsidRPr="00965F4C">
        <w:t>quick</w:t>
      </w:r>
      <w:proofErr w:type="spellEnd"/>
      <w:r w:rsidRPr="00965F4C">
        <w:t xml:space="preserve"> scan’ het reductiepotentieel van extra klimaatbeleidsmaatregelen in 2020 en een eerste inschatting van de daarmee verbonden kosten in kaart gebracht</w:t>
      </w:r>
      <w:r w:rsidR="00125059">
        <w:rPr>
          <w:rStyle w:val="FootnoteReference"/>
        </w:rPr>
        <w:footnoteReference w:id="1"/>
      </w:r>
      <w:r w:rsidR="00125059">
        <w:t>. Deze korte notitie geeft de hoofdlijn hiervan weer.</w:t>
      </w:r>
      <w:r w:rsidR="003A5F1A">
        <w:t xml:space="preserve"> In de </w:t>
      </w:r>
      <w:proofErr w:type="spellStart"/>
      <w:r w:rsidR="003A5F1A">
        <w:t>quick</w:t>
      </w:r>
      <w:proofErr w:type="spellEnd"/>
      <w:r w:rsidR="003A5F1A">
        <w:t xml:space="preserve"> scan is geen nieuw onderzoek verricht, maar deskundigen hebben bestaande literatuur verzameld en waar mogelijk leemtes in het beschikbare materiaal opgevuld met nieuwe schattingen.</w:t>
      </w:r>
    </w:p>
    <w:p w:rsidRPr="00965F4C" w:rsidR="005B4BDA" w:rsidP="00B3106D" w:rsidRDefault="005B4BDA" w14:paraId="25FE3A43" w14:textId="77777777"/>
    <w:p w:rsidR="00B3106D" w:rsidP="00B3106D" w:rsidRDefault="00037A0A" w14:paraId="3F78875D" w14:textId="6E971143">
      <w:r>
        <w:t>Aanleiding voor dit ronde tafelgesprek</w:t>
      </w:r>
      <w:r w:rsidRPr="00965F4C" w:rsidR="00FA57A9">
        <w:t xml:space="preserve"> is de uitspraak in de zaak van </w:t>
      </w:r>
      <w:proofErr w:type="spellStart"/>
      <w:r w:rsidRPr="00965F4C" w:rsidR="00FA57A9">
        <w:t>Urgenda</w:t>
      </w:r>
      <w:proofErr w:type="spellEnd"/>
      <w:r w:rsidRPr="00965F4C" w:rsidR="00FA57A9">
        <w:t xml:space="preserve"> tegen de Staat, waarin de rechter de Staat heeft opgedragen om in 2020 de binnenlandse broeikasgasemissies met 25% te reduceren ten opzichte van 1990. </w:t>
      </w:r>
      <w:r w:rsidRPr="00965F4C" w:rsidR="005B4BDA">
        <w:t xml:space="preserve">De </w:t>
      </w:r>
      <w:proofErr w:type="spellStart"/>
      <w:r w:rsidRPr="00965F4C" w:rsidR="005B4BDA">
        <w:t>quick</w:t>
      </w:r>
      <w:proofErr w:type="spellEnd"/>
      <w:r w:rsidRPr="00965F4C" w:rsidR="005B4BDA">
        <w:t xml:space="preserve"> scan laat zien dat, a</w:t>
      </w:r>
      <w:r w:rsidRPr="00965F4C" w:rsidR="00B3106D">
        <w:t xml:space="preserve">ls </w:t>
      </w:r>
      <w:r w:rsidRPr="00965F4C" w:rsidR="00F100E9">
        <w:t xml:space="preserve">al </w:t>
      </w:r>
      <w:r w:rsidRPr="00965F4C" w:rsidR="00B3106D">
        <w:t xml:space="preserve">het nu reeds vastgestelde en voorgenomen beleid wordt gerealiseerd, </w:t>
      </w:r>
      <w:r w:rsidRPr="00965F4C" w:rsidR="00F100E9">
        <w:t xml:space="preserve">een reductie van </w:t>
      </w:r>
      <w:r w:rsidRPr="00965F4C" w:rsidR="00B3106D">
        <w:t xml:space="preserve">18% </w:t>
      </w:r>
      <w:r w:rsidRPr="00965F4C" w:rsidR="00965F4C">
        <w:t xml:space="preserve">wordt </w:t>
      </w:r>
      <w:r w:rsidRPr="00965F4C" w:rsidR="00B3106D">
        <w:t xml:space="preserve">gehaald. Dit betekent dat </w:t>
      </w:r>
      <w:r w:rsidR="003A5F1A">
        <w:t xml:space="preserve">naast </w:t>
      </w:r>
      <w:r>
        <w:t xml:space="preserve">besluitvorming over de voornemens </w:t>
      </w:r>
      <w:r w:rsidRPr="00965F4C" w:rsidR="00B3106D">
        <w:t xml:space="preserve">een extra reductie van circa 15 </w:t>
      </w:r>
      <w:proofErr w:type="spellStart"/>
      <w:r w:rsidRPr="00965F4C" w:rsidR="00B3106D">
        <w:t>Mton</w:t>
      </w:r>
      <w:proofErr w:type="spellEnd"/>
      <w:r w:rsidRPr="00965F4C" w:rsidR="00B3106D">
        <w:t xml:space="preserve"> CO</w:t>
      </w:r>
      <w:r w:rsidRPr="00965F4C" w:rsidR="00B3106D">
        <w:rPr>
          <w:vertAlign w:val="subscript"/>
        </w:rPr>
        <w:t>2</w:t>
      </w:r>
      <w:r w:rsidRPr="00965F4C" w:rsidR="00F100E9">
        <w:t>-</w:t>
      </w:r>
      <w:r w:rsidRPr="00965F4C" w:rsidR="00B3106D">
        <w:t>equivalenten noodzakelijk is.</w:t>
      </w:r>
    </w:p>
    <w:p w:rsidR="001E4F03" w:rsidP="00B3106D" w:rsidRDefault="001E4F03" w14:paraId="269A4CA6" w14:textId="77777777"/>
    <w:p w:rsidRPr="00965F4C" w:rsidR="001E4F03" w:rsidP="00B3106D" w:rsidRDefault="001E4F03" w14:paraId="087B4271" w14:textId="34FB6CFF">
      <w:r>
        <w:rPr>
          <w:noProof/>
          <w:lang w:val="en-US" w:eastAsia="en-US"/>
        </w:rPr>
        <w:drawing>
          <wp:inline distT="0" distB="0" distL="0" distR="0" wp14:anchorId="2C9143DC" wp14:editId="7E0902A9">
            <wp:extent cx="4039590" cy="2728498"/>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69995" cy="2749034"/>
                    </a:xfrm>
                    <a:prstGeom prst="rect">
                      <a:avLst/>
                    </a:prstGeom>
                    <a:noFill/>
                  </pic:spPr>
                </pic:pic>
              </a:graphicData>
            </a:graphic>
          </wp:inline>
        </w:drawing>
      </w:r>
    </w:p>
    <w:p w:rsidRPr="00965F4C" w:rsidR="00B3106D" w:rsidP="00B3106D" w:rsidRDefault="00B3106D" w14:paraId="0DEDDEF8" w14:textId="77777777"/>
    <w:p w:rsidRPr="00965F4C" w:rsidR="001E4F03" w:rsidP="001E4F03" w:rsidRDefault="00F100E9" w14:paraId="21B2249C" w14:textId="2FD4AC87">
      <w:r w:rsidRPr="00965F4C">
        <w:t xml:space="preserve">PBL en </w:t>
      </w:r>
      <w:r w:rsidRPr="00965F4C" w:rsidR="00B3106D">
        <w:t>ECN hebben becijferd wat het technisch maximale reductiepotentieel in 2020 is</w:t>
      </w:r>
      <w:r w:rsidRPr="00965F4C">
        <w:t xml:space="preserve"> bovenop </w:t>
      </w:r>
      <w:r w:rsidRPr="00965F4C" w:rsidR="002B3C5D">
        <w:t xml:space="preserve">vastgesteld en voorgenomen </w:t>
      </w:r>
      <w:r w:rsidRPr="00965F4C">
        <w:t>beleid</w:t>
      </w:r>
      <w:r w:rsidRPr="00965F4C" w:rsidR="00B3106D">
        <w:t>. D</w:t>
      </w:r>
      <w:r w:rsidRPr="00965F4C" w:rsidR="005B4BDA">
        <w:t xml:space="preserve">it bedraagt ongeveer 16 </w:t>
      </w:r>
      <w:proofErr w:type="spellStart"/>
      <w:r w:rsidRPr="00965F4C" w:rsidR="005B4BDA">
        <w:t>Mton</w:t>
      </w:r>
      <w:proofErr w:type="spellEnd"/>
      <w:r w:rsidRPr="00965F4C" w:rsidR="005B4BDA">
        <w:t>. Volledige uitvoering van het Energieakkoord levert z</w:t>
      </w:r>
      <w:r w:rsidRPr="00965F4C" w:rsidR="00B3106D">
        <w:t xml:space="preserve">o’n 6 tot 9 </w:t>
      </w:r>
      <w:proofErr w:type="spellStart"/>
      <w:r w:rsidRPr="00965F4C" w:rsidR="00B3106D">
        <w:t>Mton</w:t>
      </w:r>
      <w:proofErr w:type="spellEnd"/>
      <w:r w:rsidRPr="00965F4C" w:rsidR="00B3106D">
        <w:t xml:space="preserve"> </w:t>
      </w:r>
      <w:r w:rsidRPr="00965F4C" w:rsidR="005B4BDA">
        <w:t>op</w:t>
      </w:r>
      <w:r w:rsidRPr="00965F4C" w:rsidR="00B3106D">
        <w:t xml:space="preserve">. </w:t>
      </w:r>
      <w:r w:rsidR="00037A0A">
        <w:t xml:space="preserve"> </w:t>
      </w:r>
      <w:r w:rsidRPr="00965F4C" w:rsidR="001E4F03">
        <w:t>De belangrijkste maatregelen zijn emissiebeperking bij kolencentrales (</w:t>
      </w:r>
      <w:proofErr w:type="spellStart"/>
      <w:r w:rsidRPr="00965F4C" w:rsidR="001E4F03">
        <w:t>biomassabijstook</w:t>
      </w:r>
      <w:proofErr w:type="spellEnd"/>
      <w:r w:rsidRPr="00965F4C" w:rsidR="001E4F03">
        <w:t>, afvang en opslag van CO</w:t>
      </w:r>
      <w:r w:rsidRPr="00965F4C" w:rsidR="001E4F03">
        <w:rPr>
          <w:vertAlign w:val="subscript"/>
        </w:rPr>
        <w:t>2</w:t>
      </w:r>
      <w:r w:rsidRPr="00965F4C" w:rsidR="001E4F03">
        <w:t xml:space="preserve">, vervanging door gascentrales), het aanpassen van maximumsnelheden in het transport en het invoeren van een kilometerheffing. Andere mogelijke maatregelen zijn meer energiebesparing in de industrie, het sneller verduurzamen van woningen en bedrijven, en methaanreductie in de landbouw door mestvergisting. </w:t>
      </w:r>
    </w:p>
    <w:p w:rsidRPr="00965F4C" w:rsidR="001E4F03" w:rsidP="001E4F03" w:rsidRDefault="001E4F03" w14:paraId="28F3DBD4" w14:textId="3215ED08">
      <w:r w:rsidRPr="00965F4C">
        <w:t xml:space="preserve">ECN en PBL hebben bij de </w:t>
      </w:r>
      <w:proofErr w:type="spellStart"/>
      <w:r w:rsidRPr="00965F4C">
        <w:t>quick</w:t>
      </w:r>
      <w:proofErr w:type="spellEnd"/>
      <w:r w:rsidRPr="00965F4C">
        <w:t xml:space="preserve"> scan niet gekeken naar de moeite of tijd die het kost om de maatregelen politiek en maatschappelijk voor elkaar te krijgen. Het zal een enorme uitdaging zijn om 15 </w:t>
      </w:r>
      <w:proofErr w:type="spellStart"/>
      <w:r w:rsidRPr="00965F4C">
        <w:t>Mton</w:t>
      </w:r>
      <w:proofErr w:type="spellEnd"/>
      <w:r w:rsidRPr="00965F4C">
        <w:t xml:space="preserve"> feitelijk te realiseren, waarbij uitstel van besluitvorming het nog moeilijker maakt. Als besluitvorming over de emissiereductie een jaar wordt uitgesteld, loopt het totaal terug naar 13 </w:t>
      </w:r>
      <w:proofErr w:type="spellStart"/>
      <w:r w:rsidRPr="00965F4C">
        <w:t>Mton</w:t>
      </w:r>
      <w:proofErr w:type="spellEnd"/>
      <w:r w:rsidRPr="00965F4C">
        <w:t>. Ook de maatschappelijke kosten van maatregelen zijn buiten beschouwing gelaten.</w:t>
      </w:r>
      <w:r w:rsidR="003A5F1A">
        <w:t xml:space="preserve"> Zo leidt een kil</w:t>
      </w:r>
      <w:r>
        <w:t>ometerheffing tot welvaartsverlies doordat deze de mobiliteit zal beperken.</w:t>
      </w:r>
    </w:p>
    <w:p w:rsidRPr="00965F4C" w:rsidR="001E4F03" w:rsidP="001E4F03" w:rsidRDefault="001E4F03" w14:paraId="2E452D7B" w14:textId="77777777"/>
    <w:p w:rsidR="001E4F03" w:rsidP="00FA57A9" w:rsidRDefault="001E4F03" w14:paraId="0EF754EF" w14:textId="77777777"/>
    <w:p w:rsidRPr="00965F4C" w:rsidR="001E4F03" w:rsidP="00FA57A9" w:rsidRDefault="001E4F03" w14:paraId="41820B13" w14:textId="77777777"/>
    <w:p w:rsidRPr="00965F4C" w:rsidR="00B3106D" w:rsidP="00B3106D" w:rsidRDefault="00B3106D" w14:paraId="70F29EC7" w14:textId="77777777"/>
    <w:tbl>
      <w:tblPr>
        <w:tblStyle w:val="LightList-Accent3"/>
        <w:tblW w:w="0" w:type="auto"/>
        <w:tblLook w:val="04A0" w:firstRow="1" w:lastRow="0" w:firstColumn="1" w:lastColumn="0" w:noHBand="0" w:noVBand="1"/>
      </w:tblPr>
      <w:tblGrid>
        <w:gridCol w:w="2295"/>
        <w:gridCol w:w="3672"/>
        <w:gridCol w:w="3275"/>
      </w:tblGrid>
      <w:tr w:rsidRPr="001E4F03" w:rsidR="001E4F03" w:rsidTr="00D8618E" w14:paraId="6393D5FF" w14:textId="77777777">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452" w:type="dxa"/>
          </w:tcPr>
          <w:p w:rsidRPr="001E4F03" w:rsidR="001E4F03" w:rsidP="001E4F03" w:rsidRDefault="001E4F03" w14:paraId="0F2937BF" w14:textId="77777777">
            <w:pPr>
              <w:spacing w:line="260" w:lineRule="atLeast"/>
              <w:contextualSpacing/>
              <w:rPr>
                <w:rFonts w:ascii="Verdana" w:hAnsi="Verdana" w:cstheme="minorBidi"/>
                <w:sz w:val="18"/>
                <w:lang w:eastAsia="en-US"/>
              </w:rPr>
            </w:pPr>
            <w:r w:rsidRPr="001E4F03">
              <w:rPr>
                <w:rFonts w:ascii="Verdana" w:hAnsi="Verdana" w:cstheme="minorBidi"/>
                <w:sz w:val="18"/>
                <w:lang w:eastAsia="en-US"/>
              </w:rPr>
              <w:lastRenderedPageBreak/>
              <w:t>Sector</w:t>
            </w:r>
          </w:p>
        </w:tc>
        <w:tc>
          <w:tcPr>
            <w:tcW w:w="3996" w:type="dxa"/>
          </w:tcPr>
          <w:p w:rsidRPr="001E4F03" w:rsidR="001E4F03" w:rsidP="00037A0A" w:rsidRDefault="001E4F03" w14:paraId="3B4C62B1" w14:textId="50D78A0C">
            <w:pPr>
              <w:spacing w:line="260" w:lineRule="atLeast"/>
              <w:contextualSpacing/>
              <w:cnfStyle w:val="100000000000" w:firstRow="1" w:lastRow="0" w:firstColumn="0" w:lastColumn="0" w:oddVBand="0" w:evenVBand="0" w:oddHBand="0" w:evenHBand="0" w:firstRowFirstColumn="0" w:firstRowLastColumn="0" w:lastRowFirstColumn="0" w:lastRowLastColumn="0"/>
              <w:rPr>
                <w:rFonts w:ascii="Verdana" w:hAnsi="Verdana" w:cstheme="minorBidi"/>
                <w:sz w:val="18"/>
                <w:lang w:eastAsia="en-US"/>
              </w:rPr>
            </w:pPr>
            <w:proofErr w:type="spellStart"/>
            <w:r w:rsidRPr="001E4F03">
              <w:rPr>
                <w:rFonts w:ascii="Verdana" w:hAnsi="Verdana" w:cstheme="minorBidi"/>
                <w:sz w:val="18"/>
                <w:lang w:eastAsia="en-US"/>
              </w:rPr>
              <w:t>Maximaal</w:t>
            </w:r>
            <w:proofErr w:type="spellEnd"/>
            <w:r w:rsidRPr="001E4F03">
              <w:rPr>
                <w:rFonts w:ascii="Verdana" w:hAnsi="Verdana" w:cstheme="minorBidi"/>
                <w:sz w:val="18"/>
                <w:lang w:eastAsia="en-US"/>
              </w:rPr>
              <w:t xml:space="preserve"> </w:t>
            </w:r>
            <w:proofErr w:type="spellStart"/>
            <w:r w:rsidRPr="001E4F03">
              <w:rPr>
                <w:rFonts w:ascii="Verdana" w:hAnsi="Verdana" w:cstheme="minorBidi"/>
                <w:sz w:val="18"/>
                <w:lang w:eastAsia="en-US"/>
              </w:rPr>
              <w:t>reductiepotentieel</w:t>
            </w:r>
            <w:proofErr w:type="spellEnd"/>
            <w:r w:rsidRPr="001E4F03">
              <w:rPr>
                <w:rFonts w:ascii="Verdana" w:hAnsi="Verdana" w:cstheme="minorBidi"/>
                <w:sz w:val="18"/>
                <w:lang w:eastAsia="en-US"/>
              </w:rPr>
              <w:t xml:space="preserve"> in 2020 [</w:t>
            </w:r>
            <w:proofErr w:type="spellStart"/>
            <w:r w:rsidRPr="001E4F03">
              <w:rPr>
                <w:rFonts w:ascii="Verdana" w:hAnsi="Verdana" w:cstheme="minorBidi"/>
                <w:sz w:val="18"/>
                <w:lang w:eastAsia="en-US"/>
              </w:rPr>
              <w:t>Mton</w:t>
            </w:r>
            <w:proofErr w:type="spellEnd"/>
            <w:r w:rsidRPr="001E4F03">
              <w:rPr>
                <w:rFonts w:ascii="Verdana" w:hAnsi="Verdana" w:cstheme="minorBidi"/>
                <w:sz w:val="18"/>
                <w:lang w:eastAsia="en-US"/>
              </w:rPr>
              <w:t xml:space="preserve"> CO</w:t>
            </w:r>
            <w:r w:rsidRPr="001E4F03">
              <w:rPr>
                <w:rFonts w:ascii="Verdana" w:hAnsi="Verdana" w:cstheme="minorBidi"/>
                <w:sz w:val="18"/>
                <w:vertAlign w:val="subscript"/>
                <w:lang w:eastAsia="en-US"/>
              </w:rPr>
              <w:t>2</w:t>
            </w:r>
            <w:r w:rsidRPr="001E4F03">
              <w:rPr>
                <w:rFonts w:ascii="Verdana" w:hAnsi="Verdana" w:cstheme="minorBidi"/>
                <w:sz w:val="18"/>
                <w:lang w:eastAsia="en-US"/>
              </w:rPr>
              <w:t xml:space="preserve"> </w:t>
            </w:r>
            <w:proofErr w:type="spellStart"/>
            <w:r w:rsidRPr="001E4F03">
              <w:rPr>
                <w:rFonts w:ascii="Verdana" w:hAnsi="Verdana" w:cstheme="minorBidi"/>
                <w:sz w:val="18"/>
                <w:lang w:eastAsia="en-US"/>
              </w:rPr>
              <w:t>eq</w:t>
            </w:r>
            <w:proofErr w:type="spellEnd"/>
            <w:r w:rsidRPr="001E4F03">
              <w:rPr>
                <w:rFonts w:ascii="Verdana" w:hAnsi="Verdana" w:cstheme="minorBidi"/>
                <w:sz w:val="18"/>
                <w:lang w:eastAsia="en-US"/>
              </w:rPr>
              <w:t>]</w:t>
            </w:r>
          </w:p>
        </w:tc>
        <w:tc>
          <w:tcPr>
            <w:tcW w:w="3514" w:type="dxa"/>
          </w:tcPr>
          <w:p w:rsidRPr="001E4F03" w:rsidR="001E4F03" w:rsidP="001E4F03" w:rsidRDefault="001E4F03" w14:paraId="7C730500" w14:textId="77777777">
            <w:pPr>
              <w:spacing w:line="260" w:lineRule="atLeast"/>
              <w:contextualSpacing/>
              <w:cnfStyle w:val="100000000000" w:firstRow="1" w:lastRow="0" w:firstColumn="0" w:lastColumn="0" w:oddVBand="0" w:evenVBand="0" w:oddHBand="0" w:evenHBand="0" w:firstRowFirstColumn="0" w:firstRowLastColumn="0" w:lastRowFirstColumn="0" w:lastRowLastColumn="0"/>
              <w:rPr>
                <w:rFonts w:ascii="Verdana" w:hAnsi="Verdana" w:cstheme="minorBidi"/>
                <w:sz w:val="18"/>
                <w:lang w:val="nl-NL" w:eastAsia="en-US"/>
              </w:rPr>
            </w:pPr>
            <w:r w:rsidRPr="001E4F03">
              <w:rPr>
                <w:rFonts w:ascii="Verdana" w:hAnsi="Verdana" w:cstheme="minorBidi"/>
                <w:sz w:val="18"/>
                <w:lang w:val="nl-NL" w:eastAsia="en-US"/>
              </w:rPr>
              <w:t>Belangrijkste maatregelen qua potentiële bijdrage</w:t>
            </w:r>
          </w:p>
        </w:tc>
      </w:tr>
      <w:tr w:rsidRPr="001E4F03" w:rsidR="001E4F03" w:rsidTr="00D8618E" w14:paraId="31302DF8" w14:textId="77777777">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452" w:type="dxa"/>
          </w:tcPr>
          <w:p w:rsidRPr="001E4F03" w:rsidR="001E4F03" w:rsidP="001E4F03" w:rsidRDefault="001E4F03" w14:paraId="3985815C" w14:textId="77777777">
            <w:pPr>
              <w:spacing w:line="260" w:lineRule="atLeast"/>
              <w:contextualSpacing/>
              <w:rPr>
                <w:rFonts w:ascii="Verdana" w:hAnsi="Verdana" w:cstheme="minorBidi"/>
                <w:sz w:val="18"/>
                <w:lang w:eastAsia="en-US"/>
              </w:rPr>
            </w:pPr>
            <w:proofErr w:type="spellStart"/>
            <w:r w:rsidRPr="001E4F03">
              <w:rPr>
                <w:rFonts w:ascii="Verdana" w:hAnsi="Verdana" w:cstheme="minorBidi"/>
                <w:sz w:val="18"/>
                <w:lang w:eastAsia="en-US"/>
              </w:rPr>
              <w:t>Industrie</w:t>
            </w:r>
            <w:bookmarkStart w:name="_Ref427653265" w:id="1"/>
            <w:proofErr w:type="spellEnd"/>
            <w:r w:rsidRPr="001E4F03">
              <w:rPr>
                <w:rFonts w:ascii="Verdana" w:hAnsi="Verdana" w:cstheme="minorBidi"/>
                <w:sz w:val="18"/>
                <w:vertAlign w:val="superscript"/>
                <w:lang w:eastAsia="en-US"/>
              </w:rPr>
              <w:footnoteReference w:id="2"/>
            </w:r>
            <w:bookmarkEnd w:id="1"/>
          </w:p>
        </w:tc>
        <w:tc>
          <w:tcPr>
            <w:tcW w:w="3996" w:type="dxa"/>
          </w:tcPr>
          <w:p w:rsidRPr="001E4F03" w:rsidR="001E4F03" w:rsidP="001E4F03" w:rsidRDefault="001E4F03" w14:paraId="51C08B93" w14:textId="77777777">
            <w:pPr>
              <w:spacing w:line="260" w:lineRule="atLeast"/>
              <w:contextualSpacing/>
              <w:cnfStyle w:val="000000100000" w:firstRow="0" w:lastRow="0" w:firstColumn="0" w:lastColumn="0" w:oddVBand="0" w:evenVBand="0" w:oddHBand="1" w:evenHBand="0" w:firstRowFirstColumn="0" w:firstRowLastColumn="0" w:lastRowFirstColumn="0" w:lastRowLastColumn="0"/>
              <w:rPr>
                <w:rFonts w:ascii="Verdana" w:hAnsi="Verdana" w:cstheme="minorBidi"/>
                <w:sz w:val="18"/>
                <w:lang w:eastAsia="en-US"/>
              </w:rPr>
            </w:pPr>
            <w:r w:rsidRPr="001E4F03">
              <w:rPr>
                <w:rFonts w:ascii="Verdana" w:hAnsi="Verdana" w:cstheme="minorBidi"/>
                <w:sz w:val="18"/>
                <w:lang w:eastAsia="en-US"/>
              </w:rPr>
              <w:t>2</w:t>
            </w:r>
          </w:p>
        </w:tc>
        <w:tc>
          <w:tcPr>
            <w:tcW w:w="3514" w:type="dxa"/>
          </w:tcPr>
          <w:p w:rsidRPr="001E4F03" w:rsidR="001E4F03" w:rsidP="001E4F03" w:rsidRDefault="001E4F03" w14:paraId="62B7687B" w14:textId="77777777">
            <w:pPr>
              <w:spacing w:line="260" w:lineRule="atLeast"/>
              <w:contextualSpacing/>
              <w:cnfStyle w:val="000000100000" w:firstRow="0" w:lastRow="0" w:firstColumn="0" w:lastColumn="0" w:oddVBand="0" w:evenVBand="0" w:oddHBand="1" w:evenHBand="0" w:firstRowFirstColumn="0" w:firstRowLastColumn="0" w:lastRowFirstColumn="0" w:lastRowLastColumn="0"/>
              <w:rPr>
                <w:rFonts w:ascii="Verdana" w:hAnsi="Verdana" w:cstheme="minorBidi"/>
                <w:sz w:val="18"/>
                <w:lang w:eastAsia="en-US"/>
              </w:rPr>
            </w:pPr>
            <w:proofErr w:type="spellStart"/>
            <w:r w:rsidRPr="001E4F03">
              <w:rPr>
                <w:rFonts w:ascii="Verdana" w:hAnsi="Verdana" w:cstheme="minorBidi"/>
                <w:sz w:val="18"/>
                <w:lang w:eastAsia="en-US"/>
              </w:rPr>
              <w:t>Energiebesparing</w:t>
            </w:r>
            <w:proofErr w:type="spellEnd"/>
            <w:r w:rsidRPr="001E4F03">
              <w:rPr>
                <w:rFonts w:ascii="Verdana" w:hAnsi="Verdana" w:cstheme="minorBidi"/>
                <w:sz w:val="18"/>
                <w:lang w:eastAsia="en-US"/>
              </w:rPr>
              <w:t xml:space="preserve"> en CCS</w:t>
            </w:r>
          </w:p>
        </w:tc>
      </w:tr>
      <w:tr w:rsidRPr="001E4F03" w:rsidR="001E4F03" w:rsidTr="00D8618E" w14:paraId="2FE2561D" w14:textId="77777777">
        <w:trPr>
          <w:trHeight w:val="348"/>
        </w:trPr>
        <w:tc>
          <w:tcPr>
            <w:cnfStyle w:val="001000000000" w:firstRow="0" w:lastRow="0" w:firstColumn="1" w:lastColumn="0" w:oddVBand="0" w:evenVBand="0" w:oddHBand="0" w:evenHBand="0" w:firstRowFirstColumn="0" w:firstRowLastColumn="0" w:lastRowFirstColumn="0" w:lastRowLastColumn="0"/>
            <w:tcW w:w="2452" w:type="dxa"/>
          </w:tcPr>
          <w:p w:rsidRPr="001E4F03" w:rsidR="001E4F03" w:rsidP="00037A0A" w:rsidRDefault="001E4F03" w14:paraId="20606387" w14:textId="77D7D23C">
            <w:pPr>
              <w:spacing w:line="260" w:lineRule="atLeast"/>
              <w:contextualSpacing/>
              <w:rPr>
                <w:rFonts w:ascii="Verdana" w:hAnsi="Verdana" w:cstheme="minorBidi"/>
                <w:sz w:val="18"/>
                <w:lang w:eastAsia="en-US"/>
              </w:rPr>
            </w:pPr>
            <w:r w:rsidRPr="001E4F03">
              <w:rPr>
                <w:rFonts w:ascii="Verdana" w:hAnsi="Verdana" w:cstheme="minorBidi"/>
                <w:sz w:val="18"/>
                <w:lang w:eastAsia="en-US"/>
              </w:rPr>
              <w:t>Energie</w:t>
            </w:r>
          </w:p>
        </w:tc>
        <w:tc>
          <w:tcPr>
            <w:tcW w:w="3996" w:type="dxa"/>
          </w:tcPr>
          <w:p w:rsidRPr="001E4F03" w:rsidR="001E4F03" w:rsidP="001E4F03" w:rsidRDefault="001E4F03" w14:paraId="2CD7031E" w14:textId="77777777">
            <w:pPr>
              <w:spacing w:line="260" w:lineRule="atLeast"/>
              <w:contextualSpacing/>
              <w:cnfStyle w:val="000000000000" w:firstRow="0" w:lastRow="0" w:firstColumn="0" w:lastColumn="0" w:oddVBand="0" w:evenVBand="0" w:oddHBand="0" w:evenHBand="0" w:firstRowFirstColumn="0" w:firstRowLastColumn="0" w:lastRowFirstColumn="0" w:lastRowLastColumn="0"/>
              <w:rPr>
                <w:rFonts w:ascii="Verdana" w:hAnsi="Verdana" w:cstheme="minorBidi"/>
                <w:sz w:val="18"/>
                <w:lang w:eastAsia="en-US"/>
              </w:rPr>
            </w:pPr>
            <w:r w:rsidRPr="001E4F03">
              <w:rPr>
                <w:rFonts w:ascii="Verdana" w:hAnsi="Verdana" w:cstheme="minorBidi"/>
                <w:sz w:val="18"/>
                <w:lang w:eastAsia="en-US"/>
              </w:rPr>
              <w:t>5</w:t>
            </w:r>
          </w:p>
        </w:tc>
        <w:tc>
          <w:tcPr>
            <w:tcW w:w="3514" w:type="dxa"/>
          </w:tcPr>
          <w:p w:rsidRPr="001E4F03" w:rsidR="001E4F03" w:rsidP="001E4F03" w:rsidRDefault="001E4F03" w14:paraId="4F9F5DE7" w14:textId="77777777">
            <w:pPr>
              <w:spacing w:line="260" w:lineRule="atLeast"/>
              <w:contextualSpacing/>
              <w:cnfStyle w:val="000000000000" w:firstRow="0" w:lastRow="0" w:firstColumn="0" w:lastColumn="0" w:oddVBand="0" w:evenVBand="0" w:oddHBand="0" w:evenHBand="0" w:firstRowFirstColumn="0" w:firstRowLastColumn="0" w:lastRowFirstColumn="0" w:lastRowLastColumn="0"/>
              <w:rPr>
                <w:rFonts w:ascii="Verdana" w:hAnsi="Verdana" w:cstheme="minorBidi"/>
                <w:sz w:val="18"/>
                <w:lang w:val="nl-NL" w:eastAsia="en-US"/>
              </w:rPr>
            </w:pPr>
            <w:r w:rsidRPr="001E4F03">
              <w:rPr>
                <w:rFonts w:ascii="Verdana" w:hAnsi="Verdana" w:cstheme="minorBidi"/>
                <w:sz w:val="18"/>
                <w:lang w:val="nl-NL" w:eastAsia="en-US"/>
              </w:rPr>
              <w:t>Emissiebeperkende maatregelen bij kolencentrales (</w:t>
            </w:r>
            <w:proofErr w:type="spellStart"/>
            <w:r w:rsidRPr="001E4F03">
              <w:rPr>
                <w:rFonts w:ascii="Verdana" w:hAnsi="Verdana" w:cstheme="minorBidi"/>
                <w:sz w:val="18"/>
                <w:lang w:val="nl-NL" w:eastAsia="en-US"/>
              </w:rPr>
              <w:t>biomassameestook</w:t>
            </w:r>
            <w:proofErr w:type="spellEnd"/>
            <w:r w:rsidRPr="001E4F03">
              <w:rPr>
                <w:rFonts w:ascii="Verdana" w:hAnsi="Verdana" w:cstheme="minorBidi"/>
                <w:sz w:val="18"/>
                <w:lang w:val="nl-NL" w:eastAsia="en-US"/>
              </w:rPr>
              <w:t xml:space="preserve">, CCS), inzet gas </w:t>
            </w:r>
            <w:proofErr w:type="spellStart"/>
            <w:r w:rsidRPr="001E4F03">
              <w:rPr>
                <w:rFonts w:ascii="Verdana" w:hAnsi="Verdana" w:cstheme="minorBidi"/>
                <w:sz w:val="18"/>
                <w:lang w:val="nl-NL" w:eastAsia="en-US"/>
              </w:rPr>
              <w:t>ipv</w:t>
            </w:r>
            <w:proofErr w:type="spellEnd"/>
            <w:r w:rsidRPr="001E4F03">
              <w:rPr>
                <w:rFonts w:ascii="Verdana" w:hAnsi="Verdana" w:cstheme="minorBidi"/>
                <w:sz w:val="18"/>
                <w:lang w:val="nl-NL" w:eastAsia="en-US"/>
              </w:rPr>
              <w:t xml:space="preserve"> kolen</w:t>
            </w:r>
          </w:p>
        </w:tc>
      </w:tr>
      <w:tr w:rsidRPr="001E4F03" w:rsidR="001E4F03" w:rsidTr="00D8618E" w14:paraId="4A68FF3E" w14:textId="77777777">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452" w:type="dxa"/>
          </w:tcPr>
          <w:p w:rsidRPr="001E4F03" w:rsidR="001E4F03" w:rsidP="001E4F03" w:rsidRDefault="001E4F03" w14:paraId="190E5F4B" w14:textId="77777777">
            <w:pPr>
              <w:spacing w:line="260" w:lineRule="atLeast"/>
              <w:contextualSpacing/>
              <w:rPr>
                <w:rFonts w:ascii="Verdana" w:hAnsi="Verdana" w:cstheme="minorBidi"/>
                <w:sz w:val="18"/>
                <w:lang w:eastAsia="en-US"/>
              </w:rPr>
            </w:pPr>
            <w:r w:rsidRPr="001E4F03">
              <w:rPr>
                <w:rFonts w:ascii="Verdana" w:hAnsi="Verdana" w:cstheme="minorBidi"/>
                <w:sz w:val="18"/>
                <w:lang w:eastAsia="en-US"/>
              </w:rPr>
              <w:t>Transport</w:t>
            </w:r>
          </w:p>
        </w:tc>
        <w:tc>
          <w:tcPr>
            <w:tcW w:w="3996" w:type="dxa"/>
          </w:tcPr>
          <w:p w:rsidRPr="001E4F03" w:rsidR="001E4F03" w:rsidP="001E4F03" w:rsidRDefault="001E4F03" w14:paraId="576A8208" w14:textId="77777777">
            <w:pPr>
              <w:spacing w:line="260" w:lineRule="atLeast"/>
              <w:contextualSpacing/>
              <w:cnfStyle w:val="000000100000" w:firstRow="0" w:lastRow="0" w:firstColumn="0" w:lastColumn="0" w:oddVBand="0" w:evenVBand="0" w:oddHBand="1" w:evenHBand="0" w:firstRowFirstColumn="0" w:firstRowLastColumn="0" w:lastRowFirstColumn="0" w:lastRowLastColumn="0"/>
              <w:rPr>
                <w:rFonts w:ascii="Verdana" w:hAnsi="Verdana" w:cstheme="minorBidi"/>
                <w:sz w:val="18"/>
                <w:lang w:eastAsia="en-US"/>
              </w:rPr>
            </w:pPr>
            <w:r w:rsidRPr="001E4F03">
              <w:rPr>
                <w:rFonts w:ascii="Verdana" w:hAnsi="Verdana" w:cstheme="minorBidi"/>
                <w:sz w:val="18"/>
                <w:lang w:eastAsia="en-US"/>
              </w:rPr>
              <w:t>6</w:t>
            </w:r>
          </w:p>
        </w:tc>
        <w:tc>
          <w:tcPr>
            <w:tcW w:w="3514" w:type="dxa"/>
          </w:tcPr>
          <w:p w:rsidRPr="001E4F03" w:rsidR="001E4F03" w:rsidP="001E4F03" w:rsidRDefault="001E4F03" w14:paraId="2C0B592E" w14:textId="77777777">
            <w:pPr>
              <w:spacing w:line="260" w:lineRule="atLeast"/>
              <w:contextualSpacing/>
              <w:cnfStyle w:val="000000100000" w:firstRow="0" w:lastRow="0" w:firstColumn="0" w:lastColumn="0" w:oddVBand="0" w:evenVBand="0" w:oddHBand="1" w:evenHBand="0" w:firstRowFirstColumn="0" w:firstRowLastColumn="0" w:lastRowFirstColumn="0" w:lastRowLastColumn="0"/>
              <w:rPr>
                <w:rFonts w:ascii="Verdana" w:hAnsi="Verdana" w:cstheme="minorBidi"/>
                <w:sz w:val="18"/>
                <w:lang w:eastAsia="en-US"/>
              </w:rPr>
            </w:pPr>
            <w:proofErr w:type="spellStart"/>
            <w:r w:rsidRPr="001E4F03">
              <w:rPr>
                <w:rFonts w:ascii="Verdana" w:hAnsi="Verdana" w:cstheme="minorBidi"/>
                <w:sz w:val="18"/>
                <w:lang w:eastAsia="en-US"/>
              </w:rPr>
              <w:t>Kilometerheffing</w:t>
            </w:r>
            <w:proofErr w:type="spellEnd"/>
            <w:r w:rsidRPr="001E4F03">
              <w:rPr>
                <w:rFonts w:ascii="Verdana" w:hAnsi="Verdana" w:cstheme="minorBidi"/>
                <w:sz w:val="18"/>
                <w:lang w:eastAsia="en-US"/>
              </w:rPr>
              <w:t xml:space="preserve"> en </w:t>
            </w:r>
            <w:proofErr w:type="spellStart"/>
            <w:r w:rsidRPr="001E4F03">
              <w:rPr>
                <w:rFonts w:ascii="Verdana" w:hAnsi="Verdana" w:cstheme="minorBidi"/>
                <w:sz w:val="18"/>
                <w:lang w:eastAsia="en-US"/>
              </w:rPr>
              <w:t>aanpassen</w:t>
            </w:r>
            <w:proofErr w:type="spellEnd"/>
            <w:r w:rsidRPr="001E4F03">
              <w:rPr>
                <w:rFonts w:ascii="Verdana" w:hAnsi="Verdana" w:cstheme="minorBidi"/>
                <w:sz w:val="18"/>
                <w:lang w:eastAsia="en-US"/>
              </w:rPr>
              <w:t xml:space="preserve"> </w:t>
            </w:r>
            <w:proofErr w:type="spellStart"/>
            <w:r w:rsidRPr="001E4F03">
              <w:rPr>
                <w:rFonts w:ascii="Verdana" w:hAnsi="Verdana" w:cstheme="minorBidi"/>
                <w:sz w:val="18"/>
                <w:lang w:eastAsia="en-US"/>
              </w:rPr>
              <w:t>maximumsnelheid</w:t>
            </w:r>
            <w:proofErr w:type="spellEnd"/>
          </w:p>
        </w:tc>
      </w:tr>
      <w:tr w:rsidRPr="001E4F03" w:rsidR="001E4F03" w:rsidTr="00D8618E" w14:paraId="12D702E4" w14:textId="77777777">
        <w:trPr>
          <w:trHeight w:val="329"/>
        </w:trPr>
        <w:tc>
          <w:tcPr>
            <w:cnfStyle w:val="001000000000" w:firstRow="0" w:lastRow="0" w:firstColumn="1" w:lastColumn="0" w:oddVBand="0" w:evenVBand="0" w:oddHBand="0" w:evenHBand="0" w:firstRowFirstColumn="0" w:firstRowLastColumn="0" w:lastRowFirstColumn="0" w:lastRowLastColumn="0"/>
            <w:tcW w:w="2452" w:type="dxa"/>
          </w:tcPr>
          <w:p w:rsidRPr="001E4F03" w:rsidR="001E4F03" w:rsidP="001E4F03" w:rsidRDefault="001E4F03" w14:paraId="3914DCF1" w14:textId="77777777">
            <w:pPr>
              <w:spacing w:line="260" w:lineRule="atLeast"/>
              <w:contextualSpacing/>
              <w:rPr>
                <w:rFonts w:ascii="Verdana" w:hAnsi="Verdana" w:cstheme="minorBidi"/>
                <w:sz w:val="18"/>
                <w:lang w:eastAsia="en-US"/>
              </w:rPr>
            </w:pPr>
            <w:proofErr w:type="spellStart"/>
            <w:r w:rsidRPr="001E4F03">
              <w:rPr>
                <w:rFonts w:ascii="Verdana" w:hAnsi="Verdana" w:cstheme="minorBidi"/>
                <w:sz w:val="18"/>
                <w:lang w:eastAsia="en-US"/>
              </w:rPr>
              <w:t>Huishoudens</w:t>
            </w:r>
            <w:proofErr w:type="spellEnd"/>
          </w:p>
        </w:tc>
        <w:tc>
          <w:tcPr>
            <w:tcW w:w="3996" w:type="dxa"/>
          </w:tcPr>
          <w:p w:rsidRPr="001E4F03" w:rsidR="001E4F03" w:rsidP="001E4F03" w:rsidRDefault="001E4F03" w14:paraId="706CE735" w14:textId="77777777">
            <w:pPr>
              <w:spacing w:line="260" w:lineRule="atLeast"/>
              <w:contextualSpacing/>
              <w:cnfStyle w:val="000000000000" w:firstRow="0" w:lastRow="0" w:firstColumn="0" w:lastColumn="0" w:oddVBand="0" w:evenVBand="0" w:oddHBand="0" w:evenHBand="0" w:firstRowFirstColumn="0" w:firstRowLastColumn="0" w:lastRowFirstColumn="0" w:lastRowLastColumn="0"/>
              <w:rPr>
                <w:rFonts w:ascii="Verdana" w:hAnsi="Verdana" w:cstheme="minorBidi"/>
                <w:sz w:val="18"/>
                <w:lang w:eastAsia="en-US"/>
              </w:rPr>
            </w:pPr>
            <w:r w:rsidRPr="001E4F03">
              <w:rPr>
                <w:rFonts w:ascii="Verdana" w:hAnsi="Verdana" w:cstheme="minorBidi"/>
                <w:sz w:val="18"/>
                <w:lang w:eastAsia="en-US"/>
              </w:rPr>
              <w:t>1</w:t>
            </w:r>
          </w:p>
        </w:tc>
        <w:tc>
          <w:tcPr>
            <w:tcW w:w="3514" w:type="dxa"/>
          </w:tcPr>
          <w:p w:rsidRPr="001E4F03" w:rsidR="001E4F03" w:rsidP="001E4F03" w:rsidRDefault="001E4F03" w14:paraId="1CEEDE68" w14:textId="77777777">
            <w:pPr>
              <w:spacing w:line="260" w:lineRule="atLeast"/>
              <w:contextualSpacing/>
              <w:cnfStyle w:val="000000000000" w:firstRow="0" w:lastRow="0" w:firstColumn="0" w:lastColumn="0" w:oddVBand="0" w:evenVBand="0" w:oddHBand="0" w:evenHBand="0" w:firstRowFirstColumn="0" w:firstRowLastColumn="0" w:lastRowFirstColumn="0" w:lastRowLastColumn="0"/>
              <w:rPr>
                <w:rFonts w:ascii="Verdana" w:hAnsi="Verdana" w:cstheme="minorBidi"/>
                <w:sz w:val="18"/>
                <w:lang w:eastAsia="en-US"/>
              </w:rPr>
            </w:pPr>
            <w:proofErr w:type="spellStart"/>
            <w:r w:rsidRPr="001E4F03">
              <w:rPr>
                <w:rFonts w:ascii="Verdana" w:hAnsi="Verdana" w:cstheme="minorBidi"/>
                <w:sz w:val="18"/>
                <w:lang w:eastAsia="en-US"/>
              </w:rPr>
              <w:t>Verduurzamen</w:t>
            </w:r>
            <w:proofErr w:type="spellEnd"/>
            <w:r w:rsidRPr="001E4F03">
              <w:rPr>
                <w:rFonts w:ascii="Verdana" w:hAnsi="Verdana" w:cstheme="minorBidi"/>
                <w:sz w:val="18"/>
                <w:lang w:eastAsia="en-US"/>
              </w:rPr>
              <w:t xml:space="preserve"> </w:t>
            </w:r>
            <w:proofErr w:type="spellStart"/>
            <w:r w:rsidRPr="001E4F03">
              <w:rPr>
                <w:rFonts w:ascii="Verdana" w:hAnsi="Verdana" w:cstheme="minorBidi"/>
                <w:sz w:val="18"/>
                <w:lang w:eastAsia="en-US"/>
              </w:rPr>
              <w:t>energievoorziening</w:t>
            </w:r>
            <w:proofErr w:type="spellEnd"/>
            <w:r w:rsidRPr="001E4F03">
              <w:rPr>
                <w:rFonts w:ascii="Verdana" w:hAnsi="Verdana" w:cstheme="minorBidi"/>
                <w:sz w:val="18"/>
                <w:lang w:eastAsia="en-US"/>
              </w:rPr>
              <w:t xml:space="preserve"> </w:t>
            </w:r>
            <w:proofErr w:type="spellStart"/>
            <w:r w:rsidRPr="001E4F03">
              <w:rPr>
                <w:rFonts w:ascii="Verdana" w:hAnsi="Verdana" w:cstheme="minorBidi"/>
                <w:sz w:val="18"/>
                <w:lang w:eastAsia="en-US"/>
              </w:rPr>
              <w:t>woningen</w:t>
            </w:r>
            <w:proofErr w:type="spellEnd"/>
          </w:p>
        </w:tc>
      </w:tr>
      <w:tr w:rsidRPr="001E4F03" w:rsidR="001E4F03" w:rsidTr="00D8618E" w14:paraId="7DED9C41" w14:textId="77777777">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452" w:type="dxa"/>
          </w:tcPr>
          <w:p w:rsidRPr="001E4F03" w:rsidR="001E4F03" w:rsidP="001E4F03" w:rsidRDefault="001E4F03" w14:paraId="5D96A6C3" w14:textId="77777777">
            <w:pPr>
              <w:spacing w:line="260" w:lineRule="atLeast"/>
              <w:contextualSpacing/>
              <w:rPr>
                <w:rFonts w:ascii="Verdana" w:hAnsi="Verdana" w:cstheme="minorBidi"/>
                <w:sz w:val="18"/>
                <w:lang w:eastAsia="en-US"/>
              </w:rPr>
            </w:pPr>
            <w:proofErr w:type="spellStart"/>
            <w:r w:rsidRPr="001E4F03">
              <w:rPr>
                <w:rFonts w:ascii="Verdana" w:hAnsi="Verdana" w:cstheme="minorBidi"/>
                <w:sz w:val="18"/>
                <w:lang w:eastAsia="en-US"/>
              </w:rPr>
              <w:t>Diensten</w:t>
            </w:r>
            <w:proofErr w:type="spellEnd"/>
          </w:p>
        </w:tc>
        <w:tc>
          <w:tcPr>
            <w:tcW w:w="3996" w:type="dxa"/>
          </w:tcPr>
          <w:p w:rsidRPr="001E4F03" w:rsidR="001E4F03" w:rsidP="001E4F03" w:rsidRDefault="001E4F03" w14:paraId="7788810B" w14:textId="77777777">
            <w:pPr>
              <w:spacing w:line="260" w:lineRule="atLeast"/>
              <w:contextualSpacing/>
              <w:cnfStyle w:val="000000100000" w:firstRow="0" w:lastRow="0" w:firstColumn="0" w:lastColumn="0" w:oddVBand="0" w:evenVBand="0" w:oddHBand="1" w:evenHBand="0" w:firstRowFirstColumn="0" w:firstRowLastColumn="0" w:lastRowFirstColumn="0" w:lastRowLastColumn="0"/>
              <w:rPr>
                <w:rFonts w:ascii="Verdana" w:hAnsi="Verdana" w:cstheme="minorBidi"/>
                <w:sz w:val="18"/>
                <w:lang w:eastAsia="en-US"/>
              </w:rPr>
            </w:pPr>
            <w:r w:rsidRPr="001E4F03">
              <w:rPr>
                <w:rFonts w:ascii="Verdana" w:hAnsi="Verdana" w:cstheme="minorBidi"/>
                <w:sz w:val="18"/>
                <w:lang w:eastAsia="en-US"/>
              </w:rPr>
              <w:t>1</w:t>
            </w:r>
          </w:p>
        </w:tc>
        <w:tc>
          <w:tcPr>
            <w:tcW w:w="3514" w:type="dxa"/>
          </w:tcPr>
          <w:p w:rsidRPr="001E4F03" w:rsidR="001E4F03" w:rsidP="001E4F03" w:rsidRDefault="001E4F03" w14:paraId="4ACB8D03" w14:textId="77777777">
            <w:pPr>
              <w:spacing w:line="260" w:lineRule="atLeast"/>
              <w:contextualSpacing/>
              <w:cnfStyle w:val="000000100000" w:firstRow="0" w:lastRow="0" w:firstColumn="0" w:lastColumn="0" w:oddVBand="0" w:evenVBand="0" w:oddHBand="1" w:evenHBand="0" w:firstRowFirstColumn="0" w:firstRowLastColumn="0" w:lastRowFirstColumn="0" w:lastRowLastColumn="0"/>
              <w:rPr>
                <w:rFonts w:ascii="Verdana" w:hAnsi="Verdana" w:cstheme="minorBidi"/>
                <w:sz w:val="18"/>
                <w:lang w:eastAsia="en-US"/>
              </w:rPr>
            </w:pPr>
            <w:proofErr w:type="spellStart"/>
            <w:r w:rsidRPr="001E4F03">
              <w:rPr>
                <w:rFonts w:ascii="Verdana" w:hAnsi="Verdana" w:cstheme="minorBidi"/>
                <w:sz w:val="18"/>
                <w:lang w:eastAsia="en-US"/>
              </w:rPr>
              <w:t>Verduurzamen</w:t>
            </w:r>
            <w:proofErr w:type="spellEnd"/>
            <w:r w:rsidRPr="001E4F03">
              <w:rPr>
                <w:rFonts w:ascii="Verdana" w:hAnsi="Verdana" w:cstheme="minorBidi"/>
                <w:sz w:val="18"/>
                <w:lang w:eastAsia="en-US"/>
              </w:rPr>
              <w:t xml:space="preserve"> </w:t>
            </w:r>
            <w:proofErr w:type="spellStart"/>
            <w:r w:rsidRPr="001E4F03">
              <w:rPr>
                <w:rFonts w:ascii="Verdana" w:hAnsi="Verdana" w:cstheme="minorBidi"/>
                <w:sz w:val="18"/>
                <w:lang w:eastAsia="en-US"/>
              </w:rPr>
              <w:t>energievoorziening</w:t>
            </w:r>
            <w:proofErr w:type="spellEnd"/>
            <w:r w:rsidRPr="001E4F03">
              <w:rPr>
                <w:rFonts w:ascii="Verdana" w:hAnsi="Verdana" w:cstheme="minorBidi"/>
                <w:sz w:val="18"/>
                <w:lang w:eastAsia="en-US"/>
              </w:rPr>
              <w:t xml:space="preserve"> </w:t>
            </w:r>
            <w:proofErr w:type="spellStart"/>
            <w:r w:rsidRPr="001E4F03">
              <w:rPr>
                <w:rFonts w:ascii="Verdana" w:hAnsi="Verdana" w:cstheme="minorBidi"/>
                <w:sz w:val="18"/>
                <w:lang w:eastAsia="en-US"/>
              </w:rPr>
              <w:t>bedrijven</w:t>
            </w:r>
            <w:proofErr w:type="spellEnd"/>
          </w:p>
        </w:tc>
      </w:tr>
      <w:tr w:rsidRPr="001E4F03" w:rsidR="001E4F03" w:rsidTr="00D8618E" w14:paraId="3C1C1BF7" w14:textId="77777777">
        <w:trPr>
          <w:trHeight w:val="329"/>
        </w:trPr>
        <w:tc>
          <w:tcPr>
            <w:cnfStyle w:val="001000000000" w:firstRow="0" w:lastRow="0" w:firstColumn="1" w:lastColumn="0" w:oddVBand="0" w:evenVBand="0" w:oddHBand="0" w:evenHBand="0" w:firstRowFirstColumn="0" w:firstRowLastColumn="0" w:lastRowFirstColumn="0" w:lastRowLastColumn="0"/>
            <w:tcW w:w="2452" w:type="dxa"/>
          </w:tcPr>
          <w:p w:rsidRPr="001E4F03" w:rsidR="001E4F03" w:rsidP="001E4F03" w:rsidRDefault="001E4F03" w14:paraId="1F906699" w14:textId="77777777">
            <w:pPr>
              <w:spacing w:line="260" w:lineRule="atLeast"/>
              <w:contextualSpacing/>
              <w:rPr>
                <w:rFonts w:ascii="Verdana" w:hAnsi="Verdana" w:cstheme="minorBidi"/>
                <w:sz w:val="18"/>
                <w:lang w:eastAsia="en-US"/>
              </w:rPr>
            </w:pPr>
            <w:proofErr w:type="spellStart"/>
            <w:r w:rsidRPr="001E4F03">
              <w:rPr>
                <w:rFonts w:ascii="Verdana" w:hAnsi="Verdana" w:cstheme="minorBidi"/>
                <w:sz w:val="18"/>
                <w:lang w:eastAsia="en-US"/>
              </w:rPr>
              <w:t>Landbouw</w:t>
            </w:r>
            <w:proofErr w:type="spellEnd"/>
          </w:p>
        </w:tc>
        <w:tc>
          <w:tcPr>
            <w:tcW w:w="3996" w:type="dxa"/>
          </w:tcPr>
          <w:p w:rsidRPr="001E4F03" w:rsidR="001E4F03" w:rsidP="001E4F03" w:rsidRDefault="001E4F03" w14:paraId="01BCAE2A" w14:textId="77777777">
            <w:pPr>
              <w:spacing w:line="260" w:lineRule="atLeast"/>
              <w:contextualSpacing/>
              <w:cnfStyle w:val="000000000000" w:firstRow="0" w:lastRow="0" w:firstColumn="0" w:lastColumn="0" w:oddVBand="0" w:evenVBand="0" w:oddHBand="0" w:evenHBand="0" w:firstRowFirstColumn="0" w:firstRowLastColumn="0" w:lastRowFirstColumn="0" w:lastRowLastColumn="0"/>
              <w:rPr>
                <w:rFonts w:ascii="Verdana" w:hAnsi="Verdana" w:cstheme="minorBidi"/>
                <w:sz w:val="18"/>
                <w:lang w:eastAsia="en-US"/>
              </w:rPr>
            </w:pPr>
            <w:r w:rsidRPr="001E4F03">
              <w:rPr>
                <w:rFonts w:ascii="Verdana" w:hAnsi="Verdana" w:cstheme="minorBidi"/>
                <w:sz w:val="18"/>
                <w:lang w:eastAsia="en-US"/>
              </w:rPr>
              <w:t>1</w:t>
            </w:r>
          </w:p>
        </w:tc>
        <w:tc>
          <w:tcPr>
            <w:tcW w:w="3514" w:type="dxa"/>
          </w:tcPr>
          <w:p w:rsidRPr="001E4F03" w:rsidR="001E4F03" w:rsidP="001E4F03" w:rsidRDefault="001E4F03" w14:paraId="3E7225AC" w14:textId="77777777">
            <w:pPr>
              <w:spacing w:line="260" w:lineRule="atLeast"/>
              <w:contextualSpacing/>
              <w:cnfStyle w:val="000000000000" w:firstRow="0" w:lastRow="0" w:firstColumn="0" w:lastColumn="0" w:oddVBand="0" w:evenVBand="0" w:oddHBand="0" w:evenHBand="0" w:firstRowFirstColumn="0" w:firstRowLastColumn="0" w:lastRowFirstColumn="0" w:lastRowLastColumn="0"/>
              <w:rPr>
                <w:rFonts w:ascii="Verdana" w:hAnsi="Verdana" w:cstheme="minorBidi"/>
                <w:sz w:val="18"/>
                <w:lang w:eastAsia="en-US"/>
              </w:rPr>
            </w:pPr>
            <w:proofErr w:type="spellStart"/>
            <w:r w:rsidRPr="001E4F03">
              <w:rPr>
                <w:rFonts w:ascii="Verdana" w:hAnsi="Verdana" w:cstheme="minorBidi"/>
                <w:sz w:val="18"/>
                <w:lang w:eastAsia="en-US"/>
              </w:rPr>
              <w:t>Methaanreductie</w:t>
            </w:r>
            <w:proofErr w:type="spellEnd"/>
            <w:r w:rsidRPr="001E4F03">
              <w:rPr>
                <w:rFonts w:ascii="Verdana" w:hAnsi="Verdana" w:cstheme="minorBidi"/>
                <w:sz w:val="18"/>
                <w:lang w:eastAsia="en-US"/>
              </w:rPr>
              <w:t xml:space="preserve"> door </w:t>
            </w:r>
            <w:proofErr w:type="spellStart"/>
            <w:r w:rsidRPr="001E4F03">
              <w:rPr>
                <w:rFonts w:ascii="Verdana" w:hAnsi="Verdana" w:cstheme="minorBidi"/>
                <w:sz w:val="18"/>
                <w:lang w:eastAsia="en-US"/>
              </w:rPr>
              <w:t>mestvergisting</w:t>
            </w:r>
            <w:proofErr w:type="spellEnd"/>
          </w:p>
        </w:tc>
      </w:tr>
      <w:tr w:rsidRPr="001E4F03" w:rsidR="001E4F03" w:rsidTr="00D8618E" w14:paraId="3BD27D2F" w14:textId="77777777">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452" w:type="dxa"/>
          </w:tcPr>
          <w:p w:rsidRPr="001E4F03" w:rsidR="001E4F03" w:rsidP="001E4F03" w:rsidRDefault="001E4F03" w14:paraId="1D69B377" w14:textId="77777777">
            <w:pPr>
              <w:spacing w:line="260" w:lineRule="atLeast"/>
              <w:contextualSpacing/>
              <w:rPr>
                <w:rFonts w:ascii="Verdana" w:hAnsi="Verdana" w:cstheme="minorBidi"/>
                <w:sz w:val="18"/>
                <w:lang w:eastAsia="en-US"/>
              </w:rPr>
            </w:pPr>
            <w:proofErr w:type="spellStart"/>
            <w:r w:rsidRPr="001E4F03">
              <w:rPr>
                <w:rFonts w:ascii="Verdana" w:hAnsi="Verdana" w:cstheme="minorBidi"/>
                <w:sz w:val="18"/>
                <w:lang w:eastAsia="en-US"/>
              </w:rPr>
              <w:t>Overige</w:t>
            </w:r>
            <w:proofErr w:type="spellEnd"/>
            <w:r w:rsidRPr="001E4F03">
              <w:rPr>
                <w:rFonts w:ascii="Verdana" w:hAnsi="Verdana" w:cstheme="minorBidi"/>
                <w:sz w:val="18"/>
                <w:lang w:eastAsia="en-US"/>
              </w:rPr>
              <w:t xml:space="preserve"> BKG (</w:t>
            </w:r>
            <w:proofErr w:type="spellStart"/>
            <w:r w:rsidRPr="001E4F03">
              <w:rPr>
                <w:rFonts w:ascii="Verdana" w:hAnsi="Verdana" w:cstheme="minorBidi"/>
                <w:sz w:val="18"/>
                <w:lang w:eastAsia="en-US"/>
              </w:rPr>
              <w:t>overig</w:t>
            </w:r>
            <w:proofErr w:type="spellEnd"/>
            <w:r w:rsidRPr="001E4F03">
              <w:rPr>
                <w:rFonts w:ascii="Verdana" w:hAnsi="Verdana" w:cstheme="minorBidi"/>
                <w:sz w:val="18"/>
                <w:lang w:eastAsia="en-US"/>
              </w:rPr>
              <w:t>)</w:t>
            </w:r>
          </w:p>
        </w:tc>
        <w:tc>
          <w:tcPr>
            <w:tcW w:w="3996" w:type="dxa"/>
          </w:tcPr>
          <w:p w:rsidRPr="001E4F03" w:rsidR="001E4F03" w:rsidP="001E4F03" w:rsidRDefault="001E4F03" w14:paraId="7B16A2CF" w14:textId="77777777">
            <w:pPr>
              <w:spacing w:line="260" w:lineRule="atLeast"/>
              <w:contextualSpacing/>
              <w:cnfStyle w:val="000000100000" w:firstRow="0" w:lastRow="0" w:firstColumn="0" w:lastColumn="0" w:oddVBand="0" w:evenVBand="0" w:oddHBand="1" w:evenHBand="0" w:firstRowFirstColumn="0" w:firstRowLastColumn="0" w:lastRowFirstColumn="0" w:lastRowLastColumn="0"/>
              <w:rPr>
                <w:rFonts w:ascii="Verdana" w:hAnsi="Verdana" w:cstheme="minorBidi"/>
                <w:sz w:val="18"/>
                <w:lang w:eastAsia="en-US"/>
              </w:rPr>
            </w:pPr>
            <w:r w:rsidRPr="001E4F03">
              <w:rPr>
                <w:rFonts w:ascii="Verdana" w:hAnsi="Verdana" w:cstheme="minorBidi"/>
                <w:sz w:val="18"/>
                <w:lang w:eastAsia="en-US"/>
              </w:rPr>
              <w:t>&lt;0,5</w:t>
            </w:r>
          </w:p>
        </w:tc>
        <w:tc>
          <w:tcPr>
            <w:tcW w:w="3514" w:type="dxa"/>
          </w:tcPr>
          <w:p w:rsidRPr="001E4F03" w:rsidR="001E4F03" w:rsidP="001E4F03" w:rsidRDefault="001E4F03" w14:paraId="2E70E373" w14:textId="77777777">
            <w:pPr>
              <w:spacing w:line="260" w:lineRule="atLeast"/>
              <w:contextualSpacing/>
              <w:cnfStyle w:val="000000100000" w:firstRow="0" w:lastRow="0" w:firstColumn="0" w:lastColumn="0" w:oddVBand="0" w:evenVBand="0" w:oddHBand="1" w:evenHBand="0" w:firstRowFirstColumn="0" w:firstRowLastColumn="0" w:lastRowFirstColumn="0" w:lastRowLastColumn="0"/>
              <w:rPr>
                <w:rFonts w:ascii="Verdana" w:hAnsi="Verdana" w:cstheme="minorBidi"/>
                <w:sz w:val="18"/>
                <w:lang w:eastAsia="en-US"/>
              </w:rPr>
            </w:pPr>
            <w:r w:rsidRPr="001E4F03">
              <w:rPr>
                <w:rFonts w:ascii="Verdana" w:hAnsi="Verdana" w:cstheme="minorBidi"/>
                <w:sz w:val="18"/>
                <w:lang w:eastAsia="en-US"/>
              </w:rPr>
              <w:t>N</w:t>
            </w:r>
            <w:r w:rsidRPr="001E4F03">
              <w:rPr>
                <w:rFonts w:ascii="Verdana" w:hAnsi="Verdana" w:cstheme="minorBidi"/>
                <w:sz w:val="18"/>
                <w:vertAlign w:val="subscript"/>
                <w:lang w:eastAsia="en-US"/>
              </w:rPr>
              <w:t>2</w:t>
            </w:r>
            <w:r w:rsidRPr="001E4F03">
              <w:rPr>
                <w:rFonts w:ascii="Verdana" w:hAnsi="Verdana" w:cstheme="minorBidi"/>
                <w:sz w:val="18"/>
                <w:lang w:eastAsia="en-US"/>
              </w:rPr>
              <w:t xml:space="preserve">O </w:t>
            </w:r>
            <w:proofErr w:type="spellStart"/>
            <w:r w:rsidRPr="001E4F03">
              <w:rPr>
                <w:rFonts w:ascii="Verdana" w:hAnsi="Verdana" w:cstheme="minorBidi"/>
                <w:sz w:val="18"/>
                <w:lang w:eastAsia="en-US"/>
              </w:rPr>
              <w:t>emissiereductie</w:t>
            </w:r>
            <w:proofErr w:type="spellEnd"/>
          </w:p>
        </w:tc>
      </w:tr>
      <w:tr w:rsidRPr="001E4F03" w:rsidR="001E4F03" w:rsidTr="00D8618E" w14:paraId="0B1F5FAF" w14:textId="77777777">
        <w:trPr>
          <w:trHeight w:val="329"/>
        </w:trPr>
        <w:tc>
          <w:tcPr>
            <w:cnfStyle w:val="001000000000" w:firstRow="0" w:lastRow="0" w:firstColumn="1" w:lastColumn="0" w:oddVBand="0" w:evenVBand="0" w:oddHBand="0" w:evenHBand="0" w:firstRowFirstColumn="0" w:firstRowLastColumn="0" w:lastRowFirstColumn="0" w:lastRowLastColumn="0"/>
            <w:tcW w:w="2452" w:type="dxa"/>
          </w:tcPr>
          <w:p w:rsidRPr="001E4F03" w:rsidR="001E4F03" w:rsidP="001E4F03" w:rsidRDefault="001E4F03" w14:paraId="151935B7" w14:textId="77777777">
            <w:pPr>
              <w:spacing w:line="260" w:lineRule="atLeast"/>
              <w:contextualSpacing/>
              <w:rPr>
                <w:rFonts w:ascii="Verdana" w:hAnsi="Verdana" w:cstheme="minorBidi"/>
                <w:sz w:val="18"/>
                <w:lang w:eastAsia="en-US"/>
              </w:rPr>
            </w:pPr>
            <w:proofErr w:type="spellStart"/>
            <w:r w:rsidRPr="001E4F03">
              <w:rPr>
                <w:rFonts w:ascii="Verdana" w:hAnsi="Verdana" w:cstheme="minorBidi"/>
                <w:sz w:val="18"/>
                <w:lang w:eastAsia="en-US"/>
              </w:rPr>
              <w:t>Totaal</w:t>
            </w:r>
            <w:proofErr w:type="spellEnd"/>
            <w:r w:rsidRPr="001E4F03">
              <w:rPr>
                <w:rFonts w:ascii="Verdana" w:hAnsi="Verdana" w:cstheme="minorBidi"/>
                <w:sz w:val="18"/>
                <w:vertAlign w:val="superscript"/>
                <w:lang w:eastAsia="en-US"/>
              </w:rPr>
              <w:footnoteReference w:id="3"/>
            </w:r>
          </w:p>
        </w:tc>
        <w:tc>
          <w:tcPr>
            <w:tcW w:w="3996" w:type="dxa"/>
          </w:tcPr>
          <w:p w:rsidRPr="001E4F03" w:rsidR="001E4F03" w:rsidP="001E4F03" w:rsidRDefault="001E4F03" w14:paraId="032E6575" w14:textId="77777777">
            <w:pPr>
              <w:spacing w:line="260" w:lineRule="atLeast"/>
              <w:contextualSpacing/>
              <w:cnfStyle w:val="000000000000" w:firstRow="0" w:lastRow="0" w:firstColumn="0" w:lastColumn="0" w:oddVBand="0" w:evenVBand="0" w:oddHBand="0" w:evenHBand="0" w:firstRowFirstColumn="0" w:firstRowLastColumn="0" w:lastRowFirstColumn="0" w:lastRowLastColumn="0"/>
              <w:rPr>
                <w:rFonts w:ascii="Verdana" w:hAnsi="Verdana" w:cstheme="minorBidi"/>
                <w:b/>
                <w:sz w:val="18"/>
                <w:lang w:eastAsia="en-US"/>
              </w:rPr>
            </w:pPr>
            <w:r w:rsidRPr="001E4F03">
              <w:rPr>
                <w:rFonts w:ascii="Verdana" w:hAnsi="Verdana" w:cstheme="minorBidi"/>
                <w:sz w:val="18"/>
                <w:lang w:eastAsia="en-US"/>
              </w:rPr>
              <w:t xml:space="preserve">  </w:t>
            </w:r>
            <w:r w:rsidRPr="001E4F03">
              <w:rPr>
                <w:rFonts w:ascii="Arial" w:hAnsi="Arial" w:cs="Arial"/>
                <w:sz w:val="18"/>
                <w:lang w:eastAsia="en-US"/>
              </w:rPr>
              <w:t>̴̴</w:t>
            </w:r>
            <w:r w:rsidRPr="001E4F03">
              <w:rPr>
                <w:rFonts w:ascii="Verdana" w:hAnsi="Verdana" w:cstheme="minorBidi"/>
                <w:b/>
                <w:sz w:val="18"/>
                <w:lang w:eastAsia="en-US"/>
              </w:rPr>
              <w:t>16</w:t>
            </w:r>
          </w:p>
        </w:tc>
        <w:tc>
          <w:tcPr>
            <w:tcW w:w="3514" w:type="dxa"/>
          </w:tcPr>
          <w:p w:rsidRPr="001E4F03" w:rsidR="001E4F03" w:rsidP="001E4F03" w:rsidRDefault="001E4F03" w14:paraId="25F6E0EB" w14:textId="77777777">
            <w:pPr>
              <w:spacing w:line="260" w:lineRule="atLeast"/>
              <w:contextualSpacing/>
              <w:cnfStyle w:val="000000000000" w:firstRow="0" w:lastRow="0" w:firstColumn="0" w:lastColumn="0" w:oddVBand="0" w:evenVBand="0" w:oddHBand="0" w:evenHBand="0" w:firstRowFirstColumn="0" w:firstRowLastColumn="0" w:lastRowFirstColumn="0" w:lastRowLastColumn="0"/>
              <w:rPr>
                <w:rFonts w:ascii="Verdana" w:hAnsi="Verdana" w:cstheme="minorBidi"/>
                <w:sz w:val="18"/>
                <w:lang w:eastAsia="en-US"/>
              </w:rPr>
            </w:pPr>
          </w:p>
        </w:tc>
      </w:tr>
      <w:tr w:rsidRPr="001E4F03" w:rsidR="001E4F03" w:rsidTr="00D8618E" w14:paraId="306E4EA4" w14:textId="77777777">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9962" w:type="dxa"/>
            <w:gridSpan w:val="3"/>
          </w:tcPr>
          <w:p w:rsidRPr="001E4F03" w:rsidR="001E4F03" w:rsidP="001E4F03" w:rsidRDefault="001E4F03" w14:paraId="4DA66B8E" w14:textId="77777777">
            <w:pPr>
              <w:spacing w:line="260" w:lineRule="atLeast"/>
              <w:contextualSpacing/>
              <w:rPr>
                <w:rFonts w:ascii="Verdana" w:hAnsi="Verdana" w:cstheme="minorBidi"/>
                <w:sz w:val="18"/>
                <w:lang w:val="nl-NL" w:eastAsia="en-US"/>
              </w:rPr>
            </w:pPr>
          </w:p>
          <w:p w:rsidRPr="001E4F03" w:rsidR="001E4F03" w:rsidP="001E4F03" w:rsidRDefault="001E4F03" w14:paraId="0478FC28" w14:textId="77777777">
            <w:pPr>
              <w:spacing w:line="260" w:lineRule="atLeast"/>
              <w:contextualSpacing/>
              <w:rPr>
                <w:rFonts w:ascii="Verdana" w:hAnsi="Verdana" w:cstheme="minorBidi"/>
                <w:sz w:val="18"/>
                <w:lang w:val="nl-NL" w:eastAsia="en-US"/>
              </w:rPr>
            </w:pPr>
            <w:r w:rsidRPr="001E4F03">
              <w:rPr>
                <w:rFonts w:ascii="Verdana" w:hAnsi="Verdana" w:cstheme="minorBidi"/>
                <w:i/>
                <w:sz w:val="18"/>
                <w:lang w:val="nl-NL" w:eastAsia="en-US"/>
              </w:rPr>
              <w:t xml:space="preserve">Bij uitstel van de besluitvorming met één jaar wordt het totaal geschat op   </w:t>
            </w:r>
            <w:r w:rsidRPr="001E4F03">
              <w:rPr>
                <w:rFonts w:ascii="Arial" w:hAnsi="Arial" w:cs="Arial"/>
                <w:i/>
                <w:sz w:val="18"/>
                <w:lang w:val="nl-NL" w:eastAsia="en-US"/>
              </w:rPr>
              <w:t>̴̴</w:t>
            </w:r>
            <w:r w:rsidRPr="001E4F03">
              <w:rPr>
                <w:rFonts w:ascii="Verdana" w:hAnsi="Verdana" w:cstheme="minorBidi"/>
                <w:i/>
                <w:sz w:val="18"/>
                <w:lang w:val="nl-NL" w:eastAsia="en-US"/>
              </w:rPr>
              <w:t xml:space="preserve">13 </w:t>
            </w:r>
          </w:p>
        </w:tc>
      </w:tr>
    </w:tbl>
    <w:p w:rsidRPr="00965F4C" w:rsidR="00B3106D" w:rsidP="00B3106D" w:rsidRDefault="00B3106D" w14:paraId="2CB0E112" w14:textId="77777777"/>
    <w:p w:rsidRPr="00547364" w:rsidR="00547364" w:rsidP="00547364" w:rsidRDefault="00547364" w14:paraId="1FC56220" w14:textId="3D3C888B">
      <w:pPr>
        <w:spacing w:line="260" w:lineRule="atLeast"/>
        <w:contextualSpacing/>
        <w:rPr>
          <w:rFonts w:ascii="Verdana" w:hAnsi="Verdana" w:eastAsiaTheme="minorEastAsia" w:cstheme="minorBidi"/>
          <w:sz w:val="18"/>
          <w:lang w:eastAsia="en-US"/>
        </w:rPr>
      </w:pPr>
      <w:r w:rsidRPr="00547364">
        <w:rPr>
          <w:rFonts w:ascii="Verdana" w:hAnsi="Verdana" w:eastAsiaTheme="minorEastAsia" w:cstheme="minorBidi"/>
          <w:sz w:val="18"/>
          <w:lang w:eastAsia="en-US"/>
        </w:rPr>
        <w:t xml:space="preserve">Het maximaal </w:t>
      </w:r>
      <w:r>
        <w:rPr>
          <w:rFonts w:ascii="Verdana" w:hAnsi="Verdana" w:eastAsiaTheme="minorEastAsia" w:cstheme="minorBidi"/>
          <w:sz w:val="18"/>
          <w:lang w:eastAsia="en-US"/>
        </w:rPr>
        <w:t xml:space="preserve">instrumenteerbare potentieel </w:t>
      </w:r>
      <w:r w:rsidR="003A5F1A">
        <w:rPr>
          <w:rFonts w:ascii="Verdana" w:hAnsi="Verdana" w:eastAsiaTheme="minorEastAsia" w:cstheme="minorBidi"/>
          <w:sz w:val="18"/>
          <w:lang w:eastAsia="en-US"/>
        </w:rPr>
        <w:t xml:space="preserve">is gedestilleerd uit </w:t>
      </w:r>
      <w:r w:rsidRPr="00547364">
        <w:rPr>
          <w:rFonts w:ascii="Verdana" w:hAnsi="Verdana" w:eastAsiaTheme="minorEastAsia" w:cstheme="minorBidi"/>
          <w:sz w:val="18"/>
          <w:lang w:eastAsia="en-US"/>
        </w:rPr>
        <w:t>individuel</w:t>
      </w:r>
      <w:r>
        <w:rPr>
          <w:rFonts w:ascii="Verdana" w:hAnsi="Verdana" w:eastAsiaTheme="minorEastAsia" w:cstheme="minorBidi"/>
          <w:sz w:val="18"/>
          <w:lang w:eastAsia="en-US"/>
        </w:rPr>
        <w:t>e emissiereductiemaatregelen</w:t>
      </w:r>
      <w:r w:rsidRPr="00547364">
        <w:rPr>
          <w:rFonts w:ascii="Verdana" w:hAnsi="Verdana" w:eastAsiaTheme="minorEastAsia" w:cstheme="minorBidi"/>
          <w:sz w:val="18"/>
          <w:lang w:eastAsia="en-US"/>
        </w:rPr>
        <w:t>, met – voor zover mogelijk – correctie van overlap tussen de maatregelen, en een limiet aan toepas</w:t>
      </w:r>
      <w:r w:rsidR="00037A0A">
        <w:rPr>
          <w:rFonts w:ascii="Verdana" w:hAnsi="Verdana" w:eastAsiaTheme="minorEastAsia" w:cstheme="minorBidi"/>
          <w:sz w:val="18"/>
          <w:lang w:eastAsia="en-US"/>
        </w:rPr>
        <w:t>sen van extra biomassa</w:t>
      </w:r>
      <w:r w:rsidR="003A5F1A">
        <w:rPr>
          <w:rFonts w:ascii="Verdana" w:hAnsi="Verdana" w:eastAsiaTheme="minorEastAsia" w:cstheme="minorBidi"/>
          <w:sz w:val="18"/>
          <w:lang w:eastAsia="en-US"/>
        </w:rPr>
        <w:t xml:space="preserve">. De </w:t>
      </w:r>
      <w:r w:rsidRPr="00547364">
        <w:rPr>
          <w:rFonts w:ascii="Verdana" w:hAnsi="Verdana" w:eastAsiaTheme="minorEastAsia" w:cstheme="minorBidi"/>
          <w:sz w:val="18"/>
          <w:lang w:eastAsia="en-US"/>
        </w:rPr>
        <w:t xml:space="preserve">getallen </w:t>
      </w:r>
      <w:r w:rsidR="003A5F1A">
        <w:rPr>
          <w:rFonts w:ascii="Verdana" w:hAnsi="Verdana" w:eastAsiaTheme="minorEastAsia" w:cstheme="minorBidi"/>
          <w:sz w:val="18"/>
          <w:lang w:eastAsia="en-US"/>
        </w:rPr>
        <w:t xml:space="preserve">in oudere studies </w:t>
      </w:r>
      <w:r w:rsidRPr="00547364">
        <w:rPr>
          <w:rFonts w:ascii="Verdana" w:hAnsi="Verdana" w:eastAsiaTheme="minorEastAsia" w:cstheme="minorBidi"/>
          <w:sz w:val="18"/>
          <w:lang w:eastAsia="en-US"/>
        </w:rPr>
        <w:t>gaan vaak uit van een eerder startjaar en geven schattingen voor in 2020 of in 2030 mogelijke emissiereducties. Om deze c</w:t>
      </w:r>
      <w:r w:rsidR="003A5F1A">
        <w:rPr>
          <w:rFonts w:ascii="Verdana" w:hAnsi="Verdana" w:eastAsiaTheme="minorEastAsia" w:cstheme="minorBidi"/>
          <w:sz w:val="18"/>
          <w:lang w:eastAsia="en-US"/>
        </w:rPr>
        <w:t>ijfers te actualiseren is</w:t>
      </w:r>
      <w:r w:rsidRPr="00547364">
        <w:rPr>
          <w:rFonts w:ascii="Verdana" w:hAnsi="Verdana" w:eastAsiaTheme="minorEastAsia" w:cstheme="minorBidi"/>
          <w:sz w:val="18"/>
          <w:lang w:eastAsia="en-US"/>
        </w:rPr>
        <w:t xml:space="preserve"> rekening gehouden met resterende tijd tot 2020, de tijd die minimaal vereist is om het benodigde beleid in te voeren, en de mate waarin huidig of voorgenomen beleid – geïntroduceerd na het opstellen van de oudere schattingen – de potentiëlen al ontsluit. Het grootste deel van de maatregelen komt uit bestaande bronnen, en in een beperkt deel van de gevallen hebben experts leemtes in het beschikbare materiaal opgevuld </w:t>
      </w:r>
      <w:r w:rsidR="00037A0A">
        <w:rPr>
          <w:rFonts w:ascii="Verdana" w:hAnsi="Verdana" w:eastAsiaTheme="minorEastAsia" w:cstheme="minorBidi"/>
          <w:sz w:val="18"/>
          <w:lang w:eastAsia="en-US"/>
        </w:rPr>
        <w:t>met nieuwe schattingen</w:t>
      </w:r>
      <w:r w:rsidRPr="00547364">
        <w:rPr>
          <w:rFonts w:ascii="Verdana" w:hAnsi="Verdana" w:eastAsiaTheme="minorEastAsia" w:cstheme="minorBidi"/>
          <w:sz w:val="18"/>
          <w:lang w:eastAsia="en-US"/>
        </w:rPr>
        <w:t xml:space="preserve">. </w:t>
      </w:r>
    </w:p>
    <w:p w:rsidRPr="00547364" w:rsidR="00547364" w:rsidP="00547364" w:rsidRDefault="00547364" w14:paraId="54D2F282" w14:textId="6560A44C">
      <w:pPr>
        <w:spacing w:line="260" w:lineRule="atLeast"/>
        <w:contextualSpacing/>
        <w:rPr>
          <w:rFonts w:ascii="Verdana" w:hAnsi="Verdana" w:eastAsiaTheme="minorEastAsia" w:cstheme="minorBidi"/>
          <w:sz w:val="18"/>
          <w:lang w:eastAsia="en-US"/>
        </w:rPr>
      </w:pPr>
      <w:r w:rsidRPr="00547364">
        <w:rPr>
          <w:rFonts w:ascii="Verdana" w:hAnsi="Verdana" w:eastAsiaTheme="minorEastAsia" w:cstheme="minorBidi"/>
          <w:sz w:val="18"/>
          <w:lang w:eastAsia="en-US"/>
        </w:rPr>
        <w:t>Een daling van de binnen</w:t>
      </w:r>
      <w:r w:rsidR="003A5F1A">
        <w:rPr>
          <w:rFonts w:ascii="Verdana" w:hAnsi="Verdana" w:eastAsiaTheme="minorEastAsia" w:cstheme="minorBidi"/>
          <w:sz w:val="18"/>
          <w:lang w:eastAsia="en-US"/>
        </w:rPr>
        <w:t xml:space="preserve">landse emissies leidt </w:t>
      </w:r>
      <w:r w:rsidRPr="00547364">
        <w:rPr>
          <w:rFonts w:ascii="Verdana" w:hAnsi="Verdana" w:eastAsiaTheme="minorEastAsia" w:cstheme="minorBidi"/>
          <w:sz w:val="18"/>
          <w:lang w:eastAsia="en-US"/>
        </w:rPr>
        <w:t>niet automatisch tot eenzelfde daling van de mondiale emissies in 2020. In veel gevallen staat tegenover een daling van de binnenlandse emissies een stijging van de emissies in het buitenland. Dat geldt met name voor sectoren die vallen onder het Europese CO</w:t>
      </w:r>
      <w:r w:rsidRPr="00547364">
        <w:rPr>
          <w:rFonts w:ascii="Verdana" w:hAnsi="Verdana" w:eastAsiaTheme="minorEastAsia" w:cstheme="minorBidi"/>
          <w:sz w:val="18"/>
          <w:vertAlign w:val="subscript"/>
          <w:lang w:eastAsia="en-US"/>
        </w:rPr>
        <w:t>2</w:t>
      </w:r>
      <w:r w:rsidRPr="00547364">
        <w:rPr>
          <w:rFonts w:ascii="Verdana" w:hAnsi="Verdana" w:eastAsiaTheme="minorEastAsia" w:cstheme="minorBidi"/>
          <w:sz w:val="18"/>
          <w:lang w:eastAsia="en-US"/>
        </w:rPr>
        <w:t>- emissiehandelssysteem (</w:t>
      </w:r>
      <w:proofErr w:type="spellStart"/>
      <w:r w:rsidRPr="00547364">
        <w:rPr>
          <w:rFonts w:ascii="Verdana" w:hAnsi="Verdana" w:eastAsiaTheme="minorEastAsia" w:cstheme="minorBidi"/>
          <w:sz w:val="18"/>
          <w:lang w:eastAsia="en-US"/>
        </w:rPr>
        <w:t>Emission</w:t>
      </w:r>
      <w:proofErr w:type="spellEnd"/>
      <w:r w:rsidRPr="00547364">
        <w:rPr>
          <w:rFonts w:ascii="Verdana" w:hAnsi="Verdana" w:eastAsiaTheme="minorEastAsia" w:cstheme="minorBidi"/>
          <w:sz w:val="18"/>
          <w:lang w:eastAsia="en-US"/>
        </w:rPr>
        <w:t xml:space="preserve"> </w:t>
      </w:r>
      <w:proofErr w:type="spellStart"/>
      <w:r w:rsidRPr="00547364">
        <w:rPr>
          <w:rFonts w:ascii="Verdana" w:hAnsi="Verdana" w:eastAsiaTheme="minorEastAsia" w:cstheme="minorBidi"/>
          <w:sz w:val="18"/>
          <w:lang w:eastAsia="en-US"/>
        </w:rPr>
        <w:t>Trading</w:t>
      </w:r>
      <w:proofErr w:type="spellEnd"/>
      <w:r w:rsidRPr="00547364">
        <w:rPr>
          <w:rFonts w:ascii="Verdana" w:hAnsi="Verdana" w:eastAsiaTheme="minorEastAsia" w:cstheme="minorBidi"/>
          <w:sz w:val="18"/>
          <w:lang w:eastAsia="en-US"/>
        </w:rPr>
        <w:t xml:space="preserve"> System, ETS). Om deze stijging te vermijden zou Nederland bijvoorbeeld emissierechten uit het ETS kunnen opkopen, of meer CDM</w:t>
      </w:r>
      <w:r w:rsidRPr="00547364">
        <w:rPr>
          <w:rFonts w:ascii="Verdana" w:hAnsi="Verdana" w:eastAsiaTheme="minorEastAsia" w:cstheme="minorBidi"/>
          <w:sz w:val="18"/>
          <w:vertAlign w:val="superscript"/>
          <w:lang w:eastAsia="en-US"/>
        </w:rPr>
        <w:footnoteReference w:id="4"/>
      </w:r>
      <w:r w:rsidRPr="00547364">
        <w:rPr>
          <w:rFonts w:ascii="Verdana" w:hAnsi="Verdana" w:eastAsiaTheme="minorEastAsia" w:cstheme="minorBidi"/>
          <w:sz w:val="18"/>
          <w:lang w:eastAsia="en-US"/>
        </w:rPr>
        <w:t>-</w:t>
      </w:r>
      <w:proofErr w:type="spellStart"/>
      <w:r w:rsidRPr="00547364">
        <w:rPr>
          <w:rFonts w:ascii="Verdana" w:hAnsi="Verdana" w:eastAsiaTheme="minorEastAsia" w:cstheme="minorBidi"/>
          <w:sz w:val="18"/>
          <w:lang w:eastAsia="en-US"/>
        </w:rPr>
        <w:t>credits</w:t>
      </w:r>
      <w:proofErr w:type="spellEnd"/>
      <w:r w:rsidRPr="00547364">
        <w:rPr>
          <w:rFonts w:ascii="Verdana" w:hAnsi="Verdana" w:eastAsiaTheme="minorEastAsia" w:cstheme="minorBidi"/>
          <w:sz w:val="18"/>
          <w:lang w:eastAsia="en-US"/>
        </w:rPr>
        <w:t xml:space="preserve"> verwerven. </w:t>
      </w:r>
    </w:p>
    <w:p w:rsidRPr="003A5F1A" w:rsidR="00877C6B" w:rsidP="003A5F1A" w:rsidRDefault="003A5F1A" w14:paraId="708D8E0B" w14:textId="747ECE75">
      <w:pPr>
        <w:spacing w:line="260" w:lineRule="atLeast"/>
        <w:contextualSpacing/>
        <w:rPr>
          <w:rFonts w:ascii="Verdana" w:hAnsi="Verdana" w:eastAsiaTheme="minorEastAsia" w:cstheme="minorBidi"/>
          <w:sz w:val="18"/>
          <w:lang w:eastAsia="en-US"/>
        </w:rPr>
      </w:pPr>
      <w:r>
        <w:rPr>
          <w:rFonts w:ascii="Verdana" w:hAnsi="Verdana" w:eastAsiaTheme="minorEastAsia" w:cstheme="minorBidi"/>
          <w:sz w:val="18"/>
          <w:lang w:eastAsia="en-US"/>
        </w:rPr>
        <w:t>Als gehoor wordt gegeven aan de uitspraak van de rechter is het belangrijk</w:t>
      </w:r>
      <w:r w:rsidR="00037A0A">
        <w:rPr>
          <w:rFonts w:ascii="Verdana" w:hAnsi="Verdana" w:eastAsiaTheme="minorEastAsia" w:cstheme="minorBidi"/>
          <w:sz w:val="18"/>
          <w:lang w:eastAsia="en-US"/>
        </w:rPr>
        <w:t xml:space="preserve"> om nu maatregelen te nemen die emiss</w:t>
      </w:r>
      <w:r w:rsidR="00DA5211">
        <w:rPr>
          <w:rFonts w:ascii="Verdana" w:hAnsi="Verdana" w:eastAsiaTheme="minorEastAsia" w:cstheme="minorBidi"/>
          <w:sz w:val="18"/>
          <w:lang w:eastAsia="en-US"/>
        </w:rPr>
        <w:t>iereductie in de periode na 202</w:t>
      </w:r>
      <w:r w:rsidR="00037A0A">
        <w:rPr>
          <w:rFonts w:ascii="Verdana" w:hAnsi="Verdana" w:eastAsiaTheme="minorEastAsia" w:cstheme="minorBidi"/>
          <w:sz w:val="18"/>
          <w:lang w:eastAsia="en-US"/>
        </w:rPr>
        <w:t>0 kan vergemakkelijken of in elk geval niet in de weg staan. I</w:t>
      </w:r>
      <w:r w:rsidRPr="00547364" w:rsidR="00547364">
        <w:rPr>
          <w:rFonts w:ascii="Verdana" w:hAnsi="Verdana" w:eastAsiaTheme="minorEastAsia" w:cstheme="minorBidi"/>
          <w:sz w:val="18"/>
          <w:lang w:eastAsia="en-US"/>
        </w:rPr>
        <w:t xml:space="preserve">nnovatieve opties kunnen in 2020 vaak nog slechts een beperkte bijdrage leveren aan de emissiereductie, omdat ze nog verder ontwikkeld moeten worden en grootschalige uitrol niet mogelijk is of afbreukrisico’s met zich meebrengt. </w:t>
      </w:r>
      <w:r w:rsidR="00037A0A">
        <w:rPr>
          <w:rFonts w:ascii="Verdana" w:hAnsi="Verdana" w:eastAsiaTheme="minorEastAsia" w:cstheme="minorBidi"/>
          <w:sz w:val="18"/>
          <w:lang w:eastAsia="en-US"/>
        </w:rPr>
        <w:t>Maar de belangrijkste bijdrage die Nederland aan mondiale emissiereductie kan leveren is het voeren van slim beleid dat elders navolging kan verdienen, en het bede</w:t>
      </w:r>
      <w:r w:rsidR="009505E0">
        <w:rPr>
          <w:rFonts w:ascii="Verdana" w:hAnsi="Verdana" w:eastAsiaTheme="minorEastAsia" w:cstheme="minorBidi"/>
          <w:sz w:val="18"/>
          <w:lang w:eastAsia="en-US"/>
        </w:rPr>
        <w:t>nken e</w:t>
      </w:r>
      <w:r w:rsidR="00037A0A">
        <w:rPr>
          <w:rFonts w:ascii="Verdana" w:hAnsi="Verdana" w:eastAsiaTheme="minorEastAsia" w:cstheme="minorBidi"/>
          <w:sz w:val="18"/>
          <w:lang w:eastAsia="en-US"/>
        </w:rPr>
        <w:t>n implementeren van innovatieve opties.</w:t>
      </w:r>
    </w:p>
    <w:sectPr w:rsidRPr="003A5F1A" w:rsidR="00877C6B">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D24C88" w14:textId="77777777" w:rsidR="00125059" w:rsidRDefault="00125059" w:rsidP="00125059">
      <w:r>
        <w:separator/>
      </w:r>
    </w:p>
  </w:endnote>
  <w:endnote w:type="continuationSeparator" w:id="0">
    <w:p w14:paraId="098F41D3" w14:textId="77777777" w:rsidR="00125059" w:rsidRDefault="00125059" w:rsidP="00125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81BEF7" w14:textId="77777777" w:rsidR="00125059" w:rsidRDefault="00125059" w:rsidP="00125059">
      <w:r>
        <w:separator/>
      </w:r>
    </w:p>
  </w:footnote>
  <w:footnote w:type="continuationSeparator" w:id="0">
    <w:p w14:paraId="195B87F6" w14:textId="77777777" w:rsidR="00125059" w:rsidRDefault="00125059" w:rsidP="00125059">
      <w:r>
        <w:continuationSeparator/>
      </w:r>
    </w:p>
  </w:footnote>
  <w:footnote w:id="1">
    <w:p w14:paraId="0ED2E993" w14:textId="6A9411CA" w:rsidR="00125059" w:rsidRDefault="00125059">
      <w:pPr>
        <w:pStyle w:val="FootnoteText"/>
      </w:pPr>
      <w:r>
        <w:rPr>
          <w:rStyle w:val="FootnoteReference"/>
        </w:rPr>
        <w:footnoteRef/>
      </w:r>
      <w:r>
        <w:t xml:space="preserve"> </w:t>
      </w:r>
      <w:r w:rsidRPr="00125059">
        <w:t>http://www.pbl.nl/sites/default/files/cms/publicaties/150902Quickscan_Emissiereductie2020_final.pdf</w:t>
      </w:r>
    </w:p>
  </w:footnote>
  <w:footnote w:id="2">
    <w:p w14:paraId="2EB88A2C" w14:textId="77777777" w:rsidR="001E4F03" w:rsidRPr="00EB1DB1" w:rsidRDefault="001E4F03" w:rsidP="001E4F03">
      <w:pPr>
        <w:pStyle w:val="FootnoteText"/>
      </w:pPr>
      <w:r>
        <w:rPr>
          <w:rStyle w:val="FootnoteReference"/>
        </w:rPr>
        <w:footnoteRef/>
      </w:r>
      <w:r>
        <w:t xml:space="preserve"> </w:t>
      </w:r>
      <w:r w:rsidRPr="00EB1DB1">
        <w:t>V</w:t>
      </w:r>
      <w:r>
        <w:t>alt grotendeels binnen de ETS: v</w:t>
      </w:r>
      <w:r w:rsidRPr="00EB1DB1">
        <w:t xml:space="preserve">oor fysieke emissiereductie zal een equivalent aan </w:t>
      </w:r>
      <w:r>
        <w:t>emissierechten uit de handel moeten worden genomen.</w:t>
      </w:r>
    </w:p>
  </w:footnote>
  <w:footnote w:id="3">
    <w:p w14:paraId="78998EA6" w14:textId="77777777" w:rsidR="001E4F03" w:rsidRPr="004A4E83" w:rsidRDefault="001E4F03" w:rsidP="001E4F03">
      <w:pPr>
        <w:pStyle w:val="FootnoteText"/>
      </w:pPr>
      <w:r>
        <w:rPr>
          <w:rStyle w:val="FootnoteReference"/>
        </w:rPr>
        <w:footnoteRef/>
      </w:r>
      <w:r>
        <w:t xml:space="preserve"> Er zit mogelijk overlap in emissiereducties tussen verschillende sectoren dat niet meegenomen is in de berekening van het totaal</w:t>
      </w:r>
    </w:p>
  </w:footnote>
  <w:footnote w:id="4">
    <w:p w14:paraId="3E1AD5FC" w14:textId="77777777" w:rsidR="00547364" w:rsidRPr="007C5E83" w:rsidRDefault="00547364" w:rsidP="00547364">
      <w:pPr>
        <w:pStyle w:val="FootnoteText"/>
      </w:pPr>
      <w:r>
        <w:rPr>
          <w:rStyle w:val="FootnoteReference"/>
        </w:rPr>
        <w:footnoteRef/>
      </w:r>
      <w:r>
        <w:t xml:space="preserve"> </w:t>
      </w:r>
      <w:r w:rsidRPr="00D349B7">
        <w:t xml:space="preserve">CDM: Clean Development </w:t>
      </w:r>
      <w:proofErr w:type="spellStart"/>
      <w:r w:rsidRPr="00D349B7">
        <w:t>Mechanism</w:t>
      </w:r>
      <w:proofErr w:type="spellEnd"/>
      <w:r w:rsidRPr="00D349B7">
        <w:t xml:space="preserve">: financieren van </w:t>
      </w:r>
      <w:proofErr w:type="spellStart"/>
      <w:r w:rsidRPr="00D349B7">
        <w:t>emissiereducerende</w:t>
      </w:r>
      <w:proofErr w:type="spellEnd"/>
      <w:r w:rsidRPr="00D349B7">
        <w:t xml:space="preserve"> </w:t>
      </w:r>
      <w:r>
        <w:t xml:space="preserve">projecten </w:t>
      </w:r>
      <w:r w:rsidRPr="00D349B7">
        <w:t>in ontwikkelingslanden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91A8E"/>
    <w:multiLevelType w:val="hybridMultilevel"/>
    <w:tmpl w:val="9446E53E"/>
    <w:lvl w:ilvl="0" w:tplc="1D709160">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50048E"/>
    <w:multiLevelType w:val="hybridMultilevel"/>
    <w:tmpl w:val="BB369982"/>
    <w:lvl w:ilvl="0" w:tplc="9A6E0CA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2175A55"/>
    <w:multiLevelType w:val="hybridMultilevel"/>
    <w:tmpl w:val="CE6A4B4C"/>
    <w:lvl w:ilvl="0" w:tplc="E0A0019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F3A0D93"/>
    <w:multiLevelType w:val="hybridMultilevel"/>
    <w:tmpl w:val="26D62856"/>
    <w:lvl w:ilvl="0" w:tplc="B7584E4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E2C4CB5"/>
    <w:multiLevelType w:val="hybridMultilevel"/>
    <w:tmpl w:val="DEB08D18"/>
    <w:lvl w:ilvl="0" w:tplc="5348677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495394F"/>
    <w:multiLevelType w:val="hybridMultilevel"/>
    <w:tmpl w:val="73C6FA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56"/>
    <w:rsid w:val="000135F0"/>
    <w:rsid w:val="000263EF"/>
    <w:rsid w:val="00037A0A"/>
    <w:rsid w:val="000538E2"/>
    <w:rsid w:val="000754F3"/>
    <w:rsid w:val="000765F3"/>
    <w:rsid w:val="00081E14"/>
    <w:rsid w:val="000A2617"/>
    <w:rsid w:val="000C53AD"/>
    <w:rsid w:val="000E79BB"/>
    <w:rsid w:val="00125059"/>
    <w:rsid w:val="00134CAC"/>
    <w:rsid w:val="001B5935"/>
    <w:rsid w:val="001D385F"/>
    <w:rsid w:val="001E4F03"/>
    <w:rsid w:val="002209C9"/>
    <w:rsid w:val="00264068"/>
    <w:rsid w:val="00271913"/>
    <w:rsid w:val="002B3C5D"/>
    <w:rsid w:val="00304306"/>
    <w:rsid w:val="00331A03"/>
    <w:rsid w:val="0035637F"/>
    <w:rsid w:val="00376064"/>
    <w:rsid w:val="00391D14"/>
    <w:rsid w:val="003A5F1A"/>
    <w:rsid w:val="003A7674"/>
    <w:rsid w:val="004362C9"/>
    <w:rsid w:val="0046225A"/>
    <w:rsid w:val="0046641F"/>
    <w:rsid w:val="00484693"/>
    <w:rsid w:val="00547364"/>
    <w:rsid w:val="00565AF8"/>
    <w:rsid w:val="00567A71"/>
    <w:rsid w:val="0058124B"/>
    <w:rsid w:val="005B4BDA"/>
    <w:rsid w:val="0060188F"/>
    <w:rsid w:val="00637596"/>
    <w:rsid w:val="006558A0"/>
    <w:rsid w:val="006710B6"/>
    <w:rsid w:val="006A1AEA"/>
    <w:rsid w:val="006D7456"/>
    <w:rsid w:val="006E32D6"/>
    <w:rsid w:val="006F49EB"/>
    <w:rsid w:val="006F4AE1"/>
    <w:rsid w:val="00734C46"/>
    <w:rsid w:val="007408ED"/>
    <w:rsid w:val="00754AE7"/>
    <w:rsid w:val="007E49A6"/>
    <w:rsid w:val="007F0842"/>
    <w:rsid w:val="007F474C"/>
    <w:rsid w:val="00814C24"/>
    <w:rsid w:val="00837083"/>
    <w:rsid w:val="0086385D"/>
    <w:rsid w:val="00863FAA"/>
    <w:rsid w:val="00877C6B"/>
    <w:rsid w:val="00886D46"/>
    <w:rsid w:val="008C7565"/>
    <w:rsid w:val="008D013B"/>
    <w:rsid w:val="008F1357"/>
    <w:rsid w:val="00902710"/>
    <w:rsid w:val="00911444"/>
    <w:rsid w:val="00916F14"/>
    <w:rsid w:val="00924DB1"/>
    <w:rsid w:val="009505E0"/>
    <w:rsid w:val="00951B82"/>
    <w:rsid w:val="00965F4C"/>
    <w:rsid w:val="00987258"/>
    <w:rsid w:val="009B34D7"/>
    <w:rsid w:val="00A03196"/>
    <w:rsid w:val="00A10895"/>
    <w:rsid w:val="00A87BD9"/>
    <w:rsid w:val="00AC3346"/>
    <w:rsid w:val="00AE5963"/>
    <w:rsid w:val="00B3106D"/>
    <w:rsid w:val="00B3229F"/>
    <w:rsid w:val="00B40299"/>
    <w:rsid w:val="00B9337C"/>
    <w:rsid w:val="00BF19AE"/>
    <w:rsid w:val="00C32087"/>
    <w:rsid w:val="00C73373"/>
    <w:rsid w:val="00C743A7"/>
    <w:rsid w:val="00C87F24"/>
    <w:rsid w:val="00D33673"/>
    <w:rsid w:val="00D50234"/>
    <w:rsid w:val="00DA2F79"/>
    <w:rsid w:val="00DA5211"/>
    <w:rsid w:val="00DB0596"/>
    <w:rsid w:val="00E13FA4"/>
    <w:rsid w:val="00E2497C"/>
    <w:rsid w:val="00E426BA"/>
    <w:rsid w:val="00E56398"/>
    <w:rsid w:val="00E96859"/>
    <w:rsid w:val="00E977BD"/>
    <w:rsid w:val="00EF47AB"/>
    <w:rsid w:val="00F0343A"/>
    <w:rsid w:val="00F100E9"/>
    <w:rsid w:val="00F2338E"/>
    <w:rsid w:val="00F340C3"/>
    <w:rsid w:val="00F67EC4"/>
    <w:rsid w:val="00F73300"/>
    <w:rsid w:val="00FA5388"/>
    <w:rsid w:val="00FA57A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592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06D"/>
    <w:pPr>
      <w:spacing w:after="0" w:line="240" w:lineRule="auto"/>
    </w:pPr>
    <w:rPr>
      <w:rFonts w:ascii="Calibri" w:hAnsi="Calibri" w:cs="Times New Roman"/>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88F"/>
    <w:pPr>
      <w:spacing w:after="200" w:line="276" w:lineRule="auto"/>
      <w:ind w:left="720"/>
      <w:contextualSpacing/>
    </w:pPr>
    <w:rPr>
      <w:rFonts w:asciiTheme="minorHAnsi" w:hAnsiTheme="minorHAnsi" w:cstheme="minorBidi"/>
      <w:lang w:eastAsia="en-US"/>
    </w:rPr>
  </w:style>
  <w:style w:type="table" w:styleId="TableGrid">
    <w:name w:val="Table Grid"/>
    <w:basedOn w:val="TableNormal"/>
    <w:uiPriority w:val="59"/>
    <w:rsid w:val="00304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0E9"/>
    <w:rPr>
      <w:rFonts w:ascii="Tahoma" w:hAnsi="Tahoma" w:cs="Tahoma"/>
      <w:sz w:val="16"/>
      <w:szCs w:val="16"/>
    </w:rPr>
  </w:style>
  <w:style w:type="character" w:customStyle="1" w:styleId="BalloonTextChar">
    <w:name w:val="Balloon Text Char"/>
    <w:basedOn w:val="DefaultParagraphFont"/>
    <w:link w:val="BalloonText"/>
    <w:uiPriority w:val="99"/>
    <w:semiHidden/>
    <w:rsid w:val="00F100E9"/>
    <w:rPr>
      <w:rFonts w:ascii="Tahoma" w:hAnsi="Tahoma" w:cs="Tahoma"/>
      <w:sz w:val="16"/>
      <w:szCs w:val="16"/>
      <w:lang w:eastAsia="nl-NL"/>
    </w:rPr>
  </w:style>
  <w:style w:type="character" w:styleId="CommentReference">
    <w:name w:val="annotation reference"/>
    <w:basedOn w:val="DefaultParagraphFont"/>
    <w:uiPriority w:val="99"/>
    <w:semiHidden/>
    <w:unhideWhenUsed/>
    <w:rsid w:val="00F100E9"/>
    <w:rPr>
      <w:sz w:val="16"/>
      <w:szCs w:val="16"/>
    </w:rPr>
  </w:style>
  <w:style w:type="paragraph" w:styleId="CommentText">
    <w:name w:val="annotation text"/>
    <w:basedOn w:val="Normal"/>
    <w:link w:val="CommentTextChar"/>
    <w:uiPriority w:val="99"/>
    <w:semiHidden/>
    <w:unhideWhenUsed/>
    <w:rsid w:val="00F100E9"/>
    <w:rPr>
      <w:sz w:val="20"/>
      <w:szCs w:val="20"/>
    </w:rPr>
  </w:style>
  <w:style w:type="character" w:customStyle="1" w:styleId="CommentTextChar">
    <w:name w:val="Comment Text Char"/>
    <w:basedOn w:val="DefaultParagraphFont"/>
    <w:link w:val="CommentText"/>
    <w:uiPriority w:val="99"/>
    <w:semiHidden/>
    <w:rsid w:val="00F100E9"/>
    <w:rPr>
      <w:rFonts w:ascii="Calibri" w:hAnsi="Calibri"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F100E9"/>
    <w:rPr>
      <w:b/>
      <w:bCs/>
    </w:rPr>
  </w:style>
  <w:style w:type="character" w:customStyle="1" w:styleId="CommentSubjectChar">
    <w:name w:val="Comment Subject Char"/>
    <w:basedOn w:val="CommentTextChar"/>
    <w:link w:val="CommentSubject"/>
    <w:uiPriority w:val="99"/>
    <w:semiHidden/>
    <w:rsid w:val="00F100E9"/>
    <w:rPr>
      <w:rFonts w:ascii="Calibri" w:hAnsi="Calibri" w:cs="Times New Roman"/>
      <w:b/>
      <w:bCs/>
      <w:sz w:val="20"/>
      <w:szCs w:val="20"/>
      <w:lang w:eastAsia="nl-NL"/>
    </w:rPr>
  </w:style>
  <w:style w:type="paragraph" w:styleId="FootnoteText">
    <w:name w:val="footnote text"/>
    <w:basedOn w:val="Normal"/>
    <w:link w:val="FootnoteTextChar"/>
    <w:uiPriority w:val="99"/>
    <w:semiHidden/>
    <w:unhideWhenUsed/>
    <w:rsid w:val="00125059"/>
    <w:rPr>
      <w:sz w:val="20"/>
      <w:szCs w:val="20"/>
    </w:rPr>
  </w:style>
  <w:style w:type="character" w:customStyle="1" w:styleId="FootnoteTextChar">
    <w:name w:val="Footnote Text Char"/>
    <w:basedOn w:val="DefaultParagraphFont"/>
    <w:link w:val="FootnoteText"/>
    <w:uiPriority w:val="99"/>
    <w:semiHidden/>
    <w:rsid w:val="00125059"/>
    <w:rPr>
      <w:rFonts w:ascii="Calibri" w:hAnsi="Calibri" w:cs="Times New Roman"/>
      <w:sz w:val="20"/>
      <w:szCs w:val="20"/>
      <w:lang w:eastAsia="nl-NL"/>
    </w:rPr>
  </w:style>
  <w:style w:type="character" w:styleId="FootnoteReference">
    <w:name w:val="footnote reference"/>
    <w:basedOn w:val="DefaultParagraphFont"/>
    <w:uiPriority w:val="99"/>
    <w:semiHidden/>
    <w:unhideWhenUsed/>
    <w:rsid w:val="00125059"/>
    <w:rPr>
      <w:vertAlign w:val="superscript"/>
    </w:rPr>
  </w:style>
  <w:style w:type="table" w:styleId="LightList-Accent3">
    <w:name w:val="Light List Accent 3"/>
    <w:basedOn w:val="TableNormal"/>
    <w:uiPriority w:val="61"/>
    <w:rsid w:val="001E4F03"/>
    <w:pPr>
      <w:spacing w:after="0" w:line="240" w:lineRule="auto"/>
    </w:pPr>
    <w:rPr>
      <w:rFonts w:eastAsiaTheme="minorEastAsia"/>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06D"/>
    <w:pPr>
      <w:spacing w:after="0" w:line="240" w:lineRule="auto"/>
    </w:pPr>
    <w:rPr>
      <w:rFonts w:ascii="Calibri" w:hAnsi="Calibri" w:cs="Times New Roman"/>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88F"/>
    <w:pPr>
      <w:spacing w:after="200" w:line="276" w:lineRule="auto"/>
      <w:ind w:left="720"/>
      <w:contextualSpacing/>
    </w:pPr>
    <w:rPr>
      <w:rFonts w:asciiTheme="minorHAnsi" w:hAnsiTheme="minorHAnsi" w:cstheme="minorBidi"/>
      <w:lang w:eastAsia="en-US"/>
    </w:rPr>
  </w:style>
  <w:style w:type="table" w:styleId="TableGrid">
    <w:name w:val="Table Grid"/>
    <w:basedOn w:val="TableNormal"/>
    <w:uiPriority w:val="59"/>
    <w:rsid w:val="00304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0E9"/>
    <w:rPr>
      <w:rFonts w:ascii="Tahoma" w:hAnsi="Tahoma" w:cs="Tahoma"/>
      <w:sz w:val="16"/>
      <w:szCs w:val="16"/>
    </w:rPr>
  </w:style>
  <w:style w:type="character" w:customStyle="1" w:styleId="BalloonTextChar">
    <w:name w:val="Balloon Text Char"/>
    <w:basedOn w:val="DefaultParagraphFont"/>
    <w:link w:val="BalloonText"/>
    <w:uiPriority w:val="99"/>
    <w:semiHidden/>
    <w:rsid w:val="00F100E9"/>
    <w:rPr>
      <w:rFonts w:ascii="Tahoma" w:hAnsi="Tahoma" w:cs="Tahoma"/>
      <w:sz w:val="16"/>
      <w:szCs w:val="16"/>
      <w:lang w:eastAsia="nl-NL"/>
    </w:rPr>
  </w:style>
  <w:style w:type="character" w:styleId="CommentReference">
    <w:name w:val="annotation reference"/>
    <w:basedOn w:val="DefaultParagraphFont"/>
    <w:uiPriority w:val="99"/>
    <w:semiHidden/>
    <w:unhideWhenUsed/>
    <w:rsid w:val="00F100E9"/>
    <w:rPr>
      <w:sz w:val="16"/>
      <w:szCs w:val="16"/>
    </w:rPr>
  </w:style>
  <w:style w:type="paragraph" w:styleId="CommentText">
    <w:name w:val="annotation text"/>
    <w:basedOn w:val="Normal"/>
    <w:link w:val="CommentTextChar"/>
    <w:uiPriority w:val="99"/>
    <w:semiHidden/>
    <w:unhideWhenUsed/>
    <w:rsid w:val="00F100E9"/>
    <w:rPr>
      <w:sz w:val="20"/>
      <w:szCs w:val="20"/>
    </w:rPr>
  </w:style>
  <w:style w:type="character" w:customStyle="1" w:styleId="CommentTextChar">
    <w:name w:val="Comment Text Char"/>
    <w:basedOn w:val="DefaultParagraphFont"/>
    <w:link w:val="CommentText"/>
    <w:uiPriority w:val="99"/>
    <w:semiHidden/>
    <w:rsid w:val="00F100E9"/>
    <w:rPr>
      <w:rFonts w:ascii="Calibri" w:hAnsi="Calibri"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F100E9"/>
    <w:rPr>
      <w:b/>
      <w:bCs/>
    </w:rPr>
  </w:style>
  <w:style w:type="character" w:customStyle="1" w:styleId="CommentSubjectChar">
    <w:name w:val="Comment Subject Char"/>
    <w:basedOn w:val="CommentTextChar"/>
    <w:link w:val="CommentSubject"/>
    <w:uiPriority w:val="99"/>
    <w:semiHidden/>
    <w:rsid w:val="00F100E9"/>
    <w:rPr>
      <w:rFonts w:ascii="Calibri" w:hAnsi="Calibri" w:cs="Times New Roman"/>
      <w:b/>
      <w:bCs/>
      <w:sz w:val="20"/>
      <w:szCs w:val="20"/>
      <w:lang w:eastAsia="nl-NL"/>
    </w:rPr>
  </w:style>
  <w:style w:type="paragraph" w:styleId="FootnoteText">
    <w:name w:val="footnote text"/>
    <w:basedOn w:val="Normal"/>
    <w:link w:val="FootnoteTextChar"/>
    <w:uiPriority w:val="99"/>
    <w:semiHidden/>
    <w:unhideWhenUsed/>
    <w:rsid w:val="00125059"/>
    <w:rPr>
      <w:sz w:val="20"/>
      <w:szCs w:val="20"/>
    </w:rPr>
  </w:style>
  <w:style w:type="character" w:customStyle="1" w:styleId="FootnoteTextChar">
    <w:name w:val="Footnote Text Char"/>
    <w:basedOn w:val="DefaultParagraphFont"/>
    <w:link w:val="FootnoteText"/>
    <w:uiPriority w:val="99"/>
    <w:semiHidden/>
    <w:rsid w:val="00125059"/>
    <w:rPr>
      <w:rFonts w:ascii="Calibri" w:hAnsi="Calibri" w:cs="Times New Roman"/>
      <w:sz w:val="20"/>
      <w:szCs w:val="20"/>
      <w:lang w:eastAsia="nl-NL"/>
    </w:rPr>
  </w:style>
  <w:style w:type="character" w:styleId="FootnoteReference">
    <w:name w:val="footnote reference"/>
    <w:basedOn w:val="DefaultParagraphFont"/>
    <w:uiPriority w:val="99"/>
    <w:semiHidden/>
    <w:unhideWhenUsed/>
    <w:rsid w:val="00125059"/>
    <w:rPr>
      <w:vertAlign w:val="superscript"/>
    </w:rPr>
  </w:style>
  <w:style w:type="table" w:styleId="LightList-Accent3">
    <w:name w:val="Light List Accent 3"/>
    <w:basedOn w:val="TableNormal"/>
    <w:uiPriority w:val="61"/>
    <w:rsid w:val="001E4F03"/>
    <w:pPr>
      <w:spacing w:after="0" w:line="240" w:lineRule="auto"/>
    </w:pPr>
    <w:rPr>
      <w:rFonts w:eastAsiaTheme="minorEastAsia"/>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06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image" Target="media/image1.png"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741</ap:Words>
  <ap:Characters>4227</ap:Characters>
  <ap:DocSecurity>0</ap:DocSecurity>
  <ap:Lines>35</ap:Lines>
  <ap:Paragraphs>9</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4959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2015-08-25T15:26:00.0000000Z</lastPrinted>
  <dcterms:created xsi:type="dcterms:W3CDTF">2015-09-07T13:45:00.0000000Z</dcterms:created>
  <dcterms:modified xsi:type="dcterms:W3CDTF">2015-09-07T13:45:00.0000000Z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0x0101003A4D993B5EEED2439491A41EEC4A936E</vt:lpwstr>
  </property>
</Properties>
</file>