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94B" w:rsidP="0083094B" w:rsidRDefault="004F502F">
      <w:pPr>
        <w:jc w:val="center"/>
        <w:rPr>
          <w:b/>
          <w:sz w:val="24"/>
          <w:szCs w:val="24"/>
        </w:rPr>
      </w:pPr>
      <w:bookmarkStart w:name="_GoBack" w:id="0"/>
      <w:r>
        <w:rPr>
          <w:b/>
          <w:sz w:val="24"/>
          <w:szCs w:val="24"/>
        </w:rPr>
        <w:t xml:space="preserve">Verslag van de </w:t>
      </w:r>
      <w:r w:rsidR="009E7A07">
        <w:rPr>
          <w:b/>
          <w:sz w:val="24"/>
          <w:szCs w:val="24"/>
        </w:rPr>
        <w:t xml:space="preserve">ingelaste </w:t>
      </w:r>
      <w:r>
        <w:rPr>
          <w:b/>
          <w:sz w:val="24"/>
          <w:szCs w:val="24"/>
        </w:rPr>
        <w:t>bijeenkomst van</w:t>
      </w:r>
    </w:p>
    <w:p w:rsidR="004F502F" w:rsidP="0083094B" w:rsidRDefault="004F502F">
      <w:pPr>
        <w:jc w:val="center"/>
        <w:rPr>
          <w:b/>
          <w:sz w:val="24"/>
          <w:szCs w:val="24"/>
        </w:rPr>
      </w:pPr>
      <w:r>
        <w:rPr>
          <w:b/>
          <w:sz w:val="24"/>
          <w:szCs w:val="24"/>
        </w:rPr>
        <w:t xml:space="preserve"> de Raad Justitie en Binnenlandse Zaken,</w:t>
      </w:r>
    </w:p>
    <w:p w:rsidRPr="00E57BB0" w:rsidR="004F502F" w:rsidP="004F502F" w:rsidRDefault="008E29BD">
      <w:pPr>
        <w:jc w:val="center"/>
        <w:rPr>
          <w:b/>
          <w:sz w:val="24"/>
          <w:szCs w:val="24"/>
        </w:rPr>
      </w:pPr>
      <w:r w:rsidRPr="00E57BB0">
        <w:rPr>
          <w:b/>
          <w:sz w:val="24"/>
          <w:szCs w:val="24"/>
        </w:rPr>
        <w:t>20 juli</w:t>
      </w:r>
      <w:r w:rsidRPr="00E57BB0" w:rsidR="004F502F">
        <w:rPr>
          <w:b/>
          <w:sz w:val="24"/>
          <w:szCs w:val="24"/>
        </w:rPr>
        <w:t xml:space="preserve"> 2015 te </w:t>
      </w:r>
      <w:r w:rsidRPr="00E57BB0">
        <w:rPr>
          <w:b/>
          <w:sz w:val="24"/>
          <w:szCs w:val="24"/>
        </w:rPr>
        <w:t>Brussel</w:t>
      </w:r>
    </w:p>
    <w:bookmarkEnd w:id="0"/>
    <w:p w:rsidRPr="00E57BB0" w:rsidR="00C2516D" w:rsidP="00AE3AD7" w:rsidRDefault="00C2516D">
      <w:pPr>
        <w:rPr>
          <w:b/>
          <w:sz w:val="24"/>
          <w:szCs w:val="24"/>
        </w:rPr>
      </w:pPr>
    </w:p>
    <w:p w:rsidRPr="00E57BB0" w:rsidR="00C2516D" w:rsidP="004F502F" w:rsidRDefault="00C2516D">
      <w:pPr>
        <w:jc w:val="center"/>
        <w:rPr>
          <w:b/>
          <w:sz w:val="24"/>
          <w:szCs w:val="24"/>
        </w:rPr>
      </w:pPr>
    </w:p>
    <w:p w:rsidR="004F502F" w:rsidP="004F502F" w:rsidRDefault="004F502F">
      <w:pPr>
        <w:rPr>
          <w:b/>
          <w:sz w:val="24"/>
          <w:szCs w:val="24"/>
        </w:rPr>
      </w:pPr>
      <w:r>
        <w:rPr>
          <w:b/>
          <w:sz w:val="24"/>
          <w:szCs w:val="24"/>
        </w:rPr>
        <w:t>Belangrijkste resultaten</w:t>
      </w:r>
    </w:p>
    <w:p w:rsidR="00440B83" w:rsidP="00440B83" w:rsidRDefault="00440B83">
      <w:pPr>
        <w:jc w:val="both"/>
        <w:rPr>
          <w:u w:val="single"/>
        </w:rPr>
      </w:pPr>
    </w:p>
    <w:p w:rsidR="00440B83" w:rsidP="00440B83" w:rsidRDefault="00440B83">
      <w:pPr>
        <w:jc w:val="both"/>
      </w:pPr>
      <w:r>
        <w:rPr>
          <w:u w:val="single"/>
        </w:rPr>
        <w:t>Hervestiging</w:t>
      </w:r>
    </w:p>
    <w:p w:rsidR="00440B83" w:rsidP="00440B83" w:rsidRDefault="00440B83">
      <w:pPr>
        <w:jc w:val="both"/>
      </w:pPr>
    </w:p>
    <w:p w:rsidR="00440B83" w:rsidP="00440B83" w:rsidRDefault="00440B83">
      <w:pPr>
        <w:jc w:val="both"/>
      </w:pPr>
      <w:r>
        <w:t>De lidstaten hebben conclusies aangenomen met betrekking tot hervestiging van 22.504 personen</w:t>
      </w:r>
      <w:r w:rsidR="00FE236F">
        <w:t xml:space="preserve"> </w:t>
      </w:r>
      <w:r>
        <w:t xml:space="preserve">van buiten de Europese Unie die duidelijk internationale bescherming nodig hebben. </w:t>
      </w:r>
    </w:p>
    <w:p w:rsidR="004F502F" w:rsidP="004F502F" w:rsidRDefault="004F502F">
      <w:pPr>
        <w:rPr>
          <w:b/>
          <w:sz w:val="24"/>
          <w:szCs w:val="24"/>
        </w:rPr>
      </w:pPr>
    </w:p>
    <w:p w:rsidRPr="000468C1" w:rsidR="004F502F" w:rsidP="004F502F" w:rsidRDefault="00141539">
      <w:pPr>
        <w:rPr>
          <w:u w:val="single"/>
        </w:rPr>
      </w:pPr>
      <w:r>
        <w:rPr>
          <w:u w:val="single"/>
        </w:rPr>
        <w:t>Herplaatsing</w:t>
      </w:r>
    </w:p>
    <w:p w:rsidRPr="004F502F" w:rsidR="004F502F" w:rsidP="004F502F" w:rsidRDefault="004F502F">
      <w:pPr>
        <w:rPr>
          <w:u w:val="single"/>
        </w:rPr>
      </w:pPr>
    </w:p>
    <w:p w:rsidR="00860336" w:rsidP="00BC1F06" w:rsidRDefault="000468C1">
      <w:pPr>
        <w:jc w:val="both"/>
      </w:pPr>
      <w:r>
        <w:t xml:space="preserve">De Raad heeft een akkoord bereikt over een ontwerpbesluit tot instelling van een mechanisme voor de tijdelijke en uitzonderlijke herplaatsing vanuit Griekenland en </w:t>
      </w:r>
      <w:r w:rsidR="00860336">
        <w:t>Italië</w:t>
      </w:r>
      <w:r>
        <w:t xml:space="preserve"> naar andere lidstaten, van mensen die duidelijk internationale bescherming nodig hebben.</w:t>
      </w:r>
      <w:r w:rsidR="00860336">
        <w:t xml:space="preserve"> De lidstaten zijn het bij consensus eens geworden over de </w:t>
      </w:r>
      <w:r w:rsidR="00A26AF3">
        <w:t>invulling</w:t>
      </w:r>
      <w:r w:rsidR="00860336">
        <w:t xml:space="preserve"> van 32.256 </w:t>
      </w:r>
      <w:r w:rsidR="00A26AF3">
        <w:t xml:space="preserve">plaatsen voor </w:t>
      </w:r>
      <w:r w:rsidR="00860336">
        <w:t>mensen die moeten worden herplaatst e</w:t>
      </w:r>
      <w:r w:rsidR="00A26AF3">
        <w:t>n kwamen overeen om de invulling</w:t>
      </w:r>
      <w:r w:rsidR="00860336">
        <w:t xml:space="preserve"> van de resterende 7.744 </w:t>
      </w:r>
      <w:r w:rsidR="00A26AF3">
        <w:t xml:space="preserve">plaatsen </w:t>
      </w:r>
      <w:r w:rsidR="00860336">
        <w:t>voor eind 2015 te bepalen.</w:t>
      </w:r>
      <w:r w:rsidR="00E57BB0">
        <w:t xml:space="preserve"> </w:t>
      </w:r>
    </w:p>
    <w:p w:rsidR="00893D36" w:rsidP="00BC1F06" w:rsidRDefault="00893D36">
      <w:pPr>
        <w:jc w:val="both"/>
      </w:pPr>
    </w:p>
    <w:p w:rsidR="00893D36" w:rsidP="00BC1F06" w:rsidRDefault="00893D36">
      <w:pPr>
        <w:jc w:val="both"/>
      </w:pPr>
      <w:r>
        <w:rPr>
          <w:u w:val="single"/>
        </w:rPr>
        <w:t>Veilige landen van herkomst</w:t>
      </w:r>
    </w:p>
    <w:p w:rsidR="00893D36" w:rsidP="00BC1F06" w:rsidRDefault="00893D36">
      <w:pPr>
        <w:jc w:val="both"/>
      </w:pPr>
    </w:p>
    <w:p w:rsidR="00893D36" w:rsidP="00BC1F06" w:rsidRDefault="00893D36">
      <w:pPr>
        <w:jc w:val="both"/>
      </w:pPr>
      <w:r>
        <w:t xml:space="preserve">De Raad heeft conclusies aangenomen over het aanwijzen van bepaalde derde landen als veilig land van herkomst in de zin van de Procedurerichtlijn. De Raad is overeengekomen om </w:t>
      </w:r>
      <w:r w:rsidR="00B238DC">
        <w:t>prioriteit te geven aan de beoordeling door alle lidstaten van de veiligheid van de Westelijke Balkan.</w:t>
      </w:r>
    </w:p>
    <w:p w:rsidR="00B238DC" w:rsidP="00BC1F06" w:rsidRDefault="00B238DC">
      <w:pPr>
        <w:jc w:val="both"/>
      </w:pPr>
    </w:p>
    <w:p w:rsidRPr="00B238DC" w:rsidR="00B238DC" w:rsidP="00BC1F06" w:rsidRDefault="00B238DC">
      <w:pPr>
        <w:jc w:val="both"/>
        <w:rPr>
          <w:u w:val="single"/>
        </w:rPr>
      </w:pPr>
      <w:r w:rsidRPr="00B238DC">
        <w:rPr>
          <w:u w:val="single"/>
        </w:rPr>
        <w:t>Vingerafdrukken</w:t>
      </w:r>
    </w:p>
    <w:p w:rsidR="00BC1F06" w:rsidP="00BC1F06" w:rsidRDefault="00BC1F06">
      <w:pPr>
        <w:jc w:val="both"/>
      </w:pPr>
    </w:p>
    <w:p w:rsidR="00B238DC" w:rsidP="00BC1F06" w:rsidRDefault="005D7412">
      <w:pPr>
        <w:jc w:val="both"/>
      </w:pPr>
      <w:r>
        <w:t xml:space="preserve">De Raad heeft nota 11013/15 goedgekeurd waarin lidstaten worden uitgenodigd om de richtsnoeren van de Europese Commissie met betrekking tot het verplicht afnemen van vingerafdrukken te volgen. </w:t>
      </w:r>
    </w:p>
    <w:p w:rsidR="00AB4D43" w:rsidP="00BC1F06" w:rsidRDefault="00AB4D43">
      <w:pPr>
        <w:jc w:val="both"/>
      </w:pPr>
    </w:p>
    <w:p w:rsidR="00AB4D43" w:rsidP="00BC1F06" w:rsidRDefault="00AB4D43">
      <w:pPr>
        <w:jc w:val="both"/>
        <w:rPr>
          <w:b/>
          <w:sz w:val="24"/>
          <w:szCs w:val="24"/>
        </w:rPr>
      </w:pPr>
    </w:p>
    <w:p w:rsidR="005D7412" w:rsidP="00BC1F06" w:rsidRDefault="0050018A">
      <w:pPr>
        <w:jc w:val="both"/>
        <w:rPr>
          <w:b/>
          <w:bCs/>
        </w:rPr>
      </w:pPr>
      <w:r>
        <w:rPr>
          <w:b/>
          <w:bCs/>
        </w:rPr>
        <w:t>Immigratie</w:t>
      </w:r>
      <w:r w:rsidR="00EA0188">
        <w:rPr>
          <w:b/>
          <w:bCs/>
        </w:rPr>
        <w:t xml:space="preserve"> en a</w:t>
      </w:r>
      <w:r w:rsidRPr="0020609D" w:rsidR="00EA0188">
        <w:rPr>
          <w:b/>
          <w:bCs/>
        </w:rPr>
        <w:t>siel</w:t>
      </w:r>
    </w:p>
    <w:p w:rsidRPr="005D7412" w:rsidR="00EA0188" w:rsidP="00BC1F06" w:rsidRDefault="00EA0188">
      <w:pPr>
        <w:jc w:val="both"/>
      </w:pPr>
    </w:p>
    <w:p w:rsidR="009E7A07" w:rsidP="00EA0188" w:rsidRDefault="00914BCB">
      <w:pPr>
        <w:jc w:val="both"/>
      </w:pPr>
      <w:r w:rsidRPr="00EA0188">
        <w:rPr>
          <w:u w:val="single"/>
        </w:rPr>
        <w:t>Hervestiging</w:t>
      </w:r>
      <w:r w:rsidRPr="009E7A07" w:rsidR="00646E3F">
        <w:t>  </w:t>
      </w:r>
    </w:p>
    <w:p w:rsidR="009E7A07" w:rsidP="00646E3F" w:rsidRDefault="009E7A07">
      <w:pPr>
        <w:jc w:val="both"/>
      </w:pPr>
    </w:p>
    <w:p w:rsidR="00646E3F" w:rsidP="00646E3F" w:rsidRDefault="009E7A07">
      <w:pPr>
        <w:jc w:val="both"/>
      </w:pPr>
      <w:r>
        <w:t xml:space="preserve">Voor aanvang van deze Raad werd bekend dat het streefgetal van 20.000 voor deze ingelaste bijeenkomst van de Raad Justitie en Binnenlandse Zaken reeds was gehaald: </w:t>
      </w:r>
      <w:r w:rsidR="002A2F69">
        <w:t>L</w:t>
      </w:r>
      <w:r>
        <w:t>idstaten en Geassocieerde Staten hebben samen beloofd om 22.504 personen die duidelijk internationale bescherming nodig hebben</w:t>
      </w:r>
      <w:r w:rsidR="00AB4D43">
        <w:t>,</w:t>
      </w:r>
      <w:r>
        <w:t xml:space="preserve"> te </w:t>
      </w:r>
      <w:r w:rsidR="00AB4D43">
        <w:t>zullen</w:t>
      </w:r>
      <w:r>
        <w:t xml:space="preserve"> </w:t>
      </w:r>
      <w:proofErr w:type="spellStart"/>
      <w:r>
        <w:t>hervestigen</w:t>
      </w:r>
      <w:proofErr w:type="spellEnd"/>
      <w:r>
        <w:t>.</w:t>
      </w:r>
      <w:r w:rsidR="00AB4D43">
        <w:t xml:space="preserve"> Een overzicht van de </w:t>
      </w:r>
      <w:r w:rsidR="003F42F3">
        <w:t>hervestigings</w:t>
      </w:r>
      <w:r w:rsidR="00AB4D43">
        <w:t>beloften</w:t>
      </w:r>
      <w:r w:rsidR="00AA60B3">
        <w:t xml:space="preserve"> per land is bijgevoegd, Nederland heeft beloofd 1</w:t>
      </w:r>
      <w:r w:rsidR="002A2F69">
        <w:t>.</w:t>
      </w:r>
      <w:r w:rsidR="00AA60B3">
        <w:t xml:space="preserve">000 personen over </w:t>
      </w:r>
      <w:r w:rsidR="00346D27">
        <w:t xml:space="preserve">de </w:t>
      </w:r>
      <w:r w:rsidR="002A2F69">
        <w:t>toepasselijke</w:t>
      </w:r>
      <w:r w:rsidR="00346D27">
        <w:t xml:space="preserve"> </w:t>
      </w:r>
      <w:r w:rsidR="00AA60B3">
        <w:t xml:space="preserve">periode van twee jaar te </w:t>
      </w:r>
      <w:proofErr w:type="spellStart"/>
      <w:r w:rsidR="00AA60B3">
        <w:t>hervestigen</w:t>
      </w:r>
      <w:proofErr w:type="spellEnd"/>
      <w:r w:rsidR="00AA60B3">
        <w:t>.</w:t>
      </w:r>
    </w:p>
    <w:p w:rsidR="00AB4D43" w:rsidP="00646E3F" w:rsidRDefault="00AB4D43">
      <w:pPr>
        <w:jc w:val="both"/>
      </w:pPr>
    </w:p>
    <w:p w:rsidR="00AB4D43" w:rsidP="00646E3F" w:rsidRDefault="00AB4D43">
      <w:pPr>
        <w:jc w:val="both"/>
      </w:pPr>
      <w:r>
        <w:rPr>
          <w:u w:val="single"/>
        </w:rPr>
        <w:t>Herplaatsing</w:t>
      </w:r>
    </w:p>
    <w:p w:rsidR="00AB4D43" w:rsidP="00646E3F" w:rsidRDefault="00AB4D43">
      <w:pPr>
        <w:jc w:val="both"/>
      </w:pPr>
    </w:p>
    <w:p w:rsidR="005A5E6D" w:rsidP="00646E3F" w:rsidRDefault="00AB4D43">
      <w:pPr>
        <w:jc w:val="both"/>
      </w:pPr>
      <w:r>
        <w:t>Tijdens de Raad bespraken de ministers uitvoerig de beloftes van het aantal te herplaatsen personen vanuit Griekenland en Italië naar andere lidstaten.</w:t>
      </w:r>
      <w:r w:rsidR="00467BBF">
        <w:t xml:space="preserve"> </w:t>
      </w:r>
      <w:r w:rsidR="005A5E6D">
        <w:t>De Europese Commissie benadrukte hierbij het belang van deelname aan het herplaatsingsmechanisme door elke lidstaat</w:t>
      </w:r>
      <w:r w:rsidR="00433E08">
        <w:t>.</w:t>
      </w:r>
      <w:r w:rsidR="005A5E6D">
        <w:t xml:space="preserve"> </w:t>
      </w:r>
      <w:r w:rsidR="00433E08">
        <w:t>H</w:t>
      </w:r>
      <w:r w:rsidR="005A5E6D">
        <w:t>et verplicht afnemen van vingerafdrukken</w:t>
      </w:r>
      <w:r w:rsidR="00433E08">
        <w:t xml:space="preserve"> door Griekenland en Italië</w:t>
      </w:r>
      <w:r w:rsidR="005A5E6D">
        <w:t xml:space="preserve"> en </w:t>
      </w:r>
      <w:r w:rsidR="00433E08">
        <w:t xml:space="preserve">het hanteren van </w:t>
      </w:r>
      <w:r w:rsidR="005A5E6D">
        <w:t xml:space="preserve"> </w:t>
      </w:r>
      <w:proofErr w:type="spellStart"/>
      <w:r w:rsidR="005A5E6D">
        <w:t>hotspot</w:t>
      </w:r>
      <w:proofErr w:type="spellEnd"/>
      <w:r w:rsidR="005A5E6D">
        <w:t xml:space="preserve">-benadering </w:t>
      </w:r>
      <w:r w:rsidR="00433E08">
        <w:t xml:space="preserve">zijn </w:t>
      </w:r>
      <w:r w:rsidR="005A5E6D">
        <w:t xml:space="preserve">belangrijke </w:t>
      </w:r>
      <w:r w:rsidR="00433E08">
        <w:t>rand</w:t>
      </w:r>
      <w:r w:rsidR="005A5E6D">
        <w:t>voorwaarden</w:t>
      </w:r>
      <w:r w:rsidR="00433E08">
        <w:t xml:space="preserve"> in dit herplaatsingsmechanisme</w:t>
      </w:r>
      <w:r w:rsidR="005A5E6D">
        <w:t>.</w:t>
      </w:r>
      <w:r w:rsidRPr="00E42020" w:rsidR="00E42020">
        <w:t xml:space="preserve"> Met de </w:t>
      </w:r>
      <w:proofErr w:type="spellStart"/>
      <w:r w:rsidRPr="00E42020" w:rsidR="00E42020">
        <w:t>hotspot</w:t>
      </w:r>
      <w:proofErr w:type="spellEnd"/>
      <w:r w:rsidRPr="00E42020" w:rsidR="00E42020">
        <w:t>-benadering ondersteunen EU</w:t>
      </w:r>
      <w:r w:rsidR="00E42020">
        <w:t>-</w:t>
      </w:r>
      <w:r w:rsidRPr="00E42020" w:rsidR="00E42020">
        <w:t xml:space="preserve">agentschappen Griekenland en Italië onder andere bij het </w:t>
      </w:r>
      <w:r w:rsidRPr="00E42020" w:rsidR="00E42020">
        <w:lastRenderedPageBreak/>
        <w:t>registratieproces van arriverende migranten, bij het terugkeerproces, en bij het detecteren van signalen van mensensmokkel.</w:t>
      </w:r>
    </w:p>
    <w:p w:rsidR="005A5E6D" w:rsidP="00646E3F" w:rsidRDefault="005A5E6D">
      <w:pPr>
        <w:jc w:val="both"/>
      </w:pPr>
    </w:p>
    <w:p w:rsidR="00BF00FF" w:rsidP="00646E3F" w:rsidRDefault="005A5E6D">
      <w:pPr>
        <w:jc w:val="both"/>
      </w:pPr>
      <w:r>
        <w:t>Verschillende</w:t>
      </w:r>
      <w:r w:rsidR="00BF00FF">
        <w:t xml:space="preserve"> lidstaten, waaronder Nederland, hebben zich </w:t>
      </w:r>
      <w:r w:rsidR="00E11D61">
        <w:t xml:space="preserve">gecommitteerd </w:t>
      </w:r>
      <w:r w:rsidR="00BF00FF">
        <w:t xml:space="preserve">aan het aantal te herplaatsen personen zoals </w:t>
      </w:r>
      <w:r w:rsidR="00440B83">
        <w:t xml:space="preserve">genoemd in het oorspronkelijke voorstel van </w:t>
      </w:r>
      <w:r w:rsidR="00BF00FF">
        <w:t>de Europese Commissie</w:t>
      </w:r>
      <w:r w:rsidR="00E11D61">
        <w:t>.</w:t>
      </w:r>
      <w:r w:rsidR="00BF00FF">
        <w:t xml:space="preserve"> </w:t>
      </w:r>
      <w:r w:rsidR="00E11D61">
        <w:t>A</w:t>
      </w:r>
      <w:r w:rsidR="00BF00FF">
        <w:t xml:space="preserve">ndere lidstaten hebben een aantal </w:t>
      </w:r>
      <w:r w:rsidR="00ED77DE">
        <w:t>beloofd</w:t>
      </w:r>
      <w:r w:rsidR="00BF00FF">
        <w:t xml:space="preserve"> dat </w:t>
      </w:r>
      <w:r w:rsidR="002A2F69">
        <w:t xml:space="preserve">soms </w:t>
      </w:r>
      <w:r w:rsidR="00BF00FF">
        <w:t xml:space="preserve">hoger of lager is dan het voorstel van de Europese Commissie. </w:t>
      </w:r>
      <w:r w:rsidR="00962651">
        <w:t>Er zijn ook lidstaten die</w:t>
      </w:r>
      <w:r w:rsidR="003F42F3">
        <w:t>,</w:t>
      </w:r>
      <w:r w:rsidR="00962651">
        <w:t xml:space="preserve"> </w:t>
      </w:r>
      <w:r w:rsidR="00FF58DD">
        <w:t xml:space="preserve">ondanks aandringen van het Voorzitterschap en Europese Commissie, </w:t>
      </w:r>
      <w:r w:rsidR="00962651">
        <w:t>om hen moverende redenen</w:t>
      </w:r>
      <w:r w:rsidR="003F42F3">
        <w:t xml:space="preserve"> </w:t>
      </w:r>
      <w:r w:rsidR="00A26AF3">
        <w:t>(nog) geen</w:t>
      </w:r>
      <w:r w:rsidR="003F42F3">
        <w:t xml:space="preserve"> </w:t>
      </w:r>
      <w:r w:rsidR="00A26AF3">
        <w:t>aantallen hebben beloofd</w:t>
      </w:r>
      <w:r w:rsidR="003F42F3">
        <w:t xml:space="preserve">. </w:t>
      </w:r>
      <w:r>
        <w:t xml:space="preserve">Uiteindelijk </w:t>
      </w:r>
      <w:r w:rsidR="00E11D61">
        <w:t xml:space="preserve">is </w:t>
      </w:r>
      <w:r>
        <w:t xml:space="preserve">door de Raad overeenstemming bereikt over 32.256 </w:t>
      </w:r>
      <w:r w:rsidR="0015620D">
        <w:t xml:space="preserve">toegezegde </w:t>
      </w:r>
      <w:r>
        <w:t>herplaatsingsplekken, e</w:t>
      </w:r>
      <w:r w:rsidR="003F42F3">
        <w:t>en overzicht van de herplaatsingsbeloften per land is bijgevoegd.</w:t>
      </w:r>
      <w:r w:rsidRPr="00AA60B3" w:rsidR="00AA60B3">
        <w:t xml:space="preserve"> </w:t>
      </w:r>
      <w:r w:rsidR="00AA60B3">
        <w:t>Nederland heeft beloofd om 2</w:t>
      </w:r>
      <w:r w:rsidR="002A2F69">
        <w:t>.</w:t>
      </w:r>
      <w:r w:rsidR="00AA60B3">
        <w:t xml:space="preserve">047 personen over </w:t>
      </w:r>
      <w:r w:rsidR="00346D27">
        <w:t xml:space="preserve">de </w:t>
      </w:r>
      <w:r w:rsidR="00895BA9">
        <w:t>toepasselijke</w:t>
      </w:r>
      <w:r w:rsidR="00346D27">
        <w:t xml:space="preserve"> </w:t>
      </w:r>
      <w:r w:rsidR="00AA60B3">
        <w:t>periode van twee jaar te herplaatsen.</w:t>
      </w:r>
    </w:p>
    <w:p w:rsidR="00BF00FF" w:rsidP="00646E3F" w:rsidRDefault="00BF00FF">
      <w:pPr>
        <w:jc w:val="both"/>
      </w:pPr>
    </w:p>
    <w:p w:rsidR="00AB4D43" w:rsidP="00646E3F" w:rsidRDefault="00467BBF">
      <w:pPr>
        <w:jc w:val="both"/>
      </w:pPr>
      <w:r>
        <w:t xml:space="preserve">Griekenland en Italië hebben verzekerd dat de personen die op hun grondgebied aankomen, volgens de bestaande regels geïdentificeerd en geregistreerd worden, onder meer door het nemen van vingerafdrukken.  </w:t>
      </w:r>
    </w:p>
    <w:p w:rsidR="00E57BB0" w:rsidP="00646E3F" w:rsidRDefault="00E57BB0">
      <w:pPr>
        <w:jc w:val="both"/>
      </w:pPr>
    </w:p>
    <w:p w:rsidR="00E57BB0" w:rsidP="00646E3F" w:rsidRDefault="00E57BB0">
      <w:pPr>
        <w:jc w:val="both"/>
      </w:pPr>
      <w:r>
        <w:t xml:space="preserve">Het besluit zal formeel worden aangenomen nadat het Europees Parlement zich </w:t>
      </w:r>
      <w:r w:rsidR="008B7079">
        <w:t>tijdens de eerste plenaire sessie in</w:t>
      </w:r>
      <w:r>
        <w:t xml:space="preserve"> september hierover heeft uitgesproken.</w:t>
      </w:r>
    </w:p>
    <w:p w:rsidR="00E57BB0" w:rsidP="00646E3F" w:rsidRDefault="00E57BB0">
      <w:pPr>
        <w:jc w:val="both"/>
      </w:pPr>
    </w:p>
    <w:p w:rsidR="00AB4D43" w:rsidP="00646E3F" w:rsidRDefault="00EA0188">
      <w:pPr>
        <w:jc w:val="both"/>
        <w:rPr>
          <w:u w:val="single"/>
        </w:rPr>
      </w:pPr>
      <w:r>
        <w:rPr>
          <w:u w:val="single"/>
        </w:rPr>
        <w:t>Veilige landen van herkomst</w:t>
      </w:r>
    </w:p>
    <w:p w:rsidR="00EA0188" w:rsidP="00646E3F" w:rsidRDefault="00EA0188">
      <w:pPr>
        <w:jc w:val="both"/>
      </w:pPr>
    </w:p>
    <w:p w:rsidR="00FA6811" w:rsidP="00646E3F" w:rsidRDefault="00EA0188">
      <w:pPr>
        <w:jc w:val="both"/>
      </w:pPr>
      <w:r>
        <w:t>De Raad heeft conclusies aangenomen over het aanwijzen van bepaalde derde landen als veilig land van herkomst in de zin van de Procedurerichtlijn. Tijdens de Europese Raad van 25 en 26 juni hebben de regeringsleiders de Europese Commissie uitgenodigd om uiterlijk in juli 2015 nadere richtsnoeren uit te werken om de normen te verbeteren op het gebied van asielprocedures. De Raadsconclusies zien op het ontwikkelen van Europese standaarden op het gebied van het aanwijzen van veilige derde landen. Daarnaast dient met voorrang te worden onderzocht of de Westelijke Balkanlanden</w:t>
      </w:r>
      <w:r w:rsidR="00EF35DB">
        <w:rPr>
          <w:rStyle w:val="Voetnootmarkering"/>
        </w:rPr>
        <w:footnoteReference w:id="1"/>
      </w:r>
      <w:r>
        <w:t xml:space="preserve"> kunnen worden aangemerkt als veilige landen van herkomst, waarbij een coördinerende rol voor EASO is weggelegd.</w:t>
      </w:r>
      <w:r w:rsidR="00FA6811">
        <w:t xml:space="preserve"> Nederland heeft steeds het belang onderstreept van de noodzaak tot tijdige en correcte implementatie van het gemeenschappelijk Europees asielsysteem en de verdere convergentie van beleid en praktijk.</w:t>
      </w:r>
    </w:p>
    <w:p w:rsidR="00FA6811" w:rsidP="00646E3F" w:rsidRDefault="00FA6811">
      <w:pPr>
        <w:jc w:val="both"/>
      </w:pPr>
    </w:p>
    <w:p w:rsidR="00FA6811" w:rsidP="00646E3F" w:rsidRDefault="00FA6811">
      <w:pPr>
        <w:jc w:val="both"/>
        <w:rPr>
          <w:u w:val="single"/>
        </w:rPr>
      </w:pPr>
      <w:r>
        <w:rPr>
          <w:u w:val="single"/>
        </w:rPr>
        <w:t>Diversen</w:t>
      </w:r>
    </w:p>
    <w:p w:rsidRPr="00FA6811" w:rsidR="00FA6811" w:rsidP="00646E3F" w:rsidRDefault="00FA6811">
      <w:pPr>
        <w:jc w:val="both"/>
        <w:rPr>
          <w:u w:val="single"/>
        </w:rPr>
      </w:pPr>
    </w:p>
    <w:p w:rsidR="00BC1F06" w:rsidP="00BA4CD5" w:rsidRDefault="003B3B60">
      <w:pPr>
        <w:pStyle w:val="Lijstalinea"/>
        <w:numPr>
          <w:ilvl w:val="0"/>
          <w:numId w:val="3"/>
        </w:numPr>
        <w:jc w:val="both"/>
      </w:pPr>
      <w:r>
        <w:t>Migratietop</w:t>
      </w:r>
      <w:r w:rsidR="00BA4CD5">
        <w:t xml:space="preserve"> van Valletta</w:t>
      </w:r>
    </w:p>
    <w:p w:rsidR="00BA4CD5" w:rsidP="00BA4CD5" w:rsidRDefault="00BA4CD5">
      <w:pPr>
        <w:jc w:val="both"/>
      </w:pPr>
    </w:p>
    <w:p w:rsidR="003B3B60" w:rsidP="00BA4CD5" w:rsidRDefault="00BA4CD5">
      <w:pPr>
        <w:jc w:val="both"/>
      </w:pPr>
      <w:r>
        <w:t xml:space="preserve">Pierre </w:t>
      </w:r>
      <w:proofErr w:type="spellStart"/>
      <w:r>
        <w:t>Vimont</w:t>
      </w:r>
      <w:proofErr w:type="spellEnd"/>
      <w:r>
        <w:t xml:space="preserve">, persoonlijke gezant van Voorzitter van de Europese Raad </w:t>
      </w:r>
      <w:proofErr w:type="spellStart"/>
      <w:r>
        <w:t>Tusk</w:t>
      </w:r>
      <w:proofErr w:type="spellEnd"/>
      <w:r>
        <w:t xml:space="preserve"> voor de </w:t>
      </w:r>
      <w:r w:rsidR="003B3B60">
        <w:t>Migratie</w:t>
      </w:r>
      <w:r>
        <w:t xml:space="preserve">top van Valletta, heeft de voorbereidingen kort toegelicht. </w:t>
      </w:r>
      <w:r w:rsidR="003B3B60">
        <w:t xml:space="preserve">Het voornemen voor deze Migratietop komt voort uit eerdere conclusies van de Europese Raad. De Migratietop zal zich richten op Afrikaanse landen die reeds partner zijn in de Rabat –en </w:t>
      </w:r>
      <w:proofErr w:type="spellStart"/>
      <w:r w:rsidR="003B3B60">
        <w:t>Khartoum</w:t>
      </w:r>
      <w:proofErr w:type="spellEnd"/>
      <w:r w:rsidR="003B3B60">
        <w:t>-processen. De Migratietop van Valletta zal in het najaar worden georganiseerd.</w:t>
      </w:r>
      <w:r w:rsidR="00CA0505">
        <w:t xml:space="preserve"> Nederland steunt het organiseren van deze Migratietop en is van mening dat voor een succesvolle aanpak v</w:t>
      </w:r>
      <w:r w:rsidR="00484244">
        <w:t>an de migratieproblematiek er e</w:t>
      </w:r>
      <w:r w:rsidR="00CA0505">
        <w:t xml:space="preserve">en brede, </w:t>
      </w:r>
      <w:r w:rsidR="00484244">
        <w:t>geïntegreerde</w:t>
      </w:r>
      <w:r w:rsidR="00CA0505">
        <w:t xml:space="preserve"> benadering vereist is. Dit is een gedeelde verantwoordelijkheid van herkomst-, transit- en bestemmingslanden.</w:t>
      </w:r>
    </w:p>
    <w:p w:rsidR="003B3B60" w:rsidP="00BA4CD5" w:rsidRDefault="003B3B60">
      <w:pPr>
        <w:jc w:val="both"/>
      </w:pPr>
    </w:p>
    <w:p w:rsidR="003B3B60" w:rsidP="003B3B60" w:rsidRDefault="003B3B60">
      <w:pPr>
        <w:pStyle w:val="Lijstalinea"/>
        <w:numPr>
          <w:ilvl w:val="0"/>
          <w:numId w:val="3"/>
        </w:numPr>
        <w:jc w:val="both"/>
      </w:pPr>
      <w:r>
        <w:t>EU-terugkeerbeleid</w:t>
      </w:r>
    </w:p>
    <w:p w:rsidR="003B3B60" w:rsidP="003B3B60" w:rsidRDefault="003B3B60">
      <w:pPr>
        <w:jc w:val="both"/>
      </w:pPr>
    </w:p>
    <w:p w:rsidR="00BA4CD5" w:rsidP="003B3B60" w:rsidRDefault="00FA4306">
      <w:pPr>
        <w:jc w:val="both"/>
      </w:pPr>
      <w:r>
        <w:t xml:space="preserve">De </w:t>
      </w:r>
      <w:r w:rsidR="00484244">
        <w:t xml:space="preserve">Raad en Europese Commissie </w:t>
      </w:r>
      <w:r w:rsidR="0033502C">
        <w:t>hebben kort van gedachten ge</w:t>
      </w:r>
      <w:r w:rsidR="00484244">
        <w:t>wissel</w:t>
      </w:r>
      <w:r w:rsidR="0033502C">
        <w:t>d</w:t>
      </w:r>
      <w:r w:rsidR="00484244">
        <w:t xml:space="preserve"> </w:t>
      </w:r>
      <w:r w:rsidR="0033502C">
        <w:t>over een Europese aanpak van terugk</w:t>
      </w:r>
      <w:r w:rsidR="006E7359">
        <w:t>eer.</w:t>
      </w:r>
    </w:p>
    <w:p w:rsidRPr="00BC1F06" w:rsidR="00BA4CD5" w:rsidP="00BA4CD5" w:rsidRDefault="00BA4CD5">
      <w:pPr>
        <w:jc w:val="both"/>
      </w:pPr>
    </w:p>
    <w:p w:rsidRPr="004F502F" w:rsidR="00BB7476" w:rsidRDefault="00BB7476"/>
    <w:sectPr w:rsidRPr="004F502F" w:rsidR="00BB747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20D" w:rsidRDefault="0015620D" w:rsidP="00EF35DB">
      <w:r>
        <w:separator/>
      </w:r>
    </w:p>
  </w:endnote>
  <w:endnote w:type="continuationSeparator" w:id="0">
    <w:p w:rsidR="0015620D" w:rsidRDefault="0015620D" w:rsidP="00EF3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20D" w:rsidRDefault="0015620D" w:rsidP="00EF35DB">
      <w:r>
        <w:separator/>
      </w:r>
    </w:p>
  </w:footnote>
  <w:footnote w:type="continuationSeparator" w:id="0">
    <w:p w:rsidR="0015620D" w:rsidRDefault="0015620D" w:rsidP="00EF35DB">
      <w:r>
        <w:continuationSeparator/>
      </w:r>
    </w:p>
  </w:footnote>
  <w:footnote w:id="1">
    <w:p w:rsidR="0015620D" w:rsidRPr="00EF35DB" w:rsidRDefault="0015620D">
      <w:pPr>
        <w:pStyle w:val="Voetnoottekst"/>
        <w:rPr>
          <w:lang w:val="de-DE"/>
        </w:rPr>
      </w:pPr>
      <w:r>
        <w:rPr>
          <w:rStyle w:val="Voetnootmarkering"/>
        </w:rPr>
        <w:footnoteRef/>
      </w:r>
      <w:r w:rsidRPr="00EF35DB">
        <w:rPr>
          <w:lang w:val="de-DE"/>
        </w:rPr>
        <w:t xml:space="preserve"> </w:t>
      </w:r>
      <w:r w:rsidRPr="00EF35DB">
        <w:t>Albanië, Bosnië en Herzegovina, Macedonië, Montenegro, Servië en Kosovo.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E30AA"/>
    <w:multiLevelType w:val="hybridMultilevel"/>
    <w:tmpl w:val="0B646C0E"/>
    <w:lvl w:ilvl="0" w:tplc="CEF66A72">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EF25E5C"/>
    <w:multiLevelType w:val="hybridMultilevel"/>
    <w:tmpl w:val="13B4215E"/>
    <w:lvl w:ilvl="0" w:tplc="53EC1D30">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EE37C5D"/>
    <w:multiLevelType w:val="hybridMultilevel"/>
    <w:tmpl w:val="4336DBA6"/>
    <w:lvl w:ilvl="0" w:tplc="90F0BCB6">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02F"/>
    <w:rsid w:val="0002771F"/>
    <w:rsid w:val="00042A8F"/>
    <w:rsid w:val="000468C1"/>
    <w:rsid w:val="00095845"/>
    <w:rsid w:val="000D4851"/>
    <w:rsid w:val="00141539"/>
    <w:rsid w:val="0015620D"/>
    <w:rsid w:val="0017610C"/>
    <w:rsid w:val="002209C3"/>
    <w:rsid w:val="00240C48"/>
    <w:rsid w:val="0029248A"/>
    <w:rsid w:val="002A21DB"/>
    <w:rsid w:val="002A2F69"/>
    <w:rsid w:val="0033502C"/>
    <w:rsid w:val="00346D27"/>
    <w:rsid w:val="003664ED"/>
    <w:rsid w:val="003B3B60"/>
    <w:rsid w:val="003B5ECD"/>
    <w:rsid w:val="003C3DC2"/>
    <w:rsid w:val="003F42F3"/>
    <w:rsid w:val="00433E08"/>
    <w:rsid w:val="00440B83"/>
    <w:rsid w:val="00445400"/>
    <w:rsid w:val="00455523"/>
    <w:rsid w:val="004630BE"/>
    <w:rsid w:val="00467BBF"/>
    <w:rsid w:val="00484244"/>
    <w:rsid w:val="004F502F"/>
    <w:rsid w:val="0050018A"/>
    <w:rsid w:val="00514919"/>
    <w:rsid w:val="005214CB"/>
    <w:rsid w:val="005671D6"/>
    <w:rsid w:val="00596FDC"/>
    <w:rsid w:val="005A5DF5"/>
    <w:rsid w:val="005A5E6D"/>
    <w:rsid w:val="005D7412"/>
    <w:rsid w:val="005E623D"/>
    <w:rsid w:val="00646E3F"/>
    <w:rsid w:val="006E3910"/>
    <w:rsid w:val="006E511C"/>
    <w:rsid w:val="006E7359"/>
    <w:rsid w:val="00716FC7"/>
    <w:rsid w:val="0076558A"/>
    <w:rsid w:val="008107B8"/>
    <w:rsid w:val="00815E6A"/>
    <w:rsid w:val="0083094B"/>
    <w:rsid w:val="00837C12"/>
    <w:rsid w:val="00860336"/>
    <w:rsid w:val="00893D36"/>
    <w:rsid w:val="00895BA9"/>
    <w:rsid w:val="008B7079"/>
    <w:rsid w:val="008C01DD"/>
    <w:rsid w:val="008E29BD"/>
    <w:rsid w:val="00914BCB"/>
    <w:rsid w:val="00925308"/>
    <w:rsid w:val="009424A5"/>
    <w:rsid w:val="00962651"/>
    <w:rsid w:val="009847C6"/>
    <w:rsid w:val="009A5959"/>
    <w:rsid w:val="009D1EC6"/>
    <w:rsid w:val="009E7A07"/>
    <w:rsid w:val="00A26AF3"/>
    <w:rsid w:val="00A636F9"/>
    <w:rsid w:val="00A8062E"/>
    <w:rsid w:val="00AA60B3"/>
    <w:rsid w:val="00AB4D43"/>
    <w:rsid w:val="00AE3749"/>
    <w:rsid w:val="00AE3AD7"/>
    <w:rsid w:val="00AF12A8"/>
    <w:rsid w:val="00B11A52"/>
    <w:rsid w:val="00B238DC"/>
    <w:rsid w:val="00B31917"/>
    <w:rsid w:val="00BA4CD5"/>
    <w:rsid w:val="00BB7476"/>
    <w:rsid w:val="00BC1F06"/>
    <w:rsid w:val="00BD0A17"/>
    <w:rsid w:val="00BF00FF"/>
    <w:rsid w:val="00C03969"/>
    <w:rsid w:val="00C2516D"/>
    <w:rsid w:val="00C563CD"/>
    <w:rsid w:val="00C82190"/>
    <w:rsid w:val="00C92787"/>
    <w:rsid w:val="00CA0505"/>
    <w:rsid w:val="00CB75CA"/>
    <w:rsid w:val="00CD0DEC"/>
    <w:rsid w:val="00CE10EF"/>
    <w:rsid w:val="00D33D44"/>
    <w:rsid w:val="00D713D7"/>
    <w:rsid w:val="00DD5414"/>
    <w:rsid w:val="00E11D61"/>
    <w:rsid w:val="00E42020"/>
    <w:rsid w:val="00E57BB0"/>
    <w:rsid w:val="00E61D9B"/>
    <w:rsid w:val="00E62247"/>
    <w:rsid w:val="00EA0188"/>
    <w:rsid w:val="00EA5158"/>
    <w:rsid w:val="00EC3166"/>
    <w:rsid w:val="00ED77DE"/>
    <w:rsid w:val="00EF35DB"/>
    <w:rsid w:val="00F36BEA"/>
    <w:rsid w:val="00F53735"/>
    <w:rsid w:val="00FA4306"/>
    <w:rsid w:val="00FA6811"/>
    <w:rsid w:val="00FD1AA8"/>
    <w:rsid w:val="00FE236F"/>
    <w:rsid w:val="00FF58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F502F"/>
    <w:pPr>
      <w:spacing w:after="0" w:line="240" w:lineRule="auto"/>
    </w:pPr>
    <w:rPr>
      <w:rFonts w:ascii="Verdana" w:eastAsia="Times New Roman" w:hAnsi="Verdana"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F12A8"/>
    <w:rPr>
      <w:rFonts w:ascii="Tahoma" w:hAnsi="Tahoma" w:cs="Tahoma"/>
      <w:sz w:val="16"/>
      <w:szCs w:val="16"/>
    </w:rPr>
  </w:style>
  <w:style w:type="character" w:customStyle="1" w:styleId="BallontekstChar">
    <w:name w:val="Ballontekst Char"/>
    <w:basedOn w:val="Standaardalinea-lettertype"/>
    <w:link w:val="Ballontekst"/>
    <w:uiPriority w:val="99"/>
    <w:semiHidden/>
    <w:rsid w:val="00AF12A8"/>
    <w:rPr>
      <w:rFonts w:ascii="Tahoma" w:eastAsia="Times New Roman" w:hAnsi="Tahoma" w:cs="Tahoma"/>
      <w:sz w:val="16"/>
      <w:szCs w:val="16"/>
      <w:lang w:eastAsia="nl-NL"/>
    </w:rPr>
  </w:style>
  <w:style w:type="character" w:styleId="Verwijzingopmerking">
    <w:name w:val="annotation reference"/>
    <w:basedOn w:val="Standaardalinea-lettertype"/>
    <w:uiPriority w:val="99"/>
    <w:semiHidden/>
    <w:unhideWhenUsed/>
    <w:rsid w:val="00AF12A8"/>
    <w:rPr>
      <w:sz w:val="16"/>
      <w:szCs w:val="16"/>
    </w:rPr>
  </w:style>
  <w:style w:type="paragraph" w:styleId="Tekstopmerking">
    <w:name w:val="annotation text"/>
    <w:basedOn w:val="Standaard"/>
    <w:link w:val="TekstopmerkingChar"/>
    <w:uiPriority w:val="99"/>
    <w:semiHidden/>
    <w:unhideWhenUsed/>
    <w:rsid w:val="00AF12A8"/>
  </w:style>
  <w:style w:type="character" w:customStyle="1" w:styleId="TekstopmerkingChar">
    <w:name w:val="Tekst opmerking Char"/>
    <w:basedOn w:val="Standaardalinea-lettertype"/>
    <w:link w:val="Tekstopmerking"/>
    <w:uiPriority w:val="99"/>
    <w:semiHidden/>
    <w:rsid w:val="00AF12A8"/>
    <w:rPr>
      <w:rFonts w:ascii="Verdana" w:eastAsia="Times New Roman"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AF12A8"/>
    <w:rPr>
      <w:b/>
      <w:bCs/>
    </w:rPr>
  </w:style>
  <w:style w:type="character" w:customStyle="1" w:styleId="OnderwerpvanopmerkingChar">
    <w:name w:val="Onderwerp van opmerking Char"/>
    <w:basedOn w:val="TekstopmerkingChar"/>
    <w:link w:val="Onderwerpvanopmerking"/>
    <w:uiPriority w:val="99"/>
    <w:semiHidden/>
    <w:rsid w:val="00AF12A8"/>
    <w:rPr>
      <w:rFonts w:ascii="Verdana" w:eastAsia="Times New Roman" w:hAnsi="Verdana" w:cs="Times New Roman"/>
      <w:b/>
      <w:bCs/>
      <w:sz w:val="20"/>
      <w:szCs w:val="20"/>
      <w:lang w:eastAsia="nl-NL"/>
    </w:rPr>
  </w:style>
  <w:style w:type="paragraph" w:styleId="Lijstalinea">
    <w:name w:val="List Paragraph"/>
    <w:basedOn w:val="Standaard"/>
    <w:uiPriority w:val="34"/>
    <w:qFormat/>
    <w:rsid w:val="00C03969"/>
    <w:pPr>
      <w:ind w:left="720"/>
      <w:contextualSpacing/>
    </w:pPr>
  </w:style>
  <w:style w:type="character" w:styleId="Hyperlink">
    <w:name w:val="Hyperlink"/>
    <w:basedOn w:val="Standaardalinea-lettertype"/>
    <w:uiPriority w:val="99"/>
    <w:unhideWhenUsed/>
    <w:rsid w:val="00C2516D"/>
    <w:rPr>
      <w:color w:val="0000FF" w:themeColor="hyperlink"/>
      <w:u w:val="single"/>
    </w:rPr>
  </w:style>
  <w:style w:type="paragraph" w:styleId="Voetnoottekst">
    <w:name w:val="footnote text"/>
    <w:basedOn w:val="Standaard"/>
    <w:link w:val="VoetnoottekstChar"/>
    <w:uiPriority w:val="99"/>
    <w:semiHidden/>
    <w:unhideWhenUsed/>
    <w:rsid w:val="00EF35DB"/>
  </w:style>
  <w:style w:type="character" w:customStyle="1" w:styleId="VoetnoottekstChar">
    <w:name w:val="Voetnoottekst Char"/>
    <w:basedOn w:val="Standaardalinea-lettertype"/>
    <w:link w:val="Voetnoottekst"/>
    <w:uiPriority w:val="99"/>
    <w:semiHidden/>
    <w:rsid w:val="00EF35DB"/>
    <w:rPr>
      <w:rFonts w:ascii="Verdana" w:eastAsia="Times New Roman" w:hAnsi="Verdana" w:cs="Times New Roman"/>
      <w:sz w:val="20"/>
      <w:szCs w:val="20"/>
      <w:lang w:eastAsia="nl-NL"/>
    </w:rPr>
  </w:style>
  <w:style w:type="character" w:styleId="Voetnootmarkering">
    <w:name w:val="footnote reference"/>
    <w:basedOn w:val="Standaardalinea-lettertype"/>
    <w:uiPriority w:val="99"/>
    <w:semiHidden/>
    <w:unhideWhenUsed/>
    <w:rsid w:val="00EF35D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F502F"/>
    <w:pPr>
      <w:spacing w:after="0" w:line="240" w:lineRule="auto"/>
    </w:pPr>
    <w:rPr>
      <w:rFonts w:ascii="Verdana" w:eastAsia="Times New Roman" w:hAnsi="Verdana"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F12A8"/>
    <w:rPr>
      <w:rFonts w:ascii="Tahoma" w:hAnsi="Tahoma" w:cs="Tahoma"/>
      <w:sz w:val="16"/>
      <w:szCs w:val="16"/>
    </w:rPr>
  </w:style>
  <w:style w:type="character" w:customStyle="1" w:styleId="BallontekstChar">
    <w:name w:val="Ballontekst Char"/>
    <w:basedOn w:val="Standaardalinea-lettertype"/>
    <w:link w:val="Ballontekst"/>
    <w:uiPriority w:val="99"/>
    <w:semiHidden/>
    <w:rsid w:val="00AF12A8"/>
    <w:rPr>
      <w:rFonts w:ascii="Tahoma" w:eastAsia="Times New Roman" w:hAnsi="Tahoma" w:cs="Tahoma"/>
      <w:sz w:val="16"/>
      <w:szCs w:val="16"/>
      <w:lang w:eastAsia="nl-NL"/>
    </w:rPr>
  </w:style>
  <w:style w:type="character" w:styleId="Verwijzingopmerking">
    <w:name w:val="annotation reference"/>
    <w:basedOn w:val="Standaardalinea-lettertype"/>
    <w:uiPriority w:val="99"/>
    <w:semiHidden/>
    <w:unhideWhenUsed/>
    <w:rsid w:val="00AF12A8"/>
    <w:rPr>
      <w:sz w:val="16"/>
      <w:szCs w:val="16"/>
    </w:rPr>
  </w:style>
  <w:style w:type="paragraph" w:styleId="Tekstopmerking">
    <w:name w:val="annotation text"/>
    <w:basedOn w:val="Standaard"/>
    <w:link w:val="TekstopmerkingChar"/>
    <w:uiPriority w:val="99"/>
    <w:semiHidden/>
    <w:unhideWhenUsed/>
    <w:rsid w:val="00AF12A8"/>
  </w:style>
  <w:style w:type="character" w:customStyle="1" w:styleId="TekstopmerkingChar">
    <w:name w:val="Tekst opmerking Char"/>
    <w:basedOn w:val="Standaardalinea-lettertype"/>
    <w:link w:val="Tekstopmerking"/>
    <w:uiPriority w:val="99"/>
    <w:semiHidden/>
    <w:rsid w:val="00AF12A8"/>
    <w:rPr>
      <w:rFonts w:ascii="Verdana" w:eastAsia="Times New Roman"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AF12A8"/>
    <w:rPr>
      <w:b/>
      <w:bCs/>
    </w:rPr>
  </w:style>
  <w:style w:type="character" w:customStyle="1" w:styleId="OnderwerpvanopmerkingChar">
    <w:name w:val="Onderwerp van opmerking Char"/>
    <w:basedOn w:val="TekstopmerkingChar"/>
    <w:link w:val="Onderwerpvanopmerking"/>
    <w:uiPriority w:val="99"/>
    <w:semiHidden/>
    <w:rsid w:val="00AF12A8"/>
    <w:rPr>
      <w:rFonts w:ascii="Verdana" w:eastAsia="Times New Roman" w:hAnsi="Verdana" w:cs="Times New Roman"/>
      <w:b/>
      <w:bCs/>
      <w:sz w:val="20"/>
      <w:szCs w:val="20"/>
      <w:lang w:eastAsia="nl-NL"/>
    </w:rPr>
  </w:style>
  <w:style w:type="paragraph" w:styleId="Lijstalinea">
    <w:name w:val="List Paragraph"/>
    <w:basedOn w:val="Standaard"/>
    <w:uiPriority w:val="34"/>
    <w:qFormat/>
    <w:rsid w:val="00C03969"/>
    <w:pPr>
      <w:ind w:left="720"/>
      <w:contextualSpacing/>
    </w:pPr>
  </w:style>
  <w:style w:type="character" w:styleId="Hyperlink">
    <w:name w:val="Hyperlink"/>
    <w:basedOn w:val="Standaardalinea-lettertype"/>
    <w:uiPriority w:val="99"/>
    <w:unhideWhenUsed/>
    <w:rsid w:val="00C2516D"/>
    <w:rPr>
      <w:color w:val="0000FF" w:themeColor="hyperlink"/>
      <w:u w:val="single"/>
    </w:rPr>
  </w:style>
  <w:style w:type="paragraph" w:styleId="Voetnoottekst">
    <w:name w:val="footnote text"/>
    <w:basedOn w:val="Standaard"/>
    <w:link w:val="VoetnoottekstChar"/>
    <w:uiPriority w:val="99"/>
    <w:semiHidden/>
    <w:unhideWhenUsed/>
    <w:rsid w:val="00EF35DB"/>
  </w:style>
  <w:style w:type="character" w:customStyle="1" w:styleId="VoetnoottekstChar">
    <w:name w:val="Voetnoottekst Char"/>
    <w:basedOn w:val="Standaardalinea-lettertype"/>
    <w:link w:val="Voetnoottekst"/>
    <w:uiPriority w:val="99"/>
    <w:semiHidden/>
    <w:rsid w:val="00EF35DB"/>
    <w:rPr>
      <w:rFonts w:ascii="Verdana" w:eastAsia="Times New Roman" w:hAnsi="Verdana" w:cs="Times New Roman"/>
      <w:sz w:val="20"/>
      <w:szCs w:val="20"/>
      <w:lang w:eastAsia="nl-NL"/>
    </w:rPr>
  </w:style>
  <w:style w:type="character" w:styleId="Voetnootmarkering">
    <w:name w:val="footnote reference"/>
    <w:basedOn w:val="Standaardalinea-lettertype"/>
    <w:uiPriority w:val="99"/>
    <w:semiHidden/>
    <w:unhideWhenUsed/>
    <w:rsid w:val="00EF35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microsoft.com/office/2007/relationships/stylesWithEffects" Target="stylesWithEffect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832</ap:Words>
  <ap:Characters>4578</ap:Characters>
  <ap:DocSecurity>4</ap:DocSecurity>
  <ap:Lines>38</ap:Lines>
  <ap:Paragraphs>10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5400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2015-08-27T14:47:00.0000000Z</lastPrinted>
  <dcterms:created xsi:type="dcterms:W3CDTF">2015-08-27T15:53:00.0000000Z</dcterms:created>
  <dcterms:modified xsi:type="dcterms:W3CDTF">2015-08-27T15:53:00.0000000Z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0x01010078A37313721FFB4AA64FCED0E20F7938</vt:lpwstr>
  </property>
</Properties>
</file>