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9F0FA" w14:textId="77777777" w:rsidR="00BD6D99" w:rsidRPr="00836F35" w:rsidRDefault="00BD6D99" w:rsidP="00BD6D99">
      <w:pPr>
        <w:ind w:left="2292" w:hanging="2292"/>
        <w:rPr>
          <w:color w:val="FF0000"/>
        </w:rPr>
      </w:pPr>
      <w:bookmarkStart w:id="0" w:name="_Toc209500354"/>
      <w:bookmarkStart w:id="1" w:name="_Toc219275270"/>
      <w:bookmarkStart w:id="2" w:name="_Toc219275340"/>
      <w:bookmarkStart w:id="3" w:name="_Toc219518985"/>
    </w:p>
    <w:p w14:paraId="1ED9F0FB" w14:textId="77777777" w:rsidR="00BD6D99" w:rsidRPr="00226FB3" w:rsidRDefault="00BD6D99" w:rsidP="00BD6D99">
      <w:pPr>
        <w:ind w:left="2292" w:hanging="2292"/>
        <w:rPr>
          <w:lang w:val="en-US"/>
        </w:rPr>
      </w:pPr>
      <w:r w:rsidRPr="00226FB3">
        <w:rPr>
          <w:lang w:val="en-US"/>
        </w:rPr>
        <w:t xml:space="preserve">SCORECARD </w:t>
      </w:r>
      <w:r>
        <w:rPr>
          <w:lang w:val="en-US"/>
        </w:rPr>
        <w:tab/>
        <w:t xml:space="preserve">United Nations Conference on Trade and Development </w:t>
      </w:r>
      <w:r w:rsidRPr="00226FB3">
        <w:rPr>
          <w:lang w:val="en-US"/>
        </w:rPr>
        <w:t>(</w:t>
      </w:r>
      <w:r>
        <w:rPr>
          <w:lang w:val="en-US"/>
        </w:rPr>
        <w:t>UNCTAD)</w:t>
      </w:r>
    </w:p>
    <w:p w14:paraId="1ED9F0FC" w14:textId="77777777" w:rsidR="00BD6D99" w:rsidRPr="00226FB3" w:rsidRDefault="00BD6D99" w:rsidP="00BD6D99">
      <w:pPr>
        <w:ind w:left="2292" w:hanging="2292"/>
        <w:rPr>
          <w:lang w:val="en-US"/>
        </w:rPr>
      </w:pPr>
    </w:p>
    <w:p w14:paraId="1ED9F0FD" w14:textId="77777777" w:rsidR="00BD6D99" w:rsidRPr="00836F35" w:rsidRDefault="00184308" w:rsidP="00BD6D99">
      <w:pPr>
        <w:ind w:left="2292" w:hanging="2292"/>
      </w:pPr>
      <w:fldSimple w:instr=" DOCPROPERTY  L_CONTACT  \* MERGEFORMAT ">
        <w:r w:rsidR="00BD6D99">
          <w:t>Opgesteld door</w:t>
        </w:r>
      </w:fldSimple>
      <w:r w:rsidR="00BD6D99" w:rsidRPr="00836F35">
        <w:tab/>
        <w:t>Directie Multilaterale Instellingen en Mensenrechten</w:t>
      </w:r>
    </w:p>
    <w:p w14:paraId="1ED9F0FE" w14:textId="608F529A" w:rsidR="00BD6D99" w:rsidRPr="00012E53" w:rsidRDefault="00BD6D99" w:rsidP="00BD6D99">
      <w:pPr>
        <w:ind w:left="2043" w:firstLine="227"/>
        <w:rPr>
          <w:noProof/>
          <w:szCs w:val="18"/>
        </w:rPr>
      </w:pPr>
      <w:r>
        <w:tab/>
      </w:r>
      <w:r w:rsidRPr="00012E53">
        <w:rPr>
          <w:noProof/>
          <w:szCs w:val="18"/>
        </w:rPr>
        <w:t xml:space="preserve">Afdeling Sociale </w:t>
      </w:r>
      <w:r w:rsidR="003B75BC">
        <w:rPr>
          <w:noProof/>
          <w:szCs w:val="18"/>
        </w:rPr>
        <w:t>en</w:t>
      </w:r>
      <w:r w:rsidRPr="00012E53">
        <w:rPr>
          <w:noProof/>
          <w:szCs w:val="18"/>
        </w:rPr>
        <w:t xml:space="preserve"> Economische</w:t>
      </w:r>
      <w:r w:rsidR="003B75BC">
        <w:rPr>
          <w:noProof/>
          <w:szCs w:val="18"/>
        </w:rPr>
        <w:t xml:space="preserve"> VN</w:t>
      </w:r>
      <w:r w:rsidRPr="00012E53">
        <w:rPr>
          <w:noProof/>
          <w:szCs w:val="18"/>
        </w:rPr>
        <w:t xml:space="preserve"> Zaken</w:t>
      </w:r>
    </w:p>
    <w:p w14:paraId="1ED9F0FF" w14:textId="77777777" w:rsidR="00BD6D99" w:rsidRPr="00836F35" w:rsidRDefault="00BD6D99" w:rsidP="00BD6D99">
      <w:pPr>
        <w:tabs>
          <w:tab w:val="center" w:pos="3863"/>
        </w:tabs>
        <w:ind w:left="2292" w:hanging="2292"/>
      </w:pPr>
      <w:r>
        <w:tab/>
      </w:r>
      <w:r w:rsidRPr="00836F35">
        <w:t xml:space="preserve">T- +31 (0)70 – 348 </w:t>
      </w:r>
      <w:r>
        <w:t>6832</w:t>
      </w:r>
    </w:p>
    <w:p w14:paraId="1ED9F100" w14:textId="77777777" w:rsidR="00BD6D99" w:rsidRPr="00836F35" w:rsidRDefault="00BD6D99" w:rsidP="00BD6D99">
      <w:pPr>
        <w:ind w:left="2292" w:hanging="2292"/>
      </w:pPr>
    </w:p>
    <w:p w14:paraId="1ED9F105" w14:textId="77777777" w:rsidR="00BD6D99" w:rsidRPr="00836F35" w:rsidRDefault="00BD6D99" w:rsidP="00BD6D99">
      <w:pPr>
        <w:rPr>
          <w:color w:val="FF0000"/>
        </w:rPr>
      </w:pPr>
      <w:bookmarkStart w:id="4" w:name="_GoBack"/>
      <w:bookmarkEnd w:id="4"/>
    </w:p>
    <w:p w14:paraId="1ED9F106" w14:textId="77777777" w:rsidR="00BD6D99" w:rsidRPr="00836F35" w:rsidRDefault="00BD6D99" w:rsidP="00BD6D99">
      <w:pPr>
        <w:rPr>
          <w:color w:val="FF0000"/>
        </w:rPr>
      </w:pPr>
    </w:p>
    <w:p w14:paraId="1ED9F107" w14:textId="77777777" w:rsidR="00BD6D99" w:rsidRPr="00836F35" w:rsidRDefault="00BD6D99" w:rsidP="00BD6D99">
      <w:pPr>
        <w:rPr>
          <w:color w:val="FF0000"/>
        </w:rPr>
      </w:pPr>
    </w:p>
    <w:p w14:paraId="1ED9F108" w14:textId="77777777" w:rsidR="00BD6D99" w:rsidRPr="00836F35" w:rsidRDefault="00BD6D99" w:rsidP="00BD6D99">
      <w:pPr>
        <w:spacing w:line="240" w:lineRule="auto"/>
        <w:rPr>
          <w:color w:val="FF0000"/>
        </w:rPr>
      </w:pPr>
    </w:p>
    <w:p w14:paraId="1ED9F109" w14:textId="77777777" w:rsidR="00BD6D99" w:rsidRPr="00836F35" w:rsidRDefault="00BD6D99" w:rsidP="00BD6D99">
      <w:pPr>
        <w:spacing w:line="240" w:lineRule="auto"/>
        <w:rPr>
          <w:color w:val="FF0000"/>
        </w:rPr>
        <w:sectPr w:rsidR="00BD6D99" w:rsidRPr="00836F35" w:rsidSect="007D6565">
          <w:headerReference w:type="even" r:id="rId12"/>
          <w:headerReference w:type="default" r:id="rId13"/>
          <w:footerReference w:type="even" r:id="rId14"/>
          <w:footerReference w:type="default" r:id="rId15"/>
          <w:headerReference w:type="first" r:id="rId16"/>
          <w:footerReference w:type="first" r:id="rId17"/>
          <w:pgSz w:w="11906" w:h="16838" w:code="9"/>
          <w:pgMar w:top="2520" w:right="960" w:bottom="1080" w:left="3220" w:header="200" w:footer="660" w:gutter="0"/>
          <w:cols w:space="708"/>
          <w:titlePg/>
          <w:docGrid w:linePitch="360"/>
        </w:sectPr>
      </w:pPr>
    </w:p>
    <w:bookmarkEnd w:id="0"/>
    <w:bookmarkEnd w:id="1"/>
    <w:bookmarkEnd w:id="2"/>
    <w:bookmarkEnd w:id="3"/>
    <w:p w14:paraId="1ED9F10A" w14:textId="77777777" w:rsidR="00BD6D99" w:rsidRPr="00836F35" w:rsidRDefault="00BD6D99" w:rsidP="00BD6D99">
      <w:pPr>
        <w:pStyle w:val="Kop-Inhoudsopgave"/>
        <w:rPr>
          <w:color w:val="FF0000"/>
        </w:rPr>
      </w:pPr>
    </w:p>
    <w:p w14:paraId="1ED9F10B" w14:textId="77777777" w:rsidR="00BD6D99" w:rsidRPr="00836F35" w:rsidRDefault="00BD6D99" w:rsidP="00BD6D99">
      <w:pPr>
        <w:pStyle w:val="Kop-Inhoudsopgave"/>
        <w:rPr>
          <w:color w:val="FF0000"/>
        </w:rPr>
      </w:pPr>
    </w:p>
    <w:p w14:paraId="1ED9F10C" w14:textId="77777777" w:rsidR="00BD6D99" w:rsidRPr="00836F35" w:rsidRDefault="00BD6D99" w:rsidP="00BD6D99">
      <w:pPr>
        <w:pStyle w:val="Kop-Inhoudsopgave"/>
        <w:rPr>
          <w:color w:val="FF0000"/>
        </w:rPr>
      </w:pPr>
      <w:r w:rsidRPr="00836F35">
        <w:rPr>
          <w:color w:val="FF0000"/>
        </w:rPr>
        <w:br w:type="page"/>
      </w:r>
    </w:p>
    <w:p w14:paraId="1ED9F10D" w14:textId="77777777" w:rsidR="00BD6D99" w:rsidRPr="00836F35" w:rsidRDefault="00BD6D99" w:rsidP="00BD6D99">
      <w:pPr>
        <w:pStyle w:val="Kop-Inhoudsopgave"/>
        <w:rPr>
          <w:color w:val="FF0000"/>
        </w:rPr>
      </w:pPr>
    </w:p>
    <w:p w14:paraId="1ED9F10E" w14:textId="77777777" w:rsidR="00BD6D99" w:rsidRPr="00836F35" w:rsidRDefault="00BD6D99" w:rsidP="00BD6D99">
      <w:pPr>
        <w:pStyle w:val="Kop-Inhoudsopgave"/>
        <w:rPr>
          <w:color w:val="FF0000"/>
        </w:rPr>
      </w:pPr>
    </w:p>
    <w:p w14:paraId="1ED9F10F" w14:textId="77777777" w:rsidR="00BD6D99" w:rsidRPr="00836F35" w:rsidRDefault="00BD6D99" w:rsidP="00BD6D99">
      <w:pPr>
        <w:pStyle w:val="Kop-Inhoudsopgave"/>
        <w:rPr>
          <w:color w:val="FF0000"/>
        </w:rPr>
      </w:pPr>
    </w:p>
    <w:p w14:paraId="1ED9F110" w14:textId="77777777" w:rsidR="00BD6D99" w:rsidRPr="00836F35" w:rsidRDefault="00BD6D99" w:rsidP="00BD6D99">
      <w:pPr>
        <w:pStyle w:val="Kop-Inhoudsopgave"/>
        <w:rPr>
          <w:color w:val="FF0000"/>
        </w:rPr>
      </w:pPr>
    </w:p>
    <w:p w14:paraId="1ED9F111" w14:textId="77777777" w:rsidR="00BD6D99" w:rsidRPr="00836F35" w:rsidRDefault="00BD6D99" w:rsidP="00BD6D99">
      <w:pPr>
        <w:pStyle w:val="Kop-Inhoudsopgave"/>
        <w:rPr>
          <w:color w:val="FF0000"/>
        </w:rPr>
      </w:pPr>
    </w:p>
    <w:p w14:paraId="1ED9F112" w14:textId="77777777" w:rsidR="00BD6D99" w:rsidRPr="00836F35" w:rsidRDefault="00BD6D99" w:rsidP="00BD6D99">
      <w:pPr>
        <w:pStyle w:val="Kop-Inhoudsopgave"/>
        <w:rPr>
          <w:color w:val="FF0000"/>
        </w:rPr>
      </w:pPr>
    </w:p>
    <w:p w14:paraId="1ED9F113" w14:textId="77777777" w:rsidR="00BD6D99" w:rsidRPr="00DC249A" w:rsidRDefault="00184308" w:rsidP="00BD6D99">
      <w:pPr>
        <w:pStyle w:val="Kop-Inhoudsopgave"/>
      </w:pPr>
      <w:fldSimple w:instr=" DOCPROPERTY  L_TOC  \* MERGEFORMAT ">
        <w:bookmarkStart w:id="8" w:name="_Toc410397621"/>
        <w:bookmarkStart w:id="9" w:name="_Toc287454445"/>
        <w:bookmarkStart w:id="10" w:name="_Toc287446465"/>
        <w:r w:rsidR="00BD6D99">
          <w:t>Inhoudsopgave</w:t>
        </w:r>
        <w:bookmarkEnd w:id="8"/>
        <w:bookmarkEnd w:id="9"/>
        <w:bookmarkEnd w:id="10"/>
      </w:fldSimple>
    </w:p>
    <w:p w14:paraId="1ED9F114" w14:textId="77777777" w:rsidR="00BD6D99" w:rsidRPr="00DC249A" w:rsidRDefault="00571DB8" w:rsidP="00BD6D99">
      <w:pPr>
        <w:pStyle w:val="TOC1"/>
        <w:tabs>
          <w:tab w:val="right" w:leader="dot" w:pos="7716"/>
        </w:tabs>
        <w:rPr>
          <w:rFonts w:ascii="Calibri" w:hAnsi="Calibri"/>
          <w:noProof/>
          <w:sz w:val="22"/>
          <w:szCs w:val="22"/>
        </w:rPr>
      </w:pPr>
      <w:r w:rsidRPr="00DC249A">
        <w:fldChar w:fldCharType="begin"/>
      </w:r>
      <w:r w:rsidR="00BD6D99" w:rsidRPr="00DC249A">
        <w:instrText xml:space="preserve"> TOC \t "Heading 1;2;Heading 2;3;Heading 3;4;Kop-Inhoudsopgave;1;Kop zonder nummering;1;Subtitle;2;Title;1" </w:instrText>
      </w:r>
      <w:r w:rsidRPr="00DC249A">
        <w:fldChar w:fldCharType="separate"/>
      </w:r>
      <w:r w:rsidR="00BD6D99" w:rsidRPr="00DC249A">
        <w:rPr>
          <w:noProof/>
        </w:rPr>
        <w:t>Inhoudsopgave</w:t>
      </w:r>
      <w:r w:rsidR="00BD6D99" w:rsidRPr="00DC249A">
        <w:rPr>
          <w:noProof/>
        </w:rPr>
        <w:tab/>
      </w:r>
      <w:r w:rsidRPr="00DC249A">
        <w:rPr>
          <w:noProof/>
        </w:rPr>
        <w:fldChar w:fldCharType="begin"/>
      </w:r>
      <w:r w:rsidR="00BD6D99" w:rsidRPr="00DC249A">
        <w:rPr>
          <w:noProof/>
        </w:rPr>
        <w:instrText xml:space="preserve"> PAGEREF _Toc410397621 \h </w:instrText>
      </w:r>
      <w:r w:rsidRPr="00DC249A">
        <w:rPr>
          <w:noProof/>
        </w:rPr>
      </w:r>
      <w:r w:rsidRPr="00DC249A">
        <w:rPr>
          <w:noProof/>
        </w:rPr>
        <w:fldChar w:fldCharType="separate"/>
      </w:r>
      <w:r w:rsidR="0047306B">
        <w:rPr>
          <w:noProof/>
        </w:rPr>
        <w:t>2</w:t>
      </w:r>
      <w:r w:rsidRPr="00DC249A">
        <w:rPr>
          <w:noProof/>
        </w:rPr>
        <w:fldChar w:fldCharType="end"/>
      </w:r>
    </w:p>
    <w:p w14:paraId="1ED9F115" w14:textId="77777777" w:rsidR="00BD6D99" w:rsidRPr="00DC249A" w:rsidRDefault="00BD6D99" w:rsidP="00BD6D99">
      <w:pPr>
        <w:pStyle w:val="TOC2"/>
        <w:rPr>
          <w:rFonts w:ascii="Calibri" w:hAnsi="Calibri"/>
          <w:sz w:val="22"/>
          <w:szCs w:val="22"/>
        </w:rPr>
      </w:pPr>
      <w:r w:rsidRPr="00DC249A">
        <w:t xml:space="preserve">1 </w:t>
      </w:r>
      <w:r w:rsidRPr="00DC249A">
        <w:rPr>
          <w:rFonts w:ascii="Calibri" w:hAnsi="Calibri"/>
          <w:sz w:val="22"/>
          <w:szCs w:val="22"/>
        </w:rPr>
        <w:tab/>
      </w:r>
      <w:r w:rsidRPr="00DC249A">
        <w:t>Inleiding</w:t>
      </w:r>
      <w:r w:rsidRPr="00DC249A">
        <w:tab/>
      </w:r>
      <w:r w:rsidR="00571DB8" w:rsidRPr="00DC249A">
        <w:fldChar w:fldCharType="begin"/>
      </w:r>
      <w:r w:rsidRPr="00DC249A">
        <w:instrText xml:space="preserve"> PAGEREF _Toc410397622 \h </w:instrText>
      </w:r>
      <w:r w:rsidR="00571DB8" w:rsidRPr="00DC249A">
        <w:fldChar w:fldCharType="separate"/>
      </w:r>
      <w:r w:rsidR="0047306B">
        <w:t>3</w:t>
      </w:r>
      <w:r w:rsidR="00571DB8" w:rsidRPr="00DC249A">
        <w:fldChar w:fldCharType="end"/>
      </w:r>
    </w:p>
    <w:p w14:paraId="1ED9F116" w14:textId="77777777" w:rsidR="00BD6D99" w:rsidRPr="00DC249A" w:rsidRDefault="00BD6D99" w:rsidP="00BD6D99">
      <w:pPr>
        <w:pStyle w:val="TOC2"/>
        <w:rPr>
          <w:rFonts w:ascii="Calibri" w:hAnsi="Calibri"/>
          <w:sz w:val="22"/>
          <w:szCs w:val="22"/>
        </w:rPr>
      </w:pPr>
      <w:r w:rsidRPr="00DC249A">
        <w:t xml:space="preserve">2 </w:t>
      </w:r>
      <w:r w:rsidRPr="00DC249A">
        <w:rPr>
          <w:rFonts w:ascii="Calibri" w:hAnsi="Calibri"/>
          <w:sz w:val="22"/>
          <w:szCs w:val="22"/>
        </w:rPr>
        <w:tab/>
      </w:r>
      <w:r w:rsidRPr="00DC249A">
        <w:t>Algemene achtergrond</w:t>
      </w:r>
      <w:r w:rsidRPr="00DC249A">
        <w:tab/>
      </w:r>
      <w:r w:rsidR="00571DB8" w:rsidRPr="00DC249A">
        <w:fldChar w:fldCharType="begin"/>
      </w:r>
      <w:r w:rsidRPr="00DC249A">
        <w:instrText xml:space="preserve"> PAGEREF _Toc410397623 \h </w:instrText>
      </w:r>
      <w:r w:rsidR="00571DB8" w:rsidRPr="00DC249A">
        <w:fldChar w:fldCharType="separate"/>
      </w:r>
      <w:r w:rsidR="0047306B">
        <w:t>4</w:t>
      </w:r>
      <w:r w:rsidR="00571DB8" w:rsidRPr="00DC249A">
        <w:fldChar w:fldCharType="end"/>
      </w:r>
    </w:p>
    <w:p w14:paraId="1ED9F117" w14:textId="77777777" w:rsidR="00BD6D99" w:rsidRPr="00DC249A" w:rsidRDefault="00BD6D99" w:rsidP="00BD6D99">
      <w:pPr>
        <w:pStyle w:val="TOC3"/>
        <w:rPr>
          <w:rFonts w:ascii="Calibri" w:hAnsi="Calibri"/>
          <w:sz w:val="22"/>
          <w:szCs w:val="22"/>
        </w:rPr>
      </w:pPr>
      <w:r w:rsidRPr="00DC249A">
        <w:t>2.1</w:t>
      </w:r>
      <w:r w:rsidRPr="00DC249A">
        <w:rPr>
          <w:rFonts w:ascii="Calibri" w:hAnsi="Calibri"/>
          <w:sz w:val="22"/>
          <w:szCs w:val="22"/>
        </w:rPr>
        <w:tab/>
      </w:r>
      <w:r w:rsidRPr="00DC249A">
        <w:t>Doelstelling en toegevoegde waarde</w:t>
      </w:r>
      <w:r w:rsidRPr="00DC249A">
        <w:tab/>
      </w:r>
      <w:r w:rsidR="00571DB8" w:rsidRPr="00DC249A">
        <w:fldChar w:fldCharType="begin"/>
      </w:r>
      <w:r w:rsidRPr="00DC249A">
        <w:instrText xml:space="preserve"> PAGEREF _Toc410397624 \h </w:instrText>
      </w:r>
      <w:r w:rsidR="00571DB8" w:rsidRPr="00DC249A">
        <w:fldChar w:fldCharType="separate"/>
      </w:r>
      <w:r w:rsidR="0047306B">
        <w:t>4</w:t>
      </w:r>
      <w:r w:rsidR="00571DB8" w:rsidRPr="00DC249A">
        <w:fldChar w:fldCharType="end"/>
      </w:r>
    </w:p>
    <w:p w14:paraId="1ED9F118" w14:textId="77777777" w:rsidR="00BD6D99" w:rsidRPr="00DC249A" w:rsidRDefault="00BD6D99" w:rsidP="00BD6D99">
      <w:pPr>
        <w:pStyle w:val="TOC3"/>
        <w:rPr>
          <w:rFonts w:ascii="Calibri" w:hAnsi="Calibri"/>
          <w:sz w:val="22"/>
          <w:szCs w:val="22"/>
        </w:rPr>
      </w:pPr>
      <w:r w:rsidRPr="00DC249A">
        <w:t xml:space="preserve">2.2 </w:t>
      </w:r>
      <w:r w:rsidRPr="00DC249A">
        <w:rPr>
          <w:rFonts w:ascii="Calibri" w:hAnsi="Calibri"/>
          <w:sz w:val="22"/>
          <w:szCs w:val="22"/>
        </w:rPr>
        <w:tab/>
      </w:r>
      <w:r w:rsidRPr="00DC249A">
        <w:t>Organisatie, werkwijze en activiteiten</w:t>
      </w:r>
      <w:r w:rsidRPr="00DC249A">
        <w:tab/>
      </w:r>
      <w:r w:rsidR="00571DB8" w:rsidRPr="00DC249A">
        <w:fldChar w:fldCharType="begin"/>
      </w:r>
      <w:r w:rsidRPr="00DC249A">
        <w:instrText xml:space="preserve"> PAGEREF _Toc410397625 \h </w:instrText>
      </w:r>
      <w:r w:rsidR="00571DB8" w:rsidRPr="00DC249A">
        <w:fldChar w:fldCharType="separate"/>
      </w:r>
      <w:r w:rsidR="0047306B">
        <w:t>4</w:t>
      </w:r>
      <w:r w:rsidR="00571DB8" w:rsidRPr="00DC249A">
        <w:fldChar w:fldCharType="end"/>
      </w:r>
    </w:p>
    <w:p w14:paraId="1ED9F119" w14:textId="77777777" w:rsidR="00BD6D99" w:rsidRPr="00DC249A" w:rsidRDefault="00BD6D99" w:rsidP="00BD6D99">
      <w:pPr>
        <w:pStyle w:val="TOC3"/>
        <w:rPr>
          <w:rFonts w:ascii="Calibri" w:hAnsi="Calibri"/>
          <w:sz w:val="22"/>
          <w:szCs w:val="22"/>
        </w:rPr>
      </w:pPr>
      <w:r w:rsidRPr="00DC249A">
        <w:t xml:space="preserve">2.3 </w:t>
      </w:r>
      <w:r w:rsidRPr="00DC249A">
        <w:rPr>
          <w:rFonts w:ascii="Calibri" w:hAnsi="Calibri"/>
          <w:sz w:val="22"/>
          <w:szCs w:val="22"/>
        </w:rPr>
        <w:tab/>
      </w:r>
      <w:r w:rsidRPr="00DC249A">
        <w:t>Nederlandse rol en invloed</w:t>
      </w:r>
      <w:r w:rsidRPr="00DC249A">
        <w:tab/>
      </w:r>
      <w:r w:rsidR="00571DB8" w:rsidRPr="00DC249A">
        <w:fldChar w:fldCharType="begin"/>
      </w:r>
      <w:r w:rsidRPr="00DC249A">
        <w:instrText xml:space="preserve"> PAGEREF _Toc410397626 \h </w:instrText>
      </w:r>
      <w:r w:rsidR="00571DB8" w:rsidRPr="00DC249A">
        <w:fldChar w:fldCharType="separate"/>
      </w:r>
      <w:r w:rsidR="0047306B">
        <w:t>5</w:t>
      </w:r>
      <w:r w:rsidR="00571DB8" w:rsidRPr="00DC249A">
        <w:fldChar w:fldCharType="end"/>
      </w:r>
    </w:p>
    <w:p w14:paraId="1ED9F11A" w14:textId="77777777" w:rsidR="00BD6D99" w:rsidRPr="00DC249A" w:rsidRDefault="00BD6D99" w:rsidP="00BD6D99">
      <w:pPr>
        <w:pStyle w:val="TOC3"/>
        <w:rPr>
          <w:rFonts w:ascii="Calibri" w:hAnsi="Calibri"/>
          <w:sz w:val="22"/>
          <w:szCs w:val="22"/>
        </w:rPr>
      </w:pPr>
      <w:r w:rsidRPr="00DC249A">
        <w:t>2.4</w:t>
      </w:r>
      <w:r w:rsidRPr="00DC249A">
        <w:rPr>
          <w:rFonts w:ascii="Calibri" w:hAnsi="Calibri"/>
          <w:sz w:val="22"/>
          <w:szCs w:val="22"/>
        </w:rPr>
        <w:tab/>
      </w:r>
      <w:r w:rsidRPr="00DC249A">
        <w:t>Financiële omvang en bijdragen</w:t>
      </w:r>
      <w:r w:rsidRPr="00DC249A">
        <w:tab/>
      </w:r>
      <w:r w:rsidR="00B2714D">
        <w:t>5</w:t>
      </w:r>
    </w:p>
    <w:p w14:paraId="1ED9F11B" w14:textId="77777777" w:rsidR="00BD6D99" w:rsidRPr="00DC249A" w:rsidRDefault="00BD6D99" w:rsidP="00BD6D99">
      <w:pPr>
        <w:pStyle w:val="TOC2"/>
        <w:rPr>
          <w:rFonts w:ascii="Calibri" w:hAnsi="Calibri"/>
          <w:sz w:val="22"/>
          <w:szCs w:val="22"/>
        </w:rPr>
      </w:pPr>
      <w:r w:rsidRPr="00DC249A">
        <w:t xml:space="preserve">3 </w:t>
      </w:r>
      <w:r w:rsidRPr="00DC249A">
        <w:rPr>
          <w:rFonts w:ascii="Calibri" w:hAnsi="Calibri"/>
          <w:sz w:val="22"/>
          <w:szCs w:val="22"/>
        </w:rPr>
        <w:tab/>
      </w:r>
      <w:r w:rsidRPr="00DC249A">
        <w:t>Institutionele aspecten en functioneren van de organisatie</w:t>
      </w:r>
      <w:r w:rsidRPr="00DC249A">
        <w:tab/>
      </w:r>
      <w:r w:rsidR="00B2714D">
        <w:t>7</w:t>
      </w:r>
    </w:p>
    <w:p w14:paraId="1ED9F11C" w14:textId="77777777" w:rsidR="00BD6D99" w:rsidRPr="00DC249A" w:rsidRDefault="00BD6D99" w:rsidP="00BD6D99">
      <w:pPr>
        <w:pStyle w:val="TOC3"/>
        <w:rPr>
          <w:rFonts w:ascii="Calibri" w:hAnsi="Calibri"/>
          <w:sz w:val="22"/>
          <w:szCs w:val="22"/>
        </w:rPr>
      </w:pPr>
      <w:r w:rsidRPr="00DC249A">
        <w:t>3.1</w:t>
      </w:r>
      <w:r w:rsidRPr="00DC249A">
        <w:rPr>
          <w:rFonts w:ascii="Calibri" w:hAnsi="Calibri"/>
          <w:sz w:val="22"/>
          <w:szCs w:val="22"/>
        </w:rPr>
        <w:tab/>
      </w:r>
      <w:r w:rsidRPr="00DC249A">
        <w:t>Strategie en focus</w:t>
      </w:r>
      <w:r w:rsidRPr="00DC249A">
        <w:tab/>
      </w:r>
      <w:r w:rsidR="00B2714D">
        <w:t>7</w:t>
      </w:r>
    </w:p>
    <w:p w14:paraId="1ED9F11D" w14:textId="0DBF69BB" w:rsidR="00BD6D99" w:rsidRPr="001C2A23" w:rsidRDefault="00BD6D99" w:rsidP="00BD6D99">
      <w:pPr>
        <w:pStyle w:val="TOC3"/>
        <w:rPr>
          <w:szCs w:val="18"/>
        </w:rPr>
      </w:pPr>
      <w:r w:rsidRPr="00DC249A">
        <w:t>3.2</w:t>
      </w:r>
      <w:r w:rsidRPr="00DC249A">
        <w:rPr>
          <w:rFonts w:ascii="Calibri" w:hAnsi="Calibri"/>
          <w:sz w:val="22"/>
          <w:szCs w:val="22"/>
        </w:rPr>
        <w:tab/>
      </w:r>
      <w:r w:rsidR="001C2A23" w:rsidRPr="001C2A23">
        <w:rPr>
          <w:szCs w:val="18"/>
        </w:rPr>
        <w:t>Resultaatsturing</w:t>
      </w:r>
      <w:r w:rsidR="001C2A23" w:rsidRPr="001C2A23">
        <w:rPr>
          <w:szCs w:val="18"/>
        </w:rPr>
        <w:tab/>
      </w:r>
      <w:r w:rsidR="001C2A23">
        <w:rPr>
          <w:szCs w:val="18"/>
        </w:rPr>
        <w:t>7</w:t>
      </w:r>
    </w:p>
    <w:p w14:paraId="1ED9F11E" w14:textId="77777777" w:rsidR="00BD6D99" w:rsidRPr="00DC249A" w:rsidRDefault="00BD6D99" w:rsidP="00BD6D99">
      <w:pPr>
        <w:pStyle w:val="TOC3"/>
        <w:rPr>
          <w:rFonts w:ascii="Calibri" w:hAnsi="Calibri"/>
          <w:sz w:val="22"/>
          <w:szCs w:val="22"/>
        </w:rPr>
      </w:pPr>
      <w:r w:rsidRPr="001C2A23">
        <w:rPr>
          <w:szCs w:val="18"/>
        </w:rPr>
        <w:t>3.3</w:t>
      </w:r>
      <w:r w:rsidRPr="001C2A23">
        <w:rPr>
          <w:szCs w:val="18"/>
        </w:rPr>
        <w:tab/>
        <w:t>Partnerschappen</w:t>
      </w:r>
      <w:r w:rsidRPr="001C2A23">
        <w:rPr>
          <w:szCs w:val="18"/>
        </w:rPr>
        <w:tab/>
      </w:r>
      <w:r w:rsidR="00B2714D">
        <w:t>8</w:t>
      </w:r>
    </w:p>
    <w:p w14:paraId="1ED9F11F" w14:textId="77777777" w:rsidR="00BD6D99" w:rsidRPr="00DC249A" w:rsidRDefault="00BD6D99" w:rsidP="00BD6D99">
      <w:pPr>
        <w:pStyle w:val="TOC3"/>
        <w:rPr>
          <w:rFonts w:ascii="Calibri" w:hAnsi="Calibri"/>
          <w:sz w:val="22"/>
          <w:szCs w:val="22"/>
        </w:rPr>
      </w:pPr>
      <w:r w:rsidRPr="00DC249A">
        <w:t xml:space="preserve">3.4 </w:t>
      </w:r>
      <w:r w:rsidRPr="00DC249A">
        <w:rPr>
          <w:rFonts w:ascii="Calibri" w:hAnsi="Calibri"/>
          <w:sz w:val="22"/>
          <w:szCs w:val="22"/>
        </w:rPr>
        <w:tab/>
      </w:r>
      <w:r w:rsidRPr="00DC249A">
        <w:t>Effectiviteit bestuurs- en beheersorganen</w:t>
      </w:r>
      <w:r w:rsidRPr="00DC249A">
        <w:tab/>
      </w:r>
      <w:r w:rsidR="00B2714D">
        <w:t>8</w:t>
      </w:r>
    </w:p>
    <w:p w14:paraId="1ED9F120" w14:textId="77777777" w:rsidR="00BD6D99" w:rsidRPr="00DC249A" w:rsidRDefault="00BD6D99" w:rsidP="00BD6D99">
      <w:pPr>
        <w:pStyle w:val="TOC3"/>
        <w:rPr>
          <w:rFonts w:ascii="Calibri" w:hAnsi="Calibri"/>
          <w:sz w:val="22"/>
          <w:szCs w:val="22"/>
        </w:rPr>
      </w:pPr>
      <w:r w:rsidRPr="00DC249A">
        <w:t>3.5</w:t>
      </w:r>
      <w:r w:rsidRPr="00DC249A">
        <w:rPr>
          <w:rFonts w:ascii="Calibri" w:hAnsi="Calibri"/>
          <w:sz w:val="22"/>
          <w:szCs w:val="22"/>
        </w:rPr>
        <w:tab/>
      </w:r>
      <w:r w:rsidRPr="00DC249A">
        <w:t>Beleidsevaluatie</w:t>
      </w:r>
      <w:r w:rsidRPr="00DC249A">
        <w:tab/>
      </w:r>
      <w:r w:rsidR="00B2714D">
        <w:t>9</w:t>
      </w:r>
    </w:p>
    <w:p w14:paraId="1ED9F121" w14:textId="716358A7" w:rsidR="00BD6D99" w:rsidRPr="00DC249A" w:rsidRDefault="00BD6D99" w:rsidP="00BD6D99">
      <w:pPr>
        <w:pStyle w:val="TOC3"/>
        <w:rPr>
          <w:rFonts w:ascii="Calibri" w:hAnsi="Calibri"/>
          <w:sz w:val="22"/>
          <w:szCs w:val="22"/>
        </w:rPr>
      </w:pPr>
      <w:r w:rsidRPr="00DC249A">
        <w:t>3.6</w:t>
      </w:r>
      <w:r w:rsidRPr="00DC249A">
        <w:rPr>
          <w:rFonts w:ascii="Calibri" w:hAnsi="Calibri"/>
          <w:sz w:val="22"/>
          <w:szCs w:val="22"/>
        </w:rPr>
        <w:tab/>
      </w:r>
      <w:r w:rsidR="001C2A23">
        <w:t>Personeelsbeleid</w:t>
      </w:r>
      <w:r w:rsidRPr="00DC249A">
        <w:tab/>
      </w:r>
      <w:r w:rsidR="00B2714D">
        <w:t>9</w:t>
      </w:r>
    </w:p>
    <w:p w14:paraId="1ED9F122" w14:textId="78818C96" w:rsidR="00BD6D99" w:rsidRPr="00DC249A" w:rsidRDefault="00BD6D99" w:rsidP="00BD6D99">
      <w:pPr>
        <w:pStyle w:val="TOC3"/>
        <w:rPr>
          <w:rFonts w:ascii="Calibri" w:hAnsi="Calibri"/>
          <w:sz w:val="22"/>
          <w:szCs w:val="22"/>
        </w:rPr>
      </w:pPr>
      <w:r w:rsidRPr="00DC249A">
        <w:t xml:space="preserve">3.7 </w:t>
      </w:r>
      <w:r w:rsidRPr="00DC249A">
        <w:rPr>
          <w:rFonts w:ascii="Calibri" w:hAnsi="Calibri"/>
          <w:sz w:val="22"/>
          <w:szCs w:val="22"/>
        </w:rPr>
        <w:tab/>
      </w:r>
      <w:r w:rsidR="001C2A23">
        <w:t xml:space="preserve">Financieel </w:t>
      </w:r>
      <w:r w:rsidRPr="00DC249A">
        <w:t>beheer</w:t>
      </w:r>
      <w:r w:rsidRPr="00DC249A">
        <w:tab/>
      </w:r>
      <w:r w:rsidR="00571DB8" w:rsidRPr="00DC249A">
        <w:fldChar w:fldCharType="begin"/>
      </w:r>
      <w:r w:rsidRPr="00DC249A">
        <w:instrText xml:space="preserve"> PAGEREF _Toc410397634 \h </w:instrText>
      </w:r>
      <w:r w:rsidR="00571DB8" w:rsidRPr="00DC249A">
        <w:fldChar w:fldCharType="separate"/>
      </w:r>
      <w:r w:rsidR="0047306B">
        <w:t>1</w:t>
      </w:r>
      <w:r w:rsidR="00571DB8" w:rsidRPr="00DC249A">
        <w:fldChar w:fldCharType="end"/>
      </w:r>
      <w:r w:rsidR="00B2714D">
        <w:t>0</w:t>
      </w:r>
    </w:p>
    <w:p w14:paraId="1ED9F123" w14:textId="77777777" w:rsidR="00BD6D99" w:rsidRPr="00DC249A" w:rsidRDefault="00BD6D99" w:rsidP="00BD6D99">
      <w:pPr>
        <w:pStyle w:val="TOC3"/>
        <w:rPr>
          <w:rFonts w:ascii="Calibri" w:hAnsi="Calibri"/>
          <w:sz w:val="22"/>
          <w:szCs w:val="22"/>
        </w:rPr>
      </w:pPr>
      <w:r w:rsidRPr="00DC249A">
        <w:t xml:space="preserve">3.8 </w:t>
      </w:r>
      <w:r w:rsidRPr="00DC249A">
        <w:rPr>
          <w:rFonts w:ascii="Calibri" w:hAnsi="Calibri"/>
          <w:sz w:val="22"/>
          <w:szCs w:val="22"/>
        </w:rPr>
        <w:tab/>
      </w:r>
      <w:r w:rsidRPr="00DC249A">
        <w:t>Corruptiebestrijding in de interne organisatie</w:t>
      </w:r>
      <w:r w:rsidRPr="00DC249A">
        <w:tab/>
      </w:r>
      <w:r w:rsidR="00571DB8" w:rsidRPr="00DC249A">
        <w:fldChar w:fldCharType="begin"/>
      </w:r>
      <w:r w:rsidRPr="00DC249A">
        <w:instrText xml:space="preserve"> PAGEREF _Toc410397635 \h </w:instrText>
      </w:r>
      <w:r w:rsidR="00571DB8" w:rsidRPr="00DC249A">
        <w:fldChar w:fldCharType="separate"/>
      </w:r>
      <w:r w:rsidR="0047306B">
        <w:t>1</w:t>
      </w:r>
      <w:r w:rsidR="00571DB8" w:rsidRPr="00DC249A">
        <w:fldChar w:fldCharType="end"/>
      </w:r>
      <w:r w:rsidR="00B2714D">
        <w:t>0</w:t>
      </w:r>
    </w:p>
    <w:p w14:paraId="1ED9F124" w14:textId="77777777" w:rsidR="00BD6D99" w:rsidRPr="00DC249A" w:rsidRDefault="00BD6D99" w:rsidP="00BD6D99">
      <w:pPr>
        <w:pStyle w:val="TOC2"/>
        <w:rPr>
          <w:rFonts w:ascii="Calibri" w:hAnsi="Calibri"/>
          <w:sz w:val="22"/>
          <w:szCs w:val="22"/>
        </w:rPr>
      </w:pPr>
      <w:r w:rsidRPr="00DC249A">
        <w:t xml:space="preserve">4 </w:t>
      </w:r>
      <w:r w:rsidRPr="00DC249A">
        <w:rPr>
          <w:rFonts w:ascii="Calibri" w:hAnsi="Calibri"/>
          <w:sz w:val="22"/>
          <w:szCs w:val="22"/>
        </w:rPr>
        <w:tab/>
      </w:r>
      <w:r w:rsidRPr="00DC249A">
        <w:t>Beleidsrelevantie en resultaten van de organisatie</w:t>
      </w:r>
      <w:r w:rsidRPr="00DC249A">
        <w:tab/>
      </w:r>
      <w:r w:rsidR="00571DB8" w:rsidRPr="00DC249A">
        <w:fldChar w:fldCharType="begin"/>
      </w:r>
      <w:r w:rsidRPr="00DC249A">
        <w:instrText xml:space="preserve"> PAGEREF _Toc410397636 \h </w:instrText>
      </w:r>
      <w:r w:rsidR="00571DB8" w:rsidRPr="00DC249A">
        <w:fldChar w:fldCharType="separate"/>
      </w:r>
      <w:r w:rsidR="0047306B">
        <w:t>1</w:t>
      </w:r>
      <w:r w:rsidR="00571DB8" w:rsidRPr="00DC249A">
        <w:fldChar w:fldCharType="end"/>
      </w:r>
      <w:r w:rsidR="00B2714D">
        <w:t>1</w:t>
      </w:r>
    </w:p>
    <w:p w14:paraId="1ED9F125" w14:textId="77777777" w:rsidR="00BD6D99" w:rsidRPr="00DC249A" w:rsidRDefault="00BD6D99" w:rsidP="00BD6D99">
      <w:pPr>
        <w:pStyle w:val="TOC3"/>
        <w:rPr>
          <w:rFonts w:ascii="Calibri" w:hAnsi="Calibri"/>
          <w:sz w:val="22"/>
          <w:szCs w:val="22"/>
        </w:rPr>
      </w:pPr>
      <w:r w:rsidRPr="00DC249A">
        <w:t xml:space="preserve">4.1 </w:t>
      </w:r>
      <w:r w:rsidRPr="00DC249A">
        <w:rPr>
          <w:rFonts w:ascii="Calibri" w:hAnsi="Calibri"/>
          <w:sz w:val="22"/>
          <w:szCs w:val="22"/>
        </w:rPr>
        <w:tab/>
      </w:r>
      <w:r w:rsidRPr="00DC249A">
        <w:t>Relevantie voor Nederlandse BHOS-prioriteiten</w:t>
      </w:r>
      <w:r w:rsidRPr="00DC249A">
        <w:tab/>
      </w:r>
      <w:r w:rsidR="00571DB8" w:rsidRPr="00DC249A">
        <w:fldChar w:fldCharType="begin"/>
      </w:r>
      <w:r w:rsidRPr="00DC249A">
        <w:instrText xml:space="preserve"> PAGEREF _Toc410397637 \h </w:instrText>
      </w:r>
      <w:r w:rsidR="00571DB8" w:rsidRPr="00DC249A">
        <w:fldChar w:fldCharType="separate"/>
      </w:r>
      <w:r w:rsidR="0047306B">
        <w:t>1</w:t>
      </w:r>
      <w:r w:rsidR="00571DB8" w:rsidRPr="00DC249A">
        <w:fldChar w:fldCharType="end"/>
      </w:r>
      <w:r w:rsidR="00B2714D">
        <w:t>1</w:t>
      </w:r>
    </w:p>
    <w:p w14:paraId="1ED9F126" w14:textId="1914AFDE" w:rsidR="00BD6D99" w:rsidRPr="00DC249A" w:rsidRDefault="00BD6D99" w:rsidP="00BD6D99">
      <w:pPr>
        <w:pStyle w:val="TOC3"/>
        <w:rPr>
          <w:rFonts w:ascii="Calibri" w:hAnsi="Calibri"/>
          <w:sz w:val="22"/>
          <w:szCs w:val="22"/>
        </w:rPr>
      </w:pPr>
      <w:r w:rsidRPr="00DC249A">
        <w:t>4.2</w:t>
      </w:r>
      <w:r w:rsidRPr="00DC249A">
        <w:rPr>
          <w:rFonts w:ascii="Calibri" w:hAnsi="Calibri"/>
          <w:sz w:val="22"/>
          <w:szCs w:val="22"/>
        </w:rPr>
        <w:tab/>
      </w:r>
      <w:r w:rsidR="00C35CC9">
        <w:t>Extra</w:t>
      </w:r>
      <w:r w:rsidRPr="00DC249A">
        <w:t xml:space="preserve"> relevantie</w:t>
      </w:r>
      <w:r w:rsidRPr="00DC249A">
        <w:tab/>
      </w:r>
      <w:r w:rsidR="00571DB8" w:rsidRPr="00DC249A">
        <w:fldChar w:fldCharType="begin"/>
      </w:r>
      <w:r w:rsidRPr="00DC249A">
        <w:instrText xml:space="preserve"> PAGEREF _Toc410397638 \h </w:instrText>
      </w:r>
      <w:r w:rsidR="00571DB8" w:rsidRPr="00DC249A">
        <w:fldChar w:fldCharType="separate"/>
      </w:r>
      <w:r w:rsidR="0047306B">
        <w:t>1</w:t>
      </w:r>
      <w:r w:rsidR="00571DB8" w:rsidRPr="00DC249A">
        <w:fldChar w:fldCharType="end"/>
      </w:r>
      <w:r w:rsidR="00B2714D">
        <w:t>2</w:t>
      </w:r>
    </w:p>
    <w:p w14:paraId="1ED9F127" w14:textId="77777777" w:rsidR="00246DF5" w:rsidRPr="00290657" w:rsidRDefault="00BD6D99" w:rsidP="00246DF5">
      <w:pPr>
        <w:pStyle w:val="TOC2"/>
        <w:rPr>
          <w:rFonts w:ascii="Calibri" w:hAnsi="Calibri"/>
          <w:sz w:val="22"/>
          <w:szCs w:val="22"/>
        </w:rPr>
      </w:pPr>
      <w:r w:rsidRPr="00DC249A">
        <w:t>5</w:t>
      </w:r>
      <w:r w:rsidR="00246DF5">
        <w:t xml:space="preserve"> </w:t>
      </w:r>
      <w:r w:rsidR="00246DF5" w:rsidRPr="00290657">
        <w:rPr>
          <w:rFonts w:ascii="Calibri" w:hAnsi="Calibri"/>
          <w:sz w:val="22"/>
          <w:szCs w:val="22"/>
        </w:rPr>
        <w:tab/>
      </w:r>
      <w:r w:rsidR="00246DF5">
        <w:t>Conclusie</w:t>
      </w:r>
      <w:r w:rsidR="00246DF5">
        <w:tab/>
        <w:t>13</w:t>
      </w:r>
    </w:p>
    <w:p w14:paraId="1ED9F128" w14:textId="77777777" w:rsidR="00246DF5" w:rsidRPr="00290657" w:rsidRDefault="00246DF5" w:rsidP="00246DF5">
      <w:pPr>
        <w:pStyle w:val="TOC3"/>
        <w:rPr>
          <w:rFonts w:ascii="Calibri" w:hAnsi="Calibri"/>
          <w:sz w:val="22"/>
          <w:szCs w:val="22"/>
        </w:rPr>
      </w:pPr>
      <w:r>
        <w:t xml:space="preserve">5.1 </w:t>
      </w:r>
      <w:r w:rsidRPr="00290657">
        <w:rPr>
          <w:rFonts w:ascii="Calibri" w:hAnsi="Calibri"/>
          <w:sz w:val="22"/>
          <w:szCs w:val="22"/>
        </w:rPr>
        <w:tab/>
      </w:r>
      <w:r>
        <w:t>Institutionele aspecten en functioneren</w:t>
      </w:r>
      <w:r>
        <w:tab/>
        <w:t>13</w:t>
      </w:r>
    </w:p>
    <w:p w14:paraId="1ED9F129" w14:textId="77777777" w:rsidR="00246DF5" w:rsidRPr="00290657" w:rsidRDefault="00246DF5" w:rsidP="00246DF5">
      <w:pPr>
        <w:pStyle w:val="TOC3"/>
        <w:rPr>
          <w:rFonts w:ascii="Calibri" w:hAnsi="Calibri"/>
          <w:sz w:val="22"/>
          <w:szCs w:val="22"/>
        </w:rPr>
      </w:pPr>
      <w:r>
        <w:t>5.2</w:t>
      </w:r>
      <w:r w:rsidRPr="00290657">
        <w:rPr>
          <w:rFonts w:ascii="Calibri" w:hAnsi="Calibri"/>
          <w:sz w:val="22"/>
          <w:szCs w:val="22"/>
        </w:rPr>
        <w:tab/>
      </w:r>
      <w:r>
        <w:t>Beleidsrelevantie</w:t>
      </w:r>
      <w:r>
        <w:tab/>
        <w:t>13</w:t>
      </w:r>
    </w:p>
    <w:p w14:paraId="1ED9F12A" w14:textId="77777777" w:rsidR="00BD6D99" w:rsidRPr="00DC249A" w:rsidRDefault="00571DB8" w:rsidP="00BD6D99">
      <w:pPr>
        <w:tabs>
          <w:tab w:val="left" w:pos="0"/>
        </w:tabs>
      </w:pPr>
      <w:r w:rsidRPr="00DC249A">
        <w:fldChar w:fldCharType="end"/>
      </w:r>
    </w:p>
    <w:p w14:paraId="1ED9F12B" w14:textId="77777777" w:rsidR="00BD6D99" w:rsidRPr="00DC249A" w:rsidRDefault="00BD6D99" w:rsidP="00BD6D99"/>
    <w:p w14:paraId="1ED9F12C" w14:textId="77777777" w:rsidR="00BD6D99" w:rsidRPr="00DC249A" w:rsidRDefault="00BD6D99" w:rsidP="00BD6D99"/>
    <w:p w14:paraId="1ED9F12D" w14:textId="77777777" w:rsidR="00BD6D99" w:rsidRPr="00DC249A" w:rsidRDefault="00BD6D99" w:rsidP="00BD6D99"/>
    <w:p w14:paraId="1ED9F12E" w14:textId="77777777" w:rsidR="00BD6D99" w:rsidRPr="00DC249A" w:rsidRDefault="00BD6D99" w:rsidP="00BD6D99">
      <w:pPr>
        <w:jc w:val="center"/>
      </w:pPr>
    </w:p>
    <w:p w14:paraId="1ED9F12F" w14:textId="77777777" w:rsidR="00BD6D99" w:rsidRPr="00DC249A" w:rsidRDefault="00BD6D99" w:rsidP="00BD6D99">
      <w:pPr>
        <w:sectPr w:rsidR="00BD6D99" w:rsidRPr="00DC249A" w:rsidSect="00EE1B9E">
          <w:headerReference w:type="first" r:id="rId18"/>
          <w:type w:val="continuous"/>
          <w:pgSz w:w="11906" w:h="16838" w:code="9"/>
          <w:pgMar w:top="2520" w:right="960" w:bottom="1080" w:left="3220" w:header="200" w:footer="660" w:gutter="0"/>
          <w:cols w:space="708"/>
          <w:titlePg/>
          <w:docGrid w:linePitch="360"/>
        </w:sectPr>
      </w:pPr>
    </w:p>
    <w:p w14:paraId="1ED9F130" w14:textId="77777777" w:rsidR="00BD6D99" w:rsidRPr="00DC249A" w:rsidRDefault="00BD6D99" w:rsidP="00BD6D99">
      <w:pPr>
        <w:pStyle w:val="Heading1"/>
        <w:tabs>
          <w:tab w:val="num" w:pos="0"/>
        </w:tabs>
        <w:spacing w:after="240" w:line="240" w:lineRule="auto"/>
        <w:ind w:hanging="1162"/>
      </w:pPr>
      <w:bookmarkStart w:id="11" w:name="_Toc238533654"/>
      <w:bookmarkStart w:id="12" w:name="_Toc238537583"/>
      <w:bookmarkStart w:id="13" w:name="_Toc238538136"/>
      <w:bookmarkStart w:id="14" w:name="_Toc238538151"/>
      <w:bookmarkStart w:id="15" w:name="_Toc300822504"/>
      <w:bookmarkStart w:id="16" w:name="_Toc410397622"/>
      <w:bookmarkEnd w:id="11"/>
      <w:bookmarkEnd w:id="12"/>
      <w:bookmarkEnd w:id="13"/>
      <w:bookmarkEnd w:id="14"/>
      <w:r w:rsidRPr="00DC249A">
        <w:lastRenderedPageBreak/>
        <w:t xml:space="preserve">1 </w:t>
      </w:r>
      <w:r w:rsidRPr="00DC249A">
        <w:tab/>
        <w:t>Inleiding</w:t>
      </w:r>
      <w:bookmarkEnd w:id="15"/>
      <w:bookmarkEnd w:id="16"/>
    </w:p>
    <w:p w14:paraId="1ED9F131" w14:textId="254114F8" w:rsidR="00BD6D99" w:rsidRPr="0047306B" w:rsidRDefault="00BD6D99" w:rsidP="00BD6D99">
      <w:pPr>
        <w:shd w:val="clear" w:color="auto" w:fill="FFFFFF"/>
        <w:spacing w:before="100" w:beforeAutospacing="1" w:after="100" w:afterAutospacing="1" w:line="240" w:lineRule="auto"/>
        <w:rPr>
          <w:szCs w:val="18"/>
          <w:lang w:eastAsia="zh-CN"/>
        </w:rPr>
      </w:pPr>
      <w:r w:rsidRPr="0047306B">
        <w:rPr>
          <w:szCs w:val="18"/>
          <w:lang w:eastAsia="zh-CN"/>
        </w:rPr>
        <w:t>Scorecards worden opgesteld om het functioneren en de beleidsrelevantie van multilaterale organisaties in kaart te brengen. De Nederlandse inzet in multilaterale organisaties wordt geconcentreerd op organisaties die relevant zijn voor het Nederlandse beleid en die effectief zijn, dan</w:t>
      </w:r>
      <w:r w:rsidR="00626134">
        <w:rPr>
          <w:szCs w:val="18"/>
          <w:lang w:eastAsia="zh-CN"/>
        </w:rPr>
        <w:t xml:space="preserve"> </w:t>
      </w:r>
      <w:r w:rsidRPr="0047306B">
        <w:rPr>
          <w:szCs w:val="18"/>
          <w:lang w:eastAsia="zh-CN"/>
        </w:rPr>
        <w:t>wel een sleutelrol vervullen binnen de multilaterale architectuur als “systeemorganisatie”. Dit vraagt om zorgvuldige en regelmatige toetsing. Het streven is om scorecards op te stellen voor de VN Fondsen en Programma’s, de Internationale Financiële Instellingen, de voor Nederlands BHOS-beleid relevante gespecialiseerde VN-organisaties en kantoren, en de majeure wereldwijde fondsen; multilaterale organisaties waaraan Nederland een substantiële ODA-bijdrage levert. De relevantie wordt primair getoetst aan het Nederlandse beleid voor Buitenlandse Handel en Ontwikkelingssamenwerking, maar de bredere betekenis van multilaterale instellingen voor andere aspecten van Nederlands beleid wordt waar relevant meegenomen.</w:t>
      </w:r>
    </w:p>
    <w:p w14:paraId="1ED9F132" w14:textId="6432B612" w:rsidR="00BD6D99" w:rsidRPr="0047306B" w:rsidRDefault="00BD6D99" w:rsidP="00BD6D99">
      <w:pPr>
        <w:shd w:val="clear" w:color="auto" w:fill="FFFFFF"/>
        <w:spacing w:before="100" w:beforeAutospacing="1" w:after="100" w:afterAutospacing="1" w:line="240" w:lineRule="auto"/>
        <w:rPr>
          <w:szCs w:val="18"/>
          <w:lang w:eastAsia="zh-CN"/>
        </w:rPr>
      </w:pPr>
      <w:r w:rsidRPr="0047306B">
        <w:rPr>
          <w:szCs w:val="18"/>
          <w:lang w:eastAsia="zh-CN"/>
        </w:rPr>
        <w:t xml:space="preserve">Elke scorecard geeft een overzicht van de doelstellingen, het mandaat en de kernkwaliteiten van de </w:t>
      </w:r>
      <w:proofErr w:type="gramStart"/>
      <w:r w:rsidRPr="0047306B">
        <w:rPr>
          <w:szCs w:val="18"/>
          <w:lang w:eastAsia="zh-CN"/>
        </w:rPr>
        <w:t>betreffende</w:t>
      </w:r>
      <w:proofErr w:type="gramEnd"/>
      <w:r w:rsidRPr="0047306B">
        <w:rPr>
          <w:szCs w:val="18"/>
          <w:lang w:eastAsia="zh-CN"/>
        </w:rPr>
        <w:t xml:space="preserve"> internationale instelling, van de wijze waarop de organisatie is ingericht en welke activiteiten ze uitvoert, van de financiële omvang en de Nederlandse bijdragen. Op basis van een analyse van de verschillende deelaspecten wordt een appreciatie gegeven van de organisatorische effectiviteit en van de relevantie voor en de impact op de Nederlandse beleidsdoelstellingen. Er wordt een appreciatie gegeven van de mate waarin organisaties voor het Nederlandse BHOS-beleid relevante resultaten behalen</w:t>
      </w:r>
      <w:r w:rsidR="001C2A23">
        <w:rPr>
          <w:szCs w:val="18"/>
          <w:lang w:eastAsia="zh-CN"/>
        </w:rPr>
        <w:t xml:space="preserve">. </w:t>
      </w:r>
      <w:r w:rsidRPr="0047306B">
        <w:rPr>
          <w:szCs w:val="18"/>
          <w:lang w:eastAsia="zh-CN"/>
        </w:rPr>
        <w:t xml:space="preserve">Deelaspecten van effectiviteit worden beoordeeld op basis van specifieke criteria en gescoord op een </w:t>
      </w:r>
      <w:proofErr w:type="spellStart"/>
      <w:r w:rsidRPr="0047306B">
        <w:rPr>
          <w:szCs w:val="18"/>
          <w:lang w:eastAsia="zh-CN"/>
        </w:rPr>
        <w:t>vierpuntsschaal</w:t>
      </w:r>
      <w:proofErr w:type="spellEnd"/>
      <w:r w:rsidRPr="0047306B">
        <w:rPr>
          <w:szCs w:val="18"/>
          <w:lang w:eastAsia="zh-CN"/>
        </w:rPr>
        <w:t xml:space="preserve"> van onvoldoende, matig, voldoende en goed. Daarnaast wordt een “verwachting voor positieve verandering” gegeven. Beleidsmatige relevantie en impact (resultaten) worden aangeduid met de kwalificaties relevant, beperkt relevant en niet relevant. Een samenvatting van al deze scores is te vinden in de tabellen in hoofdstuk 5.</w:t>
      </w:r>
    </w:p>
    <w:p w14:paraId="1ED9F133" w14:textId="77777777" w:rsidR="00BD6D99" w:rsidRPr="0047306B" w:rsidRDefault="00BD6D99" w:rsidP="00BD6D99">
      <w:pPr>
        <w:shd w:val="clear" w:color="auto" w:fill="FFFFFF"/>
        <w:spacing w:before="100" w:beforeAutospacing="1" w:after="100" w:afterAutospacing="1" w:line="240" w:lineRule="auto"/>
        <w:rPr>
          <w:szCs w:val="18"/>
          <w:lang w:eastAsia="zh-CN"/>
        </w:rPr>
      </w:pPr>
      <w:r w:rsidRPr="0047306B">
        <w:rPr>
          <w:szCs w:val="18"/>
          <w:lang w:eastAsia="zh-CN"/>
        </w:rPr>
        <w:t xml:space="preserve">De scorecards zijn samengesteld op basis van rapportages van de organisatie zelf, van de </w:t>
      </w:r>
      <w:r w:rsidRPr="0047306B">
        <w:rPr>
          <w:i/>
          <w:szCs w:val="18"/>
          <w:lang w:eastAsia="zh-CN"/>
        </w:rPr>
        <w:t>Board of Auditors</w:t>
      </w:r>
      <w:r w:rsidRPr="0047306B">
        <w:rPr>
          <w:szCs w:val="18"/>
          <w:lang w:eastAsia="zh-CN"/>
        </w:rPr>
        <w:t xml:space="preserve">, interne en externe evaluaties, beoordelingen door andere donoren en van het </w:t>
      </w:r>
      <w:proofErr w:type="spellStart"/>
      <w:r w:rsidRPr="0047306B">
        <w:rPr>
          <w:i/>
          <w:szCs w:val="18"/>
          <w:lang w:eastAsia="zh-CN"/>
        </w:rPr>
        <w:t>Multilateral</w:t>
      </w:r>
      <w:proofErr w:type="spellEnd"/>
      <w:r w:rsidRPr="0047306B">
        <w:rPr>
          <w:i/>
          <w:szCs w:val="18"/>
          <w:lang w:eastAsia="zh-CN"/>
        </w:rPr>
        <w:t xml:space="preserve"> </w:t>
      </w:r>
      <w:proofErr w:type="spellStart"/>
      <w:r w:rsidRPr="0047306B">
        <w:rPr>
          <w:i/>
          <w:szCs w:val="18"/>
          <w:lang w:eastAsia="zh-CN"/>
        </w:rPr>
        <w:t>Organisations</w:t>
      </w:r>
      <w:proofErr w:type="spellEnd"/>
      <w:r w:rsidRPr="0047306B">
        <w:rPr>
          <w:i/>
          <w:szCs w:val="18"/>
          <w:lang w:eastAsia="zh-CN"/>
        </w:rPr>
        <w:t xml:space="preserve"> Performance Assessment Network</w:t>
      </w:r>
      <w:r w:rsidRPr="0047306B">
        <w:rPr>
          <w:szCs w:val="18"/>
          <w:lang w:eastAsia="zh-CN"/>
        </w:rPr>
        <w:t xml:space="preserve"> (MOPAN)</w:t>
      </w:r>
      <w:r w:rsidR="00735F83" w:rsidRPr="0047306B">
        <w:rPr>
          <w:rStyle w:val="FootnoteReference"/>
          <w:szCs w:val="18"/>
          <w:lang w:eastAsia="zh-CN"/>
        </w:rPr>
        <w:footnoteReference w:id="1"/>
      </w:r>
      <w:r w:rsidR="00735F83" w:rsidRPr="0047306B">
        <w:rPr>
          <w:szCs w:val="18"/>
          <w:lang w:eastAsia="zh-CN"/>
        </w:rPr>
        <w:t>.</w:t>
      </w:r>
      <w:r w:rsidRPr="0047306B">
        <w:rPr>
          <w:szCs w:val="18"/>
          <w:lang w:eastAsia="zh-CN"/>
        </w:rPr>
        <w:t xml:space="preserve"> Daarnaast wordt om de input gevraagd van betrokken vakdepartementen, de Permanente Vertegenwoordigingen en </w:t>
      </w:r>
      <w:proofErr w:type="spellStart"/>
      <w:r w:rsidRPr="0047306B">
        <w:rPr>
          <w:szCs w:val="18"/>
          <w:lang w:eastAsia="zh-CN"/>
        </w:rPr>
        <w:t>Kiesgroepkantoren</w:t>
      </w:r>
      <w:proofErr w:type="spellEnd"/>
      <w:r w:rsidRPr="0047306B">
        <w:rPr>
          <w:szCs w:val="18"/>
          <w:lang w:eastAsia="zh-CN"/>
        </w:rPr>
        <w:t xml:space="preserve">. Ook informatie van ambassades over het functioneren van landenkantoren van multilaterale instellingen zijn in de scorecard verwerkt. </w:t>
      </w:r>
      <w:proofErr w:type="gramStart"/>
      <w:r w:rsidRPr="0047306B">
        <w:rPr>
          <w:szCs w:val="18"/>
          <w:lang w:eastAsia="zh-CN"/>
        </w:rPr>
        <w:t>De</w:t>
      </w:r>
      <w:proofErr w:type="gramEnd"/>
      <w:r w:rsidRPr="0047306B">
        <w:rPr>
          <w:szCs w:val="18"/>
          <w:lang w:eastAsia="zh-CN"/>
        </w:rPr>
        <w:t xml:space="preserve"> scorecards worden iedere twee jaar geactualiseerd. </w:t>
      </w:r>
    </w:p>
    <w:p w14:paraId="1ED9F134" w14:textId="77777777" w:rsidR="00BD6D99" w:rsidRPr="00DC249A" w:rsidRDefault="00BD6D99" w:rsidP="00BD6D99"/>
    <w:p w14:paraId="1ED9F135" w14:textId="77777777" w:rsidR="00BD6D99" w:rsidRPr="00DC249A" w:rsidRDefault="00BD6D99" w:rsidP="00BD6D99">
      <w:pPr>
        <w:pStyle w:val="Heading1"/>
        <w:tabs>
          <w:tab w:val="num" w:pos="0"/>
        </w:tabs>
        <w:spacing w:after="240" w:line="240" w:lineRule="auto"/>
        <w:ind w:hanging="1162"/>
      </w:pPr>
      <w:bookmarkStart w:id="17" w:name="_Toc410397623"/>
      <w:r w:rsidRPr="00DC249A">
        <w:lastRenderedPageBreak/>
        <w:t xml:space="preserve">2 </w:t>
      </w:r>
      <w:r w:rsidRPr="00DC249A">
        <w:tab/>
        <w:t>Algemene achtergrond</w:t>
      </w:r>
      <w:bookmarkEnd w:id="17"/>
    </w:p>
    <w:p w14:paraId="1ED9F136" w14:textId="77777777" w:rsidR="00BD6D99" w:rsidRPr="00DC249A" w:rsidRDefault="00BD6D99" w:rsidP="00BD6D99"/>
    <w:p w14:paraId="1ED9F137" w14:textId="77777777" w:rsidR="00BD6D99" w:rsidRPr="00DC249A" w:rsidRDefault="009D068A" w:rsidP="00BD6D99">
      <w:pPr>
        <w:pStyle w:val="Heading2"/>
        <w:numPr>
          <w:ilvl w:val="1"/>
          <w:numId w:val="21"/>
        </w:numPr>
        <w:tabs>
          <w:tab w:val="left" w:pos="-1162"/>
          <w:tab w:val="left" w:pos="0"/>
        </w:tabs>
        <w:spacing w:line="240" w:lineRule="auto"/>
      </w:pPr>
      <w:bookmarkStart w:id="18" w:name="_Toc410397624"/>
      <w:r>
        <w:tab/>
      </w:r>
      <w:r w:rsidR="00BD6D99" w:rsidRPr="00DC249A">
        <w:t>Doelstelling en toegevoegde waarde</w:t>
      </w:r>
      <w:bookmarkEnd w:id="18"/>
    </w:p>
    <w:p w14:paraId="1ED9F138" w14:textId="77777777" w:rsidR="00BB339C" w:rsidRDefault="00BB339C" w:rsidP="00BD6D99"/>
    <w:p w14:paraId="1ED9F139" w14:textId="77777777" w:rsidR="0019492F" w:rsidRDefault="00BD6D99" w:rsidP="0019492F">
      <w:r w:rsidRPr="00F13108">
        <w:t xml:space="preserve">De </w:t>
      </w:r>
      <w:r w:rsidRPr="0046087F">
        <w:rPr>
          <w:i/>
        </w:rPr>
        <w:t xml:space="preserve">United Nations Conference </w:t>
      </w:r>
      <w:r w:rsidR="00CC5975" w:rsidRPr="0046087F">
        <w:rPr>
          <w:i/>
        </w:rPr>
        <w:t>on</w:t>
      </w:r>
      <w:r w:rsidRPr="0046087F">
        <w:rPr>
          <w:i/>
        </w:rPr>
        <w:t xml:space="preserve"> Trade </w:t>
      </w:r>
      <w:proofErr w:type="spellStart"/>
      <w:r w:rsidRPr="0046087F">
        <w:rPr>
          <w:i/>
        </w:rPr>
        <w:t>and</w:t>
      </w:r>
      <w:proofErr w:type="spellEnd"/>
      <w:r w:rsidRPr="0046087F">
        <w:rPr>
          <w:i/>
        </w:rPr>
        <w:t xml:space="preserve"> Development</w:t>
      </w:r>
      <w:r w:rsidRPr="00F13108">
        <w:t xml:space="preserve"> (UNCTAD) is </w:t>
      </w:r>
      <w:r w:rsidR="00DB2F87">
        <w:t>het</w:t>
      </w:r>
      <w:r w:rsidRPr="00F13108">
        <w:t xml:space="preserve"> VN-orga</w:t>
      </w:r>
      <w:r w:rsidR="00DB2F87">
        <w:t>a</w:t>
      </w:r>
      <w:r w:rsidRPr="00F13108">
        <w:t xml:space="preserve">n </w:t>
      </w:r>
      <w:r w:rsidR="00DB2F87">
        <w:t>verantwoordelijk voor</w:t>
      </w:r>
      <w:r w:rsidRPr="00F13108">
        <w:t xml:space="preserve"> het beleid op het snijvlak van handel</w:t>
      </w:r>
      <w:r>
        <w:t>, investeringen</w:t>
      </w:r>
      <w:r w:rsidRPr="00F13108">
        <w:t xml:space="preserve"> en ontwikkeling. </w:t>
      </w:r>
      <w:r w:rsidR="0019492F" w:rsidRPr="00F13108">
        <w:t xml:space="preserve">Het </w:t>
      </w:r>
      <w:r w:rsidR="0019492F">
        <w:t>heeft een normatieve rol als</w:t>
      </w:r>
      <w:r w:rsidR="0019492F" w:rsidRPr="00F13108">
        <w:t xml:space="preserve"> forum voor intergouvernementeel overleg op dit gebied, </w:t>
      </w:r>
      <w:r w:rsidR="0019492F">
        <w:t xml:space="preserve">maar </w:t>
      </w:r>
      <w:r w:rsidR="0019492F" w:rsidRPr="00F13108">
        <w:t xml:space="preserve">doet </w:t>
      </w:r>
      <w:r w:rsidR="0019492F">
        <w:t xml:space="preserve">ook </w:t>
      </w:r>
      <w:r w:rsidR="0019492F" w:rsidRPr="00F13108">
        <w:t>onderzoek</w:t>
      </w:r>
      <w:r w:rsidR="0019492F">
        <w:t xml:space="preserve">, voert </w:t>
      </w:r>
      <w:r w:rsidR="0019492F" w:rsidRPr="00F13108">
        <w:t>beleidsanalyse</w:t>
      </w:r>
      <w:r w:rsidR="0019492F">
        <w:t xml:space="preserve">s uit </w:t>
      </w:r>
      <w:r w:rsidR="0019492F" w:rsidRPr="00F13108">
        <w:t xml:space="preserve">en biedt technische ondersteuning aan ontwikkelingslanden. </w:t>
      </w:r>
      <w:r w:rsidR="00DB2F87" w:rsidRPr="00DB2F87">
        <w:t xml:space="preserve">UNCTAD draagt bij aan het internationale debat over de consequenties van de globalisering voor ontwikkelingslanden, de bevordering van ontwikkeling door internationale handel en biedt de lidstaten </w:t>
      </w:r>
      <w:r w:rsidR="00DB2F87">
        <w:t>(</w:t>
      </w:r>
      <w:proofErr w:type="gramStart"/>
      <w:r w:rsidR="00914B46">
        <w:t>met name</w:t>
      </w:r>
      <w:proofErr w:type="gramEnd"/>
      <w:r w:rsidR="00914B46">
        <w:t xml:space="preserve"> lage inkomenslanden</w:t>
      </w:r>
      <w:r w:rsidR="00DB2F87">
        <w:t xml:space="preserve">) </w:t>
      </w:r>
      <w:r w:rsidR="00DB2F87" w:rsidRPr="00DB2F87">
        <w:t>expertise aan op het terrein van investeringen en private sectorontwikkeling.</w:t>
      </w:r>
    </w:p>
    <w:p w14:paraId="1ED9F13A" w14:textId="77777777" w:rsidR="0019492F" w:rsidRDefault="0019492F" w:rsidP="00BD6D99"/>
    <w:p w14:paraId="1ED9F13B" w14:textId="77777777" w:rsidR="001B5635" w:rsidRPr="00F13108" w:rsidRDefault="00BD6D99" w:rsidP="001B5635">
      <w:r w:rsidRPr="00F13108">
        <w:t>UNCTAD organiseert tweejaarlijks het World Investment Forum</w:t>
      </w:r>
      <w:r>
        <w:t xml:space="preserve">, waarin de belangrijkste wereldwijde investeringsuitdagingen worden </w:t>
      </w:r>
      <w:r w:rsidR="00914B46">
        <w:t>besproken</w:t>
      </w:r>
      <w:r>
        <w:t xml:space="preserve">. </w:t>
      </w:r>
      <w:r w:rsidR="00BB339C" w:rsidRPr="00367D04">
        <w:t xml:space="preserve">UNCTAD is de enige VN-organisatie met een mandaat voor activiteiten op </w:t>
      </w:r>
      <w:r w:rsidR="00BB339C">
        <w:t>het</w:t>
      </w:r>
      <w:r w:rsidR="00BB339C" w:rsidRPr="00367D04">
        <w:t xml:space="preserve"> gebied van investeringen en mededinging.</w:t>
      </w:r>
      <w:r w:rsidR="00914B46">
        <w:t xml:space="preserve"> </w:t>
      </w:r>
      <w:r w:rsidR="00257241">
        <w:t>UNCTAD heeft</w:t>
      </w:r>
      <w:r w:rsidR="00914B46">
        <w:t xml:space="preserve"> invloed op het mondiale ontwikkelingsbeleid</w:t>
      </w:r>
      <w:r w:rsidR="001B5635">
        <w:t xml:space="preserve">, </w:t>
      </w:r>
      <w:r w:rsidR="00914B46">
        <w:t>vooral</w:t>
      </w:r>
      <w:r w:rsidR="001B5635">
        <w:t xml:space="preserve"> ook </w:t>
      </w:r>
      <w:r w:rsidR="00257241">
        <w:t xml:space="preserve">omdat </w:t>
      </w:r>
      <w:r w:rsidR="000721DE">
        <w:t xml:space="preserve">de G77 veel waarde hecht aan </w:t>
      </w:r>
      <w:r w:rsidR="00257241">
        <w:t>de organisatie</w:t>
      </w:r>
      <w:r w:rsidR="000721DE">
        <w:t>.</w:t>
      </w:r>
      <w:r w:rsidR="00914B46">
        <w:t xml:space="preserve"> </w:t>
      </w:r>
      <w:r w:rsidR="001B5635" w:rsidRPr="00F13108">
        <w:t xml:space="preserve">Tijdens de vierjaarlijkse Conferentie worden wereldwijde economische </w:t>
      </w:r>
      <w:r w:rsidR="001B5635">
        <w:t>en ontwikkelings</w:t>
      </w:r>
      <w:r w:rsidR="001B5635" w:rsidRPr="00F13108">
        <w:t xml:space="preserve">kwesties besproken en het </w:t>
      </w:r>
      <w:r w:rsidR="00914B46">
        <w:t>werkprogramma</w:t>
      </w:r>
      <w:r w:rsidR="001B5635" w:rsidRPr="00F13108">
        <w:t xml:space="preserve"> van de organisatie aangepast en vastgelegd. De laatste Conferentie was in 2012 in Doha, waar het actuele strategische plan voor UNCTAD is afgesproken. </w:t>
      </w:r>
    </w:p>
    <w:p w14:paraId="1ED9F13C" w14:textId="77777777" w:rsidR="00BD6D99" w:rsidRPr="00836F35" w:rsidRDefault="00BD6D99" w:rsidP="00BD6D99">
      <w:pPr>
        <w:rPr>
          <w:color w:val="FF0000"/>
        </w:rPr>
      </w:pPr>
    </w:p>
    <w:p w14:paraId="1ED9F13D" w14:textId="77777777" w:rsidR="00BD6D99" w:rsidRPr="00DC249A" w:rsidRDefault="009D068A" w:rsidP="00BD6D99">
      <w:pPr>
        <w:pStyle w:val="Heading2"/>
        <w:numPr>
          <w:ilvl w:val="1"/>
          <w:numId w:val="21"/>
        </w:numPr>
        <w:tabs>
          <w:tab w:val="left" w:pos="-1162"/>
          <w:tab w:val="left" w:pos="0"/>
        </w:tabs>
        <w:spacing w:line="240" w:lineRule="auto"/>
      </w:pPr>
      <w:bookmarkStart w:id="19" w:name="_Toc410397625"/>
      <w:r>
        <w:tab/>
      </w:r>
      <w:r w:rsidR="00BD6D99" w:rsidRPr="00DC249A">
        <w:t>Organisatie, werkwijze en activiteiten</w:t>
      </w:r>
      <w:bookmarkEnd w:id="19"/>
    </w:p>
    <w:p w14:paraId="1ED9F13E" w14:textId="77777777" w:rsidR="00BD6D99" w:rsidRPr="00DC249A" w:rsidRDefault="00BD6D99" w:rsidP="00BD6D99">
      <w:pPr>
        <w:ind w:left="-1162"/>
      </w:pPr>
    </w:p>
    <w:p w14:paraId="1ED9F13F" w14:textId="77777777" w:rsidR="00BD6D99" w:rsidRPr="007D3FA2" w:rsidRDefault="00BD6D99" w:rsidP="00BD6D99">
      <w:r w:rsidRPr="007D3FA2">
        <w:t xml:space="preserve">UNCTAD telt 194 </w:t>
      </w:r>
      <w:r w:rsidRPr="00EA495C">
        <w:t xml:space="preserve">leden en is gevestigd in Genève. </w:t>
      </w:r>
      <w:r w:rsidRPr="007D3FA2">
        <w:t xml:space="preserve">Het hoogste besluitvormingsorgaan is de vierjaarlijkse ministeriële Conferentie, een </w:t>
      </w:r>
      <w:proofErr w:type="gramStart"/>
      <w:r w:rsidRPr="007D3FA2">
        <w:t>subsidiair</w:t>
      </w:r>
      <w:proofErr w:type="gramEnd"/>
      <w:r w:rsidRPr="007D3FA2">
        <w:t xml:space="preserve"> orgaan van de Algemene Vergadering van de Verenigde Naties (AVVN). Hierin stellen de lidstaten het werkplan vast van UNCTAD voor de komende vier jaar. De besluitvorming tijdens de Conferentie vindt plaats </w:t>
      </w:r>
      <w:r w:rsidR="00914B46">
        <w:t>op basis van</w:t>
      </w:r>
      <w:r w:rsidRPr="007D3FA2">
        <w:t xml:space="preserve"> stemprocedures. </w:t>
      </w:r>
    </w:p>
    <w:p w14:paraId="1ED9F140" w14:textId="77777777" w:rsidR="00BD6D99" w:rsidRPr="008E27B3" w:rsidRDefault="00BD6D99" w:rsidP="00BD6D99">
      <w:pPr>
        <w:rPr>
          <w:color w:val="4F81BD"/>
        </w:rPr>
      </w:pPr>
    </w:p>
    <w:p w14:paraId="1ED9F141" w14:textId="77777777" w:rsidR="00BD6D99" w:rsidRDefault="00BD6D99" w:rsidP="00BD6D99">
      <w:pPr>
        <w:rPr>
          <w:color w:val="4F81BD"/>
        </w:rPr>
      </w:pPr>
      <w:r w:rsidRPr="00EA495C">
        <w:t xml:space="preserve">De </w:t>
      </w:r>
      <w:r w:rsidRPr="0046087F">
        <w:rPr>
          <w:i/>
        </w:rPr>
        <w:t xml:space="preserve">Trade </w:t>
      </w:r>
      <w:proofErr w:type="spellStart"/>
      <w:r w:rsidRPr="0046087F">
        <w:rPr>
          <w:i/>
        </w:rPr>
        <w:t>and</w:t>
      </w:r>
      <w:proofErr w:type="spellEnd"/>
      <w:r w:rsidRPr="0046087F">
        <w:rPr>
          <w:i/>
        </w:rPr>
        <w:t xml:space="preserve"> Development Board</w:t>
      </w:r>
      <w:r w:rsidRPr="00EA495C">
        <w:t xml:space="preserve"> (TDB) is een </w:t>
      </w:r>
      <w:proofErr w:type="gramStart"/>
      <w:r w:rsidRPr="00EA495C">
        <w:t>subsidiair</w:t>
      </w:r>
      <w:proofErr w:type="gramEnd"/>
      <w:r w:rsidRPr="00EA495C">
        <w:t xml:space="preserve"> orgaan van de Conferentie en rapporteert aan de AVVN. De TDB is belast met de uitvoering van </w:t>
      </w:r>
      <w:proofErr w:type="spellStart"/>
      <w:r w:rsidRPr="00EA495C">
        <w:t>UNCTAD’s</w:t>
      </w:r>
      <w:proofErr w:type="spellEnd"/>
      <w:r w:rsidRPr="00EA495C">
        <w:t xml:space="preserve"> activiteiten in de periodes tussen de vierjaarlijkse sessies. De TDB komt jaarlijks bijeen in een reguliere sessie en houdt daarnaast speciale sessies voor specifieke, urgente zaken. De TDB wordt geassisteerd door twee commissies: de Commissie voor Handel en Ontwikkeling en de Commissie voor Investering, Ondernemen en Ontwikkeling. Deze commissies bieden de leden een platform voor dialoog over hoe handel, investeringen en bedrijfsleven kunnen bijdragen aan duurzame en inclusieve groei. </w:t>
      </w:r>
    </w:p>
    <w:p w14:paraId="1ED9F142" w14:textId="77777777" w:rsidR="00BD6D99" w:rsidRPr="008E27B3" w:rsidRDefault="00BD6D99" w:rsidP="00BD6D99">
      <w:pPr>
        <w:rPr>
          <w:color w:val="4F81BD"/>
        </w:rPr>
      </w:pPr>
    </w:p>
    <w:p w14:paraId="1ED9F143" w14:textId="1DCACD33" w:rsidR="00735F83" w:rsidRPr="00367D04" w:rsidRDefault="00BD6D99" w:rsidP="00BD6D99">
      <w:r w:rsidRPr="00367D04">
        <w:t xml:space="preserve">De Secretaris-Generaal van UNCTAD (momenteel de Keniaan </w:t>
      </w:r>
      <w:proofErr w:type="spellStart"/>
      <w:r w:rsidRPr="00367D04">
        <w:t>Mukhisa</w:t>
      </w:r>
      <w:proofErr w:type="spellEnd"/>
      <w:r w:rsidRPr="00367D04">
        <w:t xml:space="preserve"> </w:t>
      </w:r>
      <w:proofErr w:type="spellStart"/>
      <w:r w:rsidRPr="00367D04">
        <w:t>Kituyi</w:t>
      </w:r>
      <w:proofErr w:type="spellEnd"/>
      <w:r w:rsidRPr="00367D04">
        <w:t>) is verantwoordelijk voor de uitvoering van het mandaat en de beleidsplannen van de Conferentie en de TDB. De organisatie bestaat uit ongeveer 476 stafleden.</w:t>
      </w:r>
      <w:r w:rsidR="00E52D9D" w:rsidRPr="004D651F">
        <w:t xml:space="preserve"> </w:t>
      </w:r>
      <w:r w:rsidR="00D4582E" w:rsidRPr="004D651F">
        <w:t xml:space="preserve">UNCTAD </w:t>
      </w:r>
      <w:r w:rsidR="00D4582E">
        <w:t xml:space="preserve">heeft </w:t>
      </w:r>
      <w:r w:rsidR="00D4582E" w:rsidRPr="004D651F">
        <w:t xml:space="preserve">geen landenkantoren, </w:t>
      </w:r>
      <w:r w:rsidR="00D4582E">
        <w:t xml:space="preserve">maar </w:t>
      </w:r>
      <w:r w:rsidR="00D4582E" w:rsidRPr="004D651F">
        <w:t xml:space="preserve">wordt </w:t>
      </w:r>
      <w:r w:rsidR="00D4582E">
        <w:t xml:space="preserve">ter plaatse </w:t>
      </w:r>
      <w:r w:rsidR="00D4582E" w:rsidRPr="004D651F">
        <w:t>vaa</w:t>
      </w:r>
      <w:r w:rsidR="00D4582E">
        <w:t>k</w:t>
      </w:r>
      <w:r w:rsidR="00D4582E" w:rsidRPr="004D651F">
        <w:t xml:space="preserve"> ondersteund door UNDP-landenkantoren</w:t>
      </w:r>
      <w:r w:rsidR="00D4582E">
        <w:t>.</w:t>
      </w:r>
    </w:p>
    <w:p w14:paraId="1ED9F144" w14:textId="77777777" w:rsidR="00BD6D99" w:rsidRPr="008E27B3" w:rsidRDefault="00BD6D99" w:rsidP="00BD6D99">
      <w:pPr>
        <w:rPr>
          <w:color w:val="4F81BD"/>
        </w:rPr>
      </w:pPr>
    </w:p>
    <w:p w14:paraId="1ED9F145" w14:textId="4A974BA5" w:rsidR="00BD6D99" w:rsidRPr="00DF734E" w:rsidRDefault="00BD6D99" w:rsidP="00BD6D99">
      <w:r w:rsidRPr="00DF734E">
        <w:t xml:space="preserve">UNCTAD heeft enkele succesvolle programma’s voor de technische ondersteuning van ontwikkelingslanden. </w:t>
      </w:r>
      <w:r w:rsidR="00D4582E">
        <w:t xml:space="preserve">Er is bijzondere aandacht voor </w:t>
      </w:r>
      <w:r w:rsidR="00914B46">
        <w:t>de minst ontwikkelde landen</w:t>
      </w:r>
      <w:r w:rsidR="00D4582E">
        <w:t xml:space="preserve">. </w:t>
      </w:r>
      <w:r w:rsidR="00DF734E" w:rsidRPr="00DF734E">
        <w:t>In totaal gaat ongeveer 60,8 % van de technische assistentie van UNCTAD naar twee projecten: DMFAS en ASYCUDA.</w:t>
      </w:r>
      <w:r w:rsidR="00E52D9D" w:rsidRPr="00DF734E">
        <w:t xml:space="preserve"> </w:t>
      </w:r>
      <w:r w:rsidR="00DF734E" w:rsidRPr="00DF734E">
        <w:t>H</w:t>
      </w:r>
      <w:r w:rsidRPr="00DF734E">
        <w:t xml:space="preserve">et </w:t>
      </w:r>
      <w:proofErr w:type="spellStart"/>
      <w:r w:rsidRPr="00CC5975">
        <w:rPr>
          <w:i/>
        </w:rPr>
        <w:t>Debt</w:t>
      </w:r>
      <w:proofErr w:type="spellEnd"/>
      <w:r w:rsidRPr="00CC5975">
        <w:rPr>
          <w:i/>
        </w:rPr>
        <w:t xml:space="preserve"> Management </w:t>
      </w:r>
      <w:proofErr w:type="spellStart"/>
      <w:r w:rsidRPr="00CC5975">
        <w:rPr>
          <w:i/>
        </w:rPr>
        <w:t>and</w:t>
      </w:r>
      <w:proofErr w:type="spellEnd"/>
      <w:r w:rsidRPr="00CC5975">
        <w:rPr>
          <w:i/>
        </w:rPr>
        <w:t xml:space="preserve"> Financial </w:t>
      </w:r>
      <w:r w:rsidRPr="00CC5975">
        <w:rPr>
          <w:i/>
        </w:rPr>
        <w:lastRenderedPageBreak/>
        <w:t>Analysis System</w:t>
      </w:r>
      <w:r w:rsidRPr="00DF734E">
        <w:t xml:space="preserve"> (DMFAS) </w:t>
      </w:r>
      <w:r w:rsidR="00DF734E" w:rsidRPr="00DF734E">
        <w:t xml:space="preserve">is </w:t>
      </w:r>
      <w:r w:rsidRPr="00DF734E">
        <w:t xml:space="preserve">een belangrijk instrument dat landen ondersteunt in hun capaciteit om de schuldenlast te controleren. </w:t>
      </w:r>
      <w:r w:rsidR="00BB339C" w:rsidRPr="00DF734E">
        <w:t xml:space="preserve">Een ander succesvol instrument van UNCTAD is </w:t>
      </w:r>
      <w:r w:rsidRPr="00DF734E">
        <w:t xml:space="preserve">het </w:t>
      </w:r>
      <w:proofErr w:type="spellStart"/>
      <w:r w:rsidR="00571DB8" w:rsidRPr="00246DF5">
        <w:rPr>
          <w:i/>
        </w:rPr>
        <w:t>Automated</w:t>
      </w:r>
      <w:proofErr w:type="spellEnd"/>
      <w:r w:rsidR="00571DB8" w:rsidRPr="00246DF5">
        <w:rPr>
          <w:i/>
        </w:rPr>
        <w:t xml:space="preserve"> System </w:t>
      </w:r>
      <w:proofErr w:type="spellStart"/>
      <w:r w:rsidR="00571DB8" w:rsidRPr="00246DF5">
        <w:rPr>
          <w:i/>
        </w:rPr>
        <w:t>for</w:t>
      </w:r>
      <w:proofErr w:type="spellEnd"/>
      <w:r w:rsidR="00571DB8" w:rsidRPr="00246DF5">
        <w:rPr>
          <w:i/>
        </w:rPr>
        <w:t xml:space="preserve"> </w:t>
      </w:r>
      <w:proofErr w:type="spellStart"/>
      <w:r w:rsidR="00571DB8" w:rsidRPr="00246DF5">
        <w:rPr>
          <w:i/>
        </w:rPr>
        <w:t>Customs</w:t>
      </w:r>
      <w:proofErr w:type="spellEnd"/>
      <w:r w:rsidR="00571DB8" w:rsidRPr="00246DF5">
        <w:rPr>
          <w:i/>
        </w:rPr>
        <w:t xml:space="preserve"> Data </w:t>
      </w:r>
      <w:r w:rsidRPr="00DF734E">
        <w:t xml:space="preserve">(ASYCUDA). </w:t>
      </w:r>
      <w:r w:rsidR="00BB339C" w:rsidRPr="00DF734E">
        <w:t xml:space="preserve">Dit </w:t>
      </w:r>
      <w:r w:rsidRPr="00DF734E">
        <w:t xml:space="preserve">systeem </w:t>
      </w:r>
      <w:r w:rsidR="00BB339C" w:rsidRPr="00DF734E">
        <w:t xml:space="preserve">verzamelt data en </w:t>
      </w:r>
      <w:r w:rsidRPr="00DF734E">
        <w:t xml:space="preserve">biedt </w:t>
      </w:r>
      <w:r w:rsidR="00BB339C" w:rsidRPr="00DF734E">
        <w:t xml:space="preserve">daarmee </w:t>
      </w:r>
      <w:r w:rsidRPr="00DF734E">
        <w:t xml:space="preserve">administratieve ondersteuning aan landen op het gebied van douaneaangelegenheden. Het systeem </w:t>
      </w:r>
      <w:r w:rsidR="00DF734E" w:rsidRPr="00DF734E">
        <w:t xml:space="preserve">is </w:t>
      </w:r>
      <w:r w:rsidRPr="00DF734E">
        <w:t>vrij te verkrijgen op</w:t>
      </w:r>
      <w:r w:rsidR="00DF734E" w:rsidRPr="00DF734E">
        <w:t xml:space="preserve"> de website van ASYCUDA, waardoor</w:t>
      </w:r>
      <w:r w:rsidR="007D5EAD">
        <w:t xml:space="preserve"> </w:t>
      </w:r>
      <w:r w:rsidR="00DF734E" w:rsidRPr="00DF734E">
        <w:t xml:space="preserve">zowel </w:t>
      </w:r>
      <w:r w:rsidRPr="00DF734E">
        <w:t xml:space="preserve">overheden </w:t>
      </w:r>
      <w:r w:rsidR="00DF734E" w:rsidRPr="00DF734E">
        <w:t xml:space="preserve">als </w:t>
      </w:r>
      <w:r w:rsidRPr="00DF734E">
        <w:t xml:space="preserve">bedrijven </w:t>
      </w:r>
      <w:r w:rsidR="00DF734E" w:rsidRPr="00DF734E">
        <w:t xml:space="preserve">er </w:t>
      </w:r>
      <w:r w:rsidRPr="00DF734E">
        <w:t xml:space="preserve">hun voordeel </w:t>
      </w:r>
      <w:r w:rsidR="00DF734E" w:rsidRPr="00DF734E">
        <w:t xml:space="preserve">mee </w:t>
      </w:r>
      <w:r w:rsidRPr="00DF734E">
        <w:t>kunnen doen</w:t>
      </w:r>
      <w:r w:rsidR="007D5EAD">
        <w:t>.</w:t>
      </w:r>
      <w:r w:rsidR="00CC5975">
        <w:t xml:space="preserve"> </w:t>
      </w:r>
      <w:r w:rsidR="007D5EAD">
        <w:t>Het</w:t>
      </w:r>
      <w:r w:rsidR="00CC5975">
        <w:t xml:space="preserve"> wordt continu verbeterd en uitgebreid</w:t>
      </w:r>
      <w:r w:rsidR="00CC5975" w:rsidRPr="00DF734E">
        <w:t>.</w:t>
      </w:r>
    </w:p>
    <w:p w14:paraId="1ED9F146" w14:textId="77777777" w:rsidR="00BD6D99" w:rsidRPr="00DF734E" w:rsidRDefault="00BD6D99" w:rsidP="00BD6D99"/>
    <w:p w14:paraId="1ED9F147" w14:textId="77777777" w:rsidR="00BD6D99" w:rsidRPr="00DF734E" w:rsidRDefault="00BD6D99" w:rsidP="00BD6D99">
      <w:r w:rsidRPr="00DF734E">
        <w:t xml:space="preserve">UNCTAD </w:t>
      </w:r>
      <w:r w:rsidR="00DF734E" w:rsidRPr="00DF734E">
        <w:t xml:space="preserve">is </w:t>
      </w:r>
      <w:r w:rsidRPr="00DF734E">
        <w:t>een belangrijke mondiale speler op het terrein van investeringen. Het tweejaarlijkse World Investment Forum biedt belangrijke ondersteuning bij de bevordering van duurzame investeringsstromen. Door het</w:t>
      </w:r>
      <w:r w:rsidR="00DF734E" w:rsidRPr="00DF734E">
        <w:t xml:space="preserve"> samenbrengen van m</w:t>
      </w:r>
      <w:r w:rsidRPr="00DF734E">
        <w:t xml:space="preserve">inisters, staatshoofden en afgevaardigden uit </w:t>
      </w:r>
      <w:r w:rsidR="007D5EAD">
        <w:t xml:space="preserve">het </w:t>
      </w:r>
      <w:r w:rsidRPr="00DF734E">
        <w:t>maatschappelijk middenveld en het bedrijfsleven worden ervaringen uitgewisseld en wordt een constructieve dialoog gefaciliteerd.</w:t>
      </w:r>
    </w:p>
    <w:p w14:paraId="1ED9F148" w14:textId="77777777" w:rsidR="00BD6D99" w:rsidRPr="007072DA" w:rsidRDefault="00BD6D99" w:rsidP="00BD6D99">
      <w:pPr>
        <w:rPr>
          <w:color w:val="4F81BD"/>
        </w:rPr>
      </w:pPr>
    </w:p>
    <w:p w14:paraId="1ED9F149" w14:textId="364E561F" w:rsidR="00735F83" w:rsidRPr="00F651B3" w:rsidRDefault="00BD6D99" w:rsidP="00BD6D99">
      <w:r>
        <w:t xml:space="preserve">UNCTAD heeft een tweejaarlijks programma en budget </w:t>
      </w:r>
      <w:r w:rsidR="00E86A4E">
        <w:t>dat</w:t>
      </w:r>
      <w:r>
        <w:t xml:space="preserve"> aangesloten </w:t>
      </w:r>
      <w:r w:rsidR="00E86A4E">
        <w:t>is</w:t>
      </w:r>
      <w:r>
        <w:t xml:space="preserve"> bij de </w:t>
      </w:r>
      <w:r w:rsidRPr="00F651B3">
        <w:t xml:space="preserve">VN-cyclus onder de </w:t>
      </w:r>
      <w:proofErr w:type="spellStart"/>
      <w:r w:rsidR="00CC5975" w:rsidRPr="00CC5975">
        <w:rPr>
          <w:i/>
        </w:rPr>
        <w:t>Quadrennial</w:t>
      </w:r>
      <w:proofErr w:type="spellEnd"/>
      <w:r w:rsidR="00CC5975" w:rsidRPr="00CC5975">
        <w:rPr>
          <w:i/>
        </w:rPr>
        <w:t xml:space="preserve"> Comprehensive Policy Review</w:t>
      </w:r>
      <w:r w:rsidR="00CC5975">
        <w:t xml:space="preserve"> (</w:t>
      </w:r>
      <w:r w:rsidRPr="00F651B3">
        <w:t>QCPR</w:t>
      </w:r>
      <w:r w:rsidR="00CC5975">
        <w:t>)</w:t>
      </w:r>
      <w:r w:rsidRPr="00F651B3">
        <w:t xml:space="preserve">. </w:t>
      </w:r>
      <w:r>
        <w:t xml:space="preserve">Er is echter geen jaarlijkse </w:t>
      </w:r>
      <w:r w:rsidR="00571DB8" w:rsidRPr="00246DF5">
        <w:rPr>
          <w:i/>
        </w:rPr>
        <w:t>policy review</w:t>
      </w:r>
      <w:r w:rsidRPr="00F651B3">
        <w:t xml:space="preserve"> </w:t>
      </w:r>
      <w:r>
        <w:t xml:space="preserve">van de </w:t>
      </w:r>
      <w:proofErr w:type="gramStart"/>
      <w:r>
        <w:t>implementatie</w:t>
      </w:r>
      <w:proofErr w:type="gramEnd"/>
      <w:r>
        <w:t xml:space="preserve"> van de QCPR die aan de Board gerapporteerd wordt.</w:t>
      </w:r>
    </w:p>
    <w:p w14:paraId="1ED9F14A" w14:textId="77777777" w:rsidR="00BD6D99" w:rsidRPr="00412635" w:rsidRDefault="00BD6D99" w:rsidP="00BD6D99"/>
    <w:p w14:paraId="1ED9F14B" w14:textId="77777777" w:rsidR="00BD6D99" w:rsidRPr="00412635" w:rsidRDefault="00BD6D99" w:rsidP="00BD6D99">
      <w:pPr>
        <w:pStyle w:val="Heading2"/>
        <w:tabs>
          <w:tab w:val="left" w:pos="-1162"/>
          <w:tab w:val="left" w:pos="0"/>
          <w:tab w:val="num" w:pos="1160"/>
        </w:tabs>
        <w:spacing w:line="240" w:lineRule="auto"/>
        <w:ind w:hanging="1162"/>
      </w:pPr>
      <w:bookmarkStart w:id="20" w:name="_Toc410397626"/>
      <w:r w:rsidRPr="00412635">
        <w:t xml:space="preserve">2.3 </w:t>
      </w:r>
      <w:r w:rsidRPr="00412635">
        <w:tab/>
        <w:t>Nederlandse rol en invloed</w:t>
      </w:r>
      <w:bookmarkEnd w:id="20"/>
    </w:p>
    <w:p w14:paraId="1ED9F14C" w14:textId="77777777" w:rsidR="00BD6D99" w:rsidRPr="00412635" w:rsidRDefault="00BD6D99" w:rsidP="00BD6D99"/>
    <w:p w14:paraId="1ED9F14D" w14:textId="77777777" w:rsidR="00BD6D99" w:rsidRDefault="00BD6D99" w:rsidP="00BD6D99">
      <w:r w:rsidRPr="006142F7">
        <w:t xml:space="preserve">Het Koninkrijk is een van de 194 leden van de Conferentie en een van de 155 leden van de TDB, en heeft hierin stemrecht. Aan de Conferenties wordt doorgaans op ministerieel of hoog-ambtelijk niveau deelgenomen. </w:t>
      </w:r>
      <w:r w:rsidR="00D43191">
        <w:t xml:space="preserve">Ook het </w:t>
      </w:r>
      <w:r w:rsidR="00D43191" w:rsidRPr="00681E59">
        <w:rPr>
          <w:i/>
        </w:rPr>
        <w:t>World Investment Forum</w:t>
      </w:r>
      <w:r w:rsidR="00D43191">
        <w:t xml:space="preserve"> kan doorgaans op Nederlandse aanwezigheid van hoog-ambtelijk of ministerieel niveau rekenen. </w:t>
      </w:r>
      <w:r w:rsidRPr="006142F7">
        <w:t>De Permanente Vertegenwoordiging in Genève vertegenwoordigt Nederland in de overige vergaderingen.</w:t>
      </w:r>
    </w:p>
    <w:p w14:paraId="309491D3" w14:textId="77777777" w:rsidR="0046087F" w:rsidRPr="00412635" w:rsidRDefault="0046087F" w:rsidP="00BD6D99"/>
    <w:p w14:paraId="1ED9F14E" w14:textId="77777777" w:rsidR="00BD6D99" w:rsidRPr="00DC249A" w:rsidRDefault="00BD6D99" w:rsidP="00BD6D99">
      <w:pPr>
        <w:pStyle w:val="Heading2"/>
        <w:tabs>
          <w:tab w:val="left" w:pos="-1162"/>
          <w:tab w:val="left" w:pos="0"/>
          <w:tab w:val="num" w:pos="1160"/>
        </w:tabs>
        <w:spacing w:line="240" w:lineRule="auto"/>
        <w:ind w:hanging="1162"/>
      </w:pPr>
      <w:bookmarkStart w:id="21" w:name="_Toc410397627"/>
      <w:r w:rsidRPr="00412635">
        <w:t>2.4</w:t>
      </w:r>
      <w:r w:rsidRPr="00412635">
        <w:tab/>
        <w:t>Financiële omvang en bijd</w:t>
      </w:r>
      <w:r w:rsidRPr="00DC249A">
        <w:t>ragen</w:t>
      </w:r>
      <w:bookmarkEnd w:id="21"/>
    </w:p>
    <w:p w14:paraId="1ED9F14F" w14:textId="77777777" w:rsidR="00BD6D99" w:rsidRPr="00836F35" w:rsidRDefault="00BD6D99" w:rsidP="00BD6D99">
      <w:pPr>
        <w:rPr>
          <w:color w:val="FF0000"/>
        </w:rPr>
      </w:pPr>
    </w:p>
    <w:p w14:paraId="1ED9F150" w14:textId="77777777" w:rsidR="00BD6D99" w:rsidRDefault="00BD6D99" w:rsidP="00BD6D99">
      <w:r w:rsidRPr="00DC249A">
        <w:t>Financieel Overzicht (bedragen in USD miljoen)</w:t>
      </w:r>
    </w:p>
    <w:p w14:paraId="1ED9F151" w14:textId="77777777" w:rsidR="008421CC" w:rsidRPr="00DC249A" w:rsidRDefault="008421CC" w:rsidP="00BD6D99"/>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243"/>
        <w:gridCol w:w="1294"/>
        <w:gridCol w:w="1743"/>
        <w:gridCol w:w="1139"/>
        <w:gridCol w:w="1281"/>
      </w:tblGrid>
      <w:tr w:rsidR="00BD6D99" w:rsidRPr="00DC249A" w14:paraId="1ED9F155" w14:textId="77777777" w:rsidTr="00415AA9">
        <w:tc>
          <w:tcPr>
            <w:tcW w:w="793" w:type="pct"/>
            <w:tcBorders>
              <w:top w:val="single" w:sz="4" w:space="0" w:color="auto"/>
              <w:left w:val="single" w:sz="4" w:space="0" w:color="auto"/>
              <w:bottom w:val="single" w:sz="4" w:space="0" w:color="auto"/>
              <w:right w:val="single" w:sz="4" w:space="0" w:color="auto"/>
            </w:tcBorders>
          </w:tcPr>
          <w:p w14:paraId="1ED9F152" w14:textId="77777777" w:rsidR="00BD6D99" w:rsidRPr="00DC249A" w:rsidRDefault="00BD6D99" w:rsidP="00415AA9"/>
        </w:tc>
        <w:tc>
          <w:tcPr>
            <w:tcW w:w="3412" w:type="pct"/>
            <w:gridSpan w:val="4"/>
            <w:tcBorders>
              <w:top w:val="single" w:sz="4" w:space="0" w:color="auto"/>
              <w:left w:val="single" w:sz="4" w:space="0" w:color="auto"/>
              <w:bottom w:val="single" w:sz="4" w:space="0" w:color="auto"/>
              <w:right w:val="single" w:sz="4" w:space="0" w:color="auto"/>
            </w:tcBorders>
            <w:hideMark/>
          </w:tcPr>
          <w:p w14:paraId="1ED9F153" w14:textId="77777777" w:rsidR="00BD6D99" w:rsidRPr="00DC249A" w:rsidRDefault="00BD6D99" w:rsidP="00415AA9">
            <w:pPr>
              <w:jc w:val="center"/>
              <w:rPr>
                <w:b/>
              </w:rPr>
            </w:pPr>
            <w:r w:rsidRPr="00DC249A">
              <w:rPr>
                <w:b/>
              </w:rPr>
              <w:t>Inkomsten</w:t>
            </w:r>
          </w:p>
        </w:tc>
        <w:tc>
          <w:tcPr>
            <w:tcW w:w="795" w:type="pct"/>
            <w:tcBorders>
              <w:top w:val="single" w:sz="4" w:space="0" w:color="auto"/>
              <w:left w:val="single" w:sz="4" w:space="0" w:color="auto"/>
              <w:bottom w:val="single" w:sz="4" w:space="0" w:color="auto"/>
              <w:right w:val="single" w:sz="4" w:space="0" w:color="auto"/>
            </w:tcBorders>
            <w:hideMark/>
          </w:tcPr>
          <w:p w14:paraId="1ED9F154" w14:textId="77777777" w:rsidR="00BD6D99" w:rsidRPr="00DC249A" w:rsidRDefault="00BD6D99" w:rsidP="00415AA9">
            <w:pPr>
              <w:jc w:val="right"/>
              <w:rPr>
                <w:b/>
              </w:rPr>
            </w:pPr>
            <w:r w:rsidRPr="00DC249A">
              <w:rPr>
                <w:b/>
              </w:rPr>
              <w:t>Uitgaven</w:t>
            </w:r>
          </w:p>
        </w:tc>
      </w:tr>
      <w:tr w:rsidR="00BD6D99" w:rsidRPr="00DC249A" w14:paraId="1ED9F15B" w14:textId="77777777" w:rsidTr="00415AA9">
        <w:tc>
          <w:tcPr>
            <w:tcW w:w="793" w:type="pct"/>
            <w:tcBorders>
              <w:top w:val="single" w:sz="4" w:space="0" w:color="auto"/>
              <w:left w:val="single" w:sz="4" w:space="0" w:color="auto"/>
              <w:bottom w:val="nil"/>
              <w:right w:val="single" w:sz="4" w:space="0" w:color="auto"/>
            </w:tcBorders>
            <w:hideMark/>
          </w:tcPr>
          <w:p w14:paraId="1ED9F156" w14:textId="77777777" w:rsidR="00BD6D99" w:rsidRPr="00DC249A" w:rsidRDefault="00BD6D99" w:rsidP="00415AA9">
            <w:pPr>
              <w:rPr>
                <w:i/>
              </w:rPr>
            </w:pPr>
            <w:r w:rsidRPr="00DC249A">
              <w:rPr>
                <w:i/>
              </w:rPr>
              <w:t>Jaar</w:t>
            </w:r>
          </w:p>
        </w:tc>
        <w:tc>
          <w:tcPr>
            <w:tcW w:w="793" w:type="pct"/>
            <w:tcBorders>
              <w:top w:val="single" w:sz="4" w:space="0" w:color="auto"/>
              <w:left w:val="single" w:sz="4" w:space="0" w:color="auto"/>
              <w:bottom w:val="nil"/>
              <w:right w:val="single" w:sz="4" w:space="0" w:color="auto"/>
            </w:tcBorders>
            <w:hideMark/>
          </w:tcPr>
          <w:p w14:paraId="1ED9F157" w14:textId="77777777" w:rsidR="00BD6D99" w:rsidRPr="00DC249A" w:rsidRDefault="00BD6D99" w:rsidP="00415AA9">
            <w:pPr>
              <w:rPr>
                <w:i/>
              </w:rPr>
            </w:pPr>
            <w:r w:rsidRPr="00DC249A">
              <w:rPr>
                <w:i/>
              </w:rPr>
              <w:t>Verplichte</w:t>
            </w:r>
          </w:p>
        </w:tc>
        <w:tc>
          <w:tcPr>
            <w:tcW w:w="1933" w:type="pct"/>
            <w:gridSpan w:val="2"/>
            <w:tcBorders>
              <w:top w:val="single" w:sz="4" w:space="0" w:color="auto"/>
              <w:left w:val="single" w:sz="4" w:space="0" w:color="auto"/>
              <w:bottom w:val="single" w:sz="4" w:space="0" w:color="auto"/>
              <w:right w:val="single" w:sz="4" w:space="0" w:color="auto"/>
            </w:tcBorders>
            <w:hideMark/>
          </w:tcPr>
          <w:p w14:paraId="1ED9F158" w14:textId="77777777" w:rsidR="00BD6D99" w:rsidRPr="00DC249A" w:rsidRDefault="00BD6D99" w:rsidP="00415AA9">
            <w:pPr>
              <w:jc w:val="center"/>
              <w:rPr>
                <w:i/>
              </w:rPr>
            </w:pPr>
            <w:r w:rsidRPr="00DC249A">
              <w:rPr>
                <w:i/>
              </w:rPr>
              <w:t>Vrijwillige bijdragen</w:t>
            </w:r>
          </w:p>
        </w:tc>
        <w:tc>
          <w:tcPr>
            <w:tcW w:w="686" w:type="pct"/>
            <w:tcBorders>
              <w:top w:val="single" w:sz="4" w:space="0" w:color="auto"/>
              <w:left w:val="single" w:sz="4" w:space="0" w:color="auto"/>
              <w:bottom w:val="nil"/>
              <w:right w:val="single" w:sz="4" w:space="0" w:color="auto"/>
            </w:tcBorders>
            <w:hideMark/>
          </w:tcPr>
          <w:p w14:paraId="1ED9F159" w14:textId="77777777" w:rsidR="00BD6D99" w:rsidRPr="00DC249A" w:rsidRDefault="00BD6D99" w:rsidP="00415AA9">
            <w:pPr>
              <w:jc w:val="right"/>
              <w:rPr>
                <w:i/>
              </w:rPr>
            </w:pPr>
            <w:r w:rsidRPr="00DC249A">
              <w:rPr>
                <w:i/>
              </w:rPr>
              <w:t>Totaal</w:t>
            </w:r>
          </w:p>
        </w:tc>
        <w:tc>
          <w:tcPr>
            <w:tcW w:w="795" w:type="pct"/>
            <w:tcBorders>
              <w:top w:val="single" w:sz="4" w:space="0" w:color="auto"/>
              <w:left w:val="single" w:sz="4" w:space="0" w:color="auto"/>
              <w:bottom w:val="nil"/>
              <w:right w:val="single" w:sz="4" w:space="0" w:color="auto"/>
            </w:tcBorders>
            <w:hideMark/>
          </w:tcPr>
          <w:p w14:paraId="1ED9F15A" w14:textId="77777777" w:rsidR="00BD6D99" w:rsidRPr="00DC249A" w:rsidRDefault="00BD6D99" w:rsidP="00415AA9">
            <w:pPr>
              <w:jc w:val="right"/>
              <w:rPr>
                <w:i/>
              </w:rPr>
            </w:pPr>
            <w:r w:rsidRPr="00DC249A">
              <w:rPr>
                <w:i/>
              </w:rPr>
              <w:t>Totaal</w:t>
            </w:r>
          </w:p>
        </w:tc>
      </w:tr>
      <w:tr w:rsidR="00BD6D99" w:rsidRPr="00DC249A" w14:paraId="1ED9F162" w14:textId="77777777" w:rsidTr="00415AA9">
        <w:tc>
          <w:tcPr>
            <w:tcW w:w="793" w:type="pct"/>
            <w:tcBorders>
              <w:top w:val="nil"/>
              <w:left w:val="single" w:sz="4" w:space="0" w:color="auto"/>
              <w:bottom w:val="single" w:sz="4" w:space="0" w:color="auto"/>
              <w:right w:val="single" w:sz="4" w:space="0" w:color="auto"/>
            </w:tcBorders>
            <w:hideMark/>
          </w:tcPr>
          <w:p w14:paraId="1ED9F15C" w14:textId="77777777" w:rsidR="00BD6D99" w:rsidRPr="00DC249A" w:rsidRDefault="00BD6D99" w:rsidP="00415AA9">
            <w:pPr>
              <w:rPr>
                <w:i/>
              </w:rPr>
            </w:pPr>
          </w:p>
        </w:tc>
        <w:tc>
          <w:tcPr>
            <w:tcW w:w="793" w:type="pct"/>
            <w:tcBorders>
              <w:top w:val="nil"/>
              <w:left w:val="single" w:sz="4" w:space="0" w:color="auto"/>
              <w:bottom w:val="single" w:sz="4" w:space="0" w:color="auto"/>
              <w:right w:val="single" w:sz="4" w:space="0" w:color="auto"/>
            </w:tcBorders>
            <w:hideMark/>
          </w:tcPr>
          <w:p w14:paraId="1ED9F15D" w14:textId="77777777" w:rsidR="00BD6D99" w:rsidRPr="00DC249A" w:rsidRDefault="00BD6D99" w:rsidP="00415AA9">
            <w:pPr>
              <w:rPr>
                <w:i/>
              </w:rPr>
            </w:pPr>
            <w:r w:rsidRPr="00DC249A">
              <w:rPr>
                <w:i/>
              </w:rPr>
              <w:t>bijdragen</w:t>
            </w:r>
          </w:p>
        </w:tc>
        <w:tc>
          <w:tcPr>
            <w:tcW w:w="815" w:type="pct"/>
            <w:tcBorders>
              <w:top w:val="single" w:sz="4" w:space="0" w:color="auto"/>
              <w:left w:val="single" w:sz="4" w:space="0" w:color="auto"/>
              <w:bottom w:val="single" w:sz="4" w:space="0" w:color="auto"/>
              <w:right w:val="single" w:sz="4" w:space="0" w:color="auto"/>
            </w:tcBorders>
            <w:hideMark/>
          </w:tcPr>
          <w:p w14:paraId="1ED9F15E" w14:textId="77777777" w:rsidR="00BD6D99" w:rsidRPr="00DC249A" w:rsidRDefault="00BD6D99" w:rsidP="00415AA9">
            <w:pPr>
              <w:rPr>
                <w:i/>
              </w:rPr>
            </w:pPr>
            <w:r w:rsidRPr="00DC249A">
              <w:rPr>
                <w:i/>
              </w:rPr>
              <w:t>Geoormerkt</w:t>
            </w:r>
          </w:p>
        </w:tc>
        <w:tc>
          <w:tcPr>
            <w:tcW w:w="1118" w:type="pct"/>
            <w:tcBorders>
              <w:top w:val="single" w:sz="4" w:space="0" w:color="auto"/>
              <w:left w:val="single" w:sz="4" w:space="0" w:color="auto"/>
              <w:bottom w:val="single" w:sz="4" w:space="0" w:color="auto"/>
              <w:right w:val="single" w:sz="4" w:space="0" w:color="auto"/>
            </w:tcBorders>
            <w:hideMark/>
          </w:tcPr>
          <w:p w14:paraId="1ED9F15F" w14:textId="77777777" w:rsidR="00BD6D99" w:rsidRPr="00DC249A" w:rsidRDefault="00BD6D99" w:rsidP="00415AA9">
            <w:pPr>
              <w:rPr>
                <w:i/>
              </w:rPr>
            </w:pPr>
            <w:r w:rsidRPr="00DC249A">
              <w:rPr>
                <w:i/>
              </w:rPr>
              <w:t>Niet-geoormerkt</w:t>
            </w:r>
          </w:p>
        </w:tc>
        <w:tc>
          <w:tcPr>
            <w:tcW w:w="686" w:type="pct"/>
            <w:tcBorders>
              <w:top w:val="nil"/>
              <w:left w:val="single" w:sz="4" w:space="0" w:color="auto"/>
              <w:bottom w:val="single" w:sz="4" w:space="0" w:color="auto"/>
              <w:right w:val="single" w:sz="4" w:space="0" w:color="auto"/>
            </w:tcBorders>
          </w:tcPr>
          <w:p w14:paraId="1ED9F160" w14:textId="77777777" w:rsidR="00BD6D99" w:rsidRPr="00DC249A" w:rsidRDefault="00BD6D99" w:rsidP="00415AA9">
            <w:pPr>
              <w:rPr>
                <w:i/>
              </w:rPr>
            </w:pPr>
          </w:p>
        </w:tc>
        <w:tc>
          <w:tcPr>
            <w:tcW w:w="795" w:type="pct"/>
            <w:tcBorders>
              <w:top w:val="nil"/>
              <w:left w:val="single" w:sz="4" w:space="0" w:color="auto"/>
              <w:bottom w:val="single" w:sz="4" w:space="0" w:color="auto"/>
              <w:right w:val="single" w:sz="4" w:space="0" w:color="auto"/>
            </w:tcBorders>
          </w:tcPr>
          <w:p w14:paraId="1ED9F161" w14:textId="77777777" w:rsidR="00BD6D99" w:rsidRPr="00DC249A" w:rsidRDefault="00BD6D99" w:rsidP="00415AA9">
            <w:pPr>
              <w:rPr>
                <w:i/>
              </w:rPr>
            </w:pPr>
          </w:p>
        </w:tc>
      </w:tr>
      <w:tr w:rsidR="00BD6D99" w:rsidRPr="00DC249A" w14:paraId="1ED9F169" w14:textId="77777777" w:rsidTr="00415AA9">
        <w:tc>
          <w:tcPr>
            <w:tcW w:w="793" w:type="pct"/>
            <w:tcBorders>
              <w:top w:val="single" w:sz="4" w:space="0" w:color="auto"/>
              <w:left w:val="single" w:sz="4" w:space="0" w:color="auto"/>
              <w:bottom w:val="single" w:sz="4" w:space="0" w:color="auto"/>
              <w:right w:val="single" w:sz="4" w:space="0" w:color="auto"/>
            </w:tcBorders>
            <w:hideMark/>
          </w:tcPr>
          <w:p w14:paraId="1ED9F163" w14:textId="77777777" w:rsidR="00BD6D99" w:rsidRPr="00DC249A" w:rsidRDefault="00BD6D99" w:rsidP="00077C92">
            <w:r w:rsidRPr="00DC249A">
              <w:t>201</w:t>
            </w:r>
            <w:r>
              <w:t>1</w:t>
            </w:r>
          </w:p>
        </w:tc>
        <w:tc>
          <w:tcPr>
            <w:tcW w:w="793" w:type="pct"/>
            <w:tcBorders>
              <w:top w:val="single" w:sz="4" w:space="0" w:color="auto"/>
              <w:left w:val="single" w:sz="4" w:space="0" w:color="auto"/>
              <w:bottom w:val="single" w:sz="4" w:space="0" w:color="auto"/>
              <w:right w:val="single" w:sz="4" w:space="0" w:color="auto"/>
            </w:tcBorders>
          </w:tcPr>
          <w:p w14:paraId="1ED9F164" w14:textId="77777777" w:rsidR="00BD6D99" w:rsidRPr="002D2015" w:rsidRDefault="00375CF8" w:rsidP="002D2015">
            <w:pPr>
              <w:tabs>
                <w:tab w:val="decimal" w:pos="674"/>
              </w:tabs>
              <w:jc w:val="right"/>
            </w:pPr>
            <w:r>
              <w:t>68</w:t>
            </w:r>
          </w:p>
        </w:tc>
        <w:tc>
          <w:tcPr>
            <w:tcW w:w="815" w:type="pct"/>
            <w:tcBorders>
              <w:top w:val="single" w:sz="4" w:space="0" w:color="auto"/>
              <w:left w:val="single" w:sz="4" w:space="0" w:color="auto"/>
              <w:bottom w:val="single" w:sz="4" w:space="0" w:color="auto"/>
              <w:right w:val="single" w:sz="4" w:space="0" w:color="auto"/>
            </w:tcBorders>
          </w:tcPr>
          <w:p w14:paraId="1ED9F165" w14:textId="77777777" w:rsidR="00BD6D99" w:rsidRPr="002D2015" w:rsidRDefault="00375CF8" w:rsidP="002D2015">
            <w:pPr>
              <w:tabs>
                <w:tab w:val="decimal" w:pos="780"/>
              </w:tabs>
              <w:jc w:val="right"/>
            </w:pPr>
            <w:r>
              <w:t>44,4</w:t>
            </w:r>
          </w:p>
        </w:tc>
        <w:tc>
          <w:tcPr>
            <w:tcW w:w="1118" w:type="pct"/>
            <w:tcBorders>
              <w:top w:val="single" w:sz="4" w:space="0" w:color="auto"/>
              <w:left w:val="single" w:sz="4" w:space="0" w:color="auto"/>
              <w:bottom w:val="single" w:sz="4" w:space="0" w:color="auto"/>
              <w:right w:val="single" w:sz="4" w:space="0" w:color="auto"/>
            </w:tcBorders>
          </w:tcPr>
          <w:p w14:paraId="1ED9F166" w14:textId="3E391217" w:rsidR="00BD6D99" w:rsidRPr="002D2015" w:rsidRDefault="00681E59" w:rsidP="002D2015">
            <w:pPr>
              <w:tabs>
                <w:tab w:val="decimal" w:pos="887"/>
              </w:tabs>
              <w:jc w:val="right"/>
            </w:pPr>
            <w:r>
              <w:t>-</w:t>
            </w:r>
          </w:p>
        </w:tc>
        <w:tc>
          <w:tcPr>
            <w:tcW w:w="686" w:type="pct"/>
            <w:tcBorders>
              <w:top w:val="single" w:sz="4" w:space="0" w:color="auto"/>
              <w:left w:val="single" w:sz="4" w:space="0" w:color="auto"/>
              <w:bottom w:val="single" w:sz="4" w:space="0" w:color="auto"/>
              <w:right w:val="single" w:sz="4" w:space="0" w:color="auto"/>
            </w:tcBorders>
          </w:tcPr>
          <w:p w14:paraId="1ED9F167" w14:textId="77777777" w:rsidR="00BD6D99" w:rsidRPr="002D2015" w:rsidRDefault="00375CF8" w:rsidP="002D2015">
            <w:pPr>
              <w:tabs>
                <w:tab w:val="decimal" w:pos="743"/>
              </w:tabs>
              <w:jc w:val="right"/>
            </w:pPr>
            <w:r>
              <w:t>112,4</w:t>
            </w:r>
          </w:p>
        </w:tc>
        <w:tc>
          <w:tcPr>
            <w:tcW w:w="795" w:type="pct"/>
            <w:tcBorders>
              <w:top w:val="single" w:sz="4" w:space="0" w:color="auto"/>
              <w:left w:val="single" w:sz="4" w:space="0" w:color="auto"/>
              <w:bottom w:val="single" w:sz="4" w:space="0" w:color="auto"/>
              <w:right w:val="single" w:sz="4" w:space="0" w:color="auto"/>
            </w:tcBorders>
          </w:tcPr>
          <w:p w14:paraId="1ED9F168" w14:textId="77777777" w:rsidR="00BD6D99" w:rsidRPr="002D2015" w:rsidRDefault="00375CF8" w:rsidP="002D2015">
            <w:pPr>
              <w:tabs>
                <w:tab w:val="decimal" w:pos="885"/>
              </w:tabs>
              <w:jc w:val="right"/>
            </w:pPr>
            <w:r>
              <w:t>112,4</w:t>
            </w:r>
          </w:p>
        </w:tc>
      </w:tr>
      <w:tr w:rsidR="00BD6D99" w:rsidRPr="00DC249A" w14:paraId="1ED9F170" w14:textId="77777777" w:rsidTr="00415AA9">
        <w:tc>
          <w:tcPr>
            <w:tcW w:w="793" w:type="pct"/>
            <w:tcBorders>
              <w:top w:val="single" w:sz="4" w:space="0" w:color="auto"/>
              <w:left w:val="single" w:sz="4" w:space="0" w:color="auto"/>
              <w:bottom w:val="single" w:sz="4" w:space="0" w:color="auto"/>
              <w:right w:val="single" w:sz="4" w:space="0" w:color="auto"/>
            </w:tcBorders>
            <w:hideMark/>
          </w:tcPr>
          <w:p w14:paraId="1ED9F16A" w14:textId="77777777" w:rsidR="00BD6D99" w:rsidRPr="00DC249A" w:rsidRDefault="00BD6D99" w:rsidP="00077C92">
            <w:r w:rsidRPr="00DC249A">
              <w:t>201</w:t>
            </w:r>
            <w:r>
              <w:t>2</w:t>
            </w:r>
          </w:p>
        </w:tc>
        <w:tc>
          <w:tcPr>
            <w:tcW w:w="793" w:type="pct"/>
            <w:tcBorders>
              <w:top w:val="single" w:sz="4" w:space="0" w:color="auto"/>
              <w:left w:val="single" w:sz="4" w:space="0" w:color="auto"/>
              <w:bottom w:val="single" w:sz="4" w:space="0" w:color="auto"/>
              <w:right w:val="single" w:sz="4" w:space="0" w:color="auto"/>
            </w:tcBorders>
          </w:tcPr>
          <w:p w14:paraId="1ED9F16B" w14:textId="77777777" w:rsidR="00BD6D99" w:rsidRPr="002D2015" w:rsidRDefault="00375CF8" w:rsidP="002D2015">
            <w:pPr>
              <w:tabs>
                <w:tab w:val="decimal" w:pos="674"/>
              </w:tabs>
              <w:jc w:val="right"/>
            </w:pPr>
            <w:r>
              <w:t>70,1</w:t>
            </w:r>
          </w:p>
        </w:tc>
        <w:tc>
          <w:tcPr>
            <w:tcW w:w="815" w:type="pct"/>
            <w:tcBorders>
              <w:top w:val="single" w:sz="4" w:space="0" w:color="auto"/>
              <w:left w:val="single" w:sz="4" w:space="0" w:color="auto"/>
              <w:bottom w:val="single" w:sz="4" w:space="0" w:color="auto"/>
              <w:right w:val="single" w:sz="4" w:space="0" w:color="auto"/>
            </w:tcBorders>
          </w:tcPr>
          <w:p w14:paraId="1ED9F16C" w14:textId="77777777" w:rsidR="00BD6D99" w:rsidRPr="002D2015" w:rsidRDefault="00375CF8" w:rsidP="00375CF8">
            <w:pPr>
              <w:tabs>
                <w:tab w:val="decimal" w:pos="780"/>
              </w:tabs>
              <w:jc w:val="right"/>
            </w:pPr>
            <w:r>
              <w:t>32,8</w:t>
            </w:r>
          </w:p>
        </w:tc>
        <w:tc>
          <w:tcPr>
            <w:tcW w:w="1118" w:type="pct"/>
            <w:tcBorders>
              <w:top w:val="single" w:sz="4" w:space="0" w:color="auto"/>
              <w:left w:val="single" w:sz="4" w:space="0" w:color="auto"/>
              <w:bottom w:val="single" w:sz="4" w:space="0" w:color="auto"/>
              <w:right w:val="single" w:sz="4" w:space="0" w:color="auto"/>
            </w:tcBorders>
          </w:tcPr>
          <w:p w14:paraId="1ED9F16D" w14:textId="1560FBF6" w:rsidR="00BD6D99" w:rsidRPr="002D2015" w:rsidRDefault="00681E59" w:rsidP="002D2015">
            <w:pPr>
              <w:tabs>
                <w:tab w:val="decimal" w:pos="887"/>
              </w:tabs>
              <w:jc w:val="right"/>
            </w:pPr>
            <w:r>
              <w:t>-</w:t>
            </w:r>
          </w:p>
        </w:tc>
        <w:tc>
          <w:tcPr>
            <w:tcW w:w="686" w:type="pct"/>
            <w:tcBorders>
              <w:top w:val="single" w:sz="4" w:space="0" w:color="auto"/>
              <w:left w:val="single" w:sz="4" w:space="0" w:color="auto"/>
              <w:bottom w:val="single" w:sz="4" w:space="0" w:color="auto"/>
              <w:right w:val="single" w:sz="4" w:space="0" w:color="auto"/>
            </w:tcBorders>
          </w:tcPr>
          <w:p w14:paraId="1ED9F16E" w14:textId="77777777" w:rsidR="00BD6D99" w:rsidRPr="002D2015" w:rsidRDefault="00375CF8" w:rsidP="00375CF8">
            <w:pPr>
              <w:tabs>
                <w:tab w:val="decimal" w:pos="743"/>
              </w:tabs>
              <w:jc w:val="right"/>
            </w:pPr>
            <w:r>
              <w:t>102,9</w:t>
            </w:r>
          </w:p>
        </w:tc>
        <w:tc>
          <w:tcPr>
            <w:tcW w:w="795" w:type="pct"/>
            <w:tcBorders>
              <w:top w:val="single" w:sz="4" w:space="0" w:color="auto"/>
              <w:left w:val="single" w:sz="4" w:space="0" w:color="auto"/>
              <w:bottom w:val="single" w:sz="4" w:space="0" w:color="auto"/>
              <w:right w:val="single" w:sz="4" w:space="0" w:color="auto"/>
            </w:tcBorders>
          </w:tcPr>
          <w:p w14:paraId="1ED9F16F" w14:textId="77777777" w:rsidR="00BD6D99" w:rsidRPr="002D2015" w:rsidRDefault="00375CF8" w:rsidP="002D2015">
            <w:pPr>
              <w:tabs>
                <w:tab w:val="decimal" w:pos="885"/>
              </w:tabs>
              <w:jc w:val="right"/>
            </w:pPr>
            <w:r>
              <w:t>102,9</w:t>
            </w:r>
          </w:p>
        </w:tc>
      </w:tr>
      <w:tr w:rsidR="00BD6D99" w:rsidRPr="00DC249A" w14:paraId="1ED9F177" w14:textId="77777777" w:rsidTr="00415AA9">
        <w:tc>
          <w:tcPr>
            <w:tcW w:w="793" w:type="pct"/>
            <w:tcBorders>
              <w:top w:val="single" w:sz="4" w:space="0" w:color="auto"/>
              <w:left w:val="single" w:sz="4" w:space="0" w:color="auto"/>
              <w:bottom w:val="single" w:sz="4" w:space="0" w:color="auto"/>
              <w:right w:val="single" w:sz="4" w:space="0" w:color="auto"/>
            </w:tcBorders>
          </w:tcPr>
          <w:p w14:paraId="1ED9F171" w14:textId="77777777" w:rsidR="00BD6D99" w:rsidRPr="00DC249A" w:rsidRDefault="00BD6D99" w:rsidP="00077C92">
            <w:r w:rsidRPr="00DC249A">
              <w:t>2013</w:t>
            </w:r>
          </w:p>
        </w:tc>
        <w:tc>
          <w:tcPr>
            <w:tcW w:w="793" w:type="pct"/>
            <w:tcBorders>
              <w:top w:val="single" w:sz="4" w:space="0" w:color="auto"/>
              <w:left w:val="single" w:sz="4" w:space="0" w:color="auto"/>
              <w:bottom w:val="single" w:sz="4" w:space="0" w:color="auto"/>
              <w:right w:val="single" w:sz="4" w:space="0" w:color="auto"/>
            </w:tcBorders>
          </w:tcPr>
          <w:p w14:paraId="1ED9F172" w14:textId="77777777" w:rsidR="00BD6D99" w:rsidRPr="002D2015" w:rsidRDefault="002D2015" w:rsidP="002D2015">
            <w:pPr>
              <w:tabs>
                <w:tab w:val="decimal" w:pos="674"/>
              </w:tabs>
              <w:jc w:val="right"/>
            </w:pPr>
            <w:r w:rsidRPr="002D2015">
              <w:t>70</w:t>
            </w:r>
            <w:r w:rsidR="00375CF8">
              <w:t>,1</w:t>
            </w:r>
          </w:p>
        </w:tc>
        <w:tc>
          <w:tcPr>
            <w:tcW w:w="815" w:type="pct"/>
            <w:tcBorders>
              <w:top w:val="single" w:sz="4" w:space="0" w:color="auto"/>
              <w:left w:val="single" w:sz="4" w:space="0" w:color="auto"/>
              <w:bottom w:val="single" w:sz="4" w:space="0" w:color="auto"/>
              <w:right w:val="single" w:sz="4" w:space="0" w:color="auto"/>
            </w:tcBorders>
          </w:tcPr>
          <w:p w14:paraId="1ED9F173" w14:textId="77777777" w:rsidR="00BD6D99" w:rsidRPr="002D2015" w:rsidRDefault="002D2015" w:rsidP="002D2015">
            <w:pPr>
              <w:tabs>
                <w:tab w:val="decimal" w:pos="780"/>
              </w:tabs>
              <w:jc w:val="right"/>
            </w:pPr>
            <w:r w:rsidRPr="002D2015">
              <w:t>31,2</w:t>
            </w:r>
          </w:p>
        </w:tc>
        <w:tc>
          <w:tcPr>
            <w:tcW w:w="1118" w:type="pct"/>
            <w:tcBorders>
              <w:top w:val="single" w:sz="4" w:space="0" w:color="auto"/>
              <w:left w:val="single" w:sz="4" w:space="0" w:color="auto"/>
              <w:bottom w:val="single" w:sz="4" w:space="0" w:color="auto"/>
              <w:right w:val="single" w:sz="4" w:space="0" w:color="auto"/>
            </w:tcBorders>
          </w:tcPr>
          <w:p w14:paraId="1ED9F174" w14:textId="0F404FFE" w:rsidR="00BD6D99" w:rsidRPr="002D2015" w:rsidRDefault="00681E59" w:rsidP="002D2015">
            <w:pPr>
              <w:jc w:val="right"/>
            </w:pPr>
            <w:r>
              <w:t>-</w:t>
            </w:r>
          </w:p>
        </w:tc>
        <w:tc>
          <w:tcPr>
            <w:tcW w:w="686" w:type="pct"/>
            <w:tcBorders>
              <w:top w:val="single" w:sz="4" w:space="0" w:color="auto"/>
              <w:left w:val="single" w:sz="4" w:space="0" w:color="auto"/>
              <w:bottom w:val="single" w:sz="4" w:space="0" w:color="auto"/>
              <w:right w:val="single" w:sz="4" w:space="0" w:color="auto"/>
            </w:tcBorders>
          </w:tcPr>
          <w:p w14:paraId="1ED9F175" w14:textId="77777777" w:rsidR="00BD6D99" w:rsidRPr="002D2015" w:rsidRDefault="002D2015" w:rsidP="00375CF8">
            <w:pPr>
              <w:jc w:val="right"/>
            </w:pPr>
            <w:r w:rsidRPr="002D2015">
              <w:t>101,</w:t>
            </w:r>
            <w:r w:rsidR="00375CF8">
              <w:t>3</w:t>
            </w:r>
          </w:p>
        </w:tc>
        <w:tc>
          <w:tcPr>
            <w:tcW w:w="795" w:type="pct"/>
            <w:tcBorders>
              <w:top w:val="single" w:sz="4" w:space="0" w:color="auto"/>
              <w:left w:val="single" w:sz="4" w:space="0" w:color="auto"/>
              <w:bottom w:val="single" w:sz="4" w:space="0" w:color="auto"/>
              <w:right w:val="single" w:sz="4" w:space="0" w:color="auto"/>
            </w:tcBorders>
          </w:tcPr>
          <w:p w14:paraId="1ED9F176" w14:textId="77777777" w:rsidR="00BD6D99" w:rsidRPr="002D2015" w:rsidRDefault="002D2015" w:rsidP="00375CF8">
            <w:pPr>
              <w:tabs>
                <w:tab w:val="decimal" w:pos="885"/>
              </w:tabs>
              <w:jc w:val="right"/>
            </w:pPr>
            <w:r w:rsidRPr="002D2015">
              <w:t>101,</w:t>
            </w:r>
            <w:r w:rsidR="00375CF8">
              <w:t>3</w:t>
            </w:r>
          </w:p>
        </w:tc>
      </w:tr>
    </w:tbl>
    <w:p w14:paraId="1ED9F178" w14:textId="77777777" w:rsidR="00BD6D99" w:rsidRDefault="00BD6D99" w:rsidP="00BD6D99">
      <w:pPr>
        <w:rPr>
          <w:color w:val="FF0000"/>
        </w:rPr>
      </w:pPr>
    </w:p>
    <w:p w14:paraId="1ED9F179" w14:textId="74C857B3" w:rsidR="00BD6D99" w:rsidRDefault="00BD6D99" w:rsidP="00BD6D99">
      <w:r w:rsidRPr="00DC249A">
        <w:t>Overzicht bijdragen en ranking grootste donoren</w:t>
      </w:r>
      <w:r w:rsidR="00681E59">
        <w:t xml:space="preserve"> </w:t>
      </w:r>
      <w:r w:rsidR="00375CF8">
        <w:t xml:space="preserve">aan het extra-budgettaire budget voor technische assistentie </w:t>
      </w:r>
      <w:r w:rsidRPr="00DC249A">
        <w:t>(bedragen in USD miljoen)</w:t>
      </w:r>
    </w:p>
    <w:p w14:paraId="1ED9F17A" w14:textId="77777777" w:rsidR="00375CF8" w:rsidRDefault="00375CF8" w:rsidP="00BD6D99"/>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954"/>
        <w:gridCol w:w="3403"/>
        <w:gridCol w:w="1881"/>
      </w:tblGrid>
      <w:tr w:rsidR="00375CF8" w:rsidRPr="00DC249A" w14:paraId="1ED9F17F" w14:textId="77777777" w:rsidTr="009F4BE7">
        <w:tc>
          <w:tcPr>
            <w:tcW w:w="444" w:type="pct"/>
            <w:tcBorders>
              <w:top w:val="single" w:sz="4" w:space="0" w:color="auto"/>
              <w:left w:val="single" w:sz="4" w:space="0" w:color="auto"/>
              <w:bottom w:val="single" w:sz="4" w:space="0" w:color="auto"/>
              <w:right w:val="single" w:sz="4" w:space="0" w:color="auto"/>
            </w:tcBorders>
            <w:hideMark/>
          </w:tcPr>
          <w:p w14:paraId="1ED9F17B" w14:textId="77777777" w:rsidR="00375CF8" w:rsidRPr="00DC249A" w:rsidRDefault="00375CF8" w:rsidP="00E86A4E">
            <w:pPr>
              <w:rPr>
                <w:i/>
              </w:rPr>
            </w:pPr>
            <w:r w:rsidRPr="00DC249A">
              <w:rPr>
                <w:i/>
              </w:rPr>
              <w:t>Jaar</w:t>
            </w:r>
          </w:p>
        </w:tc>
        <w:tc>
          <w:tcPr>
            <w:tcW w:w="1230" w:type="pct"/>
            <w:tcBorders>
              <w:top w:val="single" w:sz="4" w:space="0" w:color="auto"/>
              <w:left w:val="single" w:sz="4" w:space="0" w:color="auto"/>
              <w:bottom w:val="single" w:sz="4" w:space="0" w:color="auto"/>
              <w:right w:val="single" w:sz="4" w:space="0" w:color="auto"/>
            </w:tcBorders>
            <w:hideMark/>
          </w:tcPr>
          <w:p w14:paraId="1ED9F17C" w14:textId="77777777" w:rsidR="00375CF8" w:rsidRPr="00DC249A" w:rsidRDefault="00375CF8" w:rsidP="00E86A4E">
            <w:pPr>
              <w:rPr>
                <w:i/>
              </w:rPr>
            </w:pPr>
            <w:r w:rsidRPr="00DC249A">
              <w:rPr>
                <w:i/>
              </w:rPr>
              <w:t>Bijdrage</w:t>
            </w:r>
          </w:p>
        </w:tc>
        <w:tc>
          <w:tcPr>
            <w:tcW w:w="2142" w:type="pct"/>
            <w:tcBorders>
              <w:top w:val="single" w:sz="4" w:space="0" w:color="auto"/>
              <w:left w:val="single" w:sz="4" w:space="0" w:color="auto"/>
              <w:bottom w:val="single" w:sz="4" w:space="0" w:color="auto"/>
              <w:right w:val="single" w:sz="4" w:space="0" w:color="auto"/>
            </w:tcBorders>
            <w:hideMark/>
          </w:tcPr>
          <w:p w14:paraId="1ED9F17D" w14:textId="77777777" w:rsidR="00375CF8" w:rsidRPr="00DC249A" w:rsidRDefault="00375CF8" w:rsidP="00E86A4E">
            <w:pPr>
              <w:rPr>
                <w:i/>
              </w:rPr>
            </w:pPr>
            <w:r w:rsidRPr="00DC249A">
              <w:rPr>
                <w:i/>
              </w:rPr>
              <w:t>Ranking/donor</w:t>
            </w:r>
          </w:p>
        </w:tc>
        <w:tc>
          <w:tcPr>
            <w:tcW w:w="1184" w:type="pct"/>
            <w:tcBorders>
              <w:top w:val="single" w:sz="4" w:space="0" w:color="auto"/>
              <w:left w:val="single" w:sz="4" w:space="0" w:color="auto"/>
              <w:bottom w:val="single" w:sz="4" w:space="0" w:color="auto"/>
              <w:right w:val="single" w:sz="4" w:space="0" w:color="auto"/>
            </w:tcBorders>
            <w:hideMark/>
          </w:tcPr>
          <w:p w14:paraId="1ED9F17E" w14:textId="77777777" w:rsidR="00375CF8" w:rsidRPr="00DC249A" w:rsidRDefault="00375CF8" w:rsidP="00E86A4E">
            <w:pPr>
              <w:jc w:val="center"/>
              <w:rPr>
                <w:i/>
              </w:rPr>
            </w:pPr>
            <w:r w:rsidRPr="00DC249A">
              <w:rPr>
                <w:i/>
              </w:rPr>
              <w:t>Bedrag</w:t>
            </w:r>
          </w:p>
        </w:tc>
      </w:tr>
      <w:tr w:rsidR="00375CF8" w:rsidRPr="00DC249A" w14:paraId="1ED9F184" w14:textId="77777777" w:rsidTr="009F4BE7">
        <w:tc>
          <w:tcPr>
            <w:tcW w:w="444" w:type="pct"/>
            <w:tcBorders>
              <w:top w:val="single" w:sz="4" w:space="0" w:color="auto"/>
              <w:left w:val="single" w:sz="4" w:space="0" w:color="auto"/>
              <w:bottom w:val="single" w:sz="4" w:space="0" w:color="auto"/>
              <w:right w:val="single" w:sz="4" w:space="0" w:color="auto"/>
            </w:tcBorders>
            <w:shd w:val="clear" w:color="auto" w:fill="D9D9D9"/>
          </w:tcPr>
          <w:p w14:paraId="1ED9F180" w14:textId="77777777" w:rsidR="00375CF8" w:rsidRPr="00DC249A" w:rsidRDefault="00375CF8" w:rsidP="00E86A4E"/>
        </w:tc>
        <w:tc>
          <w:tcPr>
            <w:tcW w:w="1230" w:type="pct"/>
            <w:tcBorders>
              <w:top w:val="single" w:sz="4" w:space="0" w:color="auto"/>
              <w:left w:val="single" w:sz="4" w:space="0" w:color="auto"/>
              <w:bottom w:val="single" w:sz="4" w:space="0" w:color="auto"/>
              <w:right w:val="single" w:sz="4" w:space="0" w:color="auto"/>
            </w:tcBorders>
            <w:shd w:val="clear" w:color="auto" w:fill="D9D9D9"/>
          </w:tcPr>
          <w:p w14:paraId="1ED9F181" w14:textId="77777777" w:rsidR="00375CF8" w:rsidRPr="00DC249A" w:rsidRDefault="00375CF8" w:rsidP="00E86A4E"/>
        </w:tc>
        <w:tc>
          <w:tcPr>
            <w:tcW w:w="2142" w:type="pct"/>
            <w:tcBorders>
              <w:top w:val="single" w:sz="4" w:space="0" w:color="auto"/>
              <w:left w:val="single" w:sz="4" w:space="0" w:color="auto"/>
              <w:bottom w:val="single" w:sz="4" w:space="0" w:color="auto"/>
              <w:right w:val="single" w:sz="4" w:space="0" w:color="auto"/>
            </w:tcBorders>
            <w:shd w:val="clear" w:color="auto" w:fill="D9D9D9"/>
          </w:tcPr>
          <w:p w14:paraId="1ED9F182" w14:textId="77777777" w:rsidR="00375CF8" w:rsidRPr="00DC249A" w:rsidRDefault="00375CF8" w:rsidP="00E86A4E"/>
        </w:tc>
        <w:tc>
          <w:tcPr>
            <w:tcW w:w="1184" w:type="pct"/>
            <w:tcBorders>
              <w:top w:val="single" w:sz="4" w:space="0" w:color="auto"/>
              <w:left w:val="single" w:sz="4" w:space="0" w:color="auto"/>
              <w:bottom w:val="single" w:sz="4" w:space="0" w:color="auto"/>
              <w:right w:val="single" w:sz="4" w:space="0" w:color="auto"/>
            </w:tcBorders>
            <w:shd w:val="clear" w:color="auto" w:fill="D9D9D9"/>
          </w:tcPr>
          <w:p w14:paraId="1ED9F183" w14:textId="77777777" w:rsidR="00375CF8" w:rsidRPr="00DC249A" w:rsidRDefault="00375CF8" w:rsidP="00E86A4E"/>
        </w:tc>
      </w:tr>
      <w:tr w:rsidR="009F4BE7" w:rsidRPr="00DC249A" w14:paraId="1ED9F189" w14:textId="77777777" w:rsidTr="00E86A4E">
        <w:tc>
          <w:tcPr>
            <w:tcW w:w="444" w:type="pct"/>
            <w:vMerge w:val="restart"/>
            <w:tcBorders>
              <w:top w:val="single" w:sz="4" w:space="0" w:color="auto"/>
              <w:left w:val="single" w:sz="4" w:space="0" w:color="auto"/>
              <w:right w:val="single" w:sz="4" w:space="0" w:color="auto"/>
            </w:tcBorders>
            <w:hideMark/>
          </w:tcPr>
          <w:p w14:paraId="1ED9F185" w14:textId="77777777" w:rsidR="009F4BE7" w:rsidRPr="00DC249A" w:rsidRDefault="009F4BE7" w:rsidP="00E86A4E">
            <w:r w:rsidRPr="00DC249A">
              <w:t>2011</w:t>
            </w:r>
          </w:p>
        </w:tc>
        <w:tc>
          <w:tcPr>
            <w:tcW w:w="1230" w:type="pct"/>
            <w:vMerge w:val="restart"/>
            <w:tcBorders>
              <w:top w:val="single" w:sz="4" w:space="0" w:color="auto"/>
              <w:left w:val="single" w:sz="4" w:space="0" w:color="auto"/>
              <w:right w:val="single" w:sz="4" w:space="0" w:color="auto"/>
            </w:tcBorders>
            <w:hideMark/>
          </w:tcPr>
          <w:p w14:paraId="1ED9F186" w14:textId="77777777" w:rsidR="009F4BE7" w:rsidRPr="00DC249A" w:rsidRDefault="009F4BE7" w:rsidP="00E86A4E">
            <w:r>
              <w:t>Vrijwillige</w:t>
            </w:r>
            <w:r w:rsidRPr="00DC249A">
              <w:t xml:space="preserve"> bijdrage</w:t>
            </w:r>
          </w:p>
        </w:tc>
        <w:tc>
          <w:tcPr>
            <w:tcW w:w="2142" w:type="pct"/>
            <w:tcBorders>
              <w:top w:val="single" w:sz="4" w:space="0" w:color="auto"/>
              <w:left w:val="single" w:sz="4" w:space="0" w:color="auto"/>
              <w:bottom w:val="single" w:sz="4" w:space="0" w:color="auto"/>
              <w:right w:val="single" w:sz="4" w:space="0" w:color="auto"/>
            </w:tcBorders>
          </w:tcPr>
          <w:p w14:paraId="1ED9F187" w14:textId="77777777" w:rsidR="009F4BE7" w:rsidRPr="00DC249A" w:rsidRDefault="009F4BE7" w:rsidP="00E86A4E">
            <w:r>
              <w:t>1. Europese Commissie</w:t>
            </w:r>
          </w:p>
        </w:tc>
        <w:tc>
          <w:tcPr>
            <w:tcW w:w="1184" w:type="pct"/>
            <w:tcBorders>
              <w:top w:val="single" w:sz="4" w:space="0" w:color="auto"/>
              <w:left w:val="single" w:sz="4" w:space="0" w:color="auto"/>
              <w:bottom w:val="single" w:sz="4" w:space="0" w:color="auto"/>
              <w:right w:val="single" w:sz="4" w:space="0" w:color="auto"/>
            </w:tcBorders>
          </w:tcPr>
          <w:p w14:paraId="1ED9F188" w14:textId="77777777" w:rsidR="009F4BE7" w:rsidRPr="00BF1A9C" w:rsidRDefault="009F4BE7" w:rsidP="00BF1A9C">
            <w:pPr>
              <w:tabs>
                <w:tab w:val="decimal" w:pos="1026"/>
              </w:tabs>
              <w:jc w:val="right"/>
            </w:pPr>
            <w:r>
              <w:t>6,6</w:t>
            </w:r>
          </w:p>
        </w:tc>
      </w:tr>
      <w:tr w:rsidR="009F4BE7" w:rsidRPr="00DC249A" w14:paraId="1ED9F18E" w14:textId="77777777" w:rsidTr="00E86A4E">
        <w:tc>
          <w:tcPr>
            <w:tcW w:w="444" w:type="pct"/>
            <w:vMerge/>
            <w:tcBorders>
              <w:left w:val="single" w:sz="4" w:space="0" w:color="auto"/>
              <w:right w:val="single" w:sz="4" w:space="0" w:color="auto"/>
            </w:tcBorders>
          </w:tcPr>
          <w:p w14:paraId="1ED9F18A" w14:textId="77777777" w:rsidR="009F4BE7" w:rsidRPr="00DC249A" w:rsidRDefault="009F4BE7" w:rsidP="00E86A4E"/>
        </w:tc>
        <w:tc>
          <w:tcPr>
            <w:tcW w:w="1230" w:type="pct"/>
            <w:vMerge/>
            <w:tcBorders>
              <w:left w:val="single" w:sz="4" w:space="0" w:color="auto"/>
              <w:right w:val="single" w:sz="4" w:space="0" w:color="auto"/>
            </w:tcBorders>
          </w:tcPr>
          <w:p w14:paraId="1ED9F18B" w14:textId="77777777" w:rsidR="009F4BE7" w:rsidRPr="00DC249A" w:rsidRDefault="009F4BE7" w:rsidP="00E86A4E"/>
        </w:tc>
        <w:tc>
          <w:tcPr>
            <w:tcW w:w="2142" w:type="pct"/>
            <w:tcBorders>
              <w:top w:val="single" w:sz="4" w:space="0" w:color="auto"/>
              <w:left w:val="single" w:sz="4" w:space="0" w:color="auto"/>
              <w:bottom w:val="single" w:sz="4" w:space="0" w:color="auto"/>
              <w:right w:val="single" w:sz="4" w:space="0" w:color="auto"/>
            </w:tcBorders>
          </w:tcPr>
          <w:p w14:paraId="1ED9F18C" w14:textId="77777777" w:rsidR="009F4BE7" w:rsidRPr="00DC249A" w:rsidRDefault="009F4BE7" w:rsidP="00E86A4E">
            <w:r>
              <w:t>2. Filipijnen</w:t>
            </w:r>
          </w:p>
        </w:tc>
        <w:tc>
          <w:tcPr>
            <w:tcW w:w="1184" w:type="pct"/>
            <w:tcBorders>
              <w:top w:val="single" w:sz="4" w:space="0" w:color="auto"/>
              <w:left w:val="single" w:sz="4" w:space="0" w:color="auto"/>
              <w:bottom w:val="single" w:sz="4" w:space="0" w:color="auto"/>
              <w:right w:val="single" w:sz="4" w:space="0" w:color="auto"/>
            </w:tcBorders>
          </w:tcPr>
          <w:p w14:paraId="1ED9F18D" w14:textId="77777777" w:rsidR="009F4BE7" w:rsidRPr="00BF1A9C" w:rsidRDefault="009F4BE7" w:rsidP="00BF1A9C">
            <w:pPr>
              <w:tabs>
                <w:tab w:val="decimal" w:pos="1026"/>
              </w:tabs>
              <w:jc w:val="right"/>
            </w:pPr>
            <w:r>
              <w:t>3,6</w:t>
            </w:r>
          </w:p>
        </w:tc>
      </w:tr>
      <w:tr w:rsidR="009F4BE7" w:rsidRPr="00DC249A" w14:paraId="1ED9F193" w14:textId="77777777" w:rsidTr="00E86A4E">
        <w:tc>
          <w:tcPr>
            <w:tcW w:w="444" w:type="pct"/>
            <w:vMerge/>
            <w:tcBorders>
              <w:left w:val="single" w:sz="4" w:space="0" w:color="auto"/>
              <w:right w:val="single" w:sz="4" w:space="0" w:color="auto"/>
            </w:tcBorders>
          </w:tcPr>
          <w:p w14:paraId="1ED9F18F" w14:textId="77777777" w:rsidR="009F4BE7" w:rsidRPr="00DC249A" w:rsidRDefault="009F4BE7" w:rsidP="00E86A4E"/>
        </w:tc>
        <w:tc>
          <w:tcPr>
            <w:tcW w:w="1230" w:type="pct"/>
            <w:vMerge/>
            <w:tcBorders>
              <w:left w:val="single" w:sz="4" w:space="0" w:color="auto"/>
              <w:bottom w:val="single" w:sz="4" w:space="0" w:color="auto"/>
              <w:right w:val="single" w:sz="4" w:space="0" w:color="auto"/>
            </w:tcBorders>
            <w:hideMark/>
          </w:tcPr>
          <w:p w14:paraId="1ED9F190" w14:textId="77777777" w:rsidR="009F4BE7" w:rsidRPr="00DC249A" w:rsidRDefault="009F4BE7" w:rsidP="00E86A4E"/>
        </w:tc>
        <w:tc>
          <w:tcPr>
            <w:tcW w:w="2142" w:type="pct"/>
            <w:tcBorders>
              <w:top w:val="single" w:sz="4" w:space="0" w:color="auto"/>
              <w:left w:val="single" w:sz="4" w:space="0" w:color="auto"/>
              <w:bottom w:val="single" w:sz="4" w:space="0" w:color="auto"/>
              <w:right w:val="single" w:sz="4" w:space="0" w:color="auto"/>
            </w:tcBorders>
          </w:tcPr>
          <w:p w14:paraId="1ED9F191" w14:textId="77777777" w:rsidR="009F4BE7" w:rsidRPr="009F4BE7" w:rsidRDefault="009F4BE7" w:rsidP="00E86A4E">
            <w:pPr>
              <w:rPr>
                <w:b/>
              </w:rPr>
            </w:pPr>
            <w:r w:rsidRPr="009F4BE7">
              <w:rPr>
                <w:b/>
              </w:rPr>
              <w:t>8. Nederland</w:t>
            </w:r>
          </w:p>
        </w:tc>
        <w:tc>
          <w:tcPr>
            <w:tcW w:w="1184" w:type="pct"/>
            <w:tcBorders>
              <w:top w:val="single" w:sz="4" w:space="0" w:color="auto"/>
              <w:left w:val="single" w:sz="4" w:space="0" w:color="auto"/>
              <w:bottom w:val="single" w:sz="4" w:space="0" w:color="auto"/>
              <w:right w:val="single" w:sz="4" w:space="0" w:color="auto"/>
            </w:tcBorders>
          </w:tcPr>
          <w:p w14:paraId="1ED9F192" w14:textId="77777777" w:rsidR="009F4BE7" w:rsidRPr="009F4BE7" w:rsidRDefault="009F4BE7" w:rsidP="00BF1A9C">
            <w:pPr>
              <w:tabs>
                <w:tab w:val="decimal" w:pos="1026"/>
              </w:tabs>
              <w:jc w:val="right"/>
              <w:rPr>
                <w:b/>
              </w:rPr>
            </w:pPr>
            <w:r w:rsidRPr="009F4BE7">
              <w:rPr>
                <w:b/>
              </w:rPr>
              <w:t>1,4</w:t>
            </w:r>
          </w:p>
        </w:tc>
      </w:tr>
      <w:tr w:rsidR="00375CF8" w:rsidRPr="00DC249A" w14:paraId="1ED9F198" w14:textId="77777777" w:rsidTr="009F4BE7">
        <w:tc>
          <w:tcPr>
            <w:tcW w:w="444" w:type="pct"/>
            <w:tcBorders>
              <w:top w:val="single" w:sz="4" w:space="0" w:color="auto"/>
              <w:left w:val="single" w:sz="4" w:space="0" w:color="auto"/>
              <w:bottom w:val="single" w:sz="4" w:space="0" w:color="auto"/>
              <w:right w:val="single" w:sz="4" w:space="0" w:color="auto"/>
            </w:tcBorders>
            <w:shd w:val="clear" w:color="auto" w:fill="D9D9D9"/>
          </w:tcPr>
          <w:p w14:paraId="1ED9F194" w14:textId="77777777" w:rsidR="00375CF8" w:rsidRPr="00DC249A" w:rsidRDefault="00375CF8" w:rsidP="00E86A4E"/>
        </w:tc>
        <w:tc>
          <w:tcPr>
            <w:tcW w:w="1230" w:type="pct"/>
            <w:tcBorders>
              <w:top w:val="single" w:sz="4" w:space="0" w:color="auto"/>
              <w:left w:val="single" w:sz="4" w:space="0" w:color="auto"/>
              <w:bottom w:val="single" w:sz="4" w:space="0" w:color="auto"/>
              <w:right w:val="single" w:sz="4" w:space="0" w:color="auto"/>
            </w:tcBorders>
            <w:shd w:val="clear" w:color="auto" w:fill="D9D9D9"/>
          </w:tcPr>
          <w:p w14:paraId="1ED9F195" w14:textId="77777777" w:rsidR="00375CF8" w:rsidRPr="00DC249A" w:rsidRDefault="00375CF8" w:rsidP="00E86A4E"/>
        </w:tc>
        <w:tc>
          <w:tcPr>
            <w:tcW w:w="2142" w:type="pct"/>
            <w:tcBorders>
              <w:top w:val="single" w:sz="4" w:space="0" w:color="auto"/>
              <w:left w:val="single" w:sz="4" w:space="0" w:color="auto"/>
              <w:bottom w:val="single" w:sz="4" w:space="0" w:color="auto"/>
              <w:right w:val="single" w:sz="4" w:space="0" w:color="auto"/>
            </w:tcBorders>
            <w:shd w:val="clear" w:color="auto" w:fill="D9D9D9"/>
          </w:tcPr>
          <w:p w14:paraId="1ED9F196" w14:textId="77777777" w:rsidR="00375CF8" w:rsidRPr="00DC249A" w:rsidRDefault="00375CF8" w:rsidP="00E86A4E"/>
        </w:tc>
        <w:tc>
          <w:tcPr>
            <w:tcW w:w="1184" w:type="pct"/>
            <w:tcBorders>
              <w:top w:val="single" w:sz="4" w:space="0" w:color="auto"/>
              <w:left w:val="single" w:sz="4" w:space="0" w:color="auto"/>
              <w:bottom w:val="single" w:sz="4" w:space="0" w:color="auto"/>
              <w:right w:val="single" w:sz="4" w:space="0" w:color="auto"/>
            </w:tcBorders>
            <w:shd w:val="clear" w:color="auto" w:fill="D9D9D9"/>
          </w:tcPr>
          <w:p w14:paraId="1ED9F197" w14:textId="77777777" w:rsidR="00375CF8" w:rsidRPr="00BF1A9C" w:rsidRDefault="00375CF8" w:rsidP="00BF1A9C">
            <w:pPr>
              <w:tabs>
                <w:tab w:val="decimal" w:pos="1026"/>
              </w:tabs>
              <w:jc w:val="right"/>
            </w:pPr>
          </w:p>
        </w:tc>
      </w:tr>
      <w:tr w:rsidR="009F4BE7" w:rsidRPr="00DC249A" w14:paraId="1ED9F19D" w14:textId="77777777" w:rsidTr="00E86A4E">
        <w:tc>
          <w:tcPr>
            <w:tcW w:w="444" w:type="pct"/>
            <w:vMerge w:val="restart"/>
            <w:tcBorders>
              <w:top w:val="single" w:sz="4" w:space="0" w:color="auto"/>
              <w:left w:val="single" w:sz="4" w:space="0" w:color="auto"/>
              <w:right w:val="single" w:sz="4" w:space="0" w:color="auto"/>
            </w:tcBorders>
            <w:hideMark/>
          </w:tcPr>
          <w:p w14:paraId="1ED9F199" w14:textId="77777777" w:rsidR="009F4BE7" w:rsidRPr="00DC249A" w:rsidRDefault="009F4BE7" w:rsidP="00E86A4E">
            <w:r w:rsidRPr="00DC249A">
              <w:t>2012</w:t>
            </w:r>
          </w:p>
        </w:tc>
        <w:tc>
          <w:tcPr>
            <w:tcW w:w="1230" w:type="pct"/>
            <w:vMerge w:val="restart"/>
            <w:tcBorders>
              <w:top w:val="single" w:sz="4" w:space="0" w:color="auto"/>
              <w:left w:val="single" w:sz="4" w:space="0" w:color="auto"/>
              <w:right w:val="single" w:sz="4" w:space="0" w:color="auto"/>
            </w:tcBorders>
            <w:hideMark/>
          </w:tcPr>
          <w:p w14:paraId="1ED9F19A" w14:textId="77777777" w:rsidR="009F4BE7" w:rsidRPr="00DC249A" w:rsidRDefault="009F4BE7" w:rsidP="00E86A4E">
            <w:r>
              <w:t>Vrijwillige</w:t>
            </w:r>
            <w:r w:rsidRPr="00DC249A">
              <w:t xml:space="preserve"> bijdrage</w:t>
            </w:r>
          </w:p>
        </w:tc>
        <w:tc>
          <w:tcPr>
            <w:tcW w:w="2142" w:type="pct"/>
            <w:tcBorders>
              <w:top w:val="single" w:sz="4" w:space="0" w:color="auto"/>
              <w:left w:val="single" w:sz="4" w:space="0" w:color="auto"/>
              <w:bottom w:val="single" w:sz="4" w:space="0" w:color="auto"/>
              <w:right w:val="single" w:sz="4" w:space="0" w:color="auto"/>
            </w:tcBorders>
            <w:hideMark/>
          </w:tcPr>
          <w:p w14:paraId="1ED9F19B" w14:textId="77777777" w:rsidR="009F4BE7" w:rsidRPr="00DC249A" w:rsidRDefault="009F4BE7" w:rsidP="00E86A4E">
            <w:r>
              <w:t>1. Europese Commissie</w:t>
            </w:r>
          </w:p>
        </w:tc>
        <w:tc>
          <w:tcPr>
            <w:tcW w:w="1184" w:type="pct"/>
            <w:tcBorders>
              <w:top w:val="single" w:sz="4" w:space="0" w:color="auto"/>
              <w:left w:val="single" w:sz="4" w:space="0" w:color="auto"/>
              <w:bottom w:val="single" w:sz="4" w:space="0" w:color="auto"/>
              <w:right w:val="single" w:sz="4" w:space="0" w:color="auto"/>
            </w:tcBorders>
          </w:tcPr>
          <w:p w14:paraId="1ED9F19C" w14:textId="77777777" w:rsidR="009F4BE7" w:rsidRPr="00BF1A9C" w:rsidRDefault="009F4BE7" w:rsidP="00BF1A9C">
            <w:pPr>
              <w:tabs>
                <w:tab w:val="decimal" w:pos="1026"/>
              </w:tabs>
              <w:jc w:val="right"/>
            </w:pPr>
            <w:r>
              <w:t>3,1</w:t>
            </w:r>
          </w:p>
        </w:tc>
      </w:tr>
      <w:tr w:rsidR="009F4BE7" w:rsidRPr="00DC249A" w14:paraId="1ED9F1A2" w14:textId="77777777" w:rsidTr="00E86A4E">
        <w:tc>
          <w:tcPr>
            <w:tcW w:w="444" w:type="pct"/>
            <w:vMerge/>
            <w:tcBorders>
              <w:left w:val="single" w:sz="4" w:space="0" w:color="auto"/>
              <w:right w:val="single" w:sz="4" w:space="0" w:color="auto"/>
            </w:tcBorders>
          </w:tcPr>
          <w:p w14:paraId="1ED9F19E" w14:textId="77777777" w:rsidR="009F4BE7" w:rsidRPr="00DC249A" w:rsidRDefault="009F4BE7" w:rsidP="00E86A4E"/>
        </w:tc>
        <w:tc>
          <w:tcPr>
            <w:tcW w:w="1230" w:type="pct"/>
            <w:vMerge/>
            <w:tcBorders>
              <w:left w:val="single" w:sz="4" w:space="0" w:color="auto"/>
              <w:right w:val="single" w:sz="4" w:space="0" w:color="auto"/>
            </w:tcBorders>
          </w:tcPr>
          <w:p w14:paraId="1ED9F19F" w14:textId="77777777" w:rsidR="009F4BE7" w:rsidRPr="00DC249A" w:rsidRDefault="009F4BE7" w:rsidP="00E86A4E"/>
        </w:tc>
        <w:tc>
          <w:tcPr>
            <w:tcW w:w="2142" w:type="pct"/>
            <w:tcBorders>
              <w:top w:val="single" w:sz="4" w:space="0" w:color="auto"/>
              <w:left w:val="single" w:sz="4" w:space="0" w:color="auto"/>
              <w:bottom w:val="single" w:sz="4" w:space="0" w:color="auto"/>
              <w:right w:val="single" w:sz="4" w:space="0" w:color="auto"/>
            </w:tcBorders>
          </w:tcPr>
          <w:p w14:paraId="1ED9F1A0" w14:textId="77777777" w:rsidR="009F4BE7" w:rsidRPr="00DC249A" w:rsidRDefault="009F4BE7" w:rsidP="00E86A4E">
            <w:r>
              <w:t>2. Zwitserland</w:t>
            </w:r>
          </w:p>
        </w:tc>
        <w:tc>
          <w:tcPr>
            <w:tcW w:w="1184" w:type="pct"/>
            <w:tcBorders>
              <w:top w:val="single" w:sz="4" w:space="0" w:color="auto"/>
              <w:left w:val="single" w:sz="4" w:space="0" w:color="auto"/>
              <w:bottom w:val="single" w:sz="4" w:space="0" w:color="auto"/>
              <w:right w:val="single" w:sz="4" w:space="0" w:color="auto"/>
            </w:tcBorders>
          </w:tcPr>
          <w:p w14:paraId="1ED9F1A1" w14:textId="77777777" w:rsidR="009F4BE7" w:rsidRPr="00BF1A9C" w:rsidRDefault="009F4BE7" w:rsidP="00BF1A9C">
            <w:pPr>
              <w:tabs>
                <w:tab w:val="decimal" w:pos="1026"/>
              </w:tabs>
              <w:jc w:val="right"/>
            </w:pPr>
            <w:r>
              <w:t>1,7</w:t>
            </w:r>
          </w:p>
        </w:tc>
      </w:tr>
      <w:tr w:rsidR="009F4BE7" w:rsidRPr="00DC249A" w14:paraId="1ED9F1A7" w14:textId="77777777" w:rsidTr="00E86A4E">
        <w:tc>
          <w:tcPr>
            <w:tcW w:w="444" w:type="pct"/>
            <w:vMerge/>
            <w:tcBorders>
              <w:left w:val="single" w:sz="4" w:space="0" w:color="auto"/>
              <w:bottom w:val="single" w:sz="4" w:space="0" w:color="auto"/>
              <w:right w:val="single" w:sz="4" w:space="0" w:color="auto"/>
            </w:tcBorders>
          </w:tcPr>
          <w:p w14:paraId="1ED9F1A3" w14:textId="77777777" w:rsidR="009F4BE7" w:rsidRPr="00DC249A" w:rsidRDefault="009F4BE7" w:rsidP="00E86A4E"/>
        </w:tc>
        <w:tc>
          <w:tcPr>
            <w:tcW w:w="1230" w:type="pct"/>
            <w:vMerge/>
            <w:tcBorders>
              <w:left w:val="single" w:sz="4" w:space="0" w:color="auto"/>
              <w:bottom w:val="single" w:sz="4" w:space="0" w:color="auto"/>
              <w:right w:val="single" w:sz="4" w:space="0" w:color="auto"/>
            </w:tcBorders>
          </w:tcPr>
          <w:p w14:paraId="1ED9F1A4" w14:textId="77777777" w:rsidR="009F4BE7" w:rsidRPr="00DC249A" w:rsidRDefault="009F4BE7" w:rsidP="00E86A4E"/>
        </w:tc>
        <w:tc>
          <w:tcPr>
            <w:tcW w:w="2142" w:type="pct"/>
            <w:tcBorders>
              <w:top w:val="single" w:sz="4" w:space="0" w:color="auto"/>
              <w:left w:val="single" w:sz="4" w:space="0" w:color="auto"/>
              <w:bottom w:val="single" w:sz="4" w:space="0" w:color="auto"/>
              <w:right w:val="single" w:sz="4" w:space="0" w:color="auto"/>
            </w:tcBorders>
          </w:tcPr>
          <w:p w14:paraId="1ED9F1A5" w14:textId="77777777" w:rsidR="009F4BE7" w:rsidRPr="009F4BE7" w:rsidRDefault="009F4BE7" w:rsidP="00E86A4E">
            <w:pPr>
              <w:rPr>
                <w:b/>
              </w:rPr>
            </w:pPr>
            <w:r w:rsidRPr="009F4BE7">
              <w:rPr>
                <w:b/>
              </w:rPr>
              <w:t>8. Koninkrijk der Nederlanden*</w:t>
            </w:r>
          </w:p>
        </w:tc>
        <w:tc>
          <w:tcPr>
            <w:tcW w:w="1184" w:type="pct"/>
            <w:tcBorders>
              <w:top w:val="single" w:sz="4" w:space="0" w:color="auto"/>
              <w:left w:val="single" w:sz="4" w:space="0" w:color="auto"/>
              <w:bottom w:val="single" w:sz="4" w:space="0" w:color="auto"/>
              <w:right w:val="single" w:sz="4" w:space="0" w:color="auto"/>
            </w:tcBorders>
          </w:tcPr>
          <w:p w14:paraId="1ED9F1A6" w14:textId="77777777" w:rsidR="009F4BE7" w:rsidRPr="009F4BE7" w:rsidRDefault="009F4BE7" w:rsidP="00BF1A9C">
            <w:pPr>
              <w:tabs>
                <w:tab w:val="decimal" w:pos="1026"/>
              </w:tabs>
              <w:jc w:val="right"/>
              <w:rPr>
                <w:b/>
              </w:rPr>
            </w:pPr>
            <w:r w:rsidRPr="009F4BE7">
              <w:rPr>
                <w:b/>
              </w:rPr>
              <w:t>1,0</w:t>
            </w:r>
          </w:p>
        </w:tc>
      </w:tr>
      <w:tr w:rsidR="00375CF8" w:rsidRPr="00DC249A" w14:paraId="1ED9F1AC" w14:textId="77777777" w:rsidTr="009F4BE7">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9F1A8" w14:textId="77777777" w:rsidR="00375CF8" w:rsidRPr="00DC249A" w:rsidRDefault="00375CF8" w:rsidP="00E86A4E"/>
        </w:tc>
        <w:tc>
          <w:tcPr>
            <w:tcW w:w="1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9F1A9" w14:textId="77777777" w:rsidR="00375CF8" w:rsidRPr="00DC249A" w:rsidRDefault="00375CF8" w:rsidP="00E86A4E"/>
        </w:tc>
        <w:tc>
          <w:tcPr>
            <w:tcW w:w="214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9F1AA" w14:textId="77777777" w:rsidR="00375CF8" w:rsidRDefault="00375CF8" w:rsidP="00E86A4E"/>
        </w:tc>
        <w:tc>
          <w:tcPr>
            <w:tcW w:w="11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9F1AB" w14:textId="77777777" w:rsidR="00375CF8" w:rsidRPr="00BF1A9C" w:rsidRDefault="00375CF8" w:rsidP="00BF1A9C">
            <w:pPr>
              <w:tabs>
                <w:tab w:val="decimal" w:pos="1026"/>
              </w:tabs>
              <w:jc w:val="right"/>
            </w:pPr>
          </w:p>
        </w:tc>
      </w:tr>
      <w:tr w:rsidR="009F4BE7" w:rsidRPr="00DC249A" w14:paraId="1ED9F1B1" w14:textId="77777777" w:rsidTr="00E86A4E">
        <w:tc>
          <w:tcPr>
            <w:tcW w:w="444" w:type="pct"/>
            <w:vMerge w:val="restart"/>
            <w:tcBorders>
              <w:top w:val="single" w:sz="4" w:space="0" w:color="auto"/>
              <w:left w:val="single" w:sz="4" w:space="0" w:color="auto"/>
              <w:right w:val="single" w:sz="4" w:space="0" w:color="auto"/>
            </w:tcBorders>
          </w:tcPr>
          <w:p w14:paraId="1ED9F1AD" w14:textId="77777777" w:rsidR="009F4BE7" w:rsidRPr="00DC249A" w:rsidRDefault="009F4BE7" w:rsidP="00E86A4E">
            <w:r>
              <w:t>2013</w:t>
            </w:r>
          </w:p>
        </w:tc>
        <w:tc>
          <w:tcPr>
            <w:tcW w:w="1230" w:type="pct"/>
            <w:vMerge w:val="restart"/>
            <w:tcBorders>
              <w:top w:val="single" w:sz="4" w:space="0" w:color="auto"/>
              <w:left w:val="single" w:sz="4" w:space="0" w:color="auto"/>
              <w:right w:val="single" w:sz="4" w:space="0" w:color="auto"/>
            </w:tcBorders>
          </w:tcPr>
          <w:p w14:paraId="1ED9F1AE" w14:textId="77777777" w:rsidR="009F4BE7" w:rsidRPr="00DC249A" w:rsidRDefault="009F4BE7" w:rsidP="00E86A4E">
            <w:r>
              <w:t>Vrijwillige</w:t>
            </w:r>
            <w:r w:rsidRPr="00DC249A">
              <w:t xml:space="preserve"> bijdrage</w:t>
            </w:r>
          </w:p>
        </w:tc>
        <w:tc>
          <w:tcPr>
            <w:tcW w:w="2142" w:type="pct"/>
            <w:tcBorders>
              <w:top w:val="single" w:sz="4" w:space="0" w:color="auto"/>
              <w:left w:val="single" w:sz="4" w:space="0" w:color="auto"/>
              <w:bottom w:val="single" w:sz="4" w:space="0" w:color="auto"/>
              <w:right w:val="single" w:sz="4" w:space="0" w:color="auto"/>
            </w:tcBorders>
          </w:tcPr>
          <w:p w14:paraId="1ED9F1AF" w14:textId="77777777" w:rsidR="009F4BE7" w:rsidRDefault="009F4BE7" w:rsidP="00BF1A9C">
            <w:r>
              <w:t>1. Europese Commissie</w:t>
            </w:r>
          </w:p>
        </w:tc>
        <w:tc>
          <w:tcPr>
            <w:tcW w:w="1184" w:type="pct"/>
            <w:tcBorders>
              <w:top w:val="single" w:sz="4" w:space="0" w:color="auto"/>
              <w:left w:val="single" w:sz="4" w:space="0" w:color="auto"/>
              <w:bottom w:val="single" w:sz="4" w:space="0" w:color="auto"/>
              <w:right w:val="single" w:sz="4" w:space="0" w:color="auto"/>
            </w:tcBorders>
          </w:tcPr>
          <w:p w14:paraId="1ED9F1B0" w14:textId="77777777" w:rsidR="009F4BE7" w:rsidRPr="00BF1A9C" w:rsidRDefault="009F4BE7" w:rsidP="00BF1A9C">
            <w:pPr>
              <w:tabs>
                <w:tab w:val="decimal" w:pos="1026"/>
              </w:tabs>
              <w:jc w:val="right"/>
            </w:pPr>
            <w:r>
              <w:t>2,8</w:t>
            </w:r>
          </w:p>
        </w:tc>
      </w:tr>
      <w:tr w:rsidR="009F4BE7" w:rsidRPr="00DC249A" w14:paraId="1ED9F1B6" w14:textId="77777777" w:rsidTr="00E86A4E">
        <w:tc>
          <w:tcPr>
            <w:tcW w:w="444" w:type="pct"/>
            <w:vMerge/>
            <w:tcBorders>
              <w:left w:val="single" w:sz="4" w:space="0" w:color="auto"/>
              <w:right w:val="single" w:sz="4" w:space="0" w:color="auto"/>
            </w:tcBorders>
          </w:tcPr>
          <w:p w14:paraId="1ED9F1B2" w14:textId="77777777" w:rsidR="009F4BE7" w:rsidRPr="00DC249A" w:rsidRDefault="009F4BE7" w:rsidP="00E86A4E"/>
        </w:tc>
        <w:tc>
          <w:tcPr>
            <w:tcW w:w="1230" w:type="pct"/>
            <w:vMerge/>
            <w:tcBorders>
              <w:left w:val="single" w:sz="4" w:space="0" w:color="auto"/>
              <w:right w:val="single" w:sz="4" w:space="0" w:color="auto"/>
            </w:tcBorders>
          </w:tcPr>
          <w:p w14:paraId="1ED9F1B3" w14:textId="77777777" w:rsidR="009F4BE7" w:rsidRPr="00DC249A" w:rsidRDefault="009F4BE7" w:rsidP="00E86A4E"/>
        </w:tc>
        <w:tc>
          <w:tcPr>
            <w:tcW w:w="2142" w:type="pct"/>
            <w:tcBorders>
              <w:top w:val="single" w:sz="4" w:space="0" w:color="auto"/>
              <w:left w:val="single" w:sz="4" w:space="0" w:color="auto"/>
              <w:bottom w:val="single" w:sz="4" w:space="0" w:color="auto"/>
              <w:right w:val="single" w:sz="4" w:space="0" w:color="auto"/>
            </w:tcBorders>
          </w:tcPr>
          <w:p w14:paraId="1ED9F1B4" w14:textId="77777777" w:rsidR="009F4BE7" w:rsidRDefault="009F4BE7" w:rsidP="00E86A4E">
            <w:r>
              <w:t>2. Noorwegen</w:t>
            </w:r>
          </w:p>
        </w:tc>
        <w:tc>
          <w:tcPr>
            <w:tcW w:w="1184" w:type="pct"/>
            <w:tcBorders>
              <w:top w:val="single" w:sz="4" w:space="0" w:color="auto"/>
              <w:left w:val="single" w:sz="4" w:space="0" w:color="auto"/>
              <w:bottom w:val="single" w:sz="4" w:space="0" w:color="auto"/>
              <w:right w:val="single" w:sz="4" w:space="0" w:color="auto"/>
            </w:tcBorders>
          </w:tcPr>
          <w:p w14:paraId="1ED9F1B5" w14:textId="77777777" w:rsidR="009F4BE7" w:rsidRPr="00BF1A9C" w:rsidRDefault="009F4BE7" w:rsidP="00BF1A9C">
            <w:pPr>
              <w:tabs>
                <w:tab w:val="decimal" w:pos="1026"/>
              </w:tabs>
              <w:jc w:val="right"/>
            </w:pPr>
            <w:r>
              <w:t>1,8</w:t>
            </w:r>
          </w:p>
        </w:tc>
      </w:tr>
      <w:tr w:rsidR="009F4BE7" w:rsidRPr="00DC249A" w14:paraId="1ED9F1BB" w14:textId="77777777" w:rsidTr="00E86A4E">
        <w:tc>
          <w:tcPr>
            <w:tcW w:w="444" w:type="pct"/>
            <w:vMerge/>
            <w:tcBorders>
              <w:left w:val="single" w:sz="4" w:space="0" w:color="auto"/>
              <w:bottom w:val="single" w:sz="4" w:space="0" w:color="auto"/>
              <w:right w:val="single" w:sz="4" w:space="0" w:color="auto"/>
            </w:tcBorders>
          </w:tcPr>
          <w:p w14:paraId="1ED9F1B7" w14:textId="77777777" w:rsidR="009F4BE7" w:rsidRPr="00DC249A" w:rsidRDefault="009F4BE7" w:rsidP="00E86A4E"/>
        </w:tc>
        <w:tc>
          <w:tcPr>
            <w:tcW w:w="1230" w:type="pct"/>
            <w:vMerge/>
            <w:tcBorders>
              <w:left w:val="single" w:sz="4" w:space="0" w:color="auto"/>
              <w:bottom w:val="single" w:sz="4" w:space="0" w:color="auto"/>
              <w:right w:val="single" w:sz="4" w:space="0" w:color="auto"/>
            </w:tcBorders>
          </w:tcPr>
          <w:p w14:paraId="1ED9F1B8" w14:textId="77777777" w:rsidR="009F4BE7" w:rsidRPr="00DC249A" w:rsidRDefault="009F4BE7" w:rsidP="00E86A4E"/>
        </w:tc>
        <w:tc>
          <w:tcPr>
            <w:tcW w:w="2142" w:type="pct"/>
            <w:tcBorders>
              <w:top w:val="single" w:sz="4" w:space="0" w:color="auto"/>
              <w:left w:val="single" w:sz="4" w:space="0" w:color="auto"/>
              <w:bottom w:val="single" w:sz="4" w:space="0" w:color="auto"/>
              <w:right w:val="single" w:sz="4" w:space="0" w:color="auto"/>
            </w:tcBorders>
          </w:tcPr>
          <w:p w14:paraId="1ED9F1B9" w14:textId="77777777" w:rsidR="009F4BE7" w:rsidRPr="00BF1A9C" w:rsidRDefault="009F4BE7" w:rsidP="00E86A4E">
            <w:pPr>
              <w:rPr>
                <w:b/>
              </w:rPr>
            </w:pPr>
            <w:r w:rsidRPr="00BF1A9C">
              <w:rPr>
                <w:b/>
              </w:rPr>
              <w:t>15. Nederland</w:t>
            </w:r>
          </w:p>
        </w:tc>
        <w:tc>
          <w:tcPr>
            <w:tcW w:w="1184" w:type="pct"/>
            <w:tcBorders>
              <w:top w:val="single" w:sz="4" w:space="0" w:color="auto"/>
              <w:left w:val="single" w:sz="4" w:space="0" w:color="auto"/>
              <w:bottom w:val="single" w:sz="4" w:space="0" w:color="auto"/>
              <w:right w:val="single" w:sz="4" w:space="0" w:color="auto"/>
            </w:tcBorders>
          </w:tcPr>
          <w:p w14:paraId="1ED9F1BA" w14:textId="77777777" w:rsidR="009F4BE7" w:rsidRPr="00BF1A9C" w:rsidRDefault="009F4BE7" w:rsidP="00BF1A9C">
            <w:pPr>
              <w:tabs>
                <w:tab w:val="decimal" w:pos="1026"/>
              </w:tabs>
              <w:jc w:val="right"/>
              <w:rPr>
                <w:b/>
              </w:rPr>
            </w:pPr>
            <w:r w:rsidRPr="00BF1A9C">
              <w:rPr>
                <w:b/>
              </w:rPr>
              <w:t>0,6</w:t>
            </w:r>
          </w:p>
        </w:tc>
      </w:tr>
    </w:tbl>
    <w:p w14:paraId="1ED9F1BC" w14:textId="77777777" w:rsidR="00375CF8" w:rsidRDefault="00375CF8" w:rsidP="00BD6D99"/>
    <w:p w14:paraId="1ED9F1BD" w14:textId="77777777" w:rsidR="00BF1A9C" w:rsidRPr="00DC249A" w:rsidRDefault="00BF1A9C" w:rsidP="00BD6D99">
      <w:r>
        <w:t>* In 2012 droeg Aruba USD 620.000 bij en Nederland USD 420.000.</w:t>
      </w:r>
    </w:p>
    <w:p w14:paraId="1ED9F1BE" w14:textId="77777777" w:rsidR="009F4BE7" w:rsidRDefault="009F4BE7" w:rsidP="00BD6D99"/>
    <w:p w14:paraId="1ED9F1BF" w14:textId="08D756C0" w:rsidR="00735F83" w:rsidRPr="008E27B3" w:rsidRDefault="008421CC" w:rsidP="00BD6D99">
      <w:pPr>
        <w:rPr>
          <w:color w:val="4F81BD"/>
        </w:rPr>
      </w:pPr>
      <w:r>
        <w:t xml:space="preserve">UNCTAD heeft een regulier budget </w:t>
      </w:r>
      <w:r w:rsidR="007D5EAD">
        <w:t>van ongeveer</w:t>
      </w:r>
      <w:r w:rsidR="002D2015">
        <w:t xml:space="preserve"> USD 70 miljoen </w:t>
      </w:r>
      <w:r>
        <w:t>en een extra-budgettair fonds voor technische assistentie</w:t>
      </w:r>
      <w:r w:rsidR="002D2015">
        <w:t xml:space="preserve"> </w:t>
      </w:r>
      <w:r w:rsidR="007D5EAD">
        <w:t>van</w:t>
      </w:r>
      <w:r w:rsidR="002D2015">
        <w:t xml:space="preserve"> USD 31 miljoen</w:t>
      </w:r>
      <w:r>
        <w:t xml:space="preserve">. </w:t>
      </w:r>
      <w:r w:rsidR="00BD6D99" w:rsidRPr="00A73B06">
        <w:t xml:space="preserve">Het </w:t>
      </w:r>
      <w:r>
        <w:t xml:space="preserve">reguliere </w:t>
      </w:r>
      <w:r w:rsidR="00BD6D99" w:rsidRPr="00A73B06">
        <w:t xml:space="preserve">UNCTAD-budget is onderdeel van het budget van het VN-Secretariaat, dat </w:t>
      </w:r>
      <w:r>
        <w:t xml:space="preserve">wordt </w:t>
      </w:r>
      <w:r w:rsidR="00BD6D99" w:rsidRPr="00A73B06">
        <w:t xml:space="preserve">gefinancierd uit de verplichte contributies van lidstaten. Het aandeel van Nederland </w:t>
      </w:r>
      <w:r w:rsidR="00BD6D99">
        <w:t xml:space="preserve">voor </w:t>
      </w:r>
      <w:r w:rsidR="00BD6D99" w:rsidRPr="00A73B06">
        <w:t xml:space="preserve">2014 is vastgesteld door de AVVN op </w:t>
      </w:r>
      <w:r w:rsidR="00BD6D99" w:rsidRPr="001C2176">
        <w:t>1,654%.</w:t>
      </w:r>
    </w:p>
    <w:p w14:paraId="1ED9F1C0" w14:textId="3137C773" w:rsidR="002D2015" w:rsidRDefault="002D2015" w:rsidP="002D2015">
      <w:r>
        <w:t xml:space="preserve">Het extra-budgettaire fonds voor technische assistentie wordt gefinancierd uit bijdragen van het </w:t>
      </w:r>
      <w:r w:rsidRPr="00681E59">
        <w:rPr>
          <w:i/>
        </w:rPr>
        <w:t>United Nations Development Programme</w:t>
      </w:r>
      <w:r w:rsidRPr="00CB2C1E">
        <w:t xml:space="preserve"> (UNDP)</w:t>
      </w:r>
      <w:r>
        <w:t xml:space="preserve">, het budget van de Verenigde Naties en </w:t>
      </w:r>
      <w:r w:rsidR="007D5EAD">
        <w:t>uit</w:t>
      </w:r>
      <w:r>
        <w:t xml:space="preserve"> vrijwillige bijdragen van donoren.</w:t>
      </w:r>
      <w:r w:rsidR="00E52D9D">
        <w:t xml:space="preserve"> </w:t>
      </w:r>
      <w:r w:rsidR="00BF1A9C">
        <w:t>Ongeveer 41% van het budget voor technische assistentie (in 2014) wordt gefinancierd door ontwikkelingslanden. H</w:t>
      </w:r>
      <w:r w:rsidR="00BF1A9C" w:rsidRPr="008421CC">
        <w:t>et grootste deel van de</w:t>
      </w:r>
      <w:r w:rsidR="00BF1A9C">
        <w:t>ze</w:t>
      </w:r>
      <w:r w:rsidR="00BF1A9C" w:rsidRPr="008421CC">
        <w:t xml:space="preserve"> bij</w:t>
      </w:r>
      <w:r w:rsidR="00BF1A9C">
        <w:t>d</w:t>
      </w:r>
      <w:r w:rsidR="00BF1A9C" w:rsidRPr="008421CC">
        <w:t>ragen zijn bedoeld voor DMFAS</w:t>
      </w:r>
      <w:r w:rsidR="00BF1A9C">
        <w:t>-</w:t>
      </w:r>
      <w:r w:rsidR="00BF1A9C" w:rsidRPr="008421CC">
        <w:t xml:space="preserve"> en ASYCUDA-projecten in eigen land.</w:t>
      </w:r>
    </w:p>
    <w:p w14:paraId="1ED9F1C1" w14:textId="77777777" w:rsidR="00CC5975" w:rsidRDefault="00CC5975" w:rsidP="146F093B"/>
    <w:p w14:paraId="1ED9F1C2" w14:textId="77777777" w:rsidR="146F093B" w:rsidRDefault="3C144531" w:rsidP="146F093B">
      <w:r w:rsidRPr="3C144531">
        <w:rPr>
          <w:rFonts w:eastAsia="Verdana" w:cs="Verdana"/>
          <w:szCs w:val="18"/>
        </w:rPr>
        <w:t xml:space="preserve">Nederland steunt </w:t>
      </w:r>
      <w:r w:rsidR="00B60799">
        <w:rPr>
          <w:rFonts w:eastAsia="Verdana" w:cs="Verdana"/>
          <w:szCs w:val="18"/>
        </w:rPr>
        <w:t>DMFAS</w:t>
      </w:r>
      <w:r w:rsidRPr="3C144531">
        <w:rPr>
          <w:rFonts w:eastAsia="Verdana" w:cs="Verdana"/>
          <w:szCs w:val="18"/>
        </w:rPr>
        <w:t xml:space="preserve"> met een bedrag van USD 1,2 m</w:t>
      </w:r>
      <w:r w:rsidR="00CC5975">
        <w:rPr>
          <w:rFonts w:eastAsia="Verdana" w:cs="Verdana"/>
          <w:szCs w:val="18"/>
        </w:rPr>
        <w:t>i</w:t>
      </w:r>
      <w:r w:rsidRPr="3C144531">
        <w:rPr>
          <w:rFonts w:eastAsia="Verdana" w:cs="Verdana"/>
          <w:szCs w:val="18"/>
        </w:rPr>
        <w:t>l</w:t>
      </w:r>
      <w:r w:rsidR="00CC5975">
        <w:rPr>
          <w:rFonts w:eastAsia="Verdana" w:cs="Verdana"/>
          <w:szCs w:val="18"/>
        </w:rPr>
        <w:t>joe</w:t>
      </w:r>
      <w:r w:rsidRPr="3C144531">
        <w:rPr>
          <w:rFonts w:eastAsia="Verdana" w:cs="Verdana"/>
          <w:szCs w:val="18"/>
        </w:rPr>
        <w:t xml:space="preserve">n voor de periode 2014-2015. Andere donoren zijn Duitsland, Noorwegen, Zwitserland, Ierland en de Europese Commissie. DMFAS </w:t>
      </w:r>
      <w:r w:rsidR="00CC5975">
        <w:rPr>
          <w:rFonts w:eastAsia="Verdana" w:cs="Verdana"/>
          <w:szCs w:val="18"/>
        </w:rPr>
        <w:t xml:space="preserve">omvat </w:t>
      </w:r>
      <w:r w:rsidRPr="3C144531">
        <w:rPr>
          <w:rFonts w:eastAsia="Verdana" w:cs="Verdana"/>
          <w:szCs w:val="18"/>
        </w:rPr>
        <w:t xml:space="preserve">een computerprogramma dat ondersteuning biedt bij het beheren van de overheidsschuld. Het programma wordt op dit moment door 57 overwegend lage- en middeninkomenslanden gebruikt. </w:t>
      </w:r>
      <w:r w:rsidR="00B11F1A">
        <w:rPr>
          <w:rFonts w:eastAsia="Verdana" w:cs="Verdana"/>
          <w:szCs w:val="18"/>
        </w:rPr>
        <w:t xml:space="preserve">De belangstelling voor het werk van de investeringsdivisie is het afgelopen jaar toegenomen. Dit heeft geleid tot de financiering van projecten waarmee wordt beoogd de </w:t>
      </w:r>
      <w:proofErr w:type="spellStart"/>
      <w:r w:rsidR="00B11F1A" w:rsidRPr="009D068A">
        <w:rPr>
          <w:rFonts w:eastAsia="Verdana" w:cs="Verdana"/>
          <w:i/>
          <w:szCs w:val="18"/>
        </w:rPr>
        <w:t>enabling</w:t>
      </w:r>
      <w:proofErr w:type="spellEnd"/>
      <w:r w:rsidR="00B11F1A" w:rsidRPr="009D068A">
        <w:rPr>
          <w:rFonts w:eastAsia="Verdana" w:cs="Verdana"/>
          <w:i/>
          <w:szCs w:val="18"/>
        </w:rPr>
        <w:t xml:space="preserve"> environment</w:t>
      </w:r>
      <w:r w:rsidR="00B11F1A">
        <w:rPr>
          <w:rFonts w:eastAsia="Verdana" w:cs="Verdana"/>
          <w:szCs w:val="18"/>
        </w:rPr>
        <w:t xml:space="preserve"> voor</w:t>
      </w:r>
      <w:r w:rsidR="004A074D">
        <w:rPr>
          <w:rFonts w:eastAsia="Verdana" w:cs="Verdana"/>
          <w:szCs w:val="18"/>
        </w:rPr>
        <w:t xml:space="preserve"> investeringen in</w:t>
      </w:r>
      <w:r w:rsidR="00B11F1A">
        <w:rPr>
          <w:rFonts w:eastAsia="Verdana" w:cs="Verdana"/>
          <w:szCs w:val="18"/>
        </w:rPr>
        <w:t xml:space="preserve"> enkele landen in Afrika te verbetere</w:t>
      </w:r>
      <w:r w:rsidR="004A074D">
        <w:rPr>
          <w:rFonts w:eastAsia="Verdana" w:cs="Verdana"/>
          <w:szCs w:val="18"/>
        </w:rPr>
        <w:t>n.</w:t>
      </w:r>
    </w:p>
    <w:p w14:paraId="1ED9F1C3" w14:textId="77777777" w:rsidR="00BD6D99" w:rsidRPr="00F7551B" w:rsidRDefault="00BD6D99" w:rsidP="00BD6D99"/>
    <w:p w14:paraId="1ED9F1C4" w14:textId="77777777" w:rsidR="00BD6D99" w:rsidRPr="00DC249A" w:rsidRDefault="00BD6D99" w:rsidP="00BD6D99">
      <w:pPr>
        <w:pStyle w:val="Heading1"/>
        <w:tabs>
          <w:tab w:val="num" w:pos="0"/>
        </w:tabs>
        <w:spacing w:after="240" w:line="240" w:lineRule="auto"/>
        <w:ind w:hanging="1162"/>
      </w:pPr>
      <w:bookmarkStart w:id="22" w:name="_Toc410397628"/>
      <w:r w:rsidRPr="00BF1A9C">
        <w:lastRenderedPageBreak/>
        <w:t xml:space="preserve">3 </w:t>
      </w:r>
      <w:r w:rsidRPr="00BF1A9C">
        <w:tab/>
        <w:t>Institutionele aspecten en functionere</w:t>
      </w:r>
      <w:r w:rsidRPr="00DC249A">
        <w:t>n van de organisatie</w:t>
      </w:r>
      <w:bookmarkEnd w:id="22"/>
    </w:p>
    <w:p w14:paraId="1ED9F1C5" w14:textId="77777777" w:rsidR="00BD6D99" w:rsidRPr="00DC249A" w:rsidRDefault="009D068A" w:rsidP="00BD6D99">
      <w:pPr>
        <w:pStyle w:val="Heading2"/>
        <w:numPr>
          <w:ilvl w:val="1"/>
          <w:numId w:val="20"/>
        </w:numPr>
        <w:tabs>
          <w:tab w:val="left" w:pos="-1162"/>
          <w:tab w:val="left" w:pos="0"/>
        </w:tabs>
        <w:spacing w:line="240" w:lineRule="auto"/>
      </w:pPr>
      <w:bookmarkStart w:id="23" w:name="_Toc410397629"/>
      <w:r>
        <w:tab/>
      </w:r>
      <w:r w:rsidR="00BD6D99" w:rsidRPr="00DC249A">
        <w:t>Strategie en focus</w:t>
      </w:r>
      <w:bookmarkEnd w:id="23"/>
    </w:p>
    <w:p w14:paraId="1ED9F1C6" w14:textId="77777777" w:rsidR="00BD6D99" w:rsidRPr="00DC249A" w:rsidRDefault="00BD6D99" w:rsidP="00BD6D99"/>
    <w:p w14:paraId="1ED9F1C7" w14:textId="77777777" w:rsidR="00BD6D99" w:rsidRDefault="00BD6D99" w:rsidP="00BD6D99">
      <w:proofErr w:type="gramStart"/>
      <w:r>
        <w:t xml:space="preserve">UNCTAD richt zich op drie kerntaken: intergouvernementele consensusvorming op handel, investeringen en ontwikkeling; onderzoek en beleidsanalyse op deze terreinen; en technische assistentie aan ontwikkelingslanden. </w:t>
      </w:r>
      <w:proofErr w:type="gramEnd"/>
      <w:r w:rsidRPr="00D949D2">
        <w:t xml:space="preserve">De vierjaarlijkse Conferentie </w:t>
      </w:r>
      <w:r>
        <w:t xml:space="preserve">past de invulling van </w:t>
      </w:r>
      <w:r w:rsidRPr="00D949D2">
        <w:t xml:space="preserve">het mandaat van </w:t>
      </w:r>
      <w:r>
        <w:t>UNCTAD aan</w:t>
      </w:r>
      <w:r w:rsidRPr="00D949D2">
        <w:t xml:space="preserve">. </w:t>
      </w:r>
      <w:r>
        <w:t xml:space="preserve">De organisatie </w:t>
      </w:r>
      <w:r w:rsidRPr="00D949D2">
        <w:t xml:space="preserve">kent wisselende resultaten op het gebied van de verschillende aspecten van </w:t>
      </w:r>
      <w:r>
        <w:t>haar</w:t>
      </w:r>
      <w:r w:rsidRPr="00D949D2">
        <w:t xml:space="preserve"> kernmandaat.</w:t>
      </w:r>
    </w:p>
    <w:p w14:paraId="1ED9F1C8" w14:textId="77777777" w:rsidR="009C5769" w:rsidRDefault="009C5769" w:rsidP="00BD6D99"/>
    <w:p w14:paraId="1ED9F1C9" w14:textId="77777777" w:rsidR="00D43191" w:rsidRPr="00D43191" w:rsidRDefault="00982CDC" w:rsidP="00D43191">
      <w:r w:rsidRPr="00982CDC">
        <w:t>De onderhandelingen o</w:t>
      </w:r>
      <w:r w:rsidR="009C5769" w:rsidRPr="00982CDC">
        <w:t xml:space="preserve">p het gebied van </w:t>
      </w:r>
      <w:r w:rsidR="00571DB8" w:rsidRPr="00246DF5">
        <w:t>intergouvernementele consensusvorming</w:t>
      </w:r>
      <w:r w:rsidRPr="00982CDC">
        <w:t xml:space="preserve"> zijn zeer gepolitiseerd door de </w:t>
      </w:r>
      <w:r w:rsidR="00BD6D99" w:rsidRPr="00982CDC">
        <w:t xml:space="preserve">grote tegenstellingen tussen de posities van Westerse landen en ontwikkelingslanden. </w:t>
      </w:r>
      <w:r w:rsidR="00D43191" w:rsidRPr="00D43191">
        <w:t xml:space="preserve">Door het gebrek aan politieke sturing geeft het secretariaat in veel gevallen naar eigen inzicht invulling aan het mandaat. Dat leidt in veel UNCTAD-divisies tot gebrek aan </w:t>
      </w:r>
      <w:r w:rsidR="0062633A">
        <w:t xml:space="preserve">coherentie en aan </w:t>
      </w:r>
      <w:r w:rsidR="00D43191" w:rsidRPr="00D43191">
        <w:t xml:space="preserve">focus op resultaten. De </w:t>
      </w:r>
      <w:r w:rsidR="00D43191" w:rsidRPr="0062633A">
        <w:rPr>
          <w:i/>
        </w:rPr>
        <w:t xml:space="preserve">Investment </w:t>
      </w:r>
      <w:proofErr w:type="spellStart"/>
      <w:r w:rsidR="00D43191" w:rsidRPr="0062633A">
        <w:rPr>
          <w:i/>
        </w:rPr>
        <w:t>and</w:t>
      </w:r>
      <w:proofErr w:type="spellEnd"/>
      <w:r w:rsidR="00D43191" w:rsidRPr="0062633A">
        <w:rPr>
          <w:i/>
        </w:rPr>
        <w:t xml:space="preserve"> Enterprise </w:t>
      </w:r>
      <w:proofErr w:type="spellStart"/>
      <w:r w:rsidR="00D43191" w:rsidRPr="0062633A">
        <w:rPr>
          <w:i/>
        </w:rPr>
        <w:t>Division</w:t>
      </w:r>
      <w:proofErr w:type="spellEnd"/>
      <w:r w:rsidR="00D43191" w:rsidRPr="00D43191">
        <w:t xml:space="preserve">, een afdeling die voor het investeringsbeleid van Nederland relevant is, is hierop een uitzondering. </w:t>
      </w:r>
    </w:p>
    <w:p w14:paraId="1ED9F1CA" w14:textId="77777777" w:rsidR="00BD6D99" w:rsidRPr="008E27B3" w:rsidRDefault="00BD6D99" w:rsidP="00BD6D99">
      <w:pPr>
        <w:rPr>
          <w:color w:val="4F81BD"/>
          <w:u w:val="single"/>
        </w:rPr>
      </w:pPr>
    </w:p>
    <w:p w14:paraId="1ED9F1CB" w14:textId="77777777" w:rsidR="00BD6D99" w:rsidRPr="00D43191" w:rsidRDefault="00BD6D99" w:rsidP="00BD6D99">
      <w:r w:rsidRPr="00D43191">
        <w:t>Oorspronkelijk had UNCTAD een belangrijke denktank</w:t>
      </w:r>
      <w:r w:rsidR="00982CDC" w:rsidRPr="00D43191">
        <w:t>-</w:t>
      </w:r>
      <w:r w:rsidRPr="00D43191">
        <w:t>functie. Nog steeds realiseert UNCTAD jaarlijks een groot aantal publicaties</w:t>
      </w:r>
      <w:r w:rsidR="00982CDC" w:rsidRPr="00D43191">
        <w:t xml:space="preserve">, waarvan de meest toonaangevende het </w:t>
      </w:r>
      <w:r w:rsidRPr="00681E59">
        <w:rPr>
          <w:i/>
        </w:rPr>
        <w:t xml:space="preserve">Trade </w:t>
      </w:r>
      <w:proofErr w:type="spellStart"/>
      <w:r w:rsidRPr="00681E59">
        <w:rPr>
          <w:i/>
        </w:rPr>
        <w:t>and</w:t>
      </w:r>
      <w:proofErr w:type="spellEnd"/>
      <w:r w:rsidRPr="00681E59">
        <w:rPr>
          <w:i/>
        </w:rPr>
        <w:t xml:space="preserve"> Development Report</w:t>
      </w:r>
      <w:r w:rsidRPr="00D43191">
        <w:t xml:space="preserve"> en het </w:t>
      </w:r>
      <w:r w:rsidRPr="00681E59">
        <w:rPr>
          <w:i/>
        </w:rPr>
        <w:t>World Investment Report</w:t>
      </w:r>
      <w:r w:rsidR="00982CDC" w:rsidRPr="00D43191">
        <w:t xml:space="preserve"> zijn</w:t>
      </w:r>
      <w:r w:rsidRPr="00D43191">
        <w:t xml:space="preserve">. Het </w:t>
      </w:r>
      <w:r w:rsidR="00982CDC" w:rsidRPr="00D43191">
        <w:t>s</w:t>
      </w:r>
      <w:r w:rsidRPr="00D43191">
        <w:t xml:space="preserve">ecretariaat heeft echter door de jaren heen autonome onderzoekscapaciteit </w:t>
      </w:r>
      <w:r w:rsidR="00982CDC" w:rsidRPr="00D43191">
        <w:t xml:space="preserve">verloren en </w:t>
      </w:r>
      <w:r w:rsidRPr="00D43191">
        <w:t xml:space="preserve">is steeds meer een rol als kennismakelaar gaan vervullen. Om vooruitstrevend en onafhankelijk advies te garanderen is </w:t>
      </w:r>
      <w:proofErr w:type="gramStart"/>
      <w:r w:rsidRPr="00D43191">
        <w:t>het</w:t>
      </w:r>
      <w:proofErr w:type="gramEnd"/>
      <w:r w:rsidRPr="00D43191">
        <w:t xml:space="preserve"> nodig eigen onderzoekscapaciteit te behouden.</w:t>
      </w:r>
    </w:p>
    <w:p w14:paraId="1ED9F1CC" w14:textId="77777777" w:rsidR="00BD6D99" w:rsidRPr="008E27B3" w:rsidRDefault="00BD6D99" w:rsidP="00BD6D99">
      <w:pPr>
        <w:rPr>
          <w:color w:val="4F81BD"/>
          <w:u w:val="single"/>
        </w:rPr>
      </w:pPr>
    </w:p>
    <w:p w14:paraId="1ED9F1CD" w14:textId="77777777" w:rsidR="00BD6D99" w:rsidRPr="00D43191" w:rsidRDefault="00BD6D99" w:rsidP="00BD6D99">
      <w:r w:rsidRPr="00D43191">
        <w:t xml:space="preserve">Achter de partnerschappen voor </w:t>
      </w:r>
      <w:r w:rsidR="00571DB8" w:rsidRPr="00246DF5">
        <w:t>technische assistentie</w:t>
      </w:r>
      <w:r w:rsidR="00D43191" w:rsidRPr="00D43191">
        <w:t xml:space="preserve"> die UNCTAD aangaat met VN-</w:t>
      </w:r>
      <w:r w:rsidRPr="00D43191">
        <w:t xml:space="preserve">organisaties en ontwikkelingsbanken ontbreekt </w:t>
      </w:r>
      <w:r w:rsidR="00D43191" w:rsidRPr="00D43191">
        <w:t xml:space="preserve">een </w:t>
      </w:r>
      <w:r w:rsidRPr="00D43191">
        <w:t xml:space="preserve">coherente strategie. De trainingen worden door de ontwikkelingslanden als nuttig ervaren, maar ook als opgelegd. Er </w:t>
      </w:r>
      <w:r w:rsidR="00D43191" w:rsidRPr="00D43191">
        <w:t xml:space="preserve">is behoefte aan </w:t>
      </w:r>
      <w:r w:rsidR="00B138F7">
        <w:t xml:space="preserve">meer </w:t>
      </w:r>
      <w:proofErr w:type="spellStart"/>
      <w:r w:rsidR="00D43191" w:rsidRPr="00D43191">
        <w:t>vraaggestuurde</w:t>
      </w:r>
      <w:proofErr w:type="spellEnd"/>
      <w:r w:rsidR="00D43191" w:rsidRPr="00D43191">
        <w:t xml:space="preserve"> technische assistentie</w:t>
      </w:r>
      <w:r w:rsidRPr="00D43191">
        <w:t xml:space="preserve">. </w:t>
      </w:r>
    </w:p>
    <w:p w14:paraId="1ED9F1CE" w14:textId="77777777" w:rsidR="00BD6D99" w:rsidRDefault="00BD6D99" w:rsidP="00BD6D99">
      <w:pPr>
        <w:rPr>
          <w:color w:val="4F81BD"/>
        </w:rPr>
      </w:pPr>
    </w:p>
    <w:p w14:paraId="1ED9F1CF" w14:textId="77777777" w:rsidR="00D43191" w:rsidRPr="00D43191" w:rsidRDefault="00D43191" w:rsidP="00D43191">
      <w:r w:rsidRPr="00D43191">
        <w:t xml:space="preserve">Het UNCTAD World Investment Report bevat relevante gegevens over de ontwikkelingen op het gebied van investeringen. </w:t>
      </w:r>
      <w:r w:rsidR="009D522F">
        <w:t>D</w:t>
      </w:r>
      <w:r w:rsidRPr="00D43191">
        <w:t>e database met investeringsbeschermingsovereenkomsten (</w:t>
      </w:r>
      <w:proofErr w:type="spellStart"/>
      <w:r w:rsidRPr="00D43191">
        <w:t>IBO’s</w:t>
      </w:r>
      <w:proofErr w:type="spellEnd"/>
      <w:r w:rsidRPr="00D43191">
        <w:t xml:space="preserve">) van alle lidstaten </w:t>
      </w:r>
      <w:r w:rsidR="009D522F">
        <w:t>is</w:t>
      </w:r>
      <w:r w:rsidRPr="00D43191">
        <w:t xml:space="preserve"> zeer nuttig. Bij sommige publicaties is de invloed van ontwikkelingslanden echter zo groot dat de neutraliteit van UNCTAD aangetast wordt. </w:t>
      </w:r>
      <w:r w:rsidR="00BA3147">
        <w:t xml:space="preserve">De </w:t>
      </w:r>
      <w:r w:rsidR="00B138F7" w:rsidRPr="009D068A">
        <w:rPr>
          <w:i/>
        </w:rPr>
        <w:t>Investment Policy Reviews</w:t>
      </w:r>
      <w:r w:rsidR="00BA3147">
        <w:t xml:space="preserve"> zijn goede voorbeelden van hoe vraagsturing wordt gerespecteerd en de technische assistentie wordt ingezet voor versterking van lokale systemen en capaciteit.</w:t>
      </w:r>
    </w:p>
    <w:p w14:paraId="1ED9F1D0" w14:textId="77777777" w:rsidR="00BD6D99" w:rsidRPr="008E27B3" w:rsidRDefault="00BD6D99" w:rsidP="00BD6D99">
      <w:pPr>
        <w:rPr>
          <w:color w:val="4F81BD"/>
        </w:rPr>
      </w:pPr>
    </w:p>
    <w:p w14:paraId="1ED9F1D1" w14:textId="77777777" w:rsidR="00BD6D99" w:rsidRPr="00D949D2" w:rsidRDefault="00BD6D99" w:rsidP="00BD6D99">
      <w:r w:rsidRPr="00D949D2">
        <w:t xml:space="preserve">Beoordeling: </w:t>
      </w:r>
      <w:r w:rsidR="00F43089">
        <w:t xml:space="preserve">matig = </w:t>
      </w:r>
      <w:r w:rsidR="008B3E7B">
        <w:t>2</w:t>
      </w:r>
    </w:p>
    <w:p w14:paraId="1ED9F1D2" w14:textId="77777777" w:rsidR="00BD6D99" w:rsidRDefault="00BD6D99" w:rsidP="00BD6D99">
      <w:r w:rsidRPr="00D949D2">
        <w:t xml:space="preserve">Verwachting voor positieve verbetering: </w:t>
      </w:r>
      <w:r w:rsidR="00F43089">
        <w:t>neutraal =</w:t>
      </w:r>
      <w:r w:rsidR="00246DF5">
        <w:t xml:space="preserve"> </w:t>
      </w:r>
      <w:r w:rsidR="008B3E7B">
        <w:sym w:font="Wingdings" w:char="F0E8"/>
      </w:r>
    </w:p>
    <w:p w14:paraId="1ED9F1D3" w14:textId="77777777" w:rsidR="00246DF5" w:rsidRPr="00246DF5" w:rsidRDefault="00246DF5" w:rsidP="00BD6D99"/>
    <w:p w14:paraId="1ED9F1D4" w14:textId="39569CE9" w:rsidR="00BD6D99" w:rsidRPr="00DC249A" w:rsidRDefault="00571DB8" w:rsidP="00BD6D99">
      <w:pPr>
        <w:pStyle w:val="Heading2"/>
        <w:numPr>
          <w:ilvl w:val="1"/>
          <w:numId w:val="20"/>
        </w:numPr>
        <w:tabs>
          <w:tab w:val="left" w:pos="-1162"/>
          <w:tab w:val="left" w:pos="0"/>
        </w:tabs>
        <w:spacing w:line="240" w:lineRule="auto"/>
        <w:rPr>
          <w:lang w:val="en-US"/>
        </w:rPr>
      </w:pPr>
      <w:bookmarkStart w:id="24" w:name="_Toc410397630"/>
      <w:r w:rsidRPr="00246DF5">
        <w:tab/>
      </w:r>
      <w:proofErr w:type="spellStart"/>
      <w:r w:rsidR="00BD6D99" w:rsidRPr="00DC249A">
        <w:rPr>
          <w:lang w:val="en-US"/>
        </w:rPr>
        <w:t>Result</w:t>
      </w:r>
      <w:r w:rsidR="00C35CC9">
        <w:rPr>
          <w:lang w:val="en-US"/>
        </w:rPr>
        <w:t>aatsturing</w:t>
      </w:r>
      <w:bookmarkEnd w:id="24"/>
      <w:proofErr w:type="spellEnd"/>
    </w:p>
    <w:p w14:paraId="1ED9F1D5" w14:textId="77777777" w:rsidR="00BD6D99" w:rsidRPr="00836F35" w:rsidRDefault="00BD6D99" w:rsidP="00BD6D99">
      <w:pPr>
        <w:ind w:left="-802"/>
        <w:rPr>
          <w:color w:val="FF0000"/>
          <w:lang w:val="en-US"/>
        </w:rPr>
      </w:pPr>
    </w:p>
    <w:p w14:paraId="1ED9F1D6" w14:textId="6CD8B8D7" w:rsidR="00BD6D99" w:rsidRPr="004D651F" w:rsidRDefault="00735F83" w:rsidP="00BD6D99">
      <w:r>
        <w:t xml:space="preserve">Een gebrek aan </w:t>
      </w:r>
      <w:proofErr w:type="spellStart"/>
      <w:r w:rsidR="00C60FEA" w:rsidRPr="00681E59">
        <w:rPr>
          <w:i/>
        </w:rPr>
        <w:t>results</w:t>
      </w:r>
      <w:proofErr w:type="spellEnd"/>
      <w:r w:rsidR="00681E59" w:rsidRPr="00681E59">
        <w:rPr>
          <w:i/>
        </w:rPr>
        <w:t xml:space="preserve"> </w:t>
      </w:r>
      <w:proofErr w:type="spellStart"/>
      <w:r w:rsidR="00C60FEA" w:rsidRPr="00681E59">
        <w:rPr>
          <w:i/>
        </w:rPr>
        <w:t>based</w:t>
      </w:r>
      <w:proofErr w:type="spellEnd"/>
      <w:r w:rsidR="00C60FEA" w:rsidRPr="00681E59">
        <w:rPr>
          <w:i/>
        </w:rPr>
        <w:t xml:space="preserve"> management</w:t>
      </w:r>
      <w:r w:rsidR="00C60FEA" w:rsidRPr="004D651F">
        <w:t xml:space="preserve"> </w:t>
      </w:r>
      <w:r w:rsidR="00C60FEA">
        <w:t>(</w:t>
      </w:r>
      <w:r>
        <w:t>RBM</w:t>
      </w:r>
      <w:r w:rsidR="00C60FEA">
        <w:t>) binnen UNCTAD</w:t>
      </w:r>
      <w:r>
        <w:t xml:space="preserve"> werd </w:t>
      </w:r>
      <w:r w:rsidR="00C60FEA">
        <w:t xml:space="preserve">in 2012 </w:t>
      </w:r>
      <w:r>
        <w:t xml:space="preserve">geconstateerd door de </w:t>
      </w:r>
      <w:r w:rsidRPr="00681E59">
        <w:rPr>
          <w:i/>
        </w:rPr>
        <w:t xml:space="preserve">Joint </w:t>
      </w:r>
      <w:proofErr w:type="spellStart"/>
      <w:r w:rsidRPr="00681E59">
        <w:rPr>
          <w:i/>
        </w:rPr>
        <w:t>Inspection</w:t>
      </w:r>
      <w:proofErr w:type="spellEnd"/>
      <w:r w:rsidRPr="00681E59">
        <w:rPr>
          <w:i/>
        </w:rPr>
        <w:t xml:space="preserve"> Unit</w:t>
      </w:r>
      <w:r>
        <w:t xml:space="preserve"> (JIU).</w:t>
      </w:r>
      <w:r w:rsidR="009D522F">
        <w:t xml:space="preserve"> </w:t>
      </w:r>
      <w:r w:rsidR="00BD6D99" w:rsidRPr="004D651F">
        <w:t>In april 2013 is een nieuw RBM-</w:t>
      </w:r>
      <w:r w:rsidR="009D522F">
        <w:t>raamwerk</w:t>
      </w:r>
      <w:r w:rsidR="00BD6D99" w:rsidRPr="004D651F">
        <w:t xml:space="preserve"> gepresenteerd.</w:t>
      </w:r>
      <w:r w:rsidR="009D522F">
        <w:t xml:space="preserve"> </w:t>
      </w:r>
      <w:r w:rsidR="00DB1290">
        <w:t>Naar verwachting zal d</w:t>
      </w:r>
      <w:r w:rsidR="009D522F">
        <w:t>it</w:t>
      </w:r>
      <w:r w:rsidR="00DB1290">
        <w:t xml:space="preserve"> echter pas in het tweejaarlijkse programma van 2016-2017 volledig toegepast worden.</w:t>
      </w:r>
      <w:r w:rsidR="00BA3147">
        <w:t xml:space="preserve"> Overigens is de Investeringsdivisie ook op dit punt weer de uitzondering. Zo </w:t>
      </w:r>
      <w:r w:rsidR="008868BE">
        <w:t xml:space="preserve">zijn </w:t>
      </w:r>
      <w:r w:rsidR="00BA3147">
        <w:t xml:space="preserve">de </w:t>
      </w:r>
      <w:r w:rsidR="009D522F">
        <w:rPr>
          <w:i/>
        </w:rPr>
        <w:t>Investment Policy Reviews</w:t>
      </w:r>
      <w:r w:rsidR="00BA3147">
        <w:t xml:space="preserve"> </w:t>
      </w:r>
      <w:r w:rsidR="008868BE">
        <w:t xml:space="preserve">gericht </w:t>
      </w:r>
      <w:r w:rsidR="00BA3147">
        <w:t xml:space="preserve">op de </w:t>
      </w:r>
      <w:r w:rsidR="008868BE">
        <w:t xml:space="preserve">verbetering van de scores van de </w:t>
      </w:r>
      <w:r w:rsidR="009D522F">
        <w:t>beoordeel</w:t>
      </w:r>
      <w:r w:rsidR="008868BE">
        <w:t xml:space="preserve">de landen op de </w:t>
      </w:r>
      <w:proofErr w:type="spellStart"/>
      <w:r w:rsidR="008868BE" w:rsidRPr="0030137F">
        <w:rPr>
          <w:i/>
        </w:rPr>
        <w:t>Doing</w:t>
      </w:r>
      <w:proofErr w:type="spellEnd"/>
      <w:r w:rsidR="008868BE" w:rsidRPr="0030137F">
        <w:rPr>
          <w:i/>
        </w:rPr>
        <w:t xml:space="preserve"> Business Index</w:t>
      </w:r>
      <w:r w:rsidR="008868BE">
        <w:rPr>
          <w:i/>
        </w:rPr>
        <w:t xml:space="preserve">. </w:t>
      </w:r>
      <w:r w:rsidR="008868BE">
        <w:t xml:space="preserve">Dit resultaat wordt in de meeste gevallen gehaald. </w:t>
      </w:r>
    </w:p>
    <w:p w14:paraId="1ED9F1D7" w14:textId="77777777" w:rsidR="00BD6D99" w:rsidRDefault="00BD6D99" w:rsidP="00BD6D99">
      <w:pPr>
        <w:rPr>
          <w:color w:val="4F81BD"/>
        </w:rPr>
      </w:pPr>
    </w:p>
    <w:p w14:paraId="1ED9F1D8" w14:textId="77777777" w:rsidR="0026622C" w:rsidRPr="00DB1290" w:rsidRDefault="0026622C" w:rsidP="00BD6D99">
      <w:r w:rsidRPr="00DB1290">
        <w:lastRenderedPageBreak/>
        <w:t xml:space="preserve">UNCTAD publiceert de </w:t>
      </w:r>
      <w:proofErr w:type="spellStart"/>
      <w:r w:rsidRPr="00681E59">
        <w:rPr>
          <w:i/>
        </w:rPr>
        <w:t>Annual</w:t>
      </w:r>
      <w:proofErr w:type="spellEnd"/>
      <w:r w:rsidRPr="00681E59">
        <w:rPr>
          <w:i/>
        </w:rPr>
        <w:t xml:space="preserve"> </w:t>
      </w:r>
      <w:proofErr w:type="spellStart"/>
      <w:r w:rsidRPr="00681E59">
        <w:rPr>
          <w:i/>
        </w:rPr>
        <w:t>Reports</w:t>
      </w:r>
      <w:proofErr w:type="spellEnd"/>
      <w:r w:rsidR="00DB1290" w:rsidRPr="00DB1290">
        <w:t xml:space="preserve"> en de documenten van de </w:t>
      </w:r>
      <w:r w:rsidR="00DB1290" w:rsidRPr="00681E59">
        <w:rPr>
          <w:i/>
        </w:rPr>
        <w:t xml:space="preserve">Trade </w:t>
      </w:r>
      <w:proofErr w:type="spellStart"/>
      <w:r w:rsidR="00DB1290" w:rsidRPr="00681E59">
        <w:rPr>
          <w:i/>
        </w:rPr>
        <w:t>and</w:t>
      </w:r>
      <w:proofErr w:type="spellEnd"/>
      <w:r w:rsidR="00DB1290" w:rsidRPr="00681E59">
        <w:rPr>
          <w:i/>
        </w:rPr>
        <w:t xml:space="preserve"> Development Boards</w:t>
      </w:r>
      <w:r w:rsidR="00DB1290" w:rsidRPr="00DB1290">
        <w:t xml:space="preserve"> op haar website.</w:t>
      </w:r>
    </w:p>
    <w:p w14:paraId="1ED9F1D9" w14:textId="77777777" w:rsidR="00DB1290" w:rsidRPr="00DB1290" w:rsidRDefault="00DB1290" w:rsidP="00BD6D99">
      <w:pPr>
        <w:rPr>
          <w:color w:val="FF0000"/>
        </w:rPr>
      </w:pPr>
    </w:p>
    <w:p w14:paraId="1ED9F1DA" w14:textId="77777777" w:rsidR="00BD6D99" w:rsidRPr="00D949D2" w:rsidRDefault="00BD6D99" w:rsidP="00BD6D99">
      <w:r w:rsidRPr="00D949D2">
        <w:t xml:space="preserve">Beoordeling: </w:t>
      </w:r>
      <w:r w:rsidR="00F43089">
        <w:t xml:space="preserve">onvoldoende = </w:t>
      </w:r>
      <w:r w:rsidR="008B3E7B">
        <w:t>1</w:t>
      </w:r>
    </w:p>
    <w:p w14:paraId="1ED9F1DB" w14:textId="77777777" w:rsidR="00BD6D99" w:rsidRDefault="00BD6D99" w:rsidP="00BD6D99">
      <w:r w:rsidRPr="00D949D2">
        <w:t xml:space="preserve">Verwachting voor positieve verbetering: </w:t>
      </w:r>
      <w:r w:rsidR="00F43089">
        <w:t xml:space="preserve">waarschijnlijk = </w:t>
      </w:r>
      <w:r w:rsidR="008B3E7B">
        <w:sym w:font="Wingdings" w:char="F0E9"/>
      </w:r>
    </w:p>
    <w:p w14:paraId="1ED9F1DC" w14:textId="77777777" w:rsidR="00246DF5" w:rsidRPr="00D949D2" w:rsidRDefault="00246DF5" w:rsidP="00BD6D99"/>
    <w:p w14:paraId="1ED9F1DD" w14:textId="77777777" w:rsidR="00BD6D99" w:rsidRPr="00DC249A" w:rsidRDefault="009D068A" w:rsidP="00BD6D99">
      <w:pPr>
        <w:pStyle w:val="Heading2"/>
        <w:numPr>
          <w:ilvl w:val="1"/>
          <w:numId w:val="20"/>
        </w:numPr>
      </w:pPr>
      <w:r>
        <w:tab/>
      </w:r>
      <w:r>
        <w:tab/>
      </w:r>
      <w:r>
        <w:tab/>
      </w:r>
      <w:r>
        <w:tab/>
      </w:r>
      <w:r w:rsidR="00BD6D99" w:rsidRPr="00DC249A">
        <w:t xml:space="preserve">Partnerschappen </w:t>
      </w:r>
    </w:p>
    <w:p w14:paraId="1ED9F1DE" w14:textId="77777777" w:rsidR="00BD6D99" w:rsidRPr="00DC249A" w:rsidRDefault="00BD6D99" w:rsidP="00BD6D99">
      <w:pPr>
        <w:ind w:left="-1162"/>
      </w:pPr>
    </w:p>
    <w:p w14:paraId="1ED9F1DF" w14:textId="77777777" w:rsidR="00BD6D99" w:rsidRPr="004D651F" w:rsidRDefault="00BD6D99" w:rsidP="00BD6D99">
      <w:r w:rsidRPr="004D651F">
        <w:t xml:space="preserve">UNCTAD werkt samen met diverse organisaties – binnen en buiten de VN – op het terrein van hulp, handel en investeringen. UNCTAD heeft sterke banden met de multilaterale organisaties World Trade </w:t>
      </w:r>
      <w:proofErr w:type="spellStart"/>
      <w:r w:rsidRPr="004D651F">
        <w:t>Organization</w:t>
      </w:r>
      <w:proofErr w:type="spellEnd"/>
      <w:r w:rsidRPr="004D651F">
        <w:t xml:space="preserve"> (WTO), International </w:t>
      </w:r>
      <w:proofErr w:type="spellStart"/>
      <w:r w:rsidRPr="004D651F">
        <w:t>Monetary</w:t>
      </w:r>
      <w:proofErr w:type="spellEnd"/>
      <w:r w:rsidRPr="004D651F">
        <w:t xml:space="preserve"> Fund (IMF) en het International Trade Center (ITC). Het ITC is gezamenlijk opgericht door de WTO en UNCTAD, met als doel </w:t>
      </w:r>
      <w:r w:rsidR="008868BE">
        <w:t xml:space="preserve">capaciteitsopbouw </w:t>
      </w:r>
      <w:r w:rsidR="009D522F">
        <w:t>voor</w:t>
      </w:r>
      <w:r w:rsidR="00E95334">
        <w:t xml:space="preserve"> de bevordering van export uit ontwikkelingslanden, inclusief </w:t>
      </w:r>
      <w:r w:rsidRPr="004D651F">
        <w:t xml:space="preserve">technische </w:t>
      </w:r>
      <w:proofErr w:type="gramStart"/>
      <w:r w:rsidRPr="004D651F">
        <w:t xml:space="preserve">ondersteuning  </w:t>
      </w:r>
      <w:proofErr w:type="gramEnd"/>
      <w:r w:rsidRPr="004D651F">
        <w:t xml:space="preserve">aan </w:t>
      </w:r>
      <w:r w:rsidR="00E95334">
        <w:t xml:space="preserve">het lokale </w:t>
      </w:r>
      <w:r w:rsidRPr="004D651F">
        <w:t>bedrijfsleven in ontwikkelingslanden.</w:t>
      </w:r>
    </w:p>
    <w:p w14:paraId="1ED9F1E0" w14:textId="77777777" w:rsidR="00BD6D99" w:rsidRDefault="00BD6D99" w:rsidP="00BD6D99">
      <w:pPr>
        <w:rPr>
          <w:color w:val="4F81BD"/>
        </w:rPr>
      </w:pPr>
    </w:p>
    <w:p w14:paraId="1ED9F1E1" w14:textId="77777777" w:rsidR="00BD6D99" w:rsidRDefault="00BD6D99" w:rsidP="00BD6D99">
      <w:r w:rsidRPr="00301CA8">
        <w:t xml:space="preserve">UNCTAD leidt het VN </w:t>
      </w:r>
      <w:proofErr w:type="spellStart"/>
      <w:r w:rsidRPr="00735F83">
        <w:rPr>
          <w:i/>
        </w:rPr>
        <w:t>Inter</w:t>
      </w:r>
      <w:proofErr w:type="spellEnd"/>
      <w:r w:rsidRPr="00735F83">
        <w:rPr>
          <w:i/>
        </w:rPr>
        <w:t xml:space="preserve">-Agency Cluster on Trade </w:t>
      </w:r>
      <w:proofErr w:type="spellStart"/>
      <w:r w:rsidRPr="00735F83">
        <w:rPr>
          <w:i/>
        </w:rPr>
        <w:t>and</w:t>
      </w:r>
      <w:proofErr w:type="spellEnd"/>
      <w:r w:rsidRPr="00735F83">
        <w:rPr>
          <w:i/>
        </w:rPr>
        <w:t xml:space="preserve"> </w:t>
      </w:r>
      <w:proofErr w:type="spellStart"/>
      <w:r w:rsidRPr="00735F83">
        <w:rPr>
          <w:i/>
        </w:rPr>
        <w:t>Productive</w:t>
      </w:r>
      <w:proofErr w:type="spellEnd"/>
      <w:r w:rsidRPr="00735F83">
        <w:rPr>
          <w:i/>
        </w:rPr>
        <w:t xml:space="preserve"> </w:t>
      </w:r>
      <w:proofErr w:type="spellStart"/>
      <w:r w:rsidRPr="00735F83">
        <w:rPr>
          <w:i/>
        </w:rPr>
        <w:t>Capacity</w:t>
      </w:r>
      <w:proofErr w:type="spellEnd"/>
      <w:r w:rsidRPr="00301CA8">
        <w:t xml:space="preserve">, bestaande uit 15 organisaties, dat de VN-activiteiten op handel en ontwikkeling coördineert. Hiermee draagt het bij draagt bij aan </w:t>
      </w:r>
      <w:r w:rsidR="00735F83">
        <w:t xml:space="preserve">coherentie van het VN-systeem en aan </w:t>
      </w:r>
      <w:proofErr w:type="spellStart"/>
      <w:r w:rsidR="00735F83" w:rsidRPr="00735F83">
        <w:rPr>
          <w:i/>
        </w:rPr>
        <w:t>D</w:t>
      </w:r>
      <w:r w:rsidRPr="00301CA8">
        <w:rPr>
          <w:i/>
        </w:rPr>
        <w:t>elivering</w:t>
      </w:r>
      <w:proofErr w:type="spellEnd"/>
      <w:r w:rsidRPr="00301CA8">
        <w:rPr>
          <w:i/>
        </w:rPr>
        <w:t xml:space="preserve"> as </w:t>
      </w:r>
      <w:proofErr w:type="spellStart"/>
      <w:r w:rsidR="00735F83">
        <w:rPr>
          <w:i/>
        </w:rPr>
        <w:t>O</w:t>
      </w:r>
      <w:r w:rsidRPr="00301CA8">
        <w:rPr>
          <w:i/>
        </w:rPr>
        <w:t>ne</w:t>
      </w:r>
      <w:proofErr w:type="spellEnd"/>
      <w:r w:rsidR="00735F83">
        <w:t xml:space="preserve">. </w:t>
      </w:r>
      <w:r w:rsidRPr="00301CA8">
        <w:t xml:space="preserve">Naast alle VN-organisaties hebben nog 111 andere intergouvernementele organisaties toegang tot </w:t>
      </w:r>
      <w:proofErr w:type="spellStart"/>
      <w:r w:rsidRPr="00301CA8">
        <w:t>UNCTAD’s</w:t>
      </w:r>
      <w:proofErr w:type="spellEnd"/>
      <w:r w:rsidRPr="00301CA8">
        <w:t xml:space="preserve"> Trade </w:t>
      </w:r>
      <w:proofErr w:type="spellStart"/>
      <w:r w:rsidRPr="00301CA8">
        <w:t>and</w:t>
      </w:r>
      <w:proofErr w:type="spellEnd"/>
      <w:r w:rsidRPr="00301CA8">
        <w:t xml:space="preserve"> Development Board als </w:t>
      </w:r>
      <w:r w:rsidR="009D522F">
        <w:t>waarnemers</w:t>
      </w:r>
      <w:r w:rsidRPr="00301CA8">
        <w:t>.</w:t>
      </w:r>
    </w:p>
    <w:p w14:paraId="1ED9F1E2" w14:textId="77777777" w:rsidR="00BD6D99" w:rsidRPr="00446738" w:rsidRDefault="00BD6D99" w:rsidP="00BD6D99">
      <w:pPr>
        <w:rPr>
          <w:color w:val="4F81BD"/>
        </w:rPr>
      </w:pPr>
    </w:p>
    <w:p w14:paraId="1ED9F1E3" w14:textId="6485BE95" w:rsidR="00BD6D99" w:rsidRPr="00C87AFF" w:rsidRDefault="00616BBD" w:rsidP="00BD6D99">
      <w:pPr>
        <w:rPr>
          <w:color w:val="F79646" w:themeColor="accent6"/>
        </w:rPr>
      </w:pPr>
      <w:r w:rsidRPr="00616BBD">
        <w:t xml:space="preserve">Er wordt door </w:t>
      </w:r>
      <w:r w:rsidR="00BD6D99" w:rsidRPr="00616BBD">
        <w:t xml:space="preserve">UNCTAD veel waarde </w:t>
      </w:r>
      <w:r w:rsidRPr="00616BBD">
        <w:t xml:space="preserve">gehecht </w:t>
      </w:r>
      <w:r w:rsidR="00BD6D99" w:rsidRPr="00616BBD">
        <w:t xml:space="preserve">aan samenwerking met </w:t>
      </w:r>
      <w:r w:rsidRPr="00616BBD">
        <w:t xml:space="preserve">het </w:t>
      </w:r>
      <w:r w:rsidR="00735F83" w:rsidRPr="00616BBD">
        <w:t xml:space="preserve">maatschappelijk middenveld </w:t>
      </w:r>
      <w:r w:rsidR="00BD6D99" w:rsidRPr="00616BBD">
        <w:t>en de private sector in ontwikkelingslanden</w:t>
      </w:r>
      <w:r w:rsidRPr="00616BBD">
        <w:t xml:space="preserve">. Dit is </w:t>
      </w:r>
      <w:r w:rsidR="00BD6D99" w:rsidRPr="00616BBD">
        <w:t xml:space="preserve">volgens de organisatie essentieel voor ontwikkelingslanden om te kunnen integreren in de internationale economie. De </w:t>
      </w:r>
      <w:proofErr w:type="spellStart"/>
      <w:r w:rsidR="00BD6D99" w:rsidRPr="00616BBD">
        <w:rPr>
          <w:i/>
        </w:rPr>
        <w:t>Civil</w:t>
      </w:r>
      <w:proofErr w:type="spellEnd"/>
      <w:r w:rsidR="00BD6D99" w:rsidRPr="00616BBD">
        <w:rPr>
          <w:i/>
        </w:rPr>
        <w:t xml:space="preserve"> Society </w:t>
      </w:r>
      <w:proofErr w:type="spellStart"/>
      <w:r w:rsidR="00BD6D99" w:rsidRPr="00616BBD">
        <w:rPr>
          <w:i/>
        </w:rPr>
        <w:t>Outreach</w:t>
      </w:r>
      <w:proofErr w:type="spellEnd"/>
      <w:r w:rsidR="00BD6D99" w:rsidRPr="00616BBD">
        <w:t xml:space="preserve"> binnen UNCTAD is verantwoordelijk voor het contact met</w:t>
      </w:r>
      <w:r w:rsidRPr="00616BBD">
        <w:t xml:space="preserve"> het maatschappelijk middenveld</w:t>
      </w:r>
      <w:r w:rsidR="00BD6D99" w:rsidRPr="00616BBD">
        <w:t>.</w:t>
      </w:r>
      <w:r w:rsidR="009D522F">
        <w:t xml:space="preserve"> </w:t>
      </w:r>
      <w:r w:rsidR="00BD6D99" w:rsidRPr="00616BBD">
        <w:t xml:space="preserve">UNCTAD is </w:t>
      </w:r>
      <w:r w:rsidRPr="00616BBD">
        <w:t xml:space="preserve">tevens </w:t>
      </w:r>
      <w:r w:rsidR="00BD6D99" w:rsidRPr="00616BBD">
        <w:t xml:space="preserve">een van de oprichters van het VN </w:t>
      </w:r>
      <w:r w:rsidR="00BD6D99" w:rsidRPr="00681E59">
        <w:rPr>
          <w:i/>
        </w:rPr>
        <w:t>Global Compact</w:t>
      </w:r>
      <w:r w:rsidR="00BD6D99" w:rsidRPr="00616BBD">
        <w:t>. Dit in</w:t>
      </w:r>
      <w:r w:rsidRPr="00616BBD">
        <w:t>i</w:t>
      </w:r>
      <w:r w:rsidR="00BD6D99" w:rsidRPr="00616BBD">
        <w:t xml:space="preserve">tiatief richt zich voornamelijk op het bevorderen van handel met speciale aandacht voor enkele kernprincipes op het gebied van mensenrechten, arbeidsstandaarden en duurzaamheid. </w:t>
      </w:r>
      <w:r w:rsidR="00E95334">
        <w:t>Op het terrein van investeringen moet meer aandacht worden besteed aan een goede taakverdeling met andere bij investeringen in ontwikkelingslanden betrokken organisaties zoals de</w:t>
      </w:r>
      <w:r w:rsidR="00681E59">
        <w:t xml:space="preserve"> Wereldbankgroep en de OESO</w:t>
      </w:r>
      <w:r w:rsidR="00E95334">
        <w:t>.</w:t>
      </w:r>
    </w:p>
    <w:p w14:paraId="1ED9F1E4" w14:textId="77777777" w:rsidR="00BD6D99" w:rsidRPr="007F053D" w:rsidRDefault="00BD6D99" w:rsidP="00BD6D99">
      <w:pPr>
        <w:rPr>
          <w:color w:val="4F81BD"/>
        </w:rPr>
      </w:pPr>
    </w:p>
    <w:p w14:paraId="1ED9F1E5" w14:textId="77777777" w:rsidR="00BD6D99" w:rsidRPr="004D651F" w:rsidRDefault="00BD6D99" w:rsidP="00BD6D99">
      <w:r w:rsidRPr="004D651F">
        <w:t xml:space="preserve">Beoordeling: </w:t>
      </w:r>
      <w:r w:rsidR="00F43089">
        <w:t xml:space="preserve">voldoende = </w:t>
      </w:r>
      <w:r w:rsidR="00EB79A1">
        <w:t>3</w:t>
      </w:r>
    </w:p>
    <w:p w14:paraId="1ED9F1E6" w14:textId="77777777" w:rsidR="00BD6D99" w:rsidRPr="004D651F" w:rsidRDefault="00BD6D99" w:rsidP="00BD6D99">
      <w:r w:rsidRPr="004D651F">
        <w:t xml:space="preserve">Verwachting voor positieve verbetering: </w:t>
      </w:r>
      <w:r w:rsidR="00F43089">
        <w:t xml:space="preserve">neutraal = </w:t>
      </w:r>
      <w:r w:rsidR="00EB79A1">
        <w:sym w:font="Wingdings" w:char="F0E8"/>
      </w:r>
    </w:p>
    <w:p w14:paraId="1ED9F1E7" w14:textId="77777777" w:rsidR="00BD6D99" w:rsidRPr="00412635" w:rsidRDefault="00BD6D99" w:rsidP="00BD6D99"/>
    <w:p w14:paraId="1ED9F1E8" w14:textId="77777777" w:rsidR="00BD6D99" w:rsidRPr="00412635" w:rsidRDefault="00BD6D99" w:rsidP="00BD6D99">
      <w:pPr>
        <w:pStyle w:val="Heading2"/>
        <w:tabs>
          <w:tab w:val="left" w:pos="-1162"/>
          <w:tab w:val="left" w:pos="0"/>
          <w:tab w:val="num" w:pos="1160"/>
        </w:tabs>
        <w:spacing w:line="240" w:lineRule="auto"/>
        <w:ind w:hanging="1162"/>
      </w:pPr>
      <w:bookmarkStart w:id="25" w:name="_Toc410140903"/>
      <w:bookmarkStart w:id="26" w:name="_Toc410397631"/>
      <w:r w:rsidRPr="00412635">
        <w:t xml:space="preserve">3.4 </w:t>
      </w:r>
      <w:r w:rsidRPr="00412635">
        <w:tab/>
        <w:t>Effectiviteit bestuurs- en beheersorganen</w:t>
      </w:r>
      <w:bookmarkEnd w:id="25"/>
      <w:bookmarkEnd w:id="26"/>
    </w:p>
    <w:p w14:paraId="1ED9F1E9" w14:textId="77777777" w:rsidR="00BD6D99" w:rsidRPr="00412635" w:rsidRDefault="00BD6D99" w:rsidP="00BD6D99"/>
    <w:p w14:paraId="1ED9F1EA" w14:textId="3AECF549" w:rsidR="00C60FEA" w:rsidRDefault="00BD6D99" w:rsidP="00BD6D99">
      <w:r w:rsidRPr="00705DCD">
        <w:t xml:space="preserve">Het meest recente rapport van de Joint </w:t>
      </w:r>
      <w:proofErr w:type="spellStart"/>
      <w:r w:rsidRPr="00705DCD">
        <w:t>Inspection</w:t>
      </w:r>
      <w:proofErr w:type="spellEnd"/>
      <w:r w:rsidRPr="00705DCD">
        <w:t xml:space="preserve"> Unit</w:t>
      </w:r>
      <w:r>
        <w:t xml:space="preserve"> (JIU)</w:t>
      </w:r>
      <w:r w:rsidRPr="00705DCD">
        <w:t xml:space="preserve">, het </w:t>
      </w:r>
      <w:r w:rsidRPr="00705DCD">
        <w:rPr>
          <w:i/>
        </w:rPr>
        <w:t xml:space="preserve">Review of Management </w:t>
      </w:r>
      <w:proofErr w:type="spellStart"/>
      <w:r w:rsidRPr="00705DCD">
        <w:rPr>
          <w:i/>
        </w:rPr>
        <w:t>and</w:t>
      </w:r>
      <w:proofErr w:type="spellEnd"/>
      <w:r w:rsidRPr="00705DCD">
        <w:rPr>
          <w:i/>
        </w:rPr>
        <w:t xml:space="preserve"> Administration in UNCTAD</w:t>
      </w:r>
      <w:r w:rsidR="00EB79A1">
        <w:rPr>
          <w:i/>
        </w:rPr>
        <w:t>,</w:t>
      </w:r>
      <w:r w:rsidR="00714124">
        <w:rPr>
          <w:i/>
        </w:rPr>
        <w:t xml:space="preserve"> </w:t>
      </w:r>
      <w:r w:rsidRPr="00705DCD">
        <w:t>stelde dat het Secretariaat een heldere beleidsstrategie mist</w:t>
      </w:r>
      <w:r w:rsidR="00616BBD">
        <w:t>, mede door de politisering in de organisatie</w:t>
      </w:r>
      <w:r w:rsidRPr="00705DCD">
        <w:t>.</w:t>
      </w:r>
      <w:r w:rsidR="00616BBD">
        <w:t xml:space="preserve"> Ook werd er een silo-structuur en daardoor inefficiënt opereren van de verschillende divisies geconstateerd.</w:t>
      </w:r>
      <w:r w:rsidR="00E52D9D">
        <w:t xml:space="preserve"> </w:t>
      </w:r>
      <w:r w:rsidR="00C60FEA">
        <w:t xml:space="preserve">De opvolging van de aanbevelingen van de JIU gaat met horten en stoten. </w:t>
      </w:r>
      <w:r w:rsidR="00616BBD">
        <w:t xml:space="preserve">Met de komst van </w:t>
      </w:r>
      <w:proofErr w:type="spellStart"/>
      <w:r w:rsidR="00616BBD">
        <w:t>Kituyi</w:t>
      </w:r>
      <w:proofErr w:type="spellEnd"/>
      <w:r w:rsidR="00616BBD">
        <w:t xml:space="preserve"> als </w:t>
      </w:r>
      <w:r w:rsidR="00714124">
        <w:t>Secretaris-Generaal</w:t>
      </w:r>
      <w:r w:rsidR="00616BBD">
        <w:t xml:space="preserve"> in 2013 zijn er pogingen gedaan de focus en effectiviteit te verbeteren. </w:t>
      </w:r>
      <w:r w:rsidRPr="00D93E87">
        <w:t>He</w:t>
      </w:r>
      <w:r w:rsidR="00616BBD">
        <w:t>t UNCTAD management rapporteert</w:t>
      </w:r>
      <w:r w:rsidR="00714124">
        <w:t xml:space="preserve"> </w:t>
      </w:r>
      <w:r w:rsidR="00616BBD">
        <w:t xml:space="preserve">jaarlijks </w:t>
      </w:r>
      <w:r w:rsidRPr="00D93E87">
        <w:t xml:space="preserve">aan de TDB over de </w:t>
      </w:r>
      <w:proofErr w:type="gramStart"/>
      <w:r w:rsidRPr="00D93E87">
        <w:t>implementatie</w:t>
      </w:r>
      <w:proofErr w:type="gramEnd"/>
      <w:r w:rsidRPr="00D93E87">
        <w:t xml:space="preserve"> van het werkplan n</w:t>
      </w:r>
      <w:r w:rsidR="00616BBD">
        <w:t>aar aanleiding van bovengenoemd</w:t>
      </w:r>
      <w:r w:rsidRPr="00D93E87">
        <w:t xml:space="preserve"> JIU-rapport. </w:t>
      </w:r>
      <w:r w:rsidR="00C60FEA">
        <w:t xml:space="preserve">De JIU-aanbevelingen uit 2012 zijn </w:t>
      </w:r>
      <w:proofErr w:type="gramStart"/>
      <w:r w:rsidR="00C60FEA">
        <w:t>inmiddels</w:t>
      </w:r>
      <w:proofErr w:type="gramEnd"/>
      <w:r w:rsidR="00C60FEA">
        <w:t xml:space="preserve"> bijna allemaal opgevolgd.</w:t>
      </w:r>
    </w:p>
    <w:p w14:paraId="1ED9F1EB" w14:textId="77777777" w:rsidR="00C60FEA" w:rsidRDefault="00C60FEA" w:rsidP="00BD6D99"/>
    <w:p w14:paraId="1ED9F1EC" w14:textId="5B868EAB" w:rsidR="00735F83" w:rsidRPr="00D93E87" w:rsidRDefault="00BD6D99" w:rsidP="00BD6D99">
      <w:r w:rsidRPr="00D93E87">
        <w:t xml:space="preserve">De voortgangsrapportage </w:t>
      </w:r>
      <w:r w:rsidR="00616BBD">
        <w:t xml:space="preserve">uit 2014 </w:t>
      </w:r>
      <w:r w:rsidRPr="00D93E87">
        <w:t xml:space="preserve">toont </w:t>
      </w:r>
      <w:r w:rsidR="00616BBD">
        <w:t xml:space="preserve">de voortgang op </w:t>
      </w:r>
      <w:r w:rsidR="0057255B">
        <w:t>een aantal</w:t>
      </w:r>
      <w:r w:rsidR="00616BBD">
        <w:t xml:space="preserve"> hervormingsgebieden</w:t>
      </w:r>
      <w:r w:rsidR="00714124">
        <w:t xml:space="preserve"> </w:t>
      </w:r>
      <w:r w:rsidR="0057255B" w:rsidRPr="0057255B">
        <w:t>en initiatieven om de organisatie sterker te maken.</w:t>
      </w:r>
      <w:r w:rsidR="0057255B">
        <w:t xml:space="preserve"> Hieruit </w:t>
      </w:r>
      <w:r w:rsidR="0057255B">
        <w:lastRenderedPageBreak/>
        <w:t xml:space="preserve">concluderen we dat er </w:t>
      </w:r>
      <w:r w:rsidR="00C60FEA">
        <w:t xml:space="preserve">weliswaar </w:t>
      </w:r>
      <w:r w:rsidR="0057255B">
        <w:t xml:space="preserve">voortgang wordt </w:t>
      </w:r>
      <w:r w:rsidR="00C60FEA">
        <w:t>geboekt, maar e</w:t>
      </w:r>
      <w:r w:rsidR="0057255B">
        <w:t>r is nog geen evaluatie beschikbaar die de resultaten van deze ontwikkelingen heeft getoetst</w:t>
      </w:r>
      <w:r w:rsidR="00C60FEA">
        <w:t>.</w:t>
      </w:r>
      <w:r w:rsidR="00714124">
        <w:t xml:space="preserve"> </w:t>
      </w:r>
      <w:r w:rsidR="00C60FEA">
        <w:t>D</w:t>
      </w:r>
      <w:r w:rsidR="00EB79A1">
        <w:t xml:space="preserve">aadwerkelijke </w:t>
      </w:r>
      <w:r w:rsidR="00C60FEA">
        <w:t>bewijzen van verbetering</w:t>
      </w:r>
      <w:r w:rsidR="00EB79A1">
        <w:t xml:space="preserve"> moeten zich dus nog </w:t>
      </w:r>
      <w:r w:rsidR="00C60FEA">
        <w:t>aandienen</w:t>
      </w:r>
      <w:r w:rsidR="0057255B">
        <w:t>.</w:t>
      </w:r>
    </w:p>
    <w:p w14:paraId="1ED9F1ED" w14:textId="77777777" w:rsidR="0047306B" w:rsidRPr="008E27B3" w:rsidRDefault="0047306B" w:rsidP="00BD6D99">
      <w:pPr>
        <w:rPr>
          <w:color w:val="4F81BD"/>
        </w:rPr>
      </w:pPr>
    </w:p>
    <w:p w14:paraId="1ED9F1EE" w14:textId="77777777" w:rsidR="00BD6D99" w:rsidRPr="00D93E87" w:rsidRDefault="00BD6D99" w:rsidP="00BD6D99">
      <w:r w:rsidRPr="00D93E87">
        <w:t xml:space="preserve">Beoordeling: </w:t>
      </w:r>
      <w:r w:rsidR="00F43089">
        <w:t xml:space="preserve">matig = </w:t>
      </w:r>
      <w:r w:rsidR="00EB79A1">
        <w:t>2</w:t>
      </w:r>
    </w:p>
    <w:p w14:paraId="1ED9F1EF" w14:textId="77777777" w:rsidR="00BD6D99" w:rsidRDefault="00BD6D99" w:rsidP="00BD6D99">
      <w:r w:rsidRPr="00D93E87">
        <w:t xml:space="preserve">Verwachting voor positieve verbetering: </w:t>
      </w:r>
      <w:r w:rsidR="00F43089">
        <w:t>waarschijnlijk =</w:t>
      </w:r>
      <w:r w:rsidR="00246DF5">
        <w:t xml:space="preserve"> </w:t>
      </w:r>
      <w:r w:rsidR="00EB79A1">
        <w:sym w:font="Wingdings" w:char="F0E9"/>
      </w:r>
    </w:p>
    <w:p w14:paraId="1ED9F1F0" w14:textId="77777777" w:rsidR="00246DF5" w:rsidRPr="00D93E87" w:rsidRDefault="00246DF5" w:rsidP="00BD6D99"/>
    <w:p w14:paraId="1ED9F1F1" w14:textId="77777777" w:rsidR="00BD6D99" w:rsidRPr="00412635" w:rsidRDefault="00BD6D99" w:rsidP="00BD6D99">
      <w:pPr>
        <w:pStyle w:val="Heading2"/>
        <w:tabs>
          <w:tab w:val="left" w:pos="-1162"/>
          <w:tab w:val="left" w:pos="0"/>
          <w:tab w:val="num" w:pos="1160"/>
        </w:tabs>
        <w:spacing w:line="240" w:lineRule="auto"/>
        <w:ind w:hanging="1162"/>
        <w:rPr>
          <w:b w:val="0"/>
        </w:rPr>
      </w:pPr>
      <w:bookmarkStart w:id="27" w:name="_Toc410397632"/>
      <w:r w:rsidRPr="00412635">
        <w:t>3.5</w:t>
      </w:r>
      <w:r w:rsidRPr="00412635">
        <w:tab/>
        <w:t>Beleidsevaluatie</w:t>
      </w:r>
      <w:bookmarkEnd w:id="27"/>
    </w:p>
    <w:p w14:paraId="1ED9F1F2" w14:textId="77777777" w:rsidR="00BD6D99" w:rsidRPr="00836F35" w:rsidRDefault="00BD6D99" w:rsidP="00BD6D99">
      <w:pPr>
        <w:rPr>
          <w:color w:val="FF0000"/>
        </w:rPr>
      </w:pPr>
    </w:p>
    <w:p w14:paraId="1ED9F1F3" w14:textId="0EE930A0" w:rsidR="00735F83" w:rsidRDefault="00BD6D99" w:rsidP="00BD6D99">
      <w:r w:rsidRPr="001A4548">
        <w:t xml:space="preserve">De UNCTAD Evaluation Unit is </w:t>
      </w:r>
      <w:r>
        <w:t xml:space="preserve">in naam </w:t>
      </w:r>
      <w:r w:rsidRPr="001A4548">
        <w:t xml:space="preserve">onafhankelijk en rapporteert rechtstreeks aan de Secretaris-Generaal. </w:t>
      </w:r>
      <w:r>
        <w:t xml:space="preserve">Volgens het JIU-rapport over evaluatiediensten binnen de VN is de evaluatiedienst van UNCTAD echter slechts </w:t>
      </w:r>
      <w:r w:rsidRPr="002C3B05">
        <w:t xml:space="preserve">beperkt </w:t>
      </w:r>
      <w:r>
        <w:t xml:space="preserve">onafhankelijk van het management. Het rapport beveelt daarom aan dat UNCTAD </w:t>
      </w:r>
      <w:r w:rsidRPr="002C3B05">
        <w:t xml:space="preserve">de </w:t>
      </w:r>
      <w:r>
        <w:t xml:space="preserve">positie </w:t>
      </w:r>
      <w:r w:rsidRPr="002C3B05">
        <w:t xml:space="preserve">van de evaluatiedienst </w:t>
      </w:r>
      <w:r>
        <w:t>in de organisatie herziet om de onafhankelijkheid te waarborgen.</w:t>
      </w:r>
    </w:p>
    <w:p w14:paraId="1ED9F1F4" w14:textId="77777777" w:rsidR="00BD6D99" w:rsidRDefault="00BD6D99" w:rsidP="00BD6D99"/>
    <w:p w14:paraId="1ED9F1F5" w14:textId="2108880E" w:rsidR="00735F83" w:rsidRPr="001A4548" w:rsidRDefault="00BD6D99" w:rsidP="00BD6D99">
      <w:r>
        <w:t xml:space="preserve">De evaluatiedienst van UNCTAD is </w:t>
      </w:r>
      <w:r w:rsidRPr="001A4548">
        <w:t xml:space="preserve">belast met de coördinatie van alle interne en externe evaluaties van </w:t>
      </w:r>
      <w:r>
        <w:t>de organisatie en haar activiteiten</w:t>
      </w:r>
      <w:r w:rsidRPr="001A4548">
        <w:t xml:space="preserve"> en heeft een expliciet mandaat om </w:t>
      </w:r>
      <w:proofErr w:type="spellStart"/>
      <w:r w:rsidRPr="00EB79A1">
        <w:rPr>
          <w:i/>
        </w:rPr>
        <w:t>Results</w:t>
      </w:r>
      <w:proofErr w:type="spellEnd"/>
      <w:r w:rsidR="00681E59">
        <w:rPr>
          <w:i/>
        </w:rPr>
        <w:t xml:space="preserve"> </w:t>
      </w:r>
      <w:proofErr w:type="spellStart"/>
      <w:r w:rsidRPr="00EB79A1">
        <w:rPr>
          <w:i/>
        </w:rPr>
        <w:t>Based</w:t>
      </w:r>
      <w:proofErr w:type="spellEnd"/>
      <w:r w:rsidRPr="00EB79A1">
        <w:rPr>
          <w:i/>
        </w:rPr>
        <w:t xml:space="preserve"> Management</w:t>
      </w:r>
      <w:r w:rsidRPr="001A4548">
        <w:t xml:space="preserve"> in de organisatie te bevorderen. Het evaluatiebeleid uit 2011 is uitgebreid en helder en heeft als doel de transparantie, coherentie en efficiëntie binnen de organisatie systematisch te vergroten. Doordat de Evaluation Unit ook een rol heeft in de review van nieuwe projecten wordt de kwaliteit van de projecten en programma’s verhoogd</w:t>
      </w:r>
      <w:r>
        <w:t>.</w:t>
      </w:r>
    </w:p>
    <w:p w14:paraId="1ED9F1F6" w14:textId="7A554DDD" w:rsidR="00BD6D99" w:rsidRDefault="00714124" w:rsidP="00BD6D99">
      <w:r>
        <w:t>Aanbevelingen van evaluaties worden doorgaa</w:t>
      </w:r>
      <w:r w:rsidR="003B75BC">
        <w:t>n</w:t>
      </w:r>
      <w:r>
        <w:t xml:space="preserve">s goed opgevolgd. </w:t>
      </w:r>
    </w:p>
    <w:p w14:paraId="1ED9F1F7" w14:textId="77777777" w:rsidR="00714124" w:rsidRPr="00C704EC" w:rsidRDefault="00714124" w:rsidP="00BD6D99"/>
    <w:p w14:paraId="1ED9F1F8" w14:textId="77777777" w:rsidR="00BD6D99" w:rsidRPr="00C704EC" w:rsidRDefault="00BD6D99" w:rsidP="00BD6D99">
      <w:r w:rsidRPr="00C704EC">
        <w:t xml:space="preserve">Beoordeling: </w:t>
      </w:r>
      <w:r w:rsidR="00F43089">
        <w:t xml:space="preserve">voldoende = </w:t>
      </w:r>
      <w:r w:rsidR="00EB79A1">
        <w:t>3</w:t>
      </w:r>
    </w:p>
    <w:p w14:paraId="1ED9F1F9" w14:textId="77777777" w:rsidR="00BD6D99" w:rsidRPr="00C704EC" w:rsidRDefault="00BD6D99" w:rsidP="00BD6D99">
      <w:r w:rsidRPr="00C704EC">
        <w:t xml:space="preserve">Verwachting voor positieve verbetering: </w:t>
      </w:r>
      <w:r w:rsidR="00F43089">
        <w:t>neutraal =</w:t>
      </w:r>
      <w:r w:rsidR="00246DF5">
        <w:t xml:space="preserve"> </w:t>
      </w:r>
      <w:r w:rsidR="00EB79A1">
        <w:sym w:font="Wingdings" w:char="F0E8"/>
      </w:r>
    </w:p>
    <w:p w14:paraId="1ED9F1FA" w14:textId="77777777" w:rsidR="00BD6D99" w:rsidRPr="00836F35" w:rsidRDefault="00BD6D99" w:rsidP="00BD6D99">
      <w:pPr>
        <w:rPr>
          <w:color w:val="FF0000"/>
        </w:rPr>
      </w:pPr>
    </w:p>
    <w:p w14:paraId="1ED9F1FB" w14:textId="0FA46C49" w:rsidR="00BD6D99" w:rsidRPr="00DC249A" w:rsidRDefault="00BD6D99" w:rsidP="00BD6D99">
      <w:pPr>
        <w:pStyle w:val="Heading2"/>
        <w:tabs>
          <w:tab w:val="left" w:pos="-1162"/>
          <w:tab w:val="left" w:pos="0"/>
          <w:tab w:val="num" w:pos="1160"/>
        </w:tabs>
        <w:spacing w:line="240" w:lineRule="auto"/>
        <w:ind w:hanging="1162"/>
      </w:pPr>
      <w:bookmarkStart w:id="28" w:name="_Toc348364671"/>
      <w:bookmarkStart w:id="29" w:name="_Toc410397633"/>
      <w:r w:rsidRPr="00C704EC">
        <w:t>3.6</w:t>
      </w:r>
      <w:r w:rsidRPr="00C704EC">
        <w:tab/>
      </w:r>
      <w:bookmarkEnd w:id="28"/>
      <w:bookmarkEnd w:id="29"/>
      <w:r w:rsidR="00C35CC9">
        <w:t>Personeelsbeleid</w:t>
      </w:r>
    </w:p>
    <w:p w14:paraId="1ED9F1FC" w14:textId="77777777" w:rsidR="00BD6D99" w:rsidRPr="00836F35" w:rsidRDefault="00BD6D99" w:rsidP="00BD6D99">
      <w:pPr>
        <w:rPr>
          <w:b/>
          <w:color w:val="FF0000"/>
        </w:rPr>
      </w:pPr>
    </w:p>
    <w:p w14:paraId="1ED9F1FD" w14:textId="5717E3D2" w:rsidR="00735F83" w:rsidRDefault="00735F83" w:rsidP="00BD6D99">
      <w:r w:rsidRPr="00A922C4">
        <w:t>UNCTAD voldoet formeel aan de VN-regels voor het aannemen van personeel (incl. de aandacht voor geografische en genderverdeling).</w:t>
      </w:r>
      <w:r w:rsidR="00E52D9D">
        <w:t xml:space="preserve"> </w:t>
      </w:r>
      <w:r>
        <w:t>He</w:t>
      </w:r>
      <w:r w:rsidRPr="00A922C4">
        <w:t xml:space="preserve">t JIU-rapport </w:t>
      </w:r>
      <w:r>
        <w:t xml:space="preserve">is echter </w:t>
      </w:r>
      <w:r w:rsidRPr="00A922C4">
        <w:t xml:space="preserve">kritisch over </w:t>
      </w:r>
      <w:r>
        <w:t xml:space="preserve">UNCTAD door het gebrek aan transparantie in het selectieproces en de lange tijd </w:t>
      </w:r>
      <w:r w:rsidRPr="00A922C4">
        <w:t>die het kost om vacatures te vullen.</w:t>
      </w:r>
      <w:r w:rsidR="00645346">
        <w:t xml:space="preserve"> E</w:t>
      </w:r>
      <w:r w:rsidR="00645346" w:rsidRPr="00645346">
        <w:t>r is sprake van te weinig arbeidsmobiliteit</w:t>
      </w:r>
      <w:r w:rsidR="00645346">
        <w:t xml:space="preserve"> en m</w:t>
      </w:r>
      <w:r w:rsidR="00645346" w:rsidRPr="00645346">
        <w:t>edewerkers van het secretariaat zijn ontevreden over hun carrièreperspectieven.</w:t>
      </w:r>
      <w:r w:rsidR="00645346">
        <w:t xml:space="preserve"> Ook het onvoldoende gediversifieerde aanbod van gekwalificeerde sollicitanten is een uitdaging voor de organisatie. UNCTAD lanceerde in 2013 een nieuwe webpagina </w:t>
      </w:r>
      <w:r w:rsidR="00714124">
        <w:t>voor</w:t>
      </w:r>
      <w:r w:rsidR="00645346">
        <w:t xml:space="preserve"> vacatures en sinds januari 2014 </w:t>
      </w:r>
      <w:proofErr w:type="gramStart"/>
      <w:r w:rsidR="00645346">
        <w:t>zijn</w:t>
      </w:r>
      <w:proofErr w:type="gramEnd"/>
      <w:r w:rsidR="00645346">
        <w:t xml:space="preserve"> er </w:t>
      </w:r>
      <w:r w:rsidR="00571DB8" w:rsidRPr="00246DF5">
        <w:rPr>
          <w:i/>
        </w:rPr>
        <w:t xml:space="preserve">gender </w:t>
      </w:r>
      <w:proofErr w:type="spellStart"/>
      <w:r w:rsidR="00571DB8" w:rsidRPr="00246DF5">
        <w:rPr>
          <w:i/>
        </w:rPr>
        <w:t>focal</w:t>
      </w:r>
      <w:proofErr w:type="spellEnd"/>
      <w:r w:rsidR="00571DB8" w:rsidRPr="00246DF5">
        <w:rPr>
          <w:i/>
        </w:rPr>
        <w:t xml:space="preserve"> points</w:t>
      </w:r>
      <w:r w:rsidR="00645346">
        <w:t xml:space="preserve"> aangesteld. UNCTAD rapporteert bij elke TDB over de stand van zaken van de </w:t>
      </w:r>
      <w:r w:rsidR="00571DB8" w:rsidRPr="00246DF5">
        <w:rPr>
          <w:i/>
        </w:rPr>
        <w:t>human resources</w:t>
      </w:r>
      <w:r w:rsidR="00645346">
        <w:t>.</w:t>
      </w:r>
      <w:r w:rsidR="00E52D9D">
        <w:t xml:space="preserve"> </w:t>
      </w:r>
    </w:p>
    <w:p w14:paraId="1ED9F1FE" w14:textId="77777777" w:rsidR="00F85675" w:rsidRDefault="00F85675" w:rsidP="00BD6D99"/>
    <w:p w14:paraId="1ED9F1FF" w14:textId="7EEA9973" w:rsidR="00F85675" w:rsidRPr="00F85675" w:rsidRDefault="00F85675" w:rsidP="00BD6D99">
      <w:r w:rsidRPr="00F85675">
        <w:t xml:space="preserve">In oktober 2014 heeft de </w:t>
      </w:r>
      <w:r w:rsidRPr="00F85675">
        <w:rPr>
          <w:i/>
        </w:rPr>
        <w:t xml:space="preserve">United Nations Office of </w:t>
      </w:r>
      <w:proofErr w:type="spellStart"/>
      <w:r w:rsidRPr="00F85675">
        <w:rPr>
          <w:i/>
        </w:rPr>
        <w:t>Internal</w:t>
      </w:r>
      <w:proofErr w:type="spellEnd"/>
      <w:r w:rsidRPr="00F85675">
        <w:rPr>
          <w:i/>
        </w:rPr>
        <w:t xml:space="preserve"> </w:t>
      </w:r>
      <w:proofErr w:type="spellStart"/>
      <w:r w:rsidRPr="00F85675">
        <w:rPr>
          <w:i/>
        </w:rPr>
        <w:t>Oversight</w:t>
      </w:r>
      <w:proofErr w:type="spellEnd"/>
      <w:r w:rsidRPr="00F85675">
        <w:rPr>
          <w:i/>
        </w:rPr>
        <w:t xml:space="preserve"> Services (OIOS)</w:t>
      </w:r>
      <w:r w:rsidRPr="00F85675">
        <w:t xml:space="preserve"> een audit gedaan van het </w:t>
      </w:r>
      <w:proofErr w:type="spellStart"/>
      <w:r w:rsidRPr="00F85675">
        <w:t>recru</w:t>
      </w:r>
      <w:r w:rsidR="00714124">
        <w:t>terings</w:t>
      </w:r>
      <w:r w:rsidRPr="00F85675">
        <w:t>proces</w:t>
      </w:r>
      <w:proofErr w:type="spellEnd"/>
      <w:r w:rsidRPr="00F85675">
        <w:t xml:space="preserve"> </w:t>
      </w:r>
      <w:r>
        <w:t xml:space="preserve">van UNCTAD. Het oordeel was dat het </w:t>
      </w:r>
      <w:proofErr w:type="spellStart"/>
      <w:r>
        <w:t>recruteringsbeleid</w:t>
      </w:r>
      <w:proofErr w:type="spellEnd"/>
      <w:r>
        <w:t xml:space="preserve"> </w:t>
      </w:r>
      <w:proofErr w:type="gramStart"/>
      <w:r w:rsidR="001A6606">
        <w:t>inmiddels</w:t>
      </w:r>
      <w:proofErr w:type="gramEnd"/>
      <w:r w:rsidR="001A6606">
        <w:t xml:space="preserve"> ‘</w:t>
      </w:r>
      <w:proofErr w:type="spellStart"/>
      <w:r w:rsidR="00571DB8" w:rsidRPr="00246DF5">
        <w:rPr>
          <w:i/>
        </w:rPr>
        <w:t>partially</w:t>
      </w:r>
      <w:proofErr w:type="spellEnd"/>
      <w:r w:rsidR="00571DB8" w:rsidRPr="00246DF5">
        <w:rPr>
          <w:i/>
        </w:rPr>
        <w:t xml:space="preserve"> </w:t>
      </w:r>
      <w:proofErr w:type="spellStart"/>
      <w:r w:rsidR="00571DB8" w:rsidRPr="00246DF5">
        <w:rPr>
          <w:i/>
        </w:rPr>
        <w:t>satisfactory</w:t>
      </w:r>
      <w:proofErr w:type="spellEnd"/>
      <w:r w:rsidR="00571DB8" w:rsidRPr="00246DF5">
        <w:rPr>
          <w:i/>
        </w:rPr>
        <w:t>’</w:t>
      </w:r>
      <w:r w:rsidR="001A6606">
        <w:t xml:space="preserve"> is: er is voortgang op alle indicatoren maar er zijn tevens belangrijke aanvullende aanbevelingen gedaan.</w:t>
      </w:r>
    </w:p>
    <w:p w14:paraId="1ED9F200" w14:textId="77777777" w:rsidR="00BD6D99" w:rsidRPr="00F85675" w:rsidRDefault="00BD6D99" w:rsidP="00BD6D99">
      <w:pPr>
        <w:rPr>
          <w:color w:val="4F81BD"/>
        </w:rPr>
      </w:pPr>
    </w:p>
    <w:p w14:paraId="1ED9F201" w14:textId="77777777" w:rsidR="00BD6D99" w:rsidRPr="007F053D" w:rsidRDefault="00BD6D99" w:rsidP="00BD6D99">
      <w:r w:rsidRPr="004F60E1">
        <w:t xml:space="preserve">Beoordeling: </w:t>
      </w:r>
      <w:r w:rsidR="00F43089">
        <w:t xml:space="preserve">matig = </w:t>
      </w:r>
      <w:r w:rsidR="00EB79A1">
        <w:t>2</w:t>
      </w:r>
    </w:p>
    <w:p w14:paraId="1ED9F202" w14:textId="70902EE2" w:rsidR="00BD6D99" w:rsidRPr="004F60E1" w:rsidRDefault="00BD6D99" w:rsidP="00BD6D99">
      <w:r w:rsidRPr="004F60E1">
        <w:t xml:space="preserve">Verwachting voor positieve </w:t>
      </w:r>
      <w:r w:rsidR="003B75BC" w:rsidRPr="004F60E1">
        <w:t>verbetering:</w:t>
      </w:r>
      <w:r w:rsidR="003B75BC">
        <w:t xml:space="preserve"> </w:t>
      </w:r>
      <w:r w:rsidR="00F43089">
        <w:t>waarschijnlijk =</w:t>
      </w:r>
      <w:r w:rsidR="00246DF5">
        <w:t xml:space="preserve"> </w:t>
      </w:r>
      <w:r w:rsidR="00EB79A1">
        <w:sym w:font="Wingdings" w:char="F0E9"/>
      </w:r>
    </w:p>
    <w:p w14:paraId="1ED9F203" w14:textId="77777777" w:rsidR="002872FA" w:rsidRDefault="002872FA" w:rsidP="00BD6D99"/>
    <w:p w14:paraId="1ED9F204" w14:textId="77777777" w:rsidR="00246DF5" w:rsidRDefault="00246DF5" w:rsidP="00BD6D99"/>
    <w:p w14:paraId="172275B2" w14:textId="0E093B9C" w:rsidR="00681E59" w:rsidRDefault="00681E59" w:rsidP="00BD6D99"/>
    <w:p w14:paraId="5F3BA3D6" w14:textId="77777777" w:rsidR="00681E59" w:rsidRPr="00412635" w:rsidRDefault="00681E59" w:rsidP="00BD6D99"/>
    <w:p w14:paraId="1ED9F205" w14:textId="51815420" w:rsidR="00BD6D99" w:rsidRPr="00412635" w:rsidRDefault="00C35CC9" w:rsidP="00BD6D99">
      <w:pPr>
        <w:pStyle w:val="Heading2"/>
        <w:numPr>
          <w:ilvl w:val="1"/>
          <w:numId w:val="32"/>
        </w:numPr>
        <w:tabs>
          <w:tab w:val="left" w:pos="-1162"/>
          <w:tab w:val="left" w:pos="0"/>
        </w:tabs>
        <w:spacing w:line="240" w:lineRule="auto"/>
      </w:pPr>
      <w:bookmarkStart w:id="30" w:name="_Toc410397634"/>
      <w:r>
        <w:lastRenderedPageBreak/>
        <w:tab/>
        <w:t xml:space="preserve">Financieel </w:t>
      </w:r>
      <w:r w:rsidR="00BD6D99" w:rsidRPr="00412635">
        <w:t>beheer</w:t>
      </w:r>
      <w:bookmarkEnd w:id="30"/>
    </w:p>
    <w:p w14:paraId="1ED9F206" w14:textId="77777777" w:rsidR="00BD6D99" w:rsidRPr="00412635" w:rsidRDefault="00BD6D99" w:rsidP="00BD6D99"/>
    <w:p w14:paraId="1ED9F207" w14:textId="1488F802" w:rsidR="00BD6D99" w:rsidRDefault="00BD6D99" w:rsidP="00BD6D99">
      <w:r w:rsidRPr="0013050A">
        <w:t xml:space="preserve">Het rapport van de Joint </w:t>
      </w:r>
      <w:proofErr w:type="spellStart"/>
      <w:r w:rsidRPr="0013050A">
        <w:t>Inspection</w:t>
      </w:r>
      <w:proofErr w:type="spellEnd"/>
      <w:r w:rsidRPr="0013050A">
        <w:t xml:space="preserve"> Unit </w:t>
      </w:r>
      <w:r w:rsidR="0013050A" w:rsidRPr="0013050A">
        <w:t xml:space="preserve">van </w:t>
      </w:r>
      <w:r w:rsidRPr="0013050A">
        <w:t xml:space="preserve">2012 geeft aan dat bij UNCTAD een coherente fondswervingsstrategie ontbreekt, en dat er gebrek is aan </w:t>
      </w:r>
      <w:proofErr w:type="spellStart"/>
      <w:r w:rsidRPr="0013050A">
        <w:t>ongeoormerkte</w:t>
      </w:r>
      <w:proofErr w:type="spellEnd"/>
      <w:r w:rsidRPr="0013050A">
        <w:t xml:space="preserve"> vrijwillige bijdragen. De </w:t>
      </w:r>
      <w:r w:rsidR="0013050A" w:rsidRPr="0013050A">
        <w:t>JIU raadde</w:t>
      </w:r>
      <w:r w:rsidRPr="0013050A">
        <w:t xml:space="preserve"> UNCTAD aan om in overleg met de donoren een fondswervingsstrategie op te zetten met duidelijke doelen, meetbare resultaten, prioriteiten en verantwoordingslijnen.</w:t>
      </w:r>
      <w:r w:rsidR="0013050A">
        <w:t xml:space="preserve"> Deze strategie wordt momenteel in overleg met de donoren </w:t>
      </w:r>
      <w:proofErr w:type="gramStart"/>
      <w:r w:rsidR="0013050A">
        <w:t>gefinaliseerd</w:t>
      </w:r>
      <w:proofErr w:type="gramEnd"/>
      <w:r w:rsidR="0013050A">
        <w:t>, het is onbekend wanneer deze geïmplementeerd kan worden.</w:t>
      </w:r>
    </w:p>
    <w:p w14:paraId="491AF57D" w14:textId="6E0D6B0F" w:rsidR="003B75BC" w:rsidRDefault="003B75BC" w:rsidP="00BD6D99"/>
    <w:p w14:paraId="4666BA7F" w14:textId="684F9AF1" w:rsidR="003B75BC" w:rsidRPr="0013050A" w:rsidRDefault="003B75BC" w:rsidP="00BD6D99">
      <w:r w:rsidRPr="003B75BC">
        <w:t xml:space="preserve">De </w:t>
      </w:r>
      <w:r w:rsidRPr="003B75BC">
        <w:rPr>
          <w:i/>
        </w:rPr>
        <w:t>UN Office</w:t>
      </w:r>
      <w:r w:rsidRPr="003B75BC">
        <w:t xml:space="preserve"> in Genève (UNOG) voert de administratie voor UNCTAD, de </w:t>
      </w:r>
      <w:r w:rsidRPr="003B75BC">
        <w:rPr>
          <w:i/>
        </w:rPr>
        <w:t xml:space="preserve">UN Office of </w:t>
      </w:r>
      <w:proofErr w:type="spellStart"/>
      <w:r w:rsidRPr="003B75BC">
        <w:rPr>
          <w:i/>
        </w:rPr>
        <w:t>Internal</w:t>
      </w:r>
      <w:proofErr w:type="spellEnd"/>
      <w:r w:rsidRPr="003B75BC">
        <w:rPr>
          <w:i/>
        </w:rPr>
        <w:t xml:space="preserve"> </w:t>
      </w:r>
      <w:proofErr w:type="spellStart"/>
      <w:r w:rsidRPr="003B75BC">
        <w:rPr>
          <w:i/>
        </w:rPr>
        <w:t>Oversight</w:t>
      </w:r>
      <w:proofErr w:type="spellEnd"/>
      <w:r w:rsidRPr="003B75BC">
        <w:rPr>
          <w:i/>
        </w:rPr>
        <w:t xml:space="preserve"> Services </w:t>
      </w:r>
      <w:r w:rsidRPr="003B75BC">
        <w:t xml:space="preserve">(OIOS) houdt toezicht op de wijze waarop UNCTAD omgaat met financiële middelen. OIOS voert hiertoe audits, inspecties, evaluaties en onderzoeken uit. De externe audit wordt uitgevoerd door de </w:t>
      </w:r>
      <w:r w:rsidRPr="00681E59">
        <w:rPr>
          <w:i/>
        </w:rPr>
        <w:t>Board of Auditors</w:t>
      </w:r>
      <w:r w:rsidRPr="003B75BC">
        <w:t xml:space="preserve"> </w:t>
      </w:r>
      <w:r w:rsidR="00681E59">
        <w:t>(</w:t>
      </w:r>
      <w:proofErr w:type="spellStart"/>
      <w:r w:rsidR="00681E59">
        <w:t>BoA</w:t>
      </w:r>
      <w:proofErr w:type="spellEnd"/>
      <w:r w:rsidR="00681E59">
        <w:t xml:space="preserve">) </w:t>
      </w:r>
      <w:r w:rsidRPr="003B75BC">
        <w:t xml:space="preserve">van de VN. Het meest recente </w:t>
      </w:r>
      <w:proofErr w:type="spellStart"/>
      <w:r w:rsidRPr="003B75BC">
        <w:t>BoA</w:t>
      </w:r>
      <w:proofErr w:type="spellEnd"/>
      <w:r w:rsidRPr="003B75BC">
        <w:t xml:space="preserve"> rapport uit 2014 toont dat de aanbevelingen aan UNCTAD (m.b.t. het versterken van procedures voor en rapportage over technische assistentie) zijn overgenomen e</w:t>
      </w:r>
      <w:r>
        <w:t>n volledig geïmplementeerd.</w:t>
      </w:r>
    </w:p>
    <w:p w14:paraId="1ED9F208" w14:textId="77777777" w:rsidR="0013050A" w:rsidRDefault="0013050A" w:rsidP="00BD6D99">
      <w:pPr>
        <w:rPr>
          <w:color w:val="4F81BD"/>
        </w:rPr>
      </w:pPr>
    </w:p>
    <w:p w14:paraId="1ED9F209" w14:textId="668307FD" w:rsidR="00BD6D99" w:rsidRPr="0019635E" w:rsidRDefault="00BD6D99" w:rsidP="00BD6D99">
      <w:r w:rsidRPr="0019635E">
        <w:t xml:space="preserve">Beoordeling: </w:t>
      </w:r>
      <w:r w:rsidR="003B75BC">
        <w:t>Voldoende</w:t>
      </w:r>
      <w:r w:rsidR="00F43089">
        <w:t xml:space="preserve"> = </w:t>
      </w:r>
      <w:r w:rsidR="003B75BC">
        <w:t>3</w:t>
      </w:r>
    </w:p>
    <w:p w14:paraId="1ED9F20A" w14:textId="77777777" w:rsidR="00BD6D99" w:rsidRDefault="00BD6D99" w:rsidP="00BD6D99">
      <w:r w:rsidRPr="0019635E">
        <w:t xml:space="preserve">Verwachting voor positieve verbetering: </w:t>
      </w:r>
      <w:r w:rsidR="00F43089">
        <w:t>neutraal =</w:t>
      </w:r>
      <w:r w:rsidR="00EB79A1">
        <w:sym w:font="Wingdings" w:char="F0E8"/>
      </w:r>
    </w:p>
    <w:p w14:paraId="1ED9F20B" w14:textId="77777777" w:rsidR="00246DF5" w:rsidRPr="0019635E" w:rsidRDefault="00246DF5" w:rsidP="00BD6D99"/>
    <w:p w14:paraId="1ED9F20C" w14:textId="77777777" w:rsidR="00BD6D99" w:rsidRPr="00412635" w:rsidRDefault="00BD6D99" w:rsidP="00BD6D99">
      <w:pPr>
        <w:pStyle w:val="Heading2"/>
        <w:tabs>
          <w:tab w:val="left" w:pos="-1162"/>
          <w:tab w:val="left" w:pos="0"/>
          <w:tab w:val="num" w:pos="1160"/>
        </w:tabs>
        <w:spacing w:line="240" w:lineRule="auto"/>
        <w:ind w:hanging="1162"/>
      </w:pPr>
      <w:bookmarkStart w:id="31" w:name="_Toc410397635"/>
      <w:r w:rsidRPr="00412635">
        <w:t xml:space="preserve">3.8 </w:t>
      </w:r>
      <w:r w:rsidRPr="00412635">
        <w:tab/>
        <w:t>Corruptiebestrijding in de interne organisatie</w:t>
      </w:r>
      <w:bookmarkEnd w:id="31"/>
    </w:p>
    <w:p w14:paraId="1ED9F20D" w14:textId="77777777" w:rsidR="00BD6D99" w:rsidRPr="00412635" w:rsidRDefault="00BD6D99" w:rsidP="00BD6D99"/>
    <w:p w14:paraId="1ED9F20E" w14:textId="77777777" w:rsidR="00BD6D99" w:rsidRPr="00C87AFF" w:rsidRDefault="00BD6D99" w:rsidP="00BD6D99">
      <w:r w:rsidRPr="00C87AFF">
        <w:t>Als onderdeel van het VN-secretariaat valt UNCTAD ook onder alle algemene anti-fraude, anti-corruptie en klokkenluidersregelingen van de VN. Het UNCTAD-personeel valt onder de “</w:t>
      </w:r>
      <w:r w:rsidRPr="00F85675">
        <w:rPr>
          <w:i/>
        </w:rPr>
        <w:t xml:space="preserve">Code of </w:t>
      </w:r>
      <w:proofErr w:type="spellStart"/>
      <w:r w:rsidRPr="00F85675">
        <w:rPr>
          <w:i/>
        </w:rPr>
        <w:t>Conduct</w:t>
      </w:r>
      <w:proofErr w:type="spellEnd"/>
      <w:r w:rsidRPr="00C87AFF">
        <w:t xml:space="preserve">” van de VN en het VN </w:t>
      </w:r>
      <w:proofErr w:type="spellStart"/>
      <w:r w:rsidRPr="003B75BC">
        <w:rPr>
          <w:i/>
        </w:rPr>
        <w:t>Ethics</w:t>
      </w:r>
      <w:proofErr w:type="spellEnd"/>
      <w:r w:rsidRPr="003B75BC">
        <w:rPr>
          <w:i/>
        </w:rPr>
        <w:t xml:space="preserve"> Office</w:t>
      </w:r>
      <w:r w:rsidRPr="00C87AFF">
        <w:t xml:space="preserve"> is verantwoordelijk voor UNCTAD, zodat UNCTAD en haar medewerkers zich moeten conformeren aan de integriteitsregels van het </w:t>
      </w:r>
      <w:proofErr w:type="spellStart"/>
      <w:r w:rsidRPr="00C87AFF">
        <w:t>VN-handvest</w:t>
      </w:r>
      <w:proofErr w:type="spellEnd"/>
      <w:r w:rsidRPr="00C87AFF">
        <w:t>.</w:t>
      </w:r>
    </w:p>
    <w:p w14:paraId="1ED9F211" w14:textId="77777777" w:rsidR="00BD6D99" w:rsidRPr="008E27B3" w:rsidRDefault="00BD6D99" w:rsidP="00BD6D99">
      <w:pPr>
        <w:rPr>
          <w:b/>
          <w:color w:val="4F81BD"/>
        </w:rPr>
      </w:pPr>
    </w:p>
    <w:p w14:paraId="1ED9F212" w14:textId="77777777" w:rsidR="00BD6D99" w:rsidRPr="005F47F1" w:rsidRDefault="00BD6D99" w:rsidP="00BD6D99">
      <w:r w:rsidRPr="005F47F1">
        <w:t xml:space="preserve">Beoordeling: </w:t>
      </w:r>
      <w:r w:rsidR="00F43089">
        <w:t xml:space="preserve">voldoende = </w:t>
      </w:r>
      <w:r w:rsidR="00EB79A1">
        <w:t>3</w:t>
      </w:r>
    </w:p>
    <w:p w14:paraId="1ED9F213" w14:textId="77777777" w:rsidR="00BD6D99" w:rsidRPr="005F47F1" w:rsidRDefault="00BD6D99" w:rsidP="00BD6D99">
      <w:r w:rsidRPr="005F47F1">
        <w:t xml:space="preserve">Verwachting voor positieve verbetering: </w:t>
      </w:r>
      <w:r w:rsidR="00F43089">
        <w:t>neutraal =</w:t>
      </w:r>
      <w:r w:rsidR="00EB79A1">
        <w:sym w:font="Wingdings" w:char="F0E8"/>
      </w:r>
    </w:p>
    <w:p w14:paraId="1ED9F214" w14:textId="77777777" w:rsidR="00BD6D99" w:rsidRPr="00412635" w:rsidRDefault="00BD6D99" w:rsidP="00BD6D99"/>
    <w:p w14:paraId="1ED9F215" w14:textId="77777777" w:rsidR="00BD6D99" w:rsidRPr="00412635" w:rsidRDefault="00BD6D99" w:rsidP="00BD6D99">
      <w:pPr>
        <w:pStyle w:val="Heading1"/>
        <w:tabs>
          <w:tab w:val="num" w:pos="0"/>
        </w:tabs>
        <w:spacing w:after="240" w:line="240" w:lineRule="auto"/>
        <w:ind w:hanging="1162"/>
      </w:pPr>
      <w:bookmarkStart w:id="32" w:name="_Toc348364679"/>
      <w:bookmarkStart w:id="33" w:name="_Toc410397636"/>
      <w:r w:rsidRPr="00412635">
        <w:lastRenderedPageBreak/>
        <w:t xml:space="preserve">4 </w:t>
      </w:r>
      <w:r w:rsidRPr="00412635">
        <w:tab/>
        <w:t>Beleidsrelevantie en resultaten van de organisatie</w:t>
      </w:r>
      <w:bookmarkEnd w:id="32"/>
      <w:bookmarkEnd w:id="33"/>
    </w:p>
    <w:p w14:paraId="1ED9F216" w14:textId="77777777" w:rsidR="00BD6D99" w:rsidRPr="00246DF5" w:rsidRDefault="00BD6D99" w:rsidP="00246DF5">
      <w:pPr>
        <w:pStyle w:val="Heading2"/>
        <w:tabs>
          <w:tab w:val="left" w:pos="-1162"/>
          <w:tab w:val="left" w:pos="0"/>
        </w:tabs>
        <w:spacing w:line="240" w:lineRule="auto"/>
        <w:ind w:hanging="1134"/>
      </w:pPr>
      <w:bookmarkStart w:id="34" w:name="_Toc410397637"/>
      <w:r w:rsidRPr="001A6606">
        <w:t xml:space="preserve">4.1 </w:t>
      </w:r>
      <w:r w:rsidRPr="001A6606">
        <w:tab/>
        <w:t>Relevantie voor Nederlandse BHOS-prioriteiten</w:t>
      </w:r>
      <w:bookmarkEnd w:id="34"/>
      <w:r w:rsidR="00246DF5">
        <w:br/>
      </w:r>
      <w:r w:rsidR="00246DF5">
        <w:br/>
      </w:r>
      <w:r w:rsidR="00246DF5" w:rsidRPr="00C35CC9">
        <w:rPr>
          <w:b w:val="0"/>
        </w:rPr>
        <w:t xml:space="preserve">1. </w:t>
      </w:r>
      <w:r w:rsidRPr="00C35CC9">
        <w:rPr>
          <w:b w:val="0"/>
        </w:rPr>
        <w:t>Voedselzekerheid</w:t>
      </w:r>
    </w:p>
    <w:p w14:paraId="1ED9F217" w14:textId="77777777" w:rsidR="00BD6D99" w:rsidRPr="00246DF5" w:rsidRDefault="00720121" w:rsidP="00246DF5">
      <w:r w:rsidRPr="00246DF5">
        <w:t>Beperkt r</w:t>
      </w:r>
      <w:r w:rsidR="00BD6D99" w:rsidRPr="00246DF5">
        <w:t>elevant. In het streven naar duurzame economische ontwikkeling onderschrijft UNCTAD het belang van een duurzame ontwikkeling v</w:t>
      </w:r>
      <w:r w:rsidR="00FD3E49" w:rsidRPr="00246DF5">
        <w:t xml:space="preserve">an de agrarische </w:t>
      </w:r>
      <w:r w:rsidR="00BD6D99" w:rsidRPr="00246DF5">
        <w:t>sector. De programma’s van UNCTAD zijn voornamelijk gericht op economische ontwikkeling als gevolg van handel- en financieringsbeleid.</w:t>
      </w:r>
      <w:r w:rsidR="00FD3E49" w:rsidRPr="00246DF5">
        <w:t xml:space="preserve"> UNCTAD creëert hiermee een </w:t>
      </w:r>
      <w:proofErr w:type="spellStart"/>
      <w:r w:rsidR="00FD3E49" w:rsidRPr="00246DF5">
        <w:rPr>
          <w:i/>
        </w:rPr>
        <w:t>enabling</w:t>
      </w:r>
      <w:proofErr w:type="spellEnd"/>
      <w:r w:rsidR="00FD3E49" w:rsidRPr="00246DF5">
        <w:rPr>
          <w:i/>
        </w:rPr>
        <w:t xml:space="preserve"> environment</w:t>
      </w:r>
      <w:r w:rsidR="00FD3E49" w:rsidRPr="00246DF5">
        <w:t xml:space="preserve"> voor betere voedselzekerheid.</w:t>
      </w:r>
      <w:r w:rsidR="00246DF5">
        <w:br/>
      </w:r>
      <w:r w:rsidR="00246DF5">
        <w:br/>
        <w:t xml:space="preserve">2. </w:t>
      </w:r>
      <w:r w:rsidR="00BD6D99" w:rsidRPr="00246DF5">
        <w:t>Water</w:t>
      </w:r>
    </w:p>
    <w:p w14:paraId="1ED9F218" w14:textId="77777777" w:rsidR="00BD6D99" w:rsidRPr="00246DF5" w:rsidRDefault="00BD6D99" w:rsidP="00246DF5">
      <w:pPr>
        <w:rPr>
          <w:b/>
        </w:rPr>
      </w:pPr>
      <w:r w:rsidRPr="00246DF5">
        <w:t>Niet relevant</w:t>
      </w:r>
      <w:r w:rsidRPr="00246DF5">
        <w:rPr>
          <w:color w:val="4F81BD"/>
        </w:rPr>
        <w:t>.</w:t>
      </w:r>
      <w:r w:rsidR="00246DF5">
        <w:rPr>
          <w:b/>
        </w:rPr>
        <w:br/>
      </w:r>
      <w:r w:rsidR="00246DF5">
        <w:rPr>
          <w:b/>
        </w:rPr>
        <w:br/>
      </w:r>
      <w:r w:rsidR="00246DF5" w:rsidRPr="00246DF5">
        <w:t xml:space="preserve">3. </w:t>
      </w:r>
      <w:r w:rsidR="00FD3E49" w:rsidRPr="00246DF5">
        <w:t>Veiligheid en Rechtsorde</w:t>
      </w:r>
    </w:p>
    <w:p w14:paraId="1ED9F219" w14:textId="77777777" w:rsidR="00BD6D99" w:rsidRPr="00246DF5" w:rsidRDefault="00BD6D99" w:rsidP="00246DF5">
      <w:r w:rsidRPr="00246DF5">
        <w:t>Niet relevant.</w:t>
      </w:r>
      <w:r w:rsidR="00246DF5">
        <w:br/>
      </w:r>
      <w:r w:rsidR="00246DF5">
        <w:br/>
        <w:t xml:space="preserve">4. </w:t>
      </w:r>
      <w:r w:rsidRPr="00246DF5">
        <w:t>Seksuele en Reproductieve Gezondheid en Rechten (SRGR), inclusief hiv/aids</w:t>
      </w:r>
    </w:p>
    <w:p w14:paraId="1ED9F21A" w14:textId="77777777" w:rsidR="00BD6D99" w:rsidRPr="00246DF5" w:rsidRDefault="00BD6D99" w:rsidP="00246DF5">
      <w:r w:rsidRPr="00246DF5">
        <w:t>Niet relevant.</w:t>
      </w:r>
      <w:r w:rsidR="00246DF5">
        <w:br/>
      </w:r>
      <w:r w:rsidR="00246DF5">
        <w:br/>
        <w:t xml:space="preserve">5. </w:t>
      </w:r>
      <w:r w:rsidR="00FD3E49" w:rsidRPr="00246DF5">
        <w:t>Gendergelijkheid</w:t>
      </w:r>
    </w:p>
    <w:p w14:paraId="1ED9F21B" w14:textId="636C7CC4" w:rsidR="00BD6D99" w:rsidRPr="00246DF5" w:rsidRDefault="00FD3E49" w:rsidP="00246DF5">
      <w:r w:rsidRPr="00246DF5">
        <w:rPr>
          <w:iCs/>
        </w:rPr>
        <w:t>R</w:t>
      </w:r>
      <w:r w:rsidR="00BD6D99" w:rsidRPr="00246DF5">
        <w:rPr>
          <w:iCs/>
        </w:rPr>
        <w:t xml:space="preserve">elevant. In de publicaties van UNCTAD is gender een </w:t>
      </w:r>
      <w:r w:rsidRPr="00246DF5">
        <w:rPr>
          <w:iCs/>
        </w:rPr>
        <w:t>dwars</w:t>
      </w:r>
      <w:r w:rsidR="00BD6D99" w:rsidRPr="00246DF5">
        <w:rPr>
          <w:iCs/>
        </w:rPr>
        <w:t>doorsnijdend thema. De relatie tussen genderongelijkheid en handel staat steeds meer op de voorgrond in internationale debatten. UNCTAD doet onderzoek naar de positie van vrouwen in relatie tot handelsliberalisatie en formuleert op basis daarvan beleidsaanbevelingen voor gendergelijkheid.</w:t>
      </w:r>
      <w:r w:rsidRPr="00246DF5">
        <w:rPr>
          <w:iCs/>
        </w:rPr>
        <w:t xml:space="preserve"> Promotie van vrouwen is een belangrijk onderdeel van de activiteiten, bijv</w:t>
      </w:r>
      <w:r w:rsidR="00681E59">
        <w:rPr>
          <w:iCs/>
        </w:rPr>
        <w:t>oorbeeld</w:t>
      </w:r>
      <w:r w:rsidRPr="00246DF5">
        <w:rPr>
          <w:iCs/>
        </w:rPr>
        <w:t xml:space="preserve"> in </w:t>
      </w:r>
      <w:proofErr w:type="spellStart"/>
      <w:r w:rsidRPr="00246DF5">
        <w:rPr>
          <w:iCs/>
        </w:rPr>
        <w:t>Empretec</w:t>
      </w:r>
      <w:proofErr w:type="spellEnd"/>
      <w:r w:rsidRPr="00246DF5">
        <w:rPr>
          <w:iCs/>
        </w:rPr>
        <w:t xml:space="preserve"> (een programma ter bevordering van MKB).</w:t>
      </w:r>
      <w:r w:rsidR="00246DF5">
        <w:br/>
      </w:r>
      <w:r w:rsidR="00246DF5">
        <w:br/>
        <w:t xml:space="preserve">6. </w:t>
      </w:r>
      <w:r w:rsidR="00BD6D99" w:rsidRPr="00246DF5">
        <w:t>Klimaat</w:t>
      </w:r>
    </w:p>
    <w:p w14:paraId="1ED9F21C" w14:textId="77777777" w:rsidR="00BD6D99" w:rsidRPr="00246DF5" w:rsidRDefault="00BD6D99" w:rsidP="00246DF5">
      <w:r w:rsidRPr="00246DF5">
        <w:t xml:space="preserve">Niet relevant. </w:t>
      </w:r>
      <w:r w:rsidR="00FD3E49" w:rsidRPr="00246DF5">
        <w:t>Wel is d</w:t>
      </w:r>
      <w:r w:rsidRPr="00246DF5">
        <w:t xml:space="preserve">uurzame economische ontwikkeling het uiteindelijke en bindende doel van handel en ontwikkeling, en neemt </w:t>
      </w:r>
      <w:r w:rsidR="00FD3E49" w:rsidRPr="00246DF5">
        <w:t xml:space="preserve">het </w:t>
      </w:r>
      <w:r w:rsidRPr="00246DF5">
        <w:t xml:space="preserve">daarom een centrale positie in binnen de organisatie. UNCTAD zet zich </w:t>
      </w:r>
      <w:r w:rsidR="00FD3E49" w:rsidRPr="00246DF5">
        <w:t xml:space="preserve">bijvoorbeeld </w:t>
      </w:r>
      <w:r w:rsidRPr="00246DF5">
        <w:t xml:space="preserve">in voor het </w:t>
      </w:r>
      <w:proofErr w:type="spellStart"/>
      <w:r w:rsidRPr="00246DF5">
        <w:rPr>
          <w:i/>
        </w:rPr>
        <w:t>mainstreamen</w:t>
      </w:r>
      <w:proofErr w:type="spellEnd"/>
      <w:r w:rsidRPr="00246DF5">
        <w:t xml:space="preserve"> van duurzaamheid in handel- en ontwikkelingsbeleid.</w:t>
      </w:r>
      <w:r w:rsidR="00246DF5">
        <w:br/>
      </w:r>
      <w:r w:rsidR="00246DF5">
        <w:br/>
        <w:t xml:space="preserve">7. </w:t>
      </w:r>
      <w:r w:rsidRPr="00246DF5">
        <w:rPr>
          <w:i/>
        </w:rPr>
        <w:t>Private Sector Development</w:t>
      </w:r>
      <w:r w:rsidRPr="00246DF5">
        <w:t xml:space="preserve"> (inclusief </w:t>
      </w:r>
      <w:r w:rsidR="009E18F8" w:rsidRPr="00246DF5">
        <w:t>IMVO</w:t>
      </w:r>
      <w:r w:rsidRPr="00246DF5">
        <w:t>)</w:t>
      </w:r>
    </w:p>
    <w:p w14:paraId="1ED9F21D" w14:textId="77777777" w:rsidR="00560756" w:rsidRPr="00246DF5" w:rsidRDefault="00BD6D99" w:rsidP="00BD6D99">
      <w:r w:rsidRPr="00246DF5">
        <w:t>Relevant. Minst ontwikkelde landen ontvangen concrete beleidsaanbevelingen op basis van gericht onderzoek naar economische ontwikkelingsvraagstukken. De Investeringsdivisie levert technische assistentie aan landen ter bevordering van duurzame investeringen en economische ontwikkeling.</w:t>
      </w:r>
      <w:r w:rsidR="00E4450E" w:rsidRPr="00246DF5">
        <w:t xml:space="preserve"> </w:t>
      </w:r>
      <w:r w:rsidR="00E85FA2" w:rsidRPr="00246DF5">
        <w:t>UNCTAD hecht veel waarde aan samenwerking met het maatschappelijk middenveld en de private sector in ontwikkelingslanden</w:t>
      </w:r>
      <w:proofErr w:type="gramStart"/>
      <w:r w:rsidR="00E85FA2" w:rsidRPr="00246DF5">
        <w:t>, wat</w:t>
      </w:r>
      <w:proofErr w:type="gramEnd"/>
      <w:r w:rsidR="00E85FA2" w:rsidRPr="00246DF5">
        <w:t xml:space="preserve"> voor ontwikkelingslanden essentieel is om te kunnen integreren in de internationale economie.</w:t>
      </w:r>
    </w:p>
    <w:p w14:paraId="1ED9F21E" w14:textId="77777777" w:rsidR="004A074D" w:rsidRPr="00246DF5" w:rsidRDefault="004A074D" w:rsidP="00BD6D99">
      <w:r w:rsidRPr="00246DF5">
        <w:t xml:space="preserve">Nederland heeft de afgelopen jaren de financiële bijdrage aan UNCTAD gereduceerd. Dat neemt niet weg dat belangrijke samenwerkingsprojecten </w:t>
      </w:r>
      <w:r w:rsidR="0014446A" w:rsidRPr="00246DF5">
        <w:t xml:space="preserve">in uitvoering werden genomen op belangrijke onderwerpen als schuldenbeheer (DMFAS), </w:t>
      </w:r>
      <w:r w:rsidRPr="00246DF5">
        <w:t>voorlichting over oorsprongsregels</w:t>
      </w:r>
      <w:r w:rsidR="0014446A" w:rsidRPr="00246DF5">
        <w:t>, douane en studies</w:t>
      </w:r>
      <w:r w:rsidRPr="00246DF5">
        <w:t xml:space="preserve"> op het snijvlak van hulp en handel.</w:t>
      </w:r>
    </w:p>
    <w:p w14:paraId="1ED9F21F" w14:textId="77777777" w:rsidR="00BD6D99" w:rsidRPr="00246DF5" w:rsidRDefault="0014446A" w:rsidP="00246DF5">
      <w:r w:rsidRPr="00246DF5">
        <w:t xml:space="preserve">De </w:t>
      </w:r>
      <w:r w:rsidR="004A074D" w:rsidRPr="00246DF5">
        <w:t>recente</w:t>
      </w:r>
      <w:r w:rsidRPr="00246DF5">
        <w:t xml:space="preserve">lijk </w:t>
      </w:r>
      <w:r w:rsidR="00560756" w:rsidRPr="00246DF5">
        <w:t xml:space="preserve">goede </w:t>
      </w:r>
      <w:r w:rsidRPr="00246DF5">
        <w:t>UNCTAD-</w:t>
      </w:r>
      <w:r w:rsidR="00560756" w:rsidRPr="00246DF5">
        <w:t xml:space="preserve">resultaten </w:t>
      </w:r>
      <w:r w:rsidRPr="00246DF5">
        <w:t xml:space="preserve"> op het </w:t>
      </w:r>
      <w:r w:rsidR="004A074D" w:rsidRPr="00246DF5">
        <w:t>terrein</w:t>
      </w:r>
      <w:r w:rsidRPr="00246DF5">
        <w:t xml:space="preserve"> van investeringen hebben</w:t>
      </w:r>
      <w:r w:rsidR="004A074D" w:rsidRPr="00246DF5">
        <w:t xml:space="preserve"> de samenwerking </w:t>
      </w:r>
      <w:r w:rsidR="00560756" w:rsidRPr="00246DF5">
        <w:t xml:space="preserve">op </w:t>
      </w:r>
      <w:proofErr w:type="gramStart"/>
      <w:r w:rsidR="00560756" w:rsidRPr="00246DF5">
        <w:t xml:space="preserve">projectbasis </w:t>
      </w:r>
      <w:r w:rsidR="0030137F" w:rsidRPr="00246DF5">
        <w:t xml:space="preserve"> </w:t>
      </w:r>
      <w:proofErr w:type="gramEnd"/>
      <w:r w:rsidR="0030137F" w:rsidRPr="00246DF5">
        <w:t>nieuwe impulsen gegeven</w:t>
      </w:r>
      <w:r w:rsidR="00560756" w:rsidRPr="00246DF5">
        <w:t xml:space="preserve">. </w:t>
      </w:r>
      <w:r w:rsidRPr="00246DF5">
        <w:t xml:space="preserve">Zo werkt </w:t>
      </w:r>
      <w:r w:rsidR="0030137F" w:rsidRPr="00246DF5">
        <w:t>Nederland</w:t>
      </w:r>
      <w:r w:rsidR="00E4450E" w:rsidRPr="00246DF5">
        <w:t xml:space="preserve"> </w:t>
      </w:r>
      <w:r w:rsidR="00560756" w:rsidRPr="00246DF5">
        <w:t xml:space="preserve">met UNCTAD samen aan verbetering van het investeringsklimaat in Bangladesh, Benin en Kenia. Nederlandse ambassades in deze landen zijn betrokken bij de uitvoering, zodat er een maximale aansluiting op de Nederlandse agenda voor hulp, handel en investeringen </w:t>
      </w:r>
      <w:r w:rsidRPr="00246DF5">
        <w:t xml:space="preserve">kan </w:t>
      </w:r>
      <w:r w:rsidR="00560756" w:rsidRPr="00246DF5">
        <w:t>word</w:t>
      </w:r>
      <w:r w:rsidRPr="00246DF5">
        <w:t>en</w:t>
      </w:r>
      <w:r w:rsidR="00560756" w:rsidRPr="00246DF5">
        <w:t xml:space="preserve"> gerealiseerd.</w:t>
      </w:r>
      <w:r w:rsidR="00246DF5">
        <w:br/>
      </w:r>
      <w:r w:rsidR="00246DF5">
        <w:br/>
        <w:t xml:space="preserve">8. </w:t>
      </w:r>
      <w:r w:rsidR="009E18F8" w:rsidRPr="00246DF5">
        <w:t>Humanitaire hulp</w:t>
      </w:r>
    </w:p>
    <w:p w14:paraId="1ED9F220" w14:textId="77777777" w:rsidR="00BD6D99" w:rsidRPr="00246DF5" w:rsidRDefault="00BD6D99" w:rsidP="00BD6D99">
      <w:r w:rsidRPr="00246DF5">
        <w:t>Niet relevant.</w:t>
      </w:r>
    </w:p>
    <w:p w14:paraId="1ED9F221" w14:textId="77777777" w:rsidR="00BD6D99" w:rsidRPr="00412635" w:rsidRDefault="00BD6D99" w:rsidP="00BD6D99"/>
    <w:p w14:paraId="1ED9F222" w14:textId="4DE76FCC" w:rsidR="00BD6D99" w:rsidRPr="00412635" w:rsidRDefault="00BD6D99" w:rsidP="00BD6D99">
      <w:pPr>
        <w:pStyle w:val="Heading2"/>
        <w:tabs>
          <w:tab w:val="left" w:pos="-1162"/>
          <w:tab w:val="left" w:pos="0"/>
          <w:tab w:val="num" w:pos="1160"/>
        </w:tabs>
        <w:spacing w:line="240" w:lineRule="auto"/>
        <w:ind w:hanging="1162"/>
      </w:pPr>
      <w:bookmarkStart w:id="35" w:name="_Toc410140912"/>
      <w:bookmarkStart w:id="36" w:name="_Toc410397638"/>
      <w:r w:rsidRPr="00412635">
        <w:t>4.2</w:t>
      </w:r>
      <w:r w:rsidRPr="00412635">
        <w:tab/>
      </w:r>
      <w:r w:rsidR="00C35CC9">
        <w:t>Extra</w:t>
      </w:r>
      <w:r w:rsidRPr="00412635">
        <w:t xml:space="preserve"> relevantie</w:t>
      </w:r>
      <w:bookmarkEnd w:id="35"/>
      <w:bookmarkEnd w:id="36"/>
    </w:p>
    <w:p w14:paraId="1ED9F223" w14:textId="77777777" w:rsidR="00BD6D99" w:rsidRDefault="00BD6D99" w:rsidP="00BD6D99">
      <w:pPr>
        <w:rPr>
          <w:color w:val="FF0000"/>
        </w:rPr>
      </w:pPr>
    </w:p>
    <w:p w14:paraId="1ED9F224" w14:textId="5B0B6ADC" w:rsidR="008F608A" w:rsidRPr="00FD3E49" w:rsidRDefault="008F608A" w:rsidP="008F608A">
      <w:r w:rsidRPr="00FD3E49">
        <w:t xml:space="preserve">De focus </w:t>
      </w:r>
      <w:r>
        <w:t xml:space="preserve">van UNCTAD </w:t>
      </w:r>
      <w:r w:rsidRPr="00FD3E49">
        <w:t xml:space="preserve">op </w:t>
      </w:r>
      <w:r>
        <w:t xml:space="preserve">ontwikkeling, </w:t>
      </w:r>
      <w:r w:rsidRPr="00FD3E49">
        <w:t>handel</w:t>
      </w:r>
      <w:r>
        <w:t xml:space="preserve"> en</w:t>
      </w:r>
      <w:r w:rsidRPr="00FD3E49">
        <w:t xml:space="preserve"> investeringen heeft veel raakvlakken met het Nederlandse </w:t>
      </w:r>
      <w:r>
        <w:t>beleid.</w:t>
      </w:r>
      <w:r w:rsidRPr="00FD3E49">
        <w:t xml:space="preserve"> Op het gebied van hulp is UNCTAD relevant voor de realisatie van het armoededoel ‘</w:t>
      </w:r>
      <w:proofErr w:type="spellStart"/>
      <w:r>
        <w:rPr>
          <w:i/>
        </w:rPr>
        <w:t>getting</w:t>
      </w:r>
      <w:proofErr w:type="spellEnd"/>
      <w:r>
        <w:rPr>
          <w:i/>
        </w:rPr>
        <w:t xml:space="preserve"> </w:t>
      </w:r>
      <w:proofErr w:type="spellStart"/>
      <w:r>
        <w:rPr>
          <w:i/>
        </w:rPr>
        <w:t>to</w:t>
      </w:r>
      <w:proofErr w:type="spellEnd"/>
      <w:r>
        <w:rPr>
          <w:i/>
        </w:rPr>
        <w:t xml:space="preserve"> zero’</w:t>
      </w:r>
      <w:r w:rsidRPr="00FD3E49">
        <w:t xml:space="preserve"> </w:t>
      </w:r>
      <w:proofErr w:type="gramStart"/>
      <w:r w:rsidRPr="00FD3E49">
        <w:t>middels</w:t>
      </w:r>
      <w:proofErr w:type="gramEnd"/>
      <w:r w:rsidRPr="00FD3E49">
        <w:t xml:space="preserve"> handel en investeringen. </w:t>
      </w:r>
      <w:r w:rsidR="00AC057B">
        <w:t xml:space="preserve">Ook de technische assistentie op het gebied van (overheids-)schulden in lage en middeninkomenslanden is van groot belang. </w:t>
      </w:r>
      <w:r w:rsidRPr="00FD3E49">
        <w:t xml:space="preserve">UNCTAD draagt als kennisinstituut bij aan het harmoniseren van nationaal en internationaal beleid op het terrein van handel, investeringen en ontwikkeling. UNCTAD is weliswaar zijn autonome functie als denktank op het snijvlak van handel en ontwikkeling binnen de VN aan het verliezen, maar door samen te werken met ITC en de Wereldbank zijn zij nog steeds een relevante speler. </w:t>
      </w:r>
    </w:p>
    <w:p w14:paraId="1ED9F225" w14:textId="77777777" w:rsidR="008F608A" w:rsidRPr="00FD3E49" w:rsidRDefault="008F608A" w:rsidP="008F608A"/>
    <w:p w14:paraId="1ED9F226" w14:textId="77777777" w:rsidR="008F608A" w:rsidRPr="00FD3E49" w:rsidRDefault="008F608A" w:rsidP="008F608A">
      <w:r w:rsidRPr="00FD3E49">
        <w:t xml:space="preserve">UNCTAD produceert kennis, data en praktische </w:t>
      </w:r>
      <w:r>
        <w:t>instrumenten</w:t>
      </w:r>
      <w:r w:rsidRPr="00FD3E49">
        <w:t xml:space="preserve"> ter versterking van het investeringsbeleid, </w:t>
      </w:r>
      <w:proofErr w:type="gramStart"/>
      <w:r w:rsidRPr="00FD3E49">
        <w:t>met name</w:t>
      </w:r>
      <w:proofErr w:type="gramEnd"/>
      <w:r w:rsidRPr="00FD3E49">
        <w:t xml:space="preserve"> gericht op </w:t>
      </w:r>
      <w:r>
        <w:t>o</w:t>
      </w:r>
      <w:r w:rsidRPr="00FD3E49">
        <w:rPr>
          <w:iCs/>
        </w:rPr>
        <w:t>ntwikkelings- en transitielanden</w:t>
      </w:r>
      <w:r>
        <w:rPr>
          <w:iCs/>
        </w:rPr>
        <w:t>.</w:t>
      </w:r>
      <w:r w:rsidR="00E4450E">
        <w:rPr>
          <w:iCs/>
        </w:rPr>
        <w:t xml:space="preserve"> </w:t>
      </w:r>
      <w:r w:rsidRPr="00FD3E49">
        <w:t>UNCTAD geniet een mate van legitimiteit onder lage- en middeninkomenslanden die andere organisaties, zoals de OESO, niet altijd hebben.</w:t>
      </w:r>
      <w:r w:rsidR="00E4450E">
        <w:t xml:space="preserve"> </w:t>
      </w:r>
      <w:r w:rsidRPr="008F608A">
        <w:t xml:space="preserve">De </w:t>
      </w:r>
      <w:r w:rsidRPr="008F608A">
        <w:rPr>
          <w:i/>
        </w:rPr>
        <w:t xml:space="preserve">Investment </w:t>
      </w:r>
      <w:proofErr w:type="spellStart"/>
      <w:r w:rsidRPr="008F608A">
        <w:rPr>
          <w:i/>
        </w:rPr>
        <w:t>and</w:t>
      </w:r>
      <w:proofErr w:type="spellEnd"/>
      <w:r w:rsidRPr="008F608A">
        <w:rPr>
          <w:i/>
        </w:rPr>
        <w:t xml:space="preserve"> Enterprise </w:t>
      </w:r>
      <w:proofErr w:type="spellStart"/>
      <w:r w:rsidRPr="008F608A">
        <w:rPr>
          <w:i/>
        </w:rPr>
        <w:t>Division</w:t>
      </w:r>
      <w:proofErr w:type="spellEnd"/>
      <w:r w:rsidRPr="008F608A">
        <w:rPr>
          <w:i/>
        </w:rPr>
        <w:t xml:space="preserve"> </w:t>
      </w:r>
      <w:r w:rsidRPr="008F608A">
        <w:t>is een afdeling die voor het investeringsbeleid van Nederland relevant is.</w:t>
      </w:r>
    </w:p>
    <w:p w14:paraId="1ED9F227" w14:textId="77777777" w:rsidR="00BD6D99" w:rsidRDefault="00BD6D99" w:rsidP="00BD6D99">
      <w:pPr>
        <w:rPr>
          <w:color w:val="FF0000"/>
        </w:rPr>
      </w:pPr>
    </w:p>
    <w:p w14:paraId="1ED9F228" w14:textId="4BB86C4C" w:rsidR="001A6606" w:rsidRPr="006A5CDA" w:rsidRDefault="00AC057B" w:rsidP="00BD6D99">
      <w:r w:rsidRPr="006A5CDA">
        <w:t xml:space="preserve">Ook in het licht van de post-2015 agenda heeft UNCTAD een </w:t>
      </w:r>
      <w:r w:rsidR="006A5CDA" w:rsidRPr="006A5CDA">
        <w:t xml:space="preserve">relevante </w:t>
      </w:r>
      <w:r w:rsidRPr="006A5CDA">
        <w:t>rol. Zo is de UNCTAD XIV conferentie (maart 2016) een van de eerste grote multilaterale bijeenkomsten na het vaststellen van de post-2015 agenda in september 2015.</w:t>
      </w:r>
      <w:r w:rsidR="006A5CDA" w:rsidRPr="006A5CDA">
        <w:t xml:space="preserve"> Bovendien kan UNCTAD toegevoegde waarde hebben in het mobiliseren van handel en investeringen ten behoeve van de </w:t>
      </w:r>
      <w:proofErr w:type="gramStart"/>
      <w:r w:rsidR="006A5CDA" w:rsidRPr="006A5CDA">
        <w:t>implementatie</w:t>
      </w:r>
      <w:proofErr w:type="gramEnd"/>
      <w:r w:rsidR="006A5CDA" w:rsidRPr="006A5CDA">
        <w:t xml:space="preserve"> van de duurzame ontwikkelingsdoelen. SG </w:t>
      </w:r>
      <w:proofErr w:type="spellStart"/>
      <w:r w:rsidR="006A5CDA" w:rsidRPr="006A5CDA">
        <w:t>Kituyi</w:t>
      </w:r>
      <w:proofErr w:type="spellEnd"/>
      <w:r w:rsidR="006A5CDA" w:rsidRPr="006A5CDA">
        <w:t xml:space="preserve"> heeft hiertoe de ambitie de lange termijn-agenda van UNCTAD aan te sluiten bij de post-2015 agenda.</w:t>
      </w:r>
    </w:p>
    <w:p w14:paraId="1ED9F229" w14:textId="77777777" w:rsidR="001A6606" w:rsidRPr="00836F35" w:rsidRDefault="001A6606" w:rsidP="00BD6D99">
      <w:pPr>
        <w:rPr>
          <w:color w:val="FF0000"/>
        </w:rPr>
      </w:pPr>
    </w:p>
    <w:p w14:paraId="1ED9F22A" w14:textId="58B43BA3" w:rsidR="00BD6D99" w:rsidRPr="00412635" w:rsidRDefault="00E52D9D" w:rsidP="00BD6D99">
      <w:pPr>
        <w:pStyle w:val="Heading1"/>
        <w:tabs>
          <w:tab w:val="num" w:pos="0"/>
        </w:tabs>
        <w:spacing w:after="240" w:line="240" w:lineRule="auto"/>
        <w:ind w:hanging="1162"/>
      </w:pPr>
      <w:bookmarkStart w:id="37" w:name="_Toc410397639"/>
      <w:r>
        <w:lastRenderedPageBreak/>
        <w:t>5</w:t>
      </w:r>
      <w:r>
        <w:tab/>
      </w:r>
      <w:r w:rsidR="00BD6D99" w:rsidRPr="00DC249A">
        <w:t>Conclusie</w:t>
      </w:r>
      <w:bookmarkEnd w:id="37"/>
    </w:p>
    <w:p w14:paraId="1ED9F22B" w14:textId="77777777" w:rsidR="00BD6D99" w:rsidRPr="00412635" w:rsidRDefault="00BD6D99" w:rsidP="00BD6D99"/>
    <w:p w14:paraId="1ED9F22C" w14:textId="77777777" w:rsidR="00BD6D99" w:rsidRPr="00412635" w:rsidRDefault="00BD6D99" w:rsidP="00BD6D99">
      <w:pPr>
        <w:pStyle w:val="Heading2"/>
        <w:tabs>
          <w:tab w:val="left" w:pos="-1162"/>
          <w:tab w:val="left" w:pos="0"/>
          <w:tab w:val="num" w:pos="1160"/>
        </w:tabs>
        <w:spacing w:line="240" w:lineRule="auto"/>
        <w:ind w:hanging="1162"/>
      </w:pPr>
      <w:bookmarkStart w:id="38" w:name="_Toc410397640"/>
      <w:r w:rsidRPr="00412635">
        <w:t xml:space="preserve">5.1 </w:t>
      </w:r>
      <w:r w:rsidRPr="00412635">
        <w:tab/>
        <w:t>Institutionele aspecten en functioneren</w:t>
      </w:r>
      <w:bookmarkEnd w:id="38"/>
    </w:p>
    <w:p w14:paraId="1ED9F22D" w14:textId="77777777" w:rsidR="00BD6D99" w:rsidRPr="00DC249A" w:rsidRDefault="00BD6D99" w:rsidP="00BD6D99"/>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
        <w:gridCol w:w="5349"/>
        <w:gridCol w:w="841"/>
        <w:gridCol w:w="852"/>
      </w:tblGrid>
      <w:tr w:rsidR="00BD6D99" w:rsidRPr="00DC249A" w14:paraId="1ED9F232" w14:textId="77777777" w:rsidTr="00415AA9">
        <w:tc>
          <w:tcPr>
            <w:tcW w:w="359" w:type="dxa"/>
            <w:shd w:val="clear" w:color="auto" w:fill="auto"/>
          </w:tcPr>
          <w:p w14:paraId="1ED9F22E" w14:textId="77777777" w:rsidR="00BD6D99" w:rsidRPr="00DC249A" w:rsidRDefault="00BD6D99" w:rsidP="00415AA9"/>
        </w:tc>
        <w:tc>
          <w:tcPr>
            <w:tcW w:w="5349" w:type="dxa"/>
            <w:shd w:val="clear" w:color="auto" w:fill="auto"/>
          </w:tcPr>
          <w:p w14:paraId="1ED9F22F" w14:textId="77777777" w:rsidR="00BD6D99" w:rsidRPr="00DC249A" w:rsidRDefault="00BD6D99" w:rsidP="00415AA9"/>
        </w:tc>
        <w:tc>
          <w:tcPr>
            <w:tcW w:w="841" w:type="dxa"/>
            <w:shd w:val="clear" w:color="auto" w:fill="auto"/>
          </w:tcPr>
          <w:p w14:paraId="1ED9F230" w14:textId="77777777" w:rsidR="00BD6D99" w:rsidRPr="00DC249A" w:rsidRDefault="00BD6D99" w:rsidP="00415AA9">
            <w:r w:rsidRPr="00DC249A">
              <w:t>Score</w:t>
            </w:r>
          </w:p>
        </w:tc>
        <w:tc>
          <w:tcPr>
            <w:tcW w:w="852" w:type="dxa"/>
            <w:shd w:val="clear" w:color="auto" w:fill="auto"/>
          </w:tcPr>
          <w:p w14:paraId="1ED9F231" w14:textId="77777777" w:rsidR="00BD6D99" w:rsidRPr="00DC249A" w:rsidRDefault="00BD6D99" w:rsidP="00415AA9">
            <w:proofErr w:type="spellStart"/>
            <w:r w:rsidRPr="00DC249A">
              <w:t>Verw</w:t>
            </w:r>
            <w:proofErr w:type="spellEnd"/>
            <w:r w:rsidRPr="00DC249A">
              <w:t>.</w:t>
            </w:r>
          </w:p>
        </w:tc>
      </w:tr>
      <w:tr w:rsidR="00BD6D99" w:rsidRPr="00DC249A" w14:paraId="1ED9F234" w14:textId="77777777" w:rsidTr="00415AA9">
        <w:tc>
          <w:tcPr>
            <w:tcW w:w="7401" w:type="dxa"/>
            <w:gridSpan w:val="4"/>
            <w:shd w:val="clear" w:color="auto" w:fill="auto"/>
          </w:tcPr>
          <w:p w14:paraId="1ED9F233" w14:textId="77777777" w:rsidR="00BD6D99" w:rsidRPr="00DC249A" w:rsidRDefault="00BD6D99" w:rsidP="00415AA9">
            <w:pPr>
              <w:rPr>
                <w:b/>
              </w:rPr>
            </w:pPr>
            <w:r w:rsidRPr="00DC249A">
              <w:rPr>
                <w:b/>
              </w:rPr>
              <w:t xml:space="preserve">3 Institutionele aspecten en functioneren </w:t>
            </w:r>
          </w:p>
        </w:tc>
      </w:tr>
      <w:tr w:rsidR="00BD6D99" w:rsidRPr="00DC249A" w14:paraId="1ED9F239" w14:textId="77777777" w:rsidTr="00415AA9">
        <w:tc>
          <w:tcPr>
            <w:tcW w:w="359" w:type="dxa"/>
            <w:shd w:val="clear" w:color="auto" w:fill="auto"/>
          </w:tcPr>
          <w:p w14:paraId="1ED9F235" w14:textId="77777777" w:rsidR="00BD6D99" w:rsidRPr="00DC249A" w:rsidRDefault="00BD6D99" w:rsidP="00415AA9">
            <w:pPr>
              <w:rPr>
                <w:b/>
              </w:rPr>
            </w:pPr>
          </w:p>
        </w:tc>
        <w:tc>
          <w:tcPr>
            <w:tcW w:w="5349" w:type="dxa"/>
            <w:shd w:val="clear" w:color="auto" w:fill="auto"/>
          </w:tcPr>
          <w:p w14:paraId="1ED9F236" w14:textId="77777777" w:rsidR="00BD6D99" w:rsidRPr="00DC249A" w:rsidRDefault="00BD6D99" w:rsidP="00415AA9">
            <w:r w:rsidRPr="00DC249A">
              <w:t xml:space="preserve">Strategie en focus </w:t>
            </w:r>
          </w:p>
        </w:tc>
        <w:tc>
          <w:tcPr>
            <w:tcW w:w="841" w:type="dxa"/>
            <w:shd w:val="clear" w:color="auto" w:fill="auto"/>
            <w:vAlign w:val="center"/>
          </w:tcPr>
          <w:p w14:paraId="1ED9F237" w14:textId="77777777" w:rsidR="00BD6D99" w:rsidRPr="00DC249A" w:rsidRDefault="008B3E7B" w:rsidP="00415AA9">
            <w:pPr>
              <w:jc w:val="center"/>
            </w:pPr>
            <w:r>
              <w:t>2</w:t>
            </w:r>
          </w:p>
        </w:tc>
        <w:tc>
          <w:tcPr>
            <w:tcW w:w="852" w:type="dxa"/>
            <w:shd w:val="clear" w:color="auto" w:fill="auto"/>
            <w:vAlign w:val="center"/>
          </w:tcPr>
          <w:p w14:paraId="1ED9F238" w14:textId="77777777" w:rsidR="00BD6D99" w:rsidRPr="00DC249A" w:rsidRDefault="008B3E7B" w:rsidP="00415AA9">
            <w:pPr>
              <w:jc w:val="center"/>
            </w:pPr>
            <w:r>
              <w:sym w:font="Wingdings" w:char="F0E8"/>
            </w:r>
          </w:p>
        </w:tc>
      </w:tr>
      <w:tr w:rsidR="00BD6D99" w:rsidRPr="00DC249A" w14:paraId="1ED9F23E" w14:textId="77777777" w:rsidTr="00415AA9">
        <w:tc>
          <w:tcPr>
            <w:tcW w:w="359" w:type="dxa"/>
            <w:shd w:val="clear" w:color="auto" w:fill="auto"/>
          </w:tcPr>
          <w:p w14:paraId="1ED9F23A" w14:textId="77777777" w:rsidR="00BD6D99" w:rsidRPr="00DC249A" w:rsidRDefault="00BD6D99" w:rsidP="00415AA9">
            <w:pPr>
              <w:rPr>
                <w:b/>
              </w:rPr>
            </w:pPr>
          </w:p>
        </w:tc>
        <w:tc>
          <w:tcPr>
            <w:tcW w:w="5349" w:type="dxa"/>
            <w:shd w:val="clear" w:color="auto" w:fill="auto"/>
          </w:tcPr>
          <w:p w14:paraId="1ED9F23B" w14:textId="0CE2A17A" w:rsidR="00BD6D99" w:rsidRPr="00DC249A" w:rsidRDefault="001C2A23" w:rsidP="00415AA9">
            <w:r>
              <w:t>Resultaatsturing</w:t>
            </w:r>
            <w:r w:rsidR="00BD6D99" w:rsidRPr="00DC249A">
              <w:t xml:space="preserve"> </w:t>
            </w:r>
          </w:p>
        </w:tc>
        <w:tc>
          <w:tcPr>
            <w:tcW w:w="841" w:type="dxa"/>
            <w:shd w:val="clear" w:color="auto" w:fill="auto"/>
            <w:vAlign w:val="center"/>
          </w:tcPr>
          <w:p w14:paraId="1ED9F23C" w14:textId="77777777" w:rsidR="00BD6D99" w:rsidRPr="00DC249A" w:rsidRDefault="008B3E7B" w:rsidP="00415AA9">
            <w:pPr>
              <w:jc w:val="center"/>
            </w:pPr>
            <w:r>
              <w:t>1</w:t>
            </w:r>
          </w:p>
        </w:tc>
        <w:tc>
          <w:tcPr>
            <w:tcW w:w="852" w:type="dxa"/>
            <w:shd w:val="clear" w:color="auto" w:fill="auto"/>
            <w:vAlign w:val="center"/>
          </w:tcPr>
          <w:p w14:paraId="1ED9F23D" w14:textId="77777777" w:rsidR="00BD6D99" w:rsidRPr="00DC249A" w:rsidRDefault="008B3E7B" w:rsidP="00415AA9">
            <w:pPr>
              <w:jc w:val="center"/>
            </w:pPr>
            <w:r>
              <w:sym w:font="Wingdings" w:char="F0E9"/>
            </w:r>
          </w:p>
        </w:tc>
      </w:tr>
      <w:tr w:rsidR="00BD6D99" w:rsidRPr="00DC249A" w14:paraId="1ED9F243" w14:textId="77777777" w:rsidTr="00415AA9">
        <w:tc>
          <w:tcPr>
            <w:tcW w:w="359" w:type="dxa"/>
            <w:shd w:val="clear" w:color="auto" w:fill="auto"/>
          </w:tcPr>
          <w:p w14:paraId="1ED9F23F" w14:textId="77777777" w:rsidR="00BD6D99" w:rsidRPr="00DC249A" w:rsidRDefault="00BD6D99" w:rsidP="00415AA9">
            <w:pPr>
              <w:rPr>
                <w:b/>
              </w:rPr>
            </w:pPr>
          </w:p>
        </w:tc>
        <w:tc>
          <w:tcPr>
            <w:tcW w:w="5349" w:type="dxa"/>
            <w:shd w:val="clear" w:color="auto" w:fill="auto"/>
          </w:tcPr>
          <w:p w14:paraId="1ED9F240" w14:textId="77777777" w:rsidR="00BD6D99" w:rsidRPr="00DC249A" w:rsidRDefault="00BD6D99" w:rsidP="00415AA9">
            <w:r w:rsidRPr="00DC249A">
              <w:t>Partnerschappen</w:t>
            </w:r>
          </w:p>
        </w:tc>
        <w:tc>
          <w:tcPr>
            <w:tcW w:w="841" w:type="dxa"/>
            <w:shd w:val="clear" w:color="auto" w:fill="auto"/>
            <w:vAlign w:val="center"/>
          </w:tcPr>
          <w:p w14:paraId="1ED9F241" w14:textId="77777777" w:rsidR="00BD6D99" w:rsidRPr="00DC249A" w:rsidRDefault="00EB79A1" w:rsidP="00415AA9">
            <w:pPr>
              <w:jc w:val="center"/>
            </w:pPr>
            <w:r>
              <w:t>3</w:t>
            </w:r>
          </w:p>
        </w:tc>
        <w:tc>
          <w:tcPr>
            <w:tcW w:w="852" w:type="dxa"/>
            <w:shd w:val="clear" w:color="auto" w:fill="auto"/>
            <w:vAlign w:val="center"/>
          </w:tcPr>
          <w:p w14:paraId="1ED9F242" w14:textId="77777777" w:rsidR="00BD6D99" w:rsidRPr="00DC249A" w:rsidRDefault="00EB79A1" w:rsidP="00415AA9">
            <w:pPr>
              <w:jc w:val="center"/>
            </w:pPr>
            <w:r>
              <w:sym w:font="Wingdings" w:char="F0E8"/>
            </w:r>
          </w:p>
        </w:tc>
      </w:tr>
      <w:tr w:rsidR="00BD6D99" w:rsidRPr="00DC249A" w14:paraId="1ED9F248" w14:textId="77777777" w:rsidTr="00415AA9">
        <w:tc>
          <w:tcPr>
            <w:tcW w:w="359" w:type="dxa"/>
            <w:shd w:val="clear" w:color="auto" w:fill="auto"/>
          </w:tcPr>
          <w:p w14:paraId="1ED9F244" w14:textId="77777777" w:rsidR="00BD6D99" w:rsidRPr="00DC249A" w:rsidRDefault="00BD6D99" w:rsidP="00415AA9">
            <w:pPr>
              <w:rPr>
                <w:b/>
              </w:rPr>
            </w:pPr>
          </w:p>
        </w:tc>
        <w:tc>
          <w:tcPr>
            <w:tcW w:w="5349" w:type="dxa"/>
            <w:shd w:val="clear" w:color="auto" w:fill="auto"/>
          </w:tcPr>
          <w:p w14:paraId="1ED9F245" w14:textId="77777777" w:rsidR="00BD6D99" w:rsidRPr="00DC249A" w:rsidRDefault="00BD6D99" w:rsidP="00415AA9">
            <w:r w:rsidRPr="00DC249A">
              <w:t>Effectiviteit bestuurs- en beheersorganen</w:t>
            </w:r>
          </w:p>
        </w:tc>
        <w:tc>
          <w:tcPr>
            <w:tcW w:w="841" w:type="dxa"/>
            <w:shd w:val="clear" w:color="auto" w:fill="auto"/>
            <w:vAlign w:val="center"/>
          </w:tcPr>
          <w:p w14:paraId="1ED9F246" w14:textId="77777777" w:rsidR="00BD6D99" w:rsidRPr="00DC249A" w:rsidRDefault="00EB79A1" w:rsidP="00415AA9">
            <w:pPr>
              <w:jc w:val="center"/>
            </w:pPr>
            <w:r>
              <w:t>2</w:t>
            </w:r>
          </w:p>
        </w:tc>
        <w:tc>
          <w:tcPr>
            <w:tcW w:w="852" w:type="dxa"/>
            <w:shd w:val="clear" w:color="auto" w:fill="auto"/>
            <w:vAlign w:val="center"/>
          </w:tcPr>
          <w:p w14:paraId="1ED9F247" w14:textId="77777777" w:rsidR="00BD6D99" w:rsidRPr="00DC249A" w:rsidRDefault="00EB79A1" w:rsidP="00415AA9">
            <w:pPr>
              <w:jc w:val="center"/>
            </w:pPr>
            <w:r>
              <w:sym w:font="Wingdings" w:char="F0E9"/>
            </w:r>
          </w:p>
        </w:tc>
      </w:tr>
      <w:tr w:rsidR="00BD6D99" w:rsidRPr="00DC249A" w14:paraId="1ED9F24D" w14:textId="77777777" w:rsidTr="00415AA9">
        <w:tc>
          <w:tcPr>
            <w:tcW w:w="359" w:type="dxa"/>
            <w:shd w:val="clear" w:color="auto" w:fill="auto"/>
          </w:tcPr>
          <w:p w14:paraId="1ED9F249" w14:textId="77777777" w:rsidR="00BD6D99" w:rsidRPr="00DC249A" w:rsidRDefault="00BD6D99" w:rsidP="00415AA9">
            <w:pPr>
              <w:rPr>
                <w:b/>
              </w:rPr>
            </w:pPr>
          </w:p>
        </w:tc>
        <w:tc>
          <w:tcPr>
            <w:tcW w:w="5349" w:type="dxa"/>
            <w:shd w:val="clear" w:color="auto" w:fill="auto"/>
          </w:tcPr>
          <w:p w14:paraId="1ED9F24A" w14:textId="77777777" w:rsidR="00BD6D99" w:rsidRPr="00DC249A" w:rsidRDefault="00BD6D99" w:rsidP="00415AA9">
            <w:r w:rsidRPr="00DC249A">
              <w:t>Beleidsevaluatie</w:t>
            </w:r>
          </w:p>
        </w:tc>
        <w:tc>
          <w:tcPr>
            <w:tcW w:w="841" w:type="dxa"/>
            <w:shd w:val="clear" w:color="auto" w:fill="auto"/>
            <w:vAlign w:val="center"/>
          </w:tcPr>
          <w:p w14:paraId="1ED9F24B" w14:textId="77777777" w:rsidR="00BD6D99" w:rsidRPr="00DC249A" w:rsidRDefault="00EB79A1" w:rsidP="00415AA9">
            <w:pPr>
              <w:jc w:val="center"/>
            </w:pPr>
            <w:r>
              <w:t>3</w:t>
            </w:r>
          </w:p>
        </w:tc>
        <w:tc>
          <w:tcPr>
            <w:tcW w:w="852" w:type="dxa"/>
            <w:shd w:val="clear" w:color="auto" w:fill="auto"/>
            <w:vAlign w:val="center"/>
          </w:tcPr>
          <w:p w14:paraId="1ED9F24C" w14:textId="77777777" w:rsidR="00BD6D99" w:rsidRPr="00DC249A" w:rsidRDefault="00EB79A1" w:rsidP="00415AA9">
            <w:pPr>
              <w:jc w:val="center"/>
            </w:pPr>
            <w:r>
              <w:sym w:font="Wingdings" w:char="F0E8"/>
            </w:r>
          </w:p>
        </w:tc>
      </w:tr>
      <w:tr w:rsidR="00BD6D99" w:rsidRPr="00DC249A" w14:paraId="1ED9F252" w14:textId="77777777" w:rsidTr="00415AA9">
        <w:tc>
          <w:tcPr>
            <w:tcW w:w="359" w:type="dxa"/>
            <w:shd w:val="clear" w:color="auto" w:fill="auto"/>
          </w:tcPr>
          <w:p w14:paraId="1ED9F24E" w14:textId="77777777" w:rsidR="00BD6D99" w:rsidRPr="00DC249A" w:rsidRDefault="00BD6D99" w:rsidP="00415AA9">
            <w:pPr>
              <w:rPr>
                <w:b/>
              </w:rPr>
            </w:pPr>
          </w:p>
        </w:tc>
        <w:tc>
          <w:tcPr>
            <w:tcW w:w="5349" w:type="dxa"/>
            <w:shd w:val="clear" w:color="auto" w:fill="auto"/>
          </w:tcPr>
          <w:p w14:paraId="1ED9F24F" w14:textId="77C7871B" w:rsidR="00BD6D99" w:rsidRPr="00DC249A" w:rsidRDefault="001C2A23" w:rsidP="00415AA9">
            <w:r>
              <w:t>Personeelsbeleid</w:t>
            </w:r>
          </w:p>
        </w:tc>
        <w:tc>
          <w:tcPr>
            <w:tcW w:w="841" w:type="dxa"/>
            <w:shd w:val="clear" w:color="auto" w:fill="auto"/>
            <w:vAlign w:val="center"/>
          </w:tcPr>
          <w:p w14:paraId="1ED9F250" w14:textId="77777777" w:rsidR="00BD6D99" w:rsidRPr="00DC249A" w:rsidRDefault="00EB79A1" w:rsidP="00415AA9">
            <w:pPr>
              <w:jc w:val="center"/>
            </w:pPr>
            <w:r>
              <w:t>2</w:t>
            </w:r>
          </w:p>
        </w:tc>
        <w:tc>
          <w:tcPr>
            <w:tcW w:w="852" w:type="dxa"/>
            <w:shd w:val="clear" w:color="auto" w:fill="auto"/>
            <w:vAlign w:val="center"/>
          </w:tcPr>
          <w:p w14:paraId="1ED9F251" w14:textId="77777777" w:rsidR="00BD6D99" w:rsidRPr="00DC249A" w:rsidRDefault="00EB79A1" w:rsidP="00415AA9">
            <w:pPr>
              <w:jc w:val="center"/>
            </w:pPr>
            <w:r>
              <w:sym w:font="Wingdings" w:char="F0E9"/>
            </w:r>
          </w:p>
        </w:tc>
      </w:tr>
      <w:tr w:rsidR="00BD6D99" w:rsidRPr="00DC249A" w14:paraId="1ED9F257" w14:textId="77777777" w:rsidTr="00415AA9">
        <w:tc>
          <w:tcPr>
            <w:tcW w:w="359" w:type="dxa"/>
            <w:shd w:val="clear" w:color="auto" w:fill="auto"/>
          </w:tcPr>
          <w:p w14:paraId="1ED9F253" w14:textId="77777777" w:rsidR="00BD6D99" w:rsidRPr="00DC249A" w:rsidRDefault="00BD6D99" w:rsidP="00415AA9">
            <w:pPr>
              <w:rPr>
                <w:b/>
              </w:rPr>
            </w:pPr>
          </w:p>
        </w:tc>
        <w:tc>
          <w:tcPr>
            <w:tcW w:w="5349" w:type="dxa"/>
            <w:shd w:val="clear" w:color="auto" w:fill="auto"/>
          </w:tcPr>
          <w:p w14:paraId="1ED9F254" w14:textId="03A3AC69" w:rsidR="00BD6D99" w:rsidRPr="00DC249A" w:rsidRDefault="001C2A23" w:rsidP="001C2A23">
            <w:r>
              <w:t>Financieel beheer</w:t>
            </w:r>
          </w:p>
        </w:tc>
        <w:tc>
          <w:tcPr>
            <w:tcW w:w="841" w:type="dxa"/>
            <w:shd w:val="clear" w:color="auto" w:fill="auto"/>
            <w:vAlign w:val="center"/>
          </w:tcPr>
          <w:p w14:paraId="1ED9F255" w14:textId="7C90C3E5" w:rsidR="00BD6D99" w:rsidRPr="00DC249A" w:rsidRDefault="003B75BC" w:rsidP="00415AA9">
            <w:pPr>
              <w:jc w:val="center"/>
            </w:pPr>
            <w:r>
              <w:t>3</w:t>
            </w:r>
          </w:p>
        </w:tc>
        <w:tc>
          <w:tcPr>
            <w:tcW w:w="852" w:type="dxa"/>
            <w:shd w:val="clear" w:color="auto" w:fill="auto"/>
            <w:vAlign w:val="center"/>
          </w:tcPr>
          <w:p w14:paraId="1ED9F256" w14:textId="77777777" w:rsidR="00BD6D99" w:rsidRPr="00DC249A" w:rsidRDefault="00EB79A1" w:rsidP="00415AA9">
            <w:pPr>
              <w:jc w:val="center"/>
            </w:pPr>
            <w:r>
              <w:sym w:font="Wingdings" w:char="F0E8"/>
            </w:r>
          </w:p>
        </w:tc>
      </w:tr>
      <w:tr w:rsidR="00BD6D99" w:rsidRPr="00DC249A" w14:paraId="1ED9F25C" w14:textId="77777777" w:rsidTr="00415AA9">
        <w:tc>
          <w:tcPr>
            <w:tcW w:w="359" w:type="dxa"/>
            <w:shd w:val="clear" w:color="auto" w:fill="auto"/>
          </w:tcPr>
          <w:p w14:paraId="1ED9F258" w14:textId="77777777" w:rsidR="00BD6D99" w:rsidRPr="00DC249A" w:rsidRDefault="00BD6D99" w:rsidP="00415AA9">
            <w:pPr>
              <w:rPr>
                <w:b/>
              </w:rPr>
            </w:pPr>
          </w:p>
        </w:tc>
        <w:tc>
          <w:tcPr>
            <w:tcW w:w="5349" w:type="dxa"/>
            <w:shd w:val="clear" w:color="auto" w:fill="auto"/>
          </w:tcPr>
          <w:p w14:paraId="1ED9F259" w14:textId="77777777" w:rsidR="00BD6D99" w:rsidRPr="00DC249A" w:rsidRDefault="00BD6D99" w:rsidP="00415AA9">
            <w:r w:rsidRPr="00DC249A">
              <w:t>Corruptiebestrijding in de interne organisatie</w:t>
            </w:r>
          </w:p>
        </w:tc>
        <w:tc>
          <w:tcPr>
            <w:tcW w:w="841" w:type="dxa"/>
            <w:shd w:val="clear" w:color="auto" w:fill="auto"/>
            <w:vAlign w:val="center"/>
          </w:tcPr>
          <w:p w14:paraId="1ED9F25A" w14:textId="77777777" w:rsidR="00BD6D99" w:rsidRPr="00DC249A" w:rsidRDefault="00EB79A1" w:rsidP="00415AA9">
            <w:pPr>
              <w:jc w:val="center"/>
            </w:pPr>
            <w:r>
              <w:t>3</w:t>
            </w:r>
          </w:p>
        </w:tc>
        <w:tc>
          <w:tcPr>
            <w:tcW w:w="852" w:type="dxa"/>
            <w:shd w:val="clear" w:color="auto" w:fill="auto"/>
            <w:vAlign w:val="center"/>
          </w:tcPr>
          <w:p w14:paraId="1ED9F25B" w14:textId="77777777" w:rsidR="00BD6D99" w:rsidRPr="00DC249A" w:rsidRDefault="00EB79A1" w:rsidP="00415AA9">
            <w:pPr>
              <w:jc w:val="center"/>
            </w:pPr>
            <w:r>
              <w:sym w:font="Wingdings" w:char="F0E8"/>
            </w:r>
          </w:p>
        </w:tc>
      </w:tr>
    </w:tbl>
    <w:p w14:paraId="1ED9F25D" w14:textId="77777777" w:rsidR="00BD6D99" w:rsidRDefault="00BD6D99" w:rsidP="00BD6D99"/>
    <w:p w14:paraId="1ED9F25E" w14:textId="77777777" w:rsidR="00BD6D99" w:rsidRPr="00CE41FC" w:rsidRDefault="00BD6D99" w:rsidP="00BD6D99">
      <w:r w:rsidRPr="00CE41FC">
        <w:t xml:space="preserve">UNCTAD is vaak inefficiënt en het gebrek aan politieke strategische sturing leidt tot incoherentie binnen de organisatie. </w:t>
      </w:r>
      <w:r w:rsidR="00CE41FC" w:rsidRPr="00CE41FC">
        <w:t xml:space="preserve">Met het aantreden van SG </w:t>
      </w:r>
      <w:proofErr w:type="spellStart"/>
      <w:r w:rsidR="00CE41FC" w:rsidRPr="00CE41FC">
        <w:t>Kituyi</w:t>
      </w:r>
      <w:proofErr w:type="spellEnd"/>
      <w:r w:rsidR="00CE41FC" w:rsidRPr="00CE41FC">
        <w:t xml:space="preserve"> is er hernieuwde aandacht voor een uitgebreide hervormingsagenda, maar het is op vele dossiers te vroeg om te spreken van substantiële verbeteringen. </w:t>
      </w:r>
    </w:p>
    <w:p w14:paraId="1ED9F25F" w14:textId="77777777" w:rsidR="00BD6D99" w:rsidRPr="00DC249A" w:rsidRDefault="00BD6D99" w:rsidP="00BD6D99">
      <w:pPr>
        <w:pStyle w:val="Heading2"/>
        <w:tabs>
          <w:tab w:val="left" w:pos="-1162"/>
          <w:tab w:val="left" w:pos="0"/>
          <w:tab w:val="num" w:pos="1160"/>
        </w:tabs>
        <w:spacing w:line="240" w:lineRule="auto"/>
        <w:ind w:hanging="1162"/>
      </w:pPr>
      <w:bookmarkStart w:id="39" w:name="_Toc410397641"/>
      <w:r w:rsidRPr="00DC249A">
        <w:t xml:space="preserve">5.2 </w:t>
      </w:r>
      <w:r w:rsidRPr="00DC249A">
        <w:tab/>
        <w:t>Beleidsrelevantie</w:t>
      </w:r>
      <w:bookmarkEnd w:id="39"/>
    </w:p>
    <w:p w14:paraId="1ED9F260" w14:textId="77777777" w:rsidR="00BD6D99" w:rsidRPr="00DC249A" w:rsidRDefault="00BD6D99" w:rsidP="00BD6D99"/>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411"/>
        <w:gridCol w:w="841"/>
      </w:tblGrid>
      <w:tr w:rsidR="00BD6D99" w:rsidRPr="00DC249A" w14:paraId="1ED9F264" w14:textId="77777777" w:rsidTr="00415AA9">
        <w:tc>
          <w:tcPr>
            <w:tcW w:w="360" w:type="dxa"/>
            <w:shd w:val="clear" w:color="auto" w:fill="auto"/>
          </w:tcPr>
          <w:p w14:paraId="1ED9F261" w14:textId="77777777" w:rsidR="00BD6D99" w:rsidRPr="00DC249A" w:rsidRDefault="00BD6D99" w:rsidP="00415AA9"/>
        </w:tc>
        <w:tc>
          <w:tcPr>
            <w:tcW w:w="6411" w:type="dxa"/>
            <w:shd w:val="clear" w:color="auto" w:fill="auto"/>
          </w:tcPr>
          <w:p w14:paraId="1ED9F262" w14:textId="77777777" w:rsidR="00BD6D99" w:rsidRPr="00DC249A" w:rsidRDefault="00BD6D99" w:rsidP="00415AA9"/>
        </w:tc>
        <w:tc>
          <w:tcPr>
            <w:tcW w:w="841" w:type="dxa"/>
            <w:shd w:val="clear" w:color="auto" w:fill="auto"/>
          </w:tcPr>
          <w:p w14:paraId="1ED9F263" w14:textId="77777777" w:rsidR="00BD6D99" w:rsidRPr="00DC249A" w:rsidRDefault="00BD6D99" w:rsidP="00415AA9">
            <w:r w:rsidRPr="00DC249A">
              <w:t>Score</w:t>
            </w:r>
          </w:p>
        </w:tc>
      </w:tr>
      <w:tr w:rsidR="00BD6D99" w:rsidRPr="00DC249A" w14:paraId="1ED9F266" w14:textId="77777777" w:rsidTr="00415AA9">
        <w:tc>
          <w:tcPr>
            <w:tcW w:w="7612" w:type="dxa"/>
            <w:gridSpan w:val="3"/>
            <w:shd w:val="clear" w:color="auto" w:fill="auto"/>
          </w:tcPr>
          <w:p w14:paraId="1ED9F265" w14:textId="33FAD2B8" w:rsidR="00BD6D99" w:rsidRPr="00DC249A" w:rsidRDefault="001C2A23" w:rsidP="00415AA9">
            <w:r>
              <w:rPr>
                <w:b/>
              </w:rPr>
              <w:t>4</w:t>
            </w:r>
            <w:r w:rsidR="00BD6D99" w:rsidRPr="00DC249A">
              <w:rPr>
                <w:b/>
              </w:rPr>
              <w:t>.1 Relevantie voor Nederlandse BHOS-prioriteiten</w:t>
            </w:r>
          </w:p>
        </w:tc>
      </w:tr>
      <w:tr w:rsidR="00BD6D99" w:rsidRPr="00DC249A" w14:paraId="1ED9F26A" w14:textId="77777777" w:rsidTr="00415AA9">
        <w:tc>
          <w:tcPr>
            <w:tcW w:w="360" w:type="dxa"/>
            <w:shd w:val="clear" w:color="auto" w:fill="auto"/>
          </w:tcPr>
          <w:p w14:paraId="1ED9F267" w14:textId="77777777" w:rsidR="00BD6D99" w:rsidRPr="00DC249A" w:rsidRDefault="00BD6D99" w:rsidP="00415AA9"/>
        </w:tc>
        <w:tc>
          <w:tcPr>
            <w:tcW w:w="6411" w:type="dxa"/>
            <w:shd w:val="clear" w:color="auto" w:fill="auto"/>
          </w:tcPr>
          <w:p w14:paraId="1ED9F268" w14:textId="77777777" w:rsidR="00BD6D99" w:rsidRPr="00DC249A" w:rsidRDefault="00BD6D99" w:rsidP="00415AA9">
            <w:r w:rsidRPr="00DC249A">
              <w:t>Voedselzekerheid</w:t>
            </w:r>
          </w:p>
        </w:tc>
        <w:tc>
          <w:tcPr>
            <w:tcW w:w="841" w:type="dxa"/>
            <w:shd w:val="clear" w:color="auto" w:fill="auto"/>
          </w:tcPr>
          <w:p w14:paraId="1ED9F269" w14:textId="77777777" w:rsidR="00BD6D99" w:rsidRPr="00DC249A" w:rsidRDefault="00720121" w:rsidP="009531F9">
            <w:pPr>
              <w:jc w:val="center"/>
            </w:pPr>
            <w:r>
              <w:t>0</w:t>
            </w:r>
          </w:p>
        </w:tc>
      </w:tr>
      <w:tr w:rsidR="00BD6D99" w:rsidRPr="00DC249A" w14:paraId="1ED9F26E" w14:textId="77777777" w:rsidTr="00415AA9">
        <w:tc>
          <w:tcPr>
            <w:tcW w:w="360" w:type="dxa"/>
            <w:shd w:val="clear" w:color="auto" w:fill="auto"/>
          </w:tcPr>
          <w:p w14:paraId="1ED9F26B" w14:textId="77777777" w:rsidR="00BD6D99" w:rsidRPr="00DC249A" w:rsidRDefault="00BD6D99" w:rsidP="00415AA9"/>
        </w:tc>
        <w:tc>
          <w:tcPr>
            <w:tcW w:w="6411" w:type="dxa"/>
            <w:shd w:val="clear" w:color="auto" w:fill="auto"/>
          </w:tcPr>
          <w:p w14:paraId="1ED9F26C" w14:textId="77777777" w:rsidR="00BD6D99" w:rsidRPr="00DC249A" w:rsidRDefault="00BD6D99" w:rsidP="00415AA9">
            <w:r w:rsidRPr="00DC249A">
              <w:t>Water</w:t>
            </w:r>
          </w:p>
        </w:tc>
        <w:tc>
          <w:tcPr>
            <w:tcW w:w="841" w:type="dxa"/>
            <w:shd w:val="clear" w:color="auto" w:fill="auto"/>
          </w:tcPr>
          <w:p w14:paraId="1ED9F26D" w14:textId="77777777" w:rsidR="00BD6D99" w:rsidRPr="00DC249A" w:rsidRDefault="009531F9" w:rsidP="009531F9">
            <w:pPr>
              <w:jc w:val="center"/>
            </w:pPr>
            <w:r>
              <w:t>-</w:t>
            </w:r>
          </w:p>
        </w:tc>
      </w:tr>
      <w:tr w:rsidR="00BD6D99" w:rsidRPr="00DC249A" w14:paraId="1ED9F272" w14:textId="77777777" w:rsidTr="00415AA9">
        <w:tc>
          <w:tcPr>
            <w:tcW w:w="360" w:type="dxa"/>
            <w:shd w:val="clear" w:color="auto" w:fill="auto"/>
          </w:tcPr>
          <w:p w14:paraId="1ED9F26F" w14:textId="77777777" w:rsidR="00BD6D99" w:rsidRPr="00DC249A" w:rsidRDefault="00BD6D99" w:rsidP="00415AA9"/>
        </w:tc>
        <w:tc>
          <w:tcPr>
            <w:tcW w:w="6411" w:type="dxa"/>
            <w:shd w:val="clear" w:color="auto" w:fill="auto"/>
          </w:tcPr>
          <w:p w14:paraId="1ED9F270" w14:textId="77777777" w:rsidR="00BD6D99" w:rsidRPr="00DC249A" w:rsidRDefault="00BD6D99" w:rsidP="00415AA9">
            <w:r w:rsidRPr="00DC249A">
              <w:t>Veiligheid en rechtsorde</w:t>
            </w:r>
          </w:p>
        </w:tc>
        <w:tc>
          <w:tcPr>
            <w:tcW w:w="841" w:type="dxa"/>
            <w:shd w:val="clear" w:color="auto" w:fill="auto"/>
          </w:tcPr>
          <w:p w14:paraId="1ED9F271" w14:textId="77777777" w:rsidR="00BD6D99" w:rsidRPr="00DC249A" w:rsidRDefault="009531F9" w:rsidP="009531F9">
            <w:pPr>
              <w:jc w:val="center"/>
            </w:pPr>
            <w:r>
              <w:t>-</w:t>
            </w:r>
          </w:p>
        </w:tc>
      </w:tr>
      <w:tr w:rsidR="00BD6D99" w:rsidRPr="00DC249A" w14:paraId="1ED9F276" w14:textId="77777777" w:rsidTr="00415AA9">
        <w:tc>
          <w:tcPr>
            <w:tcW w:w="360" w:type="dxa"/>
            <w:shd w:val="clear" w:color="auto" w:fill="auto"/>
          </w:tcPr>
          <w:p w14:paraId="1ED9F273" w14:textId="77777777" w:rsidR="00BD6D99" w:rsidRPr="00DC249A" w:rsidRDefault="00BD6D99" w:rsidP="00415AA9"/>
        </w:tc>
        <w:tc>
          <w:tcPr>
            <w:tcW w:w="6411" w:type="dxa"/>
            <w:shd w:val="clear" w:color="auto" w:fill="auto"/>
          </w:tcPr>
          <w:p w14:paraId="1ED9F274" w14:textId="77777777" w:rsidR="00BD6D99" w:rsidRPr="00DC249A" w:rsidRDefault="00BD6D99" w:rsidP="00415AA9">
            <w:r w:rsidRPr="00DC249A">
              <w:t>SRGR, inclusief hiv/aids</w:t>
            </w:r>
          </w:p>
        </w:tc>
        <w:tc>
          <w:tcPr>
            <w:tcW w:w="841" w:type="dxa"/>
            <w:shd w:val="clear" w:color="auto" w:fill="auto"/>
          </w:tcPr>
          <w:p w14:paraId="1ED9F275" w14:textId="77777777" w:rsidR="00BD6D99" w:rsidRPr="00DC249A" w:rsidRDefault="009531F9" w:rsidP="009531F9">
            <w:pPr>
              <w:jc w:val="center"/>
            </w:pPr>
            <w:r>
              <w:t>-</w:t>
            </w:r>
          </w:p>
        </w:tc>
      </w:tr>
      <w:tr w:rsidR="00BD6D99" w:rsidRPr="00DC249A" w14:paraId="1ED9F27A" w14:textId="77777777" w:rsidTr="00415AA9">
        <w:tc>
          <w:tcPr>
            <w:tcW w:w="360" w:type="dxa"/>
            <w:shd w:val="clear" w:color="auto" w:fill="auto"/>
          </w:tcPr>
          <w:p w14:paraId="1ED9F277" w14:textId="77777777" w:rsidR="00BD6D99" w:rsidRPr="00DC249A" w:rsidRDefault="00BD6D99" w:rsidP="00415AA9"/>
        </w:tc>
        <w:tc>
          <w:tcPr>
            <w:tcW w:w="6411" w:type="dxa"/>
            <w:shd w:val="clear" w:color="auto" w:fill="auto"/>
          </w:tcPr>
          <w:p w14:paraId="1ED9F278" w14:textId="77777777" w:rsidR="00BD6D99" w:rsidRPr="00DC249A" w:rsidRDefault="00BD6D99" w:rsidP="00415AA9">
            <w:r w:rsidRPr="00DC249A">
              <w:t>Gendergelijkheid</w:t>
            </w:r>
          </w:p>
        </w:tc>
        <w:tc>
          <w:tcPr>
            <w:tcW w:w="841" w:type="dxa"/>
            <w:shd w:val="clear" w:color="auto" w:fill="auto"/>
          </w:tcPr>
          <w:p w14:paraId="1ED9F279" w14:textId="77777777" w:rsidR="00BD6D99" w:rsidRPr="00DC249A" w:rsidRDefault="009531F9" w:rsidP="009531F9">
            <w:pPr>
              <w:jc w:val="center"/>
            </w:pPr>
            <w:r>
              <w:t>+</w:t>
            </w:r>
          </w:p>
        </w:tc>
      </w:tr>
      <w:tr w:rsidR="00BD6D99" w:rsidRPr="00DC249A" w14:paraId="1ED9F27E" w14:textId="77777777" w:rsidTr="00415AA9">
        <w:tc>
          <w:tcPr>
            <w:tcW w:w="360" w:type="dxa"/>
            <w:shd w:val="clear" w:color="auto" w:fill="auto"/>
          </w:tcPr>
          <w:p w14:paraId="1ED9F27B" w14:textId="77777777" w:rsidR="00BD6D99" w:rsidRPr="00DC249A" w:rsidRDefault="00BD6D99" w:rsidP="00415AA9"/>
        </w:tc>
        <w:tc>
          <w:tcPr>
            <w:tcW w:w="6411" w:type="dxa"/>
            <w:shd w:val="clear" w:color="auto" w:fill="auto"/>
          </w:tcPr>
          <w:p w14:paraId="1ED9F27C" w14:textId="77777777" w:rsidR="00BD6D99" w:rsidRPr="00DC249A" w:rsidRDefault="00BD6D99" w:rsidP="00415AA9">
            <w:r w:rsidRPr="00DC249A">
              <w:t>Klimaat</w:t>
            </w:r>
          </w:p>
        </w:tc>
        <w:tc>
          <w:tcPr>
            <w:tcW w:w="841" w:type="dxa"/>
            <w:shd w:val="clear" w:color="auto" w:fill="auto"/>
          </w:tcPr>
          <w:p w14:paraId="1ED9F27D" w14:textId="77777777" w:rsidR="00BD6D99" w:rsidRPr="00DC249A" w:rsidRDefault="009531F9" w:rsidP="009531F9">
            <w:pPr>
              <w:jc w:val="center"/>
            </w:pPr>
            <w:r>
              <w:t>-</w:t>
            </w:r>
          </w:p>
        </w:tc>
      </w:tr>
      <w:tr w:rsidR="00BD6D99" w:rsidRPr="00BB339C" w14:paraId="1ED9F282" w14:textId="77777777" w:rsidTr="00415AA9">
        <w:tc>
          <w:tcPr>
            <w:tcW w:w="360" w:type="dxa"/>
            <w:shd w:val="clear" w:color="auto" w:fill="auto"/>
          </w:tcPr>
          <w:p w14:paraId="1ED9F27F" w14:textId="77777777" w:rsidR="00BD6D99" w:rsidRPr="00DC249A" w:rsidRDefault="00BD6D99" w:rsidP="00415AA9"/>
        </w:tc>
        <w:tc>
          <w:tcPr>
            <w:tcW w:w="6411" w:type="dxa"/>
            <w:shd w:val="clear" w:color="auto" w:fill="auto"/>
          </w:tcPr>
          <w:p w14:paraId="1ED9F280" w14:textId="77777777" w:rsidR="00BD6D99" w:rsidRPr="00DC249A" w:rsidRDefault="00BD6D99" w:rsidP="00415AA9">
            <w:pPr>
              <w:rPr>
                <w:lang w:val="en-GB"/>
              </w:rPr>
            </w:pPr>
            <w:r w:rsidRPr="00DC249A">
              <w:rPr>
                <w:i/>
                <w:lang w:val="en-GB"/>
              </w:rPr>
              <w:t>Private Sector Development</w:t>
            </w:r>
            <w:r w:rsidRPr="00DC249A">
              <w:rPr>
                <w:lang w:val="en-GB"/>
              </w:rPr>
              <w:t xml:space="preserve"> (</w:t>
            </w:r>
            <w:proofErr w:type="spellStart"/>
            <w:r w:rsidRPr="00DC249A">
              <w:rPr>
                <w:lang w:val="en-GB"/>
              </w:rPr>
              <w:t>inclusief</w:t>
            </w:r>
            <w:proofErr w:type="spellEnd"/>
            <w:r w:rsidRPr="00DC249A">
              <w:rPr>
                <w:lang w:val="en-GB"/>
              </w:rPr>
              <w:t xml:space="preserve"> IMVO)</w:t>
            </w:r>
          </w:p>
        </w:tc>
        <w:tc>
          <w:tcPr>
            <w:tcW w:w="841" w:type="dxa"/>
            <w:shd w:val="clear" w:color="auto" w:fill="auto"/>
          </w:tcPr>
          <w:p w14:paraId="1ED9F281" w14:textId="77777777" w:rsidR="00BD6D99" w:rsidRPr="00DC249A" w:rsidRDefault="009531F9" w:rsidP="009531F9">
            <w:pPr>
              <w:jc w:val="center"/>
              <w:rPr>
                <w:lang w:val="en-GB"/>
              </w:rPr>
            </w:pPr>
            <w:r>
              <w:rPr>
                <w:lang w:val="en-GB"/>
              </w:rPr>
              <w:t>+</w:t>
            </w:r>
          </w:p>
        </w:tc>
      </w:tr>
      <w:tr w:rsidR="00BD6D99" w:rsidRPr="00DC249A" w14:paraId="1ED9F286" w14:textId="77777777" w:rsidTr="00415AA9">
        <w:tc>
          <w:tcPr>
            <w:tcW w:w="360" w:type="dxa"/>
            <w:shd w:val="clear" w:color="auto" w:fill="auto"/>
          </w:tcPr>
          <w:p w14:paraId="1ED9F283" w14:textId="77777777" w:rsidR="00BD6D99" w:rsidRPr="00DC249A" w:rsidRDefault="00BD6D99" w:rsidP="00415AA9">
            <w:pPr>
              <w:rPr>
                <w:lang w:val="en-GB"/>
              </w:rPr>
            </w:pPr>
          </w:p>
        </w:tc>
        <w:tc>
          <w:tcPr>
            <w:tcW w:w="6411" w:type="dxa"/>
            <w:shd w:val="clear" w:color="auto" w:fill="auto"/>
          </w:tcPr>
          <w:p w14:paraId="1ED9F284" w14:textId="77777777" w:rsidR="00BD6D99" w:rsidRPr="00DC249A" w:rsidRDefault="00BD6D99" w:rsidP="00415AA9">
            <w:r w:rsidRPr="00DC249A">
              <w:t>Humanitaire hulp</w:t>
            </w:r>
          </w:p>
        </w:tc>
        <w:tc>
          <w:tcPr>
            <w:tcW w:w="841" w:type="dxa"/>
            <w:shd w:val="clear" w:color="auto" w:fill="auto"/>
          </w:tcPr>
          <w:p w14:paraId="1ED9F285" w14:textId="77777777" w:rsidR="00BD6D99" w:rsidRPr="00DC249A" w:rsidRDefault="009531F9" w:rsidP="009531F9">
            <w:pPr>
              <w:jc w:val="center"/>
            </w:pPr>
            <w:r>
              <w:t>-</w:t>
            </w:r>
          </w:p>
        </w:tc>
      </w:tr>
    </w:tbl>
    <w:p w14:paraId="1ED9F28D" w14:textId="77777777" w:rsidR="00BD6D99" w:rsidRPr="00DC249A" w:rsidRDefault="00BD6D99" w:rsidP="00BD6D99"/>
    <w:p w14:paraId="1ED9F28E" w14:textId="77777777" w:rsidR="00BD6D99" w:rsidRPr="00CE41FC" w:rsidRDefault="00BD6D99" w:rsidP="00BD6D99">
      <w:r w:rsidRPr="00CE41FC">
        <w:t>Het mandaat van UNCTAD om (technische) ondersteuning te leveren aan beleidsvorming op het snijvlak tussen handel en ontwikkeling is relevant voor de Nederlandse agenda voor</w:t>
      </w:r>
      <w:r w:rsidR="00CE41FC" w:rsidRPr="00CE41FC">
        <w:t xml:space="preserve"> hulp, handel en investeringen.</w:t>
      </w:r>
    </w:p>
    <w:p w14:paraId="1ED9F28F" w14:textId="77777777" w:rsidR="00BD6D99" w:rsidRPr="00DC249A" w:rsidRDefault="00BD6D99" w:rsidP="00BD6D99"/>
    <w:p w14:paraId="1ED9F295" w14:textId="7938FCA0" w:rsidR="009531F9" w:rsidRPr="00BD6D99" w:rsidRDefault="009531F9" w:rsidP="00C60915">
      <w:pPr>
        <w:spacing w:line="240" w:lineRule="auto"/>
      </w:pPr>
    </w:p>
    <w:sectPr w:rsidR="009531F9" w:rsidRPr="00BD6D99" w:rsidSect="008476A1">
      <w:headerReference w:type="first" r:id="rId19"/>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9F29A" w14:textId="77777777" w:rsidR="00F95FC4" w:rsidRDefault="00F95FC4">
      <w:r>
        <w:separator/>
      </w:r>
    </w:p>
    <w:p w14:paraId="1ED9F29B" w14:textId="77777777" w:rsidR="00F95FC4" w:rsidRDefault="00F95FC4"/>
    <w:p w14:paraId="1ED9F29C" w14:textId="77777777" w:rsidR="00F95FC4" w:rsidRDefault="00F95FC4"/>
  </w:endnote>
  <w:endnote w:type="continuationSeparator" w:id="0">
    <w:p w14:paraId="1ED9F29D" w14:textId="77777777" w:rsidR="00F95FC4" w:rsidRDefault="00F95FC4">
      <w:r>
        <w:continuationSeparator/>
      </w:r>
    </w:p>
    <w:p w14:paraId="1ED9F29E" w14:textId="77777777" w:rsidR="00F95FC4" w:rsidRDefault="00F95FC4"/>
    <w:p w14:paraId="1ED9F29F" w14:textId="77777777" w:rsidR="00F95FC4" w:rsidRDefault="00F95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B60799" w:rsidRPr="00785F18" w14:paraId="1ED9F2A8" w14:textId="77777777" w:rsidTr="003B518B">
      <w:trPr>
        <w:trHeight w:hRule="exact" w:val="240"/>
      </w:trPr>
      <w:tc>
        <w:tcPr>
          <w:tcW w:w="7752" w:type="dxa"/>
          <w:gridSpan w:val="3"/>
          <w:shd w:val="clear" w:color="auto" w:fill="auto"/>
        </w:tcPr>
        <w:p w14:paraId="1ED9F2A7" w14:textId="77777777" w:rsidR="00B60799" w:rsidRPr="00785F18" w:rsidRDefault="00B60799">
          <w:pPr>
            <w:spacing w:line="240" w:lineRule="auto"/>
          </w:pPr>
        </w:p>
      </w:tc>
    </w:tr>
    <w:tr w:rsidR="00B60799" w:rsidRPr="00785F18" w14:paraId="1ED9F2AB" w14:textId="77777777" w:rsidTr="003B518B">
      <w:trPr>
        <w:gridAfter w:val="1"/>
        <w:wAfter w:w="99" w:type="dxa"/>
        <w:trHeight w:hRule="exact" w:val="240"/>
      </w:trPr>
      <w:tc>
        <w:tcPr>
          <w:tcW w:w="6260" w:type="dxa"/>
          <w:shd w:val="clear" w:color="auto" w:fill="auto"/>
        </w:tcPr>
        <w:p w14:paraId="1ED9F2A9" w14:textId="77777777" w:rsidR="00B60799" w:rsidRPr="00785F18" w:rsidRDefault="00184308" w:rsidP="003B518B">
          <w:pPr>
            <w:pStyle w:val="Huisstijl-Paginanummering"/>
            <w:rPr>
              <w:rStyle w:val="Huisstijl-Rubricering"/>
            </w:rPr>
          </w:pPr>
          <w:fldSimple w:instr=" DOCPROPERTY  L_PAGE  \* MERGEFORMAT ">
            <w:r w:rsidR="00B60799">
              <w:t>Pagina</w:t>
            </w:r>
          </w:fldSimple>
          <w:r w:rsidR="00B17CC7">
            <w:fldChar w:fldCharType="begin"/>
          </w:r>
          <w:r w:rsidR="00B17CC7">
            <w:instrText xml:space="preserve"> PAGE   \* MERGEFORMAT </w:instrText>
          </w:r>
          <w:r w:rsidR="00B17CC7">
            <w:fldChar w:fldCharType="separate"/>
          </w:r>
          <w:r w:rsidR="00B60799">
            <w:t>18</w:t>
          </w:r>
          <w:r w:rsidR="00B17CC7">
            <w:fldChar w:fldCharType="end"/>
          </w:r>
          <w:fldSimple w:instr=" DOCPROPERTY  L_PAGEOF  \* MERGEFORMAT ">
            <w:r w:rsidR="00B60799">
              <w:t>van</w:t>
            </w:r>
          </w:fldSimple>
          <w:fldSimple w:instr=" NUMPAGES   \* MERGEFORMAT ">
            <w:r w:rsidR="00B60799">
              <w:t>18</w:t>
            </w:r>
          </w:fldSimple>
        </w:p>
      </w:tc>
      <w:tc>
        <w:tcPr>
          <w:tcW w:w="1392" w:type="dxa"/>
        </w:tcPr>
        <w:p w14:paraId="1ED9F2AA" w14:textId="77777777" w:rsidR="00B60799" w:rsidRPr="00785F18" w:rsidRDefault="00B60799" w:rsidP="003B518B">
          <w:pPr>
            <w:pStyle w:val="Huisstijl-Paginanummering"/>
            <w:jc w:val="right"/>
          </w:pPr>
        </w:p>
      </w:tc>
    </w:tr>
  </w:tbl>
  <w:p w14:paraId="1ED9F2AC" w14:textId="77777777" w:rsidR="00B60799" w:rsidRPr="00785F18" w:rsidRDefault="00B60799" w:rsidP="003B518B">
    <w:pPr>
      <w:spacing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B60799" w:rsidRPr="00785F18" w14:paraId="1ED9F2AF" w14:textId="77777777" w:rsidTr="003B518B">
      <w:trPr>
        <w:trHeight w:hRule="exact" w:val="240"/>
      </w:trPr>
      <w:tc>
        <w:tcPr>
          <w:tcW w:w="6260" w:type="dxa"/>
          <w:shd w:val="clear" w:color="auto" w:fill="auto"/>
        </w:tcPr>
        <w:p w14:paraId="1ED9F2AD" w14:textId="77777777" w:rsidR="00B60799" w:rsidRPr="00785F18" w:rsidRDefault="00B60799" w:rsidP="003B518B">
          <w:pPr>
            <w:rPr>
              <w:rStyle w:val="Huisstijl-Rubricering"/>
            </w:rPr>
          </w:pPr>
        </w:p>
      </w:tc>
      <w:tc>
        <w:tcPr>
          <w:tcW w:w="1392" w:type="dxa"/>
        </w:tcPr>
        <w:p w14:paraId="1ED9F2AE" w14:textId="33EC5D2D" w:rsidR="00B60799" w:rsidRPr="00785F18" w:rsidRDefault="00184308" w:rsidP="003B518B">
          <w:pPr>
            <w:pStyle w:val="Huisstijl-Paginanummering"/>
            <w:jc w:val="right"/>
          </w:pPr>
          <w:fldSimple w:instr=" DOCPROPERTY  L_PAGE  \* MERGEFORMAT ">
            <w:r w:rsidR="00B60799">
              <w:t>Pagina</w:t>
            </w:r>
          </w:fldSimple>
          <w:r w:rsidR="001C2A23">
            <w:t xml:space="preserve"> </w:t>
          </w:r>
          <w:r w:rsidR="00571DB8" w:rsidRPr="00A908F9">
            <w:rPr>
              <w:rStyle w:val="PageNumber"/>
              <w:noProof w:val="0"/>
              <w:szCs w:val="13"/>
            </w:rPr>
            <w:fldChar w:fldCharType="begin"/>
          </w:r>
          <w:r w:rsidR="00B60799" w:rsidRPr="00A908F9">
            <w:rPr>
              <w:rStyle w:val="PageNumber"/>
              <w:noProof w:val="0"/>
              <w:szCs w:val="13"/>
            </w:rPr>
            <w:instrText xml:space="preserve"> PAGE </w:instrText>
          </w:r>
          <w:r w:rsidR="00571DB8" w:rsidRPr="00A908F9">
            <w:rPr>
              <w:rStyle w:val="PageNumber"/>
              <w:noProof w:val="0"/>
              <w:szCs w:val="13"/>
            </w:rPr>
            <w:fldChar w:fldCharType="separate"/>
          </w:r>
          <w:r w:rsidR="00A97AF7">
            <w:rPr>
              <w:rStyle w:val="PageNumber"/>
              <w:szCs w:val="13"/>
            </w:rPr>
            <w:t>13</w:t>
          </w:r>
          <w:r w:rsidR="00571DB8" w:rsidRPr="00A908F9">
            <w:rPr>
              <w:rStyle w:val="PageNumber"/>
              <w:noProof w:val="0"/>
              <w:szCs w:val="13"/>
            </w:rPr>
            <w:fldChar w:fldCharType="end"/>
          </w:r>
          <w:r w:rsidR="001C2A23">
            <w:rPr>
              <w:rStyle w:val="PageNumber"/>
              <w:noProof w:val="0"/>
              <w:szCs w:val="13"/>
            </w:rPr>
            <w:t xml:space="preserve"> </w:t>
          </w:r>
          <w:fldSimple w:instr=" DOCPROPERTY  L_PAGEOF  \* MERGEFORMAT ">
            <w:r w:rsidR="00B60799">
              <w:t>van</w:t>
            </w:r>
          </w:fldSimple>
          <w:r w:rsidR="001C2A23">
            <w:t xml:space="preserve"> </w:t>
          </w:r>
          <w:fldSimple w:instr=" NUMPAGES   \* MERGEFORMAT ">
            <w:r w:rsidR="00A97AF7">
              <w:t>13</w:t>
            </w:r>
          </w:fldSimple>
        </w:p>
      </w:tc>
    </w:tr>
  </w:tbl>
  <w:p w14:paraId="1ED9F2B0" w14:textId="77777777" w:rsidR="00B60799" w:rsidRPr="00785F18" w:rsidRDefault="00B60799" w:rsidP="003B518B">
    <w:pPr>
      <w:spacing w:line="240" w:lineRule="auto"/>
      <w:rPr>
        <w:sz w:val="2"/>
        <w:szCs w:val="2"/>
      </w:rPr>
    </w:pPr>
  </w:p>
  <w:p w14:paraId="1ED9F2B1" w14:textId="77777777" w:rsidR="00B60799" w:rsidRPr="00785F18" w:rsidRDefault="00B60799" w:rsidP="003B518B">
    <w:pP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B60799" w:rsidRPr="00785F18" w14:paraId="1ED9F2C3" w14:textId="77777777" w:rsidTr="00B06D4B">
      <w:trPr>
        <w:trHeight w:hRule="exact" w:val="240"/>
      </w:trPr>
      <w:tc>
        <w:tcPr>
          <w:tcW w:w="6260" w:type="dxa"/>
          <w:shd w:val="clear" w:color="auto" w:fill="auto"/>
        </w:tcPr>
        <w:p w14:paraId="1ED9F2C1" w14:textId="77777777" w:rsidR="00B60799" w:rsidRPr="00785F18" w:rsidRDefault="00B60799" w:rsidP="00B06D4B">
          <w:pPr>
            <w:rPr>
              <w:rStyle w:val="Huisstijl-Rubricering"/>
            </w:rPr>
          </w:pPr>
        </w:p>
      </w:tc>
      <w:tc>
        <w:tcPr>
          <w:tcW w:w="1392" w:type="dxa"/>
        </w:tcPr>
        <w:p w14:paraId="1ED9F2C2" w14:textId="6212D417" w:rsidR="00B60799" w:rsidRPr="00785F18" w:rsidRDefault="00184308" w:rsidP="00B06D4B">
          <w:pPr>
            <w:pStyle w:val="Huisstijl-Paginanummering"/>
            <w:jc w:val="right"/>
          </w:pPr>
          <w:fldSimple w:instr=" DOCPROPERTY  L_PAGE  \* MERGEFORMAT ">
            <w:r w:rsidR="00B60799">
              <w:t>Pagina</w:t>
            </w:r>
          </w:fldSimple>
          <w:r>
            <w:t xml:space="preserve"> </w:t>
          </w:r>
          <w:r w:rsidR="00571DB8" w:rsidRPr="00A908F9">
            <w:rPr>
              <w:rStyle w:val="PageNumber"/>
              <w:noProof w:val="0"/>
              <w:szCs w:val="13"/>
            </w:rPr>
            <w:fldChar w:fldCharType="begin"/>
          </w:r>
          <w:r w:rsidR="00B60799" w:rsidRPr="00A908F9">
            <w:rPr>
              <w:rStyle w:val="PageNumber"/>
              <w:noProof w:val="0"/>
              <w:szCs w:val="13"/>
            </w:rPr>
            <w:instrText xml:space="preserve"> PAGE </w:instrText>
          </w:r>
          <w:r w:rsidR="00571DB8" w:rsidRPr="00A908F9">
            <w:rPr>
              <w:rStyle w:val="PageNumber"/>
              <w:noProof w:val="0"/>
              <w:szCs w:val="13"/>
            </w:rPr>
            <w:fldChar w:fldCharType="separate"/>
          </w:r>
          <w:r w:rsidR="00A97AF7">
            <w:rPr>
              <w:rStyle w:val="PageNumber"/>
              <w:szCs w:val="13"/>
            </w:rPr>
            <w:t>1</w:t>
          </w:r>
          <w:r w:rsidR="00571DB8" w:rsidRPr="00A908F9">
            <w:rPr>
              <w:rStyle w:val="PageNumber"/>
              <w:noProof w:val="0"/>
              <w:szCs w:val="13"/>
            </w:rPr>
            <w:fldChar w:fldCharType="end"/>
          </w:r>
          <w:r>
            <w:rPr>
              <w:rStyle w:val="PageNumber"/>
              <w:noProof w:val="0"/>
              <w:szCs w:val="13"/>
            </w:rPr>
            <w:t xml:space="preserve"> </w:t>
          </w:r>
          <w:fldSimple w:instr=" DOCPROPERTY  L_PAGEOF  \* MERGEFORMAT ">
            <w:r w:rsidR="00B60799">
              <w:t>van</w:t>
            </w:r>
          </w:fldSimple>
          <w:r>
            <w:t xml:space="preserve"> </w:t>
          </w:r>
          <w:fldSimple w:instr=" NUMPAGES   \* MERGEFORMAT ">
            <w:r w:rsidR="00A97AF7">
              <w:t>13</w:t>
            </w:r>
          </w:fldSimple>
        </w:p>
      </w:tc>
    </w:tr>
  </w:tbl>
  <w:p w14:paraId="1ED9F2C4" w14:textId="77777777" w:rsidR="00B60799" w:rsidRPr="00785F18" w:rsidRDefault="00B60799" w:rsidP="00101F98">
    <w:pPr>
      <w:spacing w:line="240" w:lineRule="auto"/>
      <w:rPr>
        <w:sz w:val="2"/>
        <w:szCs w:val="2"/>
      </w:rPr>
    </w:pPr>
  </w:p>
  <w:p w14:paraId="1ED9F2C5" w14:textId="77777777" w:rsidR="00B60799" w:rsidRPr="00785F18" w:rsidRDefault="00B60799" w:rsidP="0039744C">
    <w:pPr>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9F296" w14:textId="77777777" w:rsidR="00F95FC4" w:rsidRPr="00B35331" w:rsidRDefault="00F95FC4" w:rsidP="00B35331">
      <w:pPr>
        <w:pStyle w:val="Footer"/>
      </w:pPr>
    </w:p>
  </w:footnote>
  <w:footnote w:type="continuationSeparator" w:id="0">
    <w:p w14:paraId="1ED9F297" w14:textId="77777777" w:rsidR="00F95FC4" w:rsidRDefault="00F95FC4">
      <w:r>
        <w:continuationSeparator/>
      </w:r>
    </w:p>
    <w:p w14:paraId="1ED9F298" w14:textId="77777777" w:rsidR="00F95FC4" w:rsidRDefault="00F95FC4"/>
    <w:p w14:paraId="1ED9F299" w14:textId="77777777" w:rsidR="00F95FC4" w:rsidRDefault="00F95FC4"/>
  </w:footnote>
  <w:footnote w:id="1">
    <w:p w14:paraId="1ED9F2D0" w14:textId="77777777" w:rsidR="00B60799" w:rsidRDefault="00B60799" w:rsidP="00BD6D99">
      <w:pPr>
        <w:pStyle w:val="FootnoteText"/>
      </w:pPr>
      <w:r>
        <w:rPr>
          <w:rStyle w:val="FootnoteReference"/>
        </w:rPr>
        <w:footnoteRef/>
      </w:r>
      <w:r>
        <w:tab/>
        <w:t xml:space="preserve">Binnen MOPAN evalueert Nederland samen met 18 gelijkgezinde landen het functioneren van VN organisaties en Internationale Financiële Instellingen. Vanaf 2015 worden, per keer, in een tweejaarlijkse cyclus, ongeveer 13 organisaties doorgelicht op organisatorisch functioneren en ontwikkelingseffectiviteit.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9F2A0" w14:textId="77777777" w:rsidR="00B60799" w:rsidRPr="00785F18" w:rsidRDefault="00B60799">
    <w:pPr>
      <w:pStyle w:val="Header"/>
    </w:pPr>
  </w:p>
  <w:p w14:paraId="1ED9F2A1" w14:textId="77777777" w:rsidR="00B60799" w:rsidRPr="00785F18" w:rsidRDefault="00B60799"/>
  <w:p w14:paraId="1ED9F2A2" w14:textId="77777777" w:rsidR="00B60799" w:rsidRPr="00785F18" w:rsidRDefault="00B6079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9F2A3" w14:textId="77777777" w:rsidR="00B60799" w:rsidRPr="00785F18" w:rsidRDefault="00B60799"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B60799" w:rsidRPr="008517DE" w14:paraId="1ED9F2A5" w14:textId="77777777" w:rsidTr="002E14E1">
      <w:trPr>
        <w:trHeight w:val="400"/>
      </w:trPr>
      <w:tc>
        <w:tcPr>
          <w:tcW w:w="7520" w:type="dxa"/>
          <w:shd w:val="clear" w:color="auto" w:fill="auto"/>
        </w:tcPr>
        <w:p w14:paraId="1ED9F2A4" w14:textId="77777777" w:rsidR="00B60799" w:rsidRPr="008517DE" w:rsidRDefault="00571DB8" w:rsidP="009D068A">
          <w:pPr>
            <w:adjustRightInd w:val="0"/>
            <w:spacing w:line="180" w:lineRule="exact"/>
            <w:rPr>
              <w:sz w:val="13"/>
              <w:lang w:val="en-GB"/>
            </w:rPr>
          </w:pPr>
          <w:r>
            <w:rPr>
              <w:rStyle w:val="Huisstijl-Koptekst"/>
            </w:rPr>
            <w:fldChar w:fldCharType="begin"/>
          </w:r>
          <w:r w:rsidR="00B60799">
            <w:rPr>
              <w:rStyle w:val="Huisstijl-Koptekst"/>
            </w:rPr>
            <w:instrText xml:space="preserve"> Titel </w:instrText>
          </w:r>
          <w:r>
            <w:rPr>
              <w:rStyle w:val="Huisstijl-Koptekst"/>
            </w:rPr>
            <w:fldChar w:fldCharType="separate"/>
          </w:r>
          <w:r w:rsidR="00B60799" w:rsidRPr="00B36546">
            <w:t>Scorecard</w:t>
          </w:r>
          <w:r>
            <w:rPr>
              <w:rStyle w:val="Huisstijl-Koptekst"/>
            </w:rPr>
            <w:fldChar w:fldCharType="end"/>
          </w:r>
          <w:r w:rsidR="00B60799" w:rsidRPr="008517DE">
            <w:rPr>
              <w:rStyle w:val="Huisstijl-Koptekst"/>
              <w:lang w:val="en-GB"/>
            </w:rPr>
            <w:t xml:space="preserve"> | </w:t>
          </w:r>
          <w:r w:rsidR="00B60799">
            <w:rPr>
              <w:rStyle w:val="Huisstijl-Koptekst"/>
            </w:rPr>
            <w:t>UNCTAD</w:t>
          </w:r>
        </w:p>
      </w:tc>
    </w:tr>
  </w:tbl>
  <w:p w14:paraId="1ED9F2A6" w14:textId="77777777" w:rsidR="00B60799" w:rsidRPr="008517DE" w:rsidRDefault="00B60799" w:rsidP="000D7BB7">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9F2B2" w14:textId="77777777" w:rsidR="00B60799" w:rsidRPr="00785F18" w:rsidRDefault="00246DF5" w:rsidP="006E263E">
    <w:r>
      <w:rPr>
        <w:noProof/>
      </w:rPr>
      <mc:AlternateContent>
        <mc:Choice Requires="wps">
          <w:drawing>
            <wp:anchor distT="0" distB="0" distL="114300" distR="114300" simplePos="0" relativeHeight="251659264" behindDoc="0" locked="0" layoutInCell="1" allowOverlap="1" wp14:anchorId="1ED9F2CE" wp14:editId="1ED9F2CF">
              <wp:simplePos x="0" y="0"/>
              <wp:positionH relativeFrom="column">
                <wp:posOffset>1386840</wp:posOffset>
              </wp:positionH>
              <wp:positionV relativeFrom="page">
                <wp:posOffset>-87630</wp:posOffset>
              </wp:positionV>
              <wp:extent cx="4025900" cy="174625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B60799" w14:paraId="1ED9F2E5" w14:textId="77777777">
                            <w:trPr>
                              <w:trHeight w:val="2636"/>
                            </w:trPr>
                            <w:tc>
                              <w:tcPr>
                                <w:tcW w:w="737" w:type="dxa"/>
                                <w:shd w:val="clear" w:color="auto" w:fill="auto"/>
                              </w:tcPr>
                              <w:p w14:paraId="1ED9F2E3" w14:textId="77777777" w:rsidR="00B60799" w:rsidRDefault="00B60799" w:rsidP="006E263E">
                                <w:pPr>
                                  <w:spacing w:line="240" w:lineRule="auto"/>
                                </w:pPr>
                                <w:bookmarkStart w:id="5" w:name="bm_BZlogo"/>
                                <w:bookmarkEnd w:id="5"/>
                                <w:r>
                                  <w:rPr>
                                    <w:noProof/>
                                  </w:rPr>
                                  <w:drawing>
                                    <wp:inline distT="0" distB="0" distL="0" distR="0" wp14:anchorId="1ED9F2E7" wp14:editId="1ED9F2E8">
                                      <wp:extent cx="466725" cy="1581150"/>
                                      <wp:effectExtent l="0" t="0" r="9525" b="0"/>
                                      <wp:docPr id="4" name="Picture 4"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1ED9F2E4" w14:textId="77777777" w:rsidR="00B60799" w:rsidRDefault="00B60799" w:rsidP="006E263E">
                                <w:pPr>
                                  <w:spacing w:line="240" w:lineRule="auto"/>
                                </w:pPr>
                                <w:r>
                                  <w:rPr>
                                    <w:noProof/>
                                  </w:rPr>
                                  <w:drawing>
                                    <wp:inline distT="0" distB="0" distL="0" distR="0" wp14:anchorId="1ED9F2E9" wp14:editId="1ED9F2EA">
                                      <wp:extent cx="2447925" cy="1657350"/>
                                      <wp:effectExtent l="0" t="0" r="9525" b="0"/>
                                      <wp:docPr id="2" name="Picture 1" descr="T:\Office\Logos\BZ_Dut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ffice\Logos\BZ_Dutch.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r>
                                  <w:rPr>
                                    <w:noProof/>
                                  </w:rPr>
                                  <w:drawing>
                                    <wp:inline distT="0" distB="0" distL="0" distR="0" wp14:anchorId="1ED9F2EB" wp14:editId="1ED9F2EC">
                                      <wp:extent cx="2447925" cy="1657350"/>
                                      <wp:effectExtent l="0" t="0" r="9525" b="0"/>
                                      <wp:docPr id="5" name="Picture 5"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1ED9F2E6" w14:textId="77777777" w:rsidR="00B60799" w:rsidRDefault="00B60799"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B60799" w14:paraId="1ED9F2E5" w14:textId="77777777">
                      <w:trPr>
                        <w:trHeight w:val="2636"/>
                      </w:trPr>
                      <w:tc>
                        <w:tcPr>
                          <w:tcW w:w="737" w:type="dxa"/>
                          <w:shd w:val="clear" w:color="auto" w:fill="auto"/>
                        </w:tcPr>
                        <w:p w14:paraId="1ED9F2E3" w14:textId="77777777" w:rsidR="00B60799" w:rsidRDefault="00B60799" w:rsidP="006E263E">
                          <w:pPr>
                            <w:spacing w:line="240" w:lineRule="auto"/>
                          </w:pPr>
                          <w:bookmarkStart w:id="6" w:name="bm_BZlogo"/>
                          <w:bookmarkEnd w:id="6"/>
                          <w:r>
                            <w:rPr>
                              <w:noProof/>
                            </w:rPr>
                            <w:drawing>
                              <wp:inline distT="0" distB="0" distL="0" distR="0" wp14:anchorId="1ED9F2E7" wp14:editId="1ED9F2E8">
                                <wp:extent cx="466725" cy="1581150"/>
                                <wp:effectExtent l="0" t="0" r="9525" b="0"/>
                                <wp:docPr id="4" name="Picture 4"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1ED9F2E4" w14:textId="77777777" w:rsidR="00B60799" w:rsidRDefault="00B60799" w:rsidP="006E263E">
                          <w:pPr>
                            <w:spacing w:line="240" w:lineRule="auto"/>
                          </w:pPr>
                          <w:r>
                            <w:rPr>
                              <w:noProof/>
                            </w:rPr>
                            <w:drawing>
                              <wp:inline distT="0" distB="0" distL="0" distR="0" wp14:anchorId="1ED9F2E9" wp14:editId="1ED9F2EA">
                                <wp:extent cx="2447925" cy="1657350"/>
                                <wp:effectExtent l="0" t="0" r="9525" b="0"/>
                                <wp:docPr id="2" name="Picture 1" descr="T:\Office\Logos\BZ_Dut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ffice\Logos\BZ_Dutch.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r>
                            <w:rPr>
                              <w:noProof/>
                            </w:rPr>
                            <w:drawing>
                              <wp:inline distT="0" distB="0" distL="0" distR="0" wp14:anchorId="1ED9F2EB" wp14:editId="1ED9F2EC">
                                <wp:extent cx="2447925" cy="1657350"/>
                                <wp:effectExtent l="0" t="0" r="9525" b="0"/>
                                <wp:docPr id="5" name="Picture 5"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1ED9F2E6" w14:textId="77777777" w:rsidR="00B60799" w:rsidRDefault="00B60799"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B60799" w:rsidRPr="00785F18" w14:paraId="1ED9F2B4" w14:textId="77777777" w:rsidTr="000A01F6">
      <w:trPr>
        <w:cantSplit/>
        <w:trHeight w:hRule="exact" w:val="3340"/>
      </w:trPr>
      <w:tc>
        <w:tcPr>
          <w:tcW w:w="5640" w:type="dxa"/>
          <w:shd w:val="clear" w:color="auto" w:fill="auto"/>
        </w:tcPr>
        <w:p w14:paraId="1ED9F2B3" w14:textId="77777777" w:rsidR="00B60799" w:rsidRPr="00785F18" w:rsidRDefault="00B60799" w:rsidP="00094B45">
          <w:pPr>
            <w:ind w:left="240" w:hanging="240"/>
          </w:pPr>
        </w:p>
      </w:tc>
    </w:tr>
    <w:tr w:rsidR="00B60799" w:rsidRPr="00B36546" w14:paraId="1ED9F2B9" w14:textId="77777777" w:rsidTr="007B0280">
      <w:trPr>
        <w:cantSplit/>
        <w:trHeight w:hRule="exact" w:val="1440"/>
      </w:trPr>
      <w:tc>
        <w:tcPr>
          <w:tcW w:w="5640" w:type="dxa"/>
          <w:shd w:val="clear" w:color="auto" w:fill="auto"/>
        </w:tcPr>
        <w:p w14:paraId="1ED9F2B5" w14:textId="77777777" w:rsidR="00B60799" w:rsidRPr="00785F18" w:rsidRDefault="00B60799" w:rsidP="000C0FB6">
          <w:pPr>
            <w:rPr>
              <w:rStyle w:val="Huisstijl-Rubricering"/>
              <w:smallCaps w:val="0"/>
            </w:rPr>
          </w:pPr>
        </w:p>
        <w:p w14:paraId="1ED9F2B6" w14:textId="77777777" w:rsidR="00B60799" w:rsidRPr="00785F18" w:rsidRDefault="00B60799" w:rsidP="000C0FB6">
          <w:pPr>
            <w:spacing w:line="180" w:lineRule="atLeast"/>
            <w:rPr>
              <w:rStyle w:val="Huisstijl-Rubricering"/>
              <w:smallCaps w:val="0"/>
            </w:rPr>
          </w:pPr>
        </w:p>
        <w:p w14:paraId="1ED9F2B7" w14:textId="77777777" w:rsidR="00B60799" w:rsidRPr="00B36546" w:rsidRDefault="00B60799" w:rsidP="00226FB3">
          <w:pPr>
            <w:pStyle w:val="Title"/>
            <w:rPr>
              <w:lang w:val="en-GB"/>
            </w:rPr>
          </w:pPr>
          <w:bookmarkStart w:id="7" w:name="titel"/>
          <w:r w:rsidRPr="00B36546">
            <w:t>Scorecard</w:t>
          </w:r>
          <w:bookmarkEnd w:id="7"/>
          <w:r>
            <w:t xml:space="preserve"> UNCTAD</w:t>
          </w:r>
        </w:p>
        <w:p w14:paraId="1ED9F2B8" w14:textId="77777777" w:rsidR="00B60799" w:rsidRPr="00B36546" w:rsidRDefault="00B60799" w:rsidP="00B36546">
          <w:pPr>
            <w:tabs>
              <w:tab w:val="left" w:pos="3281"/>
            </w:tabs>
            <w:rPr>
              <w:lang w:val="en-GB"/>
            </w:rPr>
          </w:pPr>
          <w:r w:rsidRPr="00B36546">
            <w:rPr>
              <w:lang w:val="en-GB"/>
            </w:rPr>
            <w:tab/>
          </w:r>
        </w:p>
      </w:tc>
    </w:tr>
    <w:tr w:rsidR="00B60799" w:rsidRPr="00B36546" w14:paraId="1ED9F2BB" w14:textId="77777777" w:rsidTr="000A01F6">
      <w:trPr>
        <w:cantSplit/>
        <w:trHeight w:hRule="exact" w:val="240"/>
      </w:trPr>
      <w:tc>
        <w:tcPr>
          <w:tcW w:w="5640" w:type="dxa"/>
          <w:shd w:val="clear" w:color="auto" w:fill="auto"/>
        </w:tcPr>
        <w:p w14:paraId="1ED9F2BA" w14:textId="77777777" w:rsidR="00B60799" w:rsidRPr="00B36546" w:rsidRDefault="00B60799" w:rsidP="00B60860">
          <w:pPr>
            <w:rPr>
              <w:lang w:val="en-GB"/>
            </w:rPr>
          </w:pPr>
        </w:p>
      </w:tc>
    </w:tr>
    <w:tr w:rsidR="00B60799" w:rsidRPr="00B36546" w14:paraId="1ED9F2BD" w14:textId="77777777" w:rsidTr="000A01F6">
      <w:trPr>
        <w:cantSplit/>
        <w:trHeight w:hRule="exact" w:val="480"/>
      </w:trPr>
      <w:tc>
        <w:tcPr>
          <w:tcW w:w="5640" w:type="dxa"/>
          <w:shd w:val="clear" w:color="auto" w:fill="auto"/>
        </w:tcPr>
        <w:p w14:paraId="1ED9F2BC" w14:textId="77777777" w:rsidR="00B60799" w:rsidRPr="00B36546" w:rsidRDefault="00B60799" w:rsidP="00EF0ED5">
          <w:pPr>
            <w:rPr>
              <w:lang w:val="en-GB"/>
            </w:rPr>
          </w:pPr>
        </w:p>
      </w:tc>
    </w:tr>
  </w:tbl>
  <w:p w14:paraId="1ED9F2BE" w14:textId="6F5D7DF5" w:rsidR="00B60799" w:rsidRPr="00B36546" w:rsidRDefault="00FB71E4">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19</w:t>
    </w:r>
    <w:r w:rsidR="00B60799">
      <w:rPr>
        <w:lang w:val="en-GB"/>
      </w:rPr>
      <w:t xml:space="preserve"> </w:t>
    </w:r>
    <w:proofErr w:type="spellStart"/>
    <w:r w:rsidR="00B60799">
      <w:rPr>
        <w:lang w:val="en-GB"/>
      </w:rPr>
      <w:t>juni</w:t>
    </w:r>
    <w:proofErr w:type="spellEnd"/>
    <w:r w:rsidR="00B60799">
      <w:rPr>
        <w:lang w:val="en-GB"/>
      </w:rPr>
      <w:t xml:space="preserve"> 2015</w:t>
    </w:r>
  </w:p>
  <w:p w14:paraId="1ED9F2BF" w14:textId="77777777" w:rsidR="00B60799" w:rsidRPr="00B36546" w:rsidRDefault="00B60799">
    <w:pPr>
      <w:rPr>
        <w:lang w:val="en-GB"/>
      </w:rPr>
    </w:pPr>
  </w:p>
  <w:p w14:paraId="1ED9F2C0" w14:textId="77777777" w:rsidR="00B60799" w:rsidRPr="00785F18" w:rsidRDefault="00B60799" w:rsidP="000602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9F2C6" w14:textId="77777777" w:rsidR="00B60799" w:rsidRPr="00785F18" w:rsidRDefault="00B60799"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B60799" w:rsidRPr="008517DE" w14:paraId="1ED9F2C8" w14:textId="77777777" w:rsidTr="00B06D4B">
      <w:trPr>
        <w:trHeight w:val="400"/>
      </w:trPr>
      <w:tc>
        <w:tcPr>
          <w:tcW w:w="7520" w:type="dxa"/>
          <w:shd w:val="clear" w:color="auto" w:fill="auto"/>
        </w:tcPr>
        <w:p w14:paraId="1ED9F2C7" w14:textId="77777777" w:rsidR="00B60799" w:rsidRPr="008517DE" w:rsidRDefault="00184308" w:rsidP="00B06D4B">
          <w:pPr>
            <w:adjustRightInd w:val="0"/>
            <w:spacing w:line="180" w:lineRule="exact"/>
            <w:rPr>
              <w:sz w:val="13"/>
              <w:lang w:val="en-GB"/>
            </w:rPr>
          </w:pPr>
          <w:fldSimple w:instr=" REF  titel  \* MERGEFORMAT ">
            <w:r w:rsidR="00B60799" w:rsidRPr="008B729A">
              <w:rPr>
                <w:rStyle w:val="Huisstijl-Koptekst"/>
                <w:sz w:val="18"/>
                <w:szCs w:val="18"/>
                <w:lang w:val="en-GB"/>
              </w:rPr>
              <w:t>Scorecard</w:t>
            </w:r>
          </w:fldSimple>
          <w:r w:rsidR="00B60799" w:rsidRPr="007B163C">
            <w:rPr>
              <w:rStyle w:val="Huisstijl-Koptekst"/>
              <w:lang w:val="en-GB"/>
            </w:rPr>
            <w:t xml:space="preserve"> | </w:t>
          </w:r>
          <w:proofErr w:type="spellStart"/>
          <w:r w:rsidR="00B60799">
            <w:rPr>
              <w:rStyle w:val="Huisstijl-Koptekst"/>
              <w:lang w:val="en-GB"/>
            </w:rPr>
            <w:t>Organisatie</w:t>
          </w:r>
          <w:proofErr w:type="spellEnd"/>
        </w:p>
      </w:tc>
    </w:tr>
  </w:tbl>
  <w:p w14:paraId="1ED9F2C9" w14:textId="77777777" w:rsidR="00B60799" w:rsidRPr="008517DE" w:rsidRDefault="00B60799" w:rsidP="00E51959">
    <w:pPr>
      <w:pStyle w:val="Header"/>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9F2CA" w14:textId="77777777" w:rsidR="00B60799" w:rsidRPr="00785F18" w:rsidRDefault="00B60799"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B60799" w:rsidRPr="008517DE" w14:paraId="1ED9F2CC" w14:textId="77777777" w:rsidTr="00B06D4B">
      <w:trPr>
        <w:trHeight w:val="400"/>
      </w:trPr>
      <w:tc>
        <w:tcPr>
          <w:tcW w:w="7520" w:type="dxa"/>
          <w:shd w:val="clear" w:color="auto" w:fill="auto"/>
        </w:tcPr>
        <w:p w14:paraId="1ED9F2CB" w14:textId="77777777" w:rsidR="00B60799" w:rsidRPr="008517DE" w:rsidRDefault="00184308" w:rsidP="00B06D4B">
          <w:pPr>
            <w:adjustRightInd w:val="0"/>
            <w:spacing w:line="180" w:lineRule="exact"/>
            <w:rPr>
              <w:sz w:val="13"/>
              <w:lang w:val="en-GB"/>
            </w:rPr>
          </w:pPr>
          <w:fldSimple w:instr=" REF  titel  \* MERGEFORMAT ">
            <w:r w:rsidR="00B60799" w:rsidRPr="008B729A">
              <w:rPr>
                <w:rStyle w:val="Huisstijl-Koptekst"/>
                <w:sz w:val="18"/>
                <w:szCs w:val="18"/>
                <w:lang w:val="en-GB"/>
              </w:rPr>
              <w:t>Scorecard</w:t>
            </w:r>
          </w:fldSimple>
          <w:r w:rsidR="00B60799" w:rsidRPr="007B163C">
            <w:rPr>
              <w:rStyle w:val="Huisstijl-Koptekst"/>
              <w:lang w:val="en-GB"/>
            </w:rPr>
            <w:t xml:space="preserve"> | </w:t>
          </w:r>
          <w:proofErr w:type="spellStart"/>
          <w:r w:rsidR="00B60799">
            <w:rPr>
              <w:rStyle w:val="Huisstijl-Koptekst"/>
              <w:lang w:val="en-GB"/>
            </w:rPr>
            <w:t>Organisatie</w:t>
          </w:r>
          <w:proofErr w:type="spellEnd"/>
        </w:p>
      </w:tc>
    </w:tr>
  </w:tbl>
  <w:p w14:paraId="1ED9F2CD" w14:textId="77777777" w:rsidR="00B60799" w:rsidRPr="008517DE" w:rsidRDefault="00B60799" w:rsidP="00E51959">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nsid w:val="03BB5F57"/>
    <w:multiLevelType w:val="multilevel"/>
    <w:tmpl w:val="5AEEDE88"/>
    <w:numStyleLink w:val="StyleBulleted"/>
  </w:abstractNum>
  <w:abstractNum w:abstractNumId="2">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5">
    <w:nsid w:val="13100EB3"/>
    <w:multiLevelType w:val="hybridMultilevel"/>
    <w:tmpl w:val="11F6729C"/>
    <w:lvl w:ilvl="0" w:tplc="6186DDF6">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623655D"/>
    <w:multiLevelType w:val="multilevel"/>
    <w:tmpl w:val="5AEEDE88"/>
    <w:numStyleLink w:val="StyleBulleted"/>
  </w:abstractNum>
  <w:abstractNum w:abstractNumId="7">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991171C"/>
    <w:multiLevelType w:val="hybridMultilevel"/>
    <w:tmpl w:val="A2AAD6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A5A20BC"/>
    <w:multiLevelType w:val="multilevel"/>
    <w:tmpl w:val="5AEEDE88"/>
    <w:numStyleLink w:val="StyleBulleted"/>
  </w:abstractNum>
  <w:abstractNum w:abstractNumId="1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2">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22F82FF2"/>
    <w:multiLevelType w:val="multilevel"/>
    <w:tmpl w:val="5AEEDE88"/>
    <w:numStyleLink w:val="StyleBulleted"/>
  </w:abstractNum>
  <w:abstractNum w:abstractNumId="14">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6">
    <w:nsid w:val="342F354F"/>
    <w:multiLevelType w:val="multilevel"/>
    <w:tmpl w:val="EB1AEB02"/>
    <w:lvl w:ilvl="0">
      <w:start w:val="3"/>
      <w:numFmt w:val="decimal"/>
      <w:lvlText w:val="%1"/>
      <w:lvlJc w:val="left"/>
      <w:pPr>
        <w:ind w:left="360" w:hanging="360"/>
      </w:pPr>
      <w:rPr>
        <w:rFonts w:hint="default"/>
        <w:color w:val="FF0000"/>
      </w:rPr>
    </w:lvl>
    <w:lvl w:ilvl="1">
      <w:start w:val="7"/>
      <w:numFmt w:val="decimal"/>
      <w:lvlText w:val="%1.%2"/>
      <w:lvlJc w:val="left"/>
      <w:pPr>
        <w:ind w:left="-802" w:hanging="360"/>
      </w:pPr>
      <w:rPr>
        <w:rFonts w:hint="default"/>
        <w:color w:val="auto"/>
      </w:rPr>
    </w:lvl>
    <w:lvl w:ilvl="2">
      <w:start w:val="1"/>
      <w:numFmt w:val="decimal"/>
      <w:lvlText w:val="%1.%2.%3"/>
      <w:lvlJc w:val="left"/>
      <w:pPr>
        <w:ind w:left="-1604" w:hanging="720"/>
      </w:pPr>
      <w:rPr>
        <w:rFonts w:hint="default"/>
        <w:color w:val="FF0000"/>
      </w:rPr>
    </w:lvl>
    <w:lvl w:ilvl="3">
      <w:start w:val="1"/>
      <w:numFmt w:val="decimal"/>
      <w:lvlText w:val="%1.%2.%3.%4"/>
      <w:lvlJc w:val="left"/>
      <w:pPr>
        <w:ind w:left="-2406" w:hanging="1080"/>
      </w:pPr>
      <w:rPr>
        <w:rFonts w:hint="default"/>
        <w:color w:val="FF0000"/>
      </w:rPr>
    </w:lvl>
    <w:lvl w:ilvl="4">
      <w:start w:val="1"/>
      <w:numFmt w:val="decimal"/>
      <w:lvlText w:val="%1.%2.%3.%4.%5"/>
      <w:lvlJc w:val="left"/>
      <w:pPr>
        <w:ind w:left="-3568" w:hanging="1080"/>
      </w:pPr>
      <w:rPr>
        <w:rFonts w:hint="default"/>
        <w:color w:val="FF0000"/>
      </w:rPr>
    </w:lvl>
    <w:lvl w:ilvl="5">
      <w:start w:val="1"/>
      <w:numFmt w:val="decimal"/>
      <w:lvlText w:val="%1.%2.%3.%4.%5.%6"/>
      <w:lvlJc w:val="left"/>
      <w:pPr>
        <w:ind w:left="-4370" w:hanging="1440"/>
      </w:pPr>
      <w:rPr>
        <w:rFonts w:hint="default"/>
        <w:color w:val="FF0000"/>
      </w:rPr>
    </w:lvl>
    <w:lvl w:ilvl="6">
      <w:start w:val="1"/>
      <w:numFmt w:val="decimal"/>
      <w:lvlText w:val="%1.%2.%3.%4.%5.%6.%7"/>
      <w:lvlJc w:val="left"/>
      <w:pPr>
        <w:ind w:left="-5532" w:hanging="1440"/>
      </w:pPr>
      <w:rPr>
        <w:rFonts w:hint="default"/>
        <w:color w:val="FF0000"/>
      </w:rPr>
    </w:lvl>
    <w:lvl w:ilvl="7">
      <w:start w:val="1"/>
      <w:numFmt w:val="decimal"/>
      <w:lvlText w:val="%1.%2.%3.%4.%5.%6.%7.%8"/>
      <w:lvlJc w:val="left"/>
      <w:pPr>
        <w:ind w:left="-6334" w:hanging="1800"/>
      </w:pPr>
      <w:rPr>
        <w:rFonts w:hint="default"/>
        <w:color w:val="FF0000"/>
      </w:rPr>
    </w:lvl>
    <w:lvl w:ilvl="8">
      <w:start w:val="1"/>
      <w:numFmt w:val="decimal"/>
      <w:lvlText w:val="%1.%2.%3.%4.%5.%6.%7.%8.%9"/>
      <w:lvlJc w:val="left"/>
      <w:pPr>
        <w:ind w:left="-7136" w:hanging="2160"/>
      </w:pPr>
      <w:rPr>
        <w:rFonts w:hint="default"/>
        <w:color w:val="FF0000"/>
      </w:rPr>
    </w:lvl>
  </w:abstractNum>
  <w:abstractNum w:abstractNumId="17">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8">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0">
    <w:nsid w:val="408335F4"/>
    <w:multiLevelType w:val="multilevel"/>
    <w:tmpl w:val="5AEEDE88"/>
    <w:numStyleLink w:val="StyleBulleted"/>
  </w:abstractNum>
  <w:abstractNum w:abstractNumId="21">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2">
    <w:nsid w:val="5D750EE7"/>
    <w:multiLevelType w:val="multilevel"/>
    <w:tmpl w:val="5AEEDE88"/>
    <w:numStyleLink w:val="StyleBulleted"/>
  </w:abstractNum>
  <w:abstractNum w:abstractNumId="23">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24">
    <w:nsid w:val="63404D5D"/>
    <w:multiLevelType w:val="multilevel"/>
    <w:tmpl w:val="5AEEDE88"/>
    <w:numStyleLink w:val="StyleBulleted"/>
  </w:abstractNum>
  <w:abstractNum w:abstractNumId="25">
    <w:nsid w:val="63A20AAC"/>
    <w:multiLevelType w:val="multilevel"/>
    <w:tmpl w:val="5AEEDE88"/>
    <w:numStyleLink w:val="StyleBulleted"/>
  </w:abstractNum>
  <w:abstractNum w:abstractNumId="26">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27">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8">
    <w:nsid w:val="6D193965"/>
    <w:multiLevelType w:val="multilevel"/>
    <w:tmpl w:val="5AEEDE88"/>
    <w:numStyleLink w:val="StyleBulleted"/>
  </w:abstractNum>
  <w:abstractNum w:abstractNumId="29">
    <w:nsid w:val="6F1B2CBC"/>
    <w:multiLevelType w:val="multilevel"/>
    <w:tmpl w:val="5AEEDE88"/>
    <w:numStyleLink w:val="StyleBulleted"/>
  </w:abstractNum>
  <w:abstractNum w:abstractNumId="3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1">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19"/>
  </w:num>
  <w:num w:numId="4">
    <w:abstractNumId w:val="0"/>
  </w:num>
  <w:num w:numId="5">
    <w:abstractNumId w:val="27"/>
  </w:num>
  <w:num w:numId="6">
    <w:abstractNumId w:val="2"/>
  </w:num>
  <w:num w:numId="7">
    <w:abstractNumId w:val="12"/>
  </w:num>
  <w:num w:numId="8">
    <w:abstractNumId w:val="29"/>
  </w:num>
  <w:num w:numId="9">
    <w:abstractNumId w:val="25"/>
  </w:num>
  <w:num w:numId="10">
    <w:abstractNumId w:val="13"/>
  </w:num>
  <w:num w:numId="11">
    <w:abstractNumId w:val="6"/>
  </w:num>
  <w:num w:numId="12">
    <w:abstractNumId w:val="28"/>
  </w:num>
  <w:num w:numId="13">
    <w:abstractNumId w:val="17"/>
  </w:num>
  <w:num w:numId="14">
    <w:abstractNumId w:val="1"/>
  </w:num>
  <w:num w:numId="15">
    <w:abstractNumId w:val="9"/>
  </w:num>
  <w:num w:numId="16">
    <w:abstractNumId w:val="24"/>
  </w:num>
  <w:num w:numId="17">
    <w:abstractNumId w:val="20"/>
  </w:num>
  <w:num w:numId="18">
    <w:abstractNumId w:val="22"/>
  </w:num>
  <w:num w:numId="19">
    <w:abstractNumId w:val="15"/>
  </w:num>
  <w:num w:numId="20">
    <w:abstractNumId w:val="30"/>
  </w:num>
  <w:num w:numId="21">
    <w:abstractNumId w:val="4"/>
  </w:num>
  <w:num w:numId="22">
    <w:abstractNumId w:val="21"/>
  </w:num>
  <w:num w:numId="23">
    <w:abstractNumId w:val="31"/>
  </w:num>
  <w:num w:numId="24">
    <w:abstractNumId w:val="14"/>
  </w:num>
  <w:num w:numId="25">
    <w:abstractNumId w:val="14"/>
  </w:num>
  <w:num w:numId="26">
    <w:abstractNumId w:val="11"/>
  </w:num>
  <w:num w:numId="27">
    <w:abstractNumId w:val="10"/>
  </w:num>
  <w:num w:numId="28">
    <w:abstractNumId w:val="7"/>
  </w:num>
  <w:num w:numId="29">
    <w:abstractNumId w:val="5"/>
  </w:num>
  <w:num w:numId="30">
    <w:abstractNumId w:val="3"/>
  </w:num>
  <w:num w:numId="31">
    <w:abstractNumId w:val="18"/>
  </w:num>
  <w:num w:numId="32">
    <w:abstractNumId w:val="16"/>
  </w:num>
  <w:num w:numId="3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7577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18"/>
    <w:rsid w:val="0000367D"/>
    <w:rsid w:val="0000392E"/>
    <w:rsid w:val="00003A32"/>
    <w:rsid w:val="00005884"/>
    <w:rsid w:val="00006E47"/>
    <w:rsid w:val="000106C2"/>
    <w:rsid w:val="0001095C"/>
    <w:rsid w:val="000114F8"/>
    <w:rsid w:val="00013196"/>
    <w:rsid w:val="0001440B"/>
    <w:rsid w:val="00020189"/>
    <w:rsid w:val="00020EE4"/>
    <w:rsid w:val="000227EB"/>
    <w:rsid w:val="000234D6"/>
    <w:rsid w:val="00024498"/>
    <w:rsid w:val="0002628D"/>
    <w:rsid w:val="00026447"/>
    <w:rsid w:val="0002695C"/>
    <w:rsid w:val="000304C1"/>
    <w:rsid w:val="00031268"/>
    <w:rsid w:val="00033419"/>
    <w:rsid w:val="00033426"/>
    <w:rsid w:val="00033950"/>
    <w:rsid w:val="00033E8D"/>
    <w:rsid w:val="00034A84"/>
    <w:rsid w:val="00035E67"/>
    <w:rsid w:val="0004192F"/>
    <w:rsid w:val="000422E7"/>
    <w:rsid w:val="00044809"/>
    <w:rsid w:val="00045A4F"/>
    <w:rsid w:val="00046866"/>
    <w:rsid w:val="00047318"/>
    <w:rsid w:val="0005061F"/>
    <w:rsid w:val="00050ABD"/>
    <w:rsid w:val="00050B6A"/>
    <w:rsid w:val="00051416"/>
    <w:rsid w:val="000559DE"/>
    <w:rsid w:val="00057B03"/>
    <w:rsid w:val="0006027D"/>
    <w:rsid w:val="000605A3"/>
    <w:rsid w:val="00066F2B"/>
    <w:rsid w:val="000705D1"/>
    <w:rsid w:val="00071F28"/>
    <w:rsid w:val="000721DE"/>
    <w:rsid w:val="00076FCC"/>
    <w:rsid w:val="00077900"/>
    <w:rsid w:val="00077C92"/>
    <w:rsid w:val="00080AE8"/>
    <w:rsid w:val="00081825"/>
    <w:rsid w:val="00081911"/>
    <w:rsid w:val="0008255C"/>
    <w:rsid w:val="00082BB1"/>
    <w:rsid w:val="000842B5"/>
    <w:rsid w:val="000842F4"/>
    <w:rsid w:val="00085F22"/>
    <w:rsid w:val="0008640E"/>
    <w:rsid w:val="0008784B"/>
    <w:rsid w:val="00087FA0"/>
    <w:rsid w:val="000903DE"/>
    <w:rsid w:val="00090808"/>
    <w:rsid w:val="0009114D"/>
    <w:rsid w:val="000912C6"/>
    <w:rsid w:val="00093522"/>
    <w:rsid w:val="00094518"/>
    <w:rsid w:val="00094A14"/>
    <w:rsid w:val="00094B45"/>
    <w:rsid w:val="00096680"/>
    <w:rsid w:val="00097B3F"/>
    <w:rsid w:val="000A01F6"/>
    <w:rsid w:val="000A0BB1"/>
    <w:rsid w:val="000A22CF"/>
    <w:rsid w:val="000A27FF"/>
    <w:rsid w:val="000A2DF7"/>
    <w:rsid w:val="000A381C"/>
    <w:rsid w:val="000A3AF6"/>
    <w:rsid w:val="000B2A0F"/>
    <w:rsid w:val="000B477F"/>
    <w:rsid w:val="000B64F8"/>
    <w:rsid w:val="000B7281"/>
    <w:rsid w:val="000B73BA"/>
    <w:rsid w:val="000C05BF"/>
    <w:rsid w:val="000C0757"/>
    <w:rsid w:val="000C07A1"/>
    <w:rsid w:val="000C082E"/>
    <w:rsid w:val="000C0FB6"/>
    <w:rsid w:val="000C3F40"/>
    <w:rsid w:val="000C43A2"/>
    <w:rsid w:val="000C4679"/>
    <w:rsid w:val="000C521E"/>
    <w:rsid w:val="000C575D"/>
    <w:rsid w:val="000C5E4F"/>
    <w:rsid w:val="000C6EED"/>
    <w:rsid w:val="000D17AB"/>
    <w:rsid w:val="000D2C16"/>
    <w:rsid w:val="000D3986"/>
    <w:rsid w:val="000D7BB7"/>
    <w:rsid w:val="000E15AA"/>
    <w:rsid w:val="000E291D"/>
    <w:rsid w:val="000F03D7"/>
    <w:rsid w:val="000F1533"/>
    <w:rsid w:val="000F1A72"/>
    <w:rsid w:val="000F2632"/>
    <w:rsid w:val="000F46A7"/>
    <w:rsid w:val="000F4B53"/>
    <w:rsid w:val="000F6168"/>
    <w:rsid w:val="00100038"/>
    <w:rsid w:val="00101F98"/>
    <w:rsid w:val="00102DFB"/>
    <w:rsid w:val="001031E7"/>
    <w:rsid w:val="001069BA"/>
    <w:rsid w:val="00116E2A"/>
    <w:rsid w:val="001210BF"/>
    <w:rsid w:val="00121AD6"/>
    <w:rsid w:val="00122BDB"/>
    <w:rsid w:val="00123082"/>
    <w:rsid w:val="00123704"/>
    <w:rsid w:val="00124B64"/>
    <w:rsid w:val="00125028"/>
    <w:rsid w:val="00125154"/>
    <w:rsid w:val="00125A07"/>
    <w:rsid w:val="001270C7"/>
    <w:rsid w:val="0013050A"/>
    <w:rsid w:val="00130DA2"/>
    <w:rsid w:val="00134D07"/>
    <w:rsid w:val="00136130"/>
    <w:rsid w:val="00136D94"/>
    <w:rsid w:val="00142259"/>
    <w:rsid w:val="00142628"/>
    <w:rsid w:val="001429A1"/>
    <w:rsid w:val="00142BCD"/>
    <w:rsid w:val="00144379"/>
    <w:rsid w:val="0014446A"/>
    <w:rsid w:val="0014786A"/>
    <w:rsid w:val="001516A4"/>
    <w:rsid w:val="00154AD8"/>
    <w:rsid w:val="00163F42"/>
    <w:rsid w:val="00163F5B"/>
    <w:rsid w:val="00163FA2"/>
    <w:rsid w:val="00164384"/>
    <w:rsid w:val="00164D75"/>
    <w:rsid w:val="00165BCE"/>
    <w:rsid w:val="00166242"/>
    <w:rsid w:val="00167F79"/>
    <w:rsid w:val="00171AFC"/>
    <w:rsid w:val="001739A0"/>
    <w:rsid w:val="001802CA"/>
    <w:rsid w:val="00180D53"/>
    <w:rsid w:val="00181629"/>
    <w:rsid w:val="00181A35"/>
    <w:rsid w:val="00182C7C"/>
    <w:rsid w:val="00183CBA"/>
    <w:rsid w:val="00183FB1"/>
    <w:rsid w:val="00184308"/>
    <w:rsid w:val="00185576"/>
    <w:rsid w:val="00185951"/>
    <w:rsid w:val="00191587"/>
    <w:rsid w:val="00192687"/>
    <w:rsid w:val="0019336F"/>
    <w:rsid w:val="00193994"/>
    <w:rsid w:val="00194809"/>
    <w:rsid w:val="0019492F"/>
    <w:rsid w:val="001952F9"/>
    <w:rsid w:val="00195B13"/>
    <w:rsid w:val="0019635E"/>
    <w:rsid w:val="001A2505"/>
    <w:rsid w:val="001A4548"/>
    <w:rsid w:val="001A4CE3"/>
    <w:rsid w:val="001A5422"/>
    <w:rsid w:val="001A6606"/>
    <w:rsid w:val="001B0189"/>
    <w:rsid w:val="001B01D9"/>
    <w:rsid w:val="001B262F"/>
    <w:rsid w:val="001B5635"/>
    <w:rsid w:val="001B5DC5"/>
    <w:rsid w:val="001B783F"/>
    <w:rsid w:val="001B793F"/>
    <w:rsid w:val="001B7D7E"/>
    <w:rsid w:val="001C1AF8"/>
    <w:rsid w:val="001C2176"/>
    <w:rsid w:val="001C2A23"/>
    <w:rsid w:val="001C3DBE"/>
    <w:rsid w:val="001C3DE6"/>
    <w:rsid w:val="001C47F8"/>
    <w:rsid w:val="001C6550"/>
    <w:rsid w:val="001C793E"/>
    <w:rsid w:val="001D0371"/>
    <w:rsid w:val="001D0FB6"/>
    <w:rsid w:val="001D288C"/>
    <w:rsid w:val="001D5178"/>
    <w:rsid w:val="001D7F60"/>
    <w:rsid w:val="001E1E35"/>
    <w:rsid w:val="001E34C6"/>
    <w:rsid w:val="001E5581"/>
    <w:rsid w:val="001E73BA"/>
    <w:rsid w:val="001F0250"/>
    <w:rsid w:val="001F0D75"/>
    <w:rsid w:val="001F2538"/>
    <w:rsid w:val="001F3AD3"/>
    <w:rsid w:val="001F4D72"/>
    <w:rsid w:val="001F562C"/>
    <w:rsid w:val="001F583B"/>
    <w:rsid w:val="001F6340"/>
    <w:rsid w:val="00210629"/>
    <w:rsid w:val="00211122"/>
    <w:rsid w:val="002121BE"/>
    <w:rsid w:val="0021384A"/>
    <w:rsid w:val="0021484F"/>
    <w:rsid w:val="00216302"/>
    <w:rsid w:val="002165AB"/>
    <w:rsid w:val="0021678F"/>
    <w:rsid w:val="00216ADD"/>
    <w:rsid w:val="002212B1"/>
    <w:rsid w:val="00221806"/>
    <w:rsid w:val="002222A2"/>
    <w:rsid w:val="0022295F"/>
    <w:rsid w:val="00223E42"/>
    <w:rsid w:val="00226FB3"/>
    <w:rsid w:val="00234DF4"/>
    <w:rsid w:val="00234F48"/>
    <w:rsid w:val="0024163C"/>
    <w:rsid w:val="00242356"/>
    <w:rsid w:val="002428E3"/>
    <w:rsid w:val="00246DF5"/>
    <w:rsid w:val="00247458"/>
    <w:rsid w:val="002533B2"/>
    <w:rsid w:val="00254103"/>
    <w:rsid w:val="00254A69"/>
    <w:rsid w:val="00257241"/>
    <w:rsid w:val="002579E2"/>
    <w:rsid w:val="00260BAF"/>
    <w:rsid w:val="002633CA"/>
    <w:rsid w:val="002644F5"/>
    <w:rsid w:val="00264CB9"/>
    <w:rsid w:val="002650F7"/>
    <w:rsid w:val="00266018"/>
    <w:rsid w:val="0026622C"/>
    <w:rsid w:val="00267BA5"/>
    <w:rsid w:val="0027051F"/>
    <w:rsid w:val="002731C3"/>
    <w:rsid w:val="002733CD"/>
    <w:rsid w:val="0027471C"/>
    <w:rsid w:val="002803F3"/>
    <w:rsid w:val="00280CF7"/>
    <w:rsid w:val="00280F74"/>
    <w:rsid w:val="00281846"/>
    <w:rsid w:val="00286998"/>
    <w:rsid w:val="002872FA"/>
    <w:rsid w:val="002874CC"/>
    <w:rsid w:val="00287C39"/>
    <w:rsid w:val="00290320"/>
    <w:rsid w:val="00290657"/>
    <w:rsid w:val="002912E8"/>
    <w:rsid w:val="002957DE"/>
    <w:rsid w:val="00296115"/>
    <w:rsid w:val="00297320"/>
    <w:rsid w:val="002A149F"/>
    <w:rsid w:val="002A1CB5"/>
    <w:rsid w:val="002A5261"/>
    <w:rsid w:val="002B0F2F"/>
    <w:rsid w:val="002B153C"/>
    <w:rsid w:val="002B76D0"/>
    <w:rsid w:val="002C2320"/>
    <w:rsid w:val="002C3B05"/>
    <w:rsid w:val="002C45B0"/>
    <w:rsid w:val="002C6064"/>
    <w:rsid w:val="002C6A05"/>
    <w:rsid w:val="002C7285"/>
    <w:rsid w:val="002C7362"/>
    <w:rsid w:val="002C75D9"/>
    <w:rsid w:val="002C77AF"/>
    <w:rsid w:val="002D1801"/>
    <w:rsid w:val="002D2015"/>
    <w:rsid w:val="002D3129"/>
    <w:rsid w:val="002D317B"/>
    <w:rsid w:val="002D6BF5"/>
    <w:rsid w:val="002D70F3"/>
    <w:rsid w:val="002E05CA"/>
    <w:rsid w:val="002E0F69"/>
    <w:rsid w:val="002E14DF"/>
    <w:rsid w:val="002E14E1"/>
    <w:rsid w:val="002E184D"/>
    <w:rsid w:val="002E1FAD"/>
    <w:rsid w:val="002E44D1"/>
    <w:rsid w:val="002E572E"/>
    <w:rsid w:val="002E7941"/>
    <w:rsid w:val="002F35DC"/>
    <w:rsid w:val="002F56DD"/>
    <w:rsid w:val="002F5E6C"/>
    <w:rsid w:val="002F6CE5"/>
    <w:rsid w:val="002F7070"/>
    <w:rsid w:val="0030018C"/>
    <w:rsid w:val="0030137F"/>
    <w:rsid w:val="00301CA8"/>
    <w:rsid w:val="0030201A"/>
    <w:rsid w:val="00302C0A"/>
    <w:rsid w:val="00303724"/>
    <w:rsid w:val="003051CC"/>
    <w:rsid w:val="00306B7E"/>
    <w:rsid w:val="00307981"/>
    <w:rsid w:val="00311D97"/>
    <w:rsid w:val="00312597"/>
    <w:rsid w:val="003139A4"/>
    <w:rsid w:val="003141DF"/>
    <w:rsid w:val="00326699"/>
    <w:rsid w:val="0033173E"/>
    <w:rsid w:val="00331B8E"/>
    <w:rsid w:val="0033207E"/>
    <w:rsid w:val="00333036"/>
    <w:rsid w:val="003331DA"/>
    <w:rsid w:val="00334334"/>
    <w:rsid w:val="00335F89"/>
    <w:rsid w:val="003412ED"/>
    <w:rsid w:val="00341585"/>
    <w:rsid w:val="00342938"/>
    <w:rsid w:val="00343F24"/>
    <w:rsid w:val="003477DF"/>
    <w:rsid w:val="00350DC8"/>
    <w:rsid w:val="00353D56"/>
    <w:rsid w:val="003554B8"/>
    <w:rsid w:val="00355575"/>
    <w:rsid w:val="003555BF"/>
    <w:rsid w:val="0036223B"/>
    <w:rsid w:val="0036252A"/>
    <w:rsid w:val="003646BF"/>
    <w:rsid w:val="00364D9D"/>
    <w:rsid w:val="003668AB"/>
    <w:rsid w:val="00371603"/>
    <w:rsid w:val="003735B9"/>
    <w:rsid w:val="003737A8"/>
    <w:rsid w:val="0037461E"/>
    <w:rsid w:val="00374748"/>
    <w:rsid w:val="00375CF8"/>
    <w:rsid w:val="00383906"/>
    <w:rsid w:val="00383DA1"/>
    <w:rsid w:val="00387E90"/>
    <w:rsid w:val="003912B4"/>
    <w:rsid w:val="0039160C"/>
    <w:rsid w:val="00392007"/>
    <w:rsid w:val="0039660F"/>
    <w:rsid w:val="0039741E"/>
    <w:rsid w:val="0039744C"/>
    <w:rsid w:val="00397C46"/>
    <w:rsid w:val="003A06C8"/>
    <w:rsid w:val="003A0D7C"/>
    <w:rsid w:val="003A1E73"/>
    <w:rsid w:val="003A32D7"/>
    <w:rsid w:val="003A65E8"/>
    <w:rsid w:val="003A74F5"/>
    <w:rsid w:val="003A7CA6"/>
    <w:rsid w:val="003B40BE"/>
    <w:rsid w:val="003B4CB4"/>
    <w:rsid w:val="003B518B"/>
    <w:rsid w:val="003B58E3"/>
    <w:rsid w:val="003B75BC"/>
    <w:rsid w:val="003B7612"/>
    <w:rsid w:val="003B7EE7"/>
    <w:rsid w:val="003C18C0"/>
    <w:rsid w:val="003C3ACF"/>
    <w:rsid w:val="003C5BF4"/>
    <w:rsid w:val="003C6ADC"/>
    <w:rsid w:val="003C7467"/>
    <w:rsid w:val="003D244F"/>
    <w:rsid w:val="003D39EC"/>
    <w:rsid w:val="003D3E27"/>
    <w:rsid w:val="003D5452"/>
    <w:rsid w:val="003D6943"/>
    <w:rsid w:val="003D78F6"/>
    <w:rsid w:val="003E0D8B"/>
    <w:rsid w:val="003E3DD5"/>
    <w:rsid w:val="003E55D6"/>
    <w:rsid w:val="003E6FCE"/>
    <w:rsid w:val="003E713E"/>
    <w:rsid w:val="003E7BF8"/>
    <w:rsid w:val="003E7ECF"/>
    <w:rsid w:val="003F0833"/>
    <w:rsid w:val="003F0B8C"/>
    <w:rsid w:val="003F1ECD"/>
    <w:rsid w:val="003F350F"/>
    <w:rsid w:val="003F44B7"/>
    <w:rsid w:val="003F75A0"/>
    <w:rsid w:val="00400F1C"/>
    <w:rsid w:val="0040306E"/>
    <w:rsid w:val="00404B4E"/>
    <w:rsid w:val="00406AF7"/>
    <w:rsid w:val="004075F2"/>
    <w:rsid w:val="00410DE8"/>
    <w:rsid w:val="00411100"/>
    <w:rsid w:val="004111DA"/>
    <w:rsid w:val="00412635"/>
    <w:rsid w:val="00413D48"/>
    <w:rsid w:val="00415AA9"/>
    <w:rsid w:val="00415D65"/>
    <w:rsid w:val="004213B0"/>
    <w:rsid w:val="00421DA3"/>
    <w:rsid w:val="00422FEE"/>
    <w:rsid w:val="00430CBE"/>
    <w:rsid w:val="00434FC6"/>
    <w:rsid w:val="004374FA"/>
    <w:rsid w:val="00441AC2"/>
    <w:rsid w:val="004425A0"/>
    <w:rsid w:val="00444592"/>
    <w:rsid w:val="00445FEE"/>
    <w:rsid w:val="00446738"/>
    <w:rsid w:val="0044678E"/>
    <w:rsid w:val="004469C1"/>
    <w:rsid w:val="00447E60"/>
    <w:rsid w:val="0045061E"/>
    <w:rsid w:val="004510AC"/>
    <w:rsid w:val="004520E4"/>
    <w:rsid w:val="004528F1"/>
    <w:rsid w:val="00452BCD"/>
    <w:rsid w:val="00453A1E"/>
    <w:rsid w:val="00454EC1"/>
    <w:rsid w:val="004567B7"/>
    <w:rsid w:val="00456A79"/>
    <w:rsid w:val="00456B63"/>
    <w:rsid w:val="0046002C"/>
    <w:rsid w:val="0046087F"/>
    <w:rsid w:val="00460E7F"/>
    <w:rsid w:val="0046218D"/>
    <w:rsid w:val="00463FDE"/>
    <w:rsid w:val="0046457D"/>
    <w:rsid w:val="004655AB"/>
    <w:rsid w:val="004659CD"/>
    <w:rsid w:val="00467D2E"/>
    <w:rsid w:val="00470830"/>
    <w:rsid w:val="004726E9"/>
    <w:rsid w:val="0047306B"/>
    <w:rsid w:val="00473B74"/>
    <w:rsid w:val="00476808"/>
    <w:rsid w:val="00476C91"/>
    <w:rsid w:val="0048181B"/>
    <w:rsid w:val="00483F0B"/>
    <w:rsid w:val="00484913"/>
    <w:rsid w:val="00486000"/>
    <w:rsid w:val="004867E2"/>
    <w:rsid w:val="00487527"/>
    <w:rsid w:val="00492A5E"/>
    <w:rsid w:val="004956ED"/>
    <w:rsid w:val="004A074D"/>
    <w:rsid w:val="004A5672"/>
    <w:rsid w:val="004A5F55"/>
    <w:rsid w:val="004A7BAF"/>
    <w:rsid w:val="004B02EC"/>
    <w:rsid w:val="004B1DF4"/>
    <w:rsid w:val="004B30C6"/>
    <w:rsid w:val="004B5465"/>
    <w:rsid w:val="004B68F5"/>
    <w:rsid w:val="004B7506"/>
    <w:rsid w:val="004C1744"/>
    <w:rsid w:val="004C4242"/>
    <w:rsid w:val="004C6647"/>
    <w:rsid w:val="004C7FE0"/>
    <w:rsid w:val="004D07B2"/>
    <w:rsid w:val="004D106D"/>
    <w:rsid w:val="004D1C3B"/>
    <w:rsid w:val="004D2E94"/>
    <w:rsid w:val="004D372F"/>
    <w:rsid w:val="004D403F"/>
    <w:rsid w:val="004D4757"/>
    <w:rsid w:val="004D5643"/>
    <w:rsid w:val="004D6440"/>
    <w:rsid w:val="004D651F"/>
    <w:rsid w:val="004E022E"/>
    <w:rsid w:val="004E13BE"/>
    <w:rsid w:val="004E271E"/>
    <w:rsid w:val="004E32F0"/>
    <w:rsid w:val="004E4EE9"/>
    <w:rsid w:val="004E60C0"/>
    <w:rsid w:val="004E7715"/>
    <w:rsid w:val="004F252B"/>
    <w:rsid w:val="004F391C"/>
    <w:rsid w:val="004F4285"/>
    <w:rsid w:val="004F5098"/>
    <w:rsid w:val="004F60E1"/>
    <w:rsid w:val="004F680B"/>
    <w:rsid w:val="004F6950"/>
    <w:rsid w:val="00502AF4"/>
    <w:rsid w:val="00504EC6"/>
    <w:rsid w:val="005059B4"/>
    <w:rsid w:val="00505E80"/>
    <w:rsid w:val="00507B8D"/>
    <w:rsid w:val="00510633"/>
    <w:rsid w:val="00512A53"/>
    <w:rsid w:val="00513024"/>
    <w:rsid w:val="00514729"/>
    <w:rsid w:val="005150FC"/>
    <w:rsid w:val="00516022"/>
    <w:rsid w:val="005166D1"/>
    <w:rsid w:val="00521CEE"/>
    <w:rsid w:val="00523F8B"/>
    <w:rsid w:val="00524D65"/>
    <w:rsid w:val="00526E66"/>
    <w:rsid w:val="00526EC4"/>
    <w:rsid w:val="00530233"/>
    <w:rsid w:val="00532172"/>
    <w:rsid w:val="00532596"/>
    <w:rsid w:val="00534880"/>
    <w:rsid w:val="0053789D"/>
    <w:rsid w:val="005415F2"/>
    <w:rsid w:val="005452CC"/>
    <w:rsid w:val="005466EF"/>
    <w:rsid w:val="005469CE"/>
    <w:rsid w:val="005477C5"/>
    <w:rsid w:val="00547C39"/>
    <w:rsid w:val="00547CB3"/>
    <w:rsid w:val="005505A1"/>
    <w:rsid w:val="005506A2"/>
    <w:rsid w:val="005530A7"/>
    <w:rsid w:val="005546E2"/>
    <w:rsid w:val="00554727"/>
    <w:rsid w:val="00555287"/>
    <w:rsid w:val="005553AD"/>
    <w:rsid w:val="005557A8"/>
    <w:rsid w:val="00556D2C"/>
    <w:rsid w:val="0055776D"/>
    <w:rsid w:val="00560756"/>
    <w:rsid w:val="005624A7"/>
    <w:rsid w:val="0056454C"/>
    <w:rsid w:val="005652E2"/>
    <w:rsid w:val="00571DB8"/>
    <w:rsid w:val="0057255B"/>
    <w:rsid w:val="00573041"/>
    <w:rsid w:val="0057402A"/>
    <w:rsid w:val="005749A5"/>
    <w:rsid w:val="00584568"/>
    <w:rsid w:val="005903FB"/>
    <w:rsid w:val="005913A6"/>
    <w:rsid w:val="00593255"/>
    <w:rsid w:val="005936CB"/>
    <w:rsid w:val="00593B69"/>
    <w:rsid w:val="005943F9"/>
    <w:rsid w:val="0059530B"/>
    <w:rsid w:val="0059680A"/>
    <w:rsid w:val="00597477"/>
    <w:rsid w:val="00597FAB"/>
    <w:rsid w:val="005A03A3"/>
    <w:rsid w:val="005A1D89"/>
    <w:rsid w:val="005A463A"/>
    <w:rsid w:val="005A4A67"/>
    <w:rsid w:val="005A6ADB"/>
    <w:rsid w:val="005A79E3"/>
    <w:rsid w:val="005B0ADD"/>
    <w:rsid w:val="005B2051"/>
    <w:rsid w:val="005B36E0"/>
    <w:rsid w:val="005B4F97"/>
    <w:rsid w:val="005B6A16"/>
    <w:rsid w:val="005B77E3"/>
    <w:rsid w:val="005C164B"/>
    <w:rsid w:val="005C1A3A"/>
    <w:rsid w:val="005C22DD"/>
    <w:rsid w:val="005C3FE0"/>
    <w:rsid w:val="005C400C"/>
    <w:rsid w:val="005C4A83"/>
    <w:rsid w:val="005C7308"/>
    <w:rsid w:val="005C740C"/>
    <w:rsid w:val="005C79BA"/>
    <w:rsid w:val="005D0300"/>
    <w:rsid w:val="005D3322"/>
    <w:rsid w:val="005D6886"/>
    <w:rsid w:val="005E056C"/>
    <w:rsid w:val="005E25D4"/>
    <w:rsid w:val="005E6236"/>
    <w:rsid w:val="005F0E31"/>
    <w:rsid w:val="005F23DB"/>
    <w:rsid w:val="005F2F08"/>
    <w:rsid w:val="005F3C85"/>
    <w:rsid w:val="005F431D"/>
    <w:rsid w:val="005F47F1"/>
    <w:rsid w:val="005F4FE7"/>
    <w:rsid w:val="005F55C9"/>
    <w:rsid w:val="00600777"/>
    <w:rsid w:val="00602145"/>
    <w:rsid w:val="00604859"/>
    <w:rsid w:val="006048F4"/>
    <w:rsid w:val="00604F46"/>
    <w:rsid w:val="006064E1"/>
    <w:rsid w:val="0060660A"/>
    <w:rsid w:val="00610AAA"/>
    <w:rsid w:val="00611A56"/>
    <w:rsid w:val="00611CB0"/>
    <w:rsid w:val="00612294"/>
    <w:rsid w:val="006123B1"/>
    <w:rsid w:val="00613D07"/>
    <w:rsid w:val="0061402E"/>
    <w:rsid w:val="006144B7"/>
    <w:rsid w:val="0061509D"/>
    <w:rsid w:val="006154C6"/>
    <w:rsid w:val="00615CFB"/>
    <w:rsid w:val="00615DAA"/>
    <w:rsid w:val="00616BBD"/>
    <w:rsid w:val="00617313"/>
    <w:rsid w:val="00617A44"/>
    <w:rsid w:val="00625CD0"/>
    <w:rsid w:val="00625EB1"/>
    <w:rsid w:val="00626134"/>
    <w:rsid w:val="0062633A"/>
    <w:rsid w:val="006271BD"/>
    <w:rsid w:val="006316B8"/>
    <w:rsid w:val="00631889"/>
    <w:rsid w:val="00632896"/>
    <w:rsid w:val="006329A1"/>
    <w:rsid w:val="00633D2B"/>
    <w:rsid w:val="00634A3C"/>
    <w:rsid w:val="00635DE3"/>
    <w:rsid w:val="00636AFD"/>
    <w:rsid w:val="00645346"/>
    <w:rsid w:val="00645EC4"/>
    <w:rsid w:val="006469F6"/>
    <w:rsid w:val="00646E47"/>
    <w:rsid w:val="00651441"/>
    <w:rsid w:val="006522A0"/>
    <w:rsid w:val="0065281C"/>
    <w:rsid w:val="006565D2"/>
    <w:rsid w:val="006569DB"/>
    <w:rsid w:val="00656C96"/>
    <w:rsid w:val="00657247"/>
    <w:rsid w:val="006614C4"/>
    <w:rsid w:val="00661591"/>
    <w:rsid w:val="00662125"/>
    <w:rsid w:val="00663E9A"/>
    <w:rsid w:val="0066632F"/>
    <w:rsid w:val="006665E1"/>
    <w:rsid w:val="00667BAB"/>
    <w:rsid w:val="0067057E"/>
    <w:rsid w:val="00670DD3"/>
    <w:rsid w:val="006711DA"/>
    <w:rsid w:val="0067329B"/>
    <w:rsid w:val="0068182A"/>
    <w:rsid w:val="00681B2D"/>
    <w:rsid w:val="00681E59"/>
    <w:rsid w:val="0069047B"/>
    <w:rsid w:val="00690DCA"/>
    <w:rsid w:val="00691046"/>
    <w:rsid w:val="00692E7B"/>
    <w:rsid w:val="0069317D"/>
    <w:rsid w:val="006956A1"/>
    <w:rsid w:val="0069702B"/>
    <w:rsid w:val="006A4DB5"/>
    <w:rsid w:val="006A52D6"/>
    <w:rsid w:val="006A5CDA"/>
    <w:rsid w:val="006A6FA2"/>
    <w:rsid w:val="006A73B3"/>
    <w:rsid w:val="006A78DD"/>
    <w:rsid w:val="006B021E"/>
    <w:rsid w:val="006B03AF"/>
    <w:rsid w:val="006B0D67"/>
    <w:rsid w:val="006B2292"/>
    <w:rsid w:val="006B329D"/>
    <w:rsid w:val="006B3A5E"/>
    <w:rsid w:val="006C1EB0"/>
    <w:rsid w:val="006C2535"/>
    <w:rsid w:val="006C3A41"/>
    <w:rsid w:val="006C5413"/>
    <w:rsid w:val="006C65A1"/>
    <w:rsid w:val="006C6C62"/>
    <w:rsid w:val="006D3256"/>
    <w:rsid w:val="006D4B0D"/>
    <w:rsid w:val="006D5DC2"/>
    <w:rsid w:val="006D60B4"/>
    <w:rsid w:val="006D75E1"/>
    <w:rsid w:val="006E263E"/>
    <w:rsid w:val="006E3546"/>
    <w:rsid w:val="006E38C3"/>
    <w:rsid w:val="006E4D97"/>
    <w:rsid w:val="006E7216"/>
    <w:rsid w:val="006F0F93"/>
    <w:rsid w:val="006F17B6"/>
    <w:rsid w:val="006F35FA"/>
    <w:rsid w:val="00703AEF"/>
    <w:rsid w:val="00704CCA"/>
    <w:rsid w:val="0070543F"/>
    <w:rsid w:val="00705BC0"/>
    <w:rsid w:val="00705C87"/>
    <w:rsid w:val="00705DCD"/>
    <w:rsid w:val="00707E10"/>
    <w:rsid w:val="00707EA6"/>
    <w:rsid w:val="00710978"/>
    <w:rsid w:val="00713044"/>
    <w:rsid w:val="00713F74"/>
    <w:rsid w:val="00714124"/>
    <w:rsid w:val="007146F0"/>
    <w:rsid w:val="00715237"/>
    <w:rsid w:val="00715F39"/>
    <w:rsid w:val="00716F76"/>
    <w:rsid w:val="00720121"/>
    <w:rsid w:val="00720573"/>
    <w:rsid w:val="0072120E"/>
    <w:rsid w:val="00722F4B"/>
    <w:rsid w:val="007230FA"/>
    <w:rsid w:val="00724101"/>
    <w:rsid w:val="007254A5"/>
    <w:rsid w:val="00725748"/>
    <w:rsid w:val="00730D14"/>
    <w:rsid w:val="00734374"/>
    <w:rsid w:val="00735496"/>
    <w:rsid w:val="00735F83"/>
    <w:rsid w:val="00736D0D"/>
    <w:rsid w:val="0073720D"/>
    <w:rsid w:val="007402E0"/>
    <w:rsid w:val="007418AE"/>
    <w:rsid w:val="00742AB9"/>
    <w:rsid w:val="00743337"/>
    <w:rsid w:val="00746658"/>
    <w:rsid w:val="00750A91"/>
    <w:rsid w:val="00751CF9"/>
    <w:rsid w:val="0075240B"/>
    <w:rsid w:val="0075368B"/>
    <w:rsid w:val="00754176"/>
    <w:rsid w:val="00754666"/>
    <w:rsid w:val="00754FBF"/>
    <w:rsid w:val="00756754"/>
    <w:rsid w:val="00757005"/>
    <w:rsid w:val="0076016D"/>
    <w:rsid w:val="007606CE"/>
    <w:rsid w:val="0077029E"/>
    <w:rsid w:val="0077048E"/>
    <w:rsid w:val="00770864"/>
    <w:rsid w:val="007724AB"/>
    <w:rsid w:val="00774B22"/>
    <w:rsid w:val="00775344"/>
    <w:rsid w:val="00775D8A"/>
    <w:rsid w:val="007777DF"/>
    <w:rsid w:val="00781CED"/>
    <w:rsid w:val="007831C7"/>
    <w:rsid w:val="00783559"/>
    <w:rsid w:val="00783B2B"/>
    <w:rsid w:val="0078554C"/>
    <w:rsid w:val="00785F18"/>
    <w:rsid w:val="00785FFC"/>
    <w:rsid w:val="0078659D"/>
    <w:rsid w:val="00786645"/>
    <w:rsid w:val="00786698"/>
    <w:rsid w:val="0079029D"/>
    <w:rsid w:val="00790F66"/>
    <w:rsid w:val="007A3BEE"/>
    <w:rsid w:val="007A4105"/>
    <w:rsid w:val="007A474C"/>
    <w:rsid w:val="007B0280"/>
    <w:rsid w:val="007B163C"/>
    <w:rsid w:val="007B2BC2"/>
    <w:rsid w:val="007B54BC"/>
    <w:rsid w:val="007B6E9D"/>
    <w:rsid w:val="007C0CE8"/>
    <w:rsid w:val="007C406E"/>
    <w:rsid w:val="007C66A9"/>
    <w:rsid w:val="007C7F09"/>
    <w:rsid w:val="007D08AB"/>
    <w:rsid w:val="007D25B4"/>
    <w:rsid w:val="007D2C22"/>
    <w:rsid w:val="007D3FA2"/>
    <w:rsid w:val="007D5658"/>
    <w:rsid w:val="007D5EAD"/>
    <w:rsid w:val="007D6565"/>
    <w:rsid w:val="007E1149"/>
    <w:rsid w:val="007E2C0D"/>
    <w:rsid w:val="007E33F7"/>
    <w:rsid w:val="007E435C"/>
    <w:rsid w:val="007E6BE6"/>
    <w:rsid w:val="007F053D"/>
    <w:rsid w:val="007F100C"/>
    <w:rsid w:val="007F428E"/>
    <w:rsid w:val="007F64E9"/>
    <w:rsid w:val="007F74ED"/>
    <w:rsid w:val="0080096E"/>
    <w:rsid w:val="00801BAA"/>
    <w:rsid w:val="008050E6"/>
    <w:rsid w:val="00807805"/>
    <w:rsid w:val="00810CFA"/>
    <w:rsid w:val="00811392"/>
    <w:rsid w:val="00812028"/>
    <w:rsid w:val="00814D03"/>
    <w:rsid w:val="0081537D"/>
    <w:rsid w:val="00816074"/>
    <w:rsid w:val="008172A2"/>
    <w:rsid w:val="00820F4D"/>
    <w:rsid w:val="00824629"/>
    <w:rsid w:val="0083178B"/>
    <w:rsid w:val="00833695"/>
    <w:rsid w:val="00834F99"/>
    <w:rsid w:val="008364EF"/>
    <w:rsid w:val="00836F35"/>
    <w:rsid w:val="0083788B"/>
    <w:rsid w:val="00837C66"/>
    <w:rsid w:val="008407B5"/>
    <w:rsid w:val="008421CC"/>
    <w:rsid w:val="00842A21"/>
    <w:rsid w:val="00842CD8"/>
    <w:rsid w:val="00843D65"/>
    <w:rsid w:val="008476A1"/>
    <w:rsid w:val="008517DE"/>
    <w:rsid w:val="00851BC3"/>
    <w:rsid w:val="008520D8"/>
    <w:rsid w:val="008525B2"/>
    <w:rsid w:val="008530B2"/>
    <w:rsid w:val="008553C7"/>
    <w:rsid w:val="00857770"/>
    <w:rsid w:val="00857FEB"/>
    <w:rsid w:val="0086030C"/>
    <w:rsid w:val="00860B95"/>
    <w:rsid w:val="008616E0"/>
    <w:rsid w:val="008618DF"/>
    <w:rsid w:val="00862050"/>
    <w:rsid w:val="008624AD"/>
    <w:rsid w:val="008624F0"/>
    <w:rsid w:val="008646B0"/>
    <w:rsid w:val="00864B45"/>
    <w:rsid w:val="008666D2"/>
    <w:rsid w:val="00871B05"/>
    <w:rsid w:val="008720EB"/>
    <w:rsid w:val="008735BA"/>
    <w:rsid w:val="00873E5C"/>
    <w:rsid w:val="008753FC"/>
    <w:rsid w:val="008777AA"/>
    <w:rsid w:val="00877FE5"/>
    <w:rsid w:val="008802A6"/>
    <w:rsid w:val="00880A18"/>
    <w:rsid w:val="00880E4F"/>
    <w:rsid w:val="008812FB"/>
    <w:rsid w:val="00882814"/>
    <w:rsid w:val="008868BE"/>
    <w:rsid w:val="00886E97"/>
    <w:rsid w:val="00891692"/>
    <w:rsid w:val="00892002"/>
    <w:rsid w:val="008934AE"/>
    <w:rsid w:val="008934E6"/>
    <w:rsid w:val="008A46A9"/>
    <w:rsid w:val="008A5A3F"/>
    <w:rsid w:val="008A702B"/>
    <w:rsid w:val="008A7174"/>
    <w:rsid w:val="008B1BE5"/>
    <w:rsid w:val="008B378C"/>
    <w:rsid w:val="008B3929"/>
    <w:rsid w:val="008B3C2F"/>
    <w:rsid w:val="008B3E7B"/>
    <w:rsid w:val="008B4118"/>
    <w:rsid w:val="008B4208"/>
    <w:rsid w:val="008B45D6"/>
    <w:rsid w:val="008B4CB3"/>
    <w:rsid w:val="008B54B2"/>
    <w:rsid w:val="008B729A"/>
    <w:rsid w:val="008B731A"/>
    <w:rsid w:val="008C2425"/>
    <w:rsid w:val="008C2444"/>
    <w:rsid w:val="008C3F57"/>
    <w:rsid w:val="008C46FD"/>
    <w:rsid w:val="008C5B1C"/>
    <w:rsid w:val="008C67AF"/>
    <w:rsid w:val="008C78FD"/>
    <w:rsid w:val="008D0EBE"/>
    <w:rsid w:val="008D2355"/>
    <w:rsid w:val="008D3CEA"/>
    <w:rsid w:val="008D5B01"/>
    <w:rsid w:val="008E22BC"/>
    <w:rsid w:val="008E27B3"/>
    <w:rsid w:val="008E35E2"/>
    <w:rsid w:val="008E5F59"/>
    <w:rsid w:val="008E7AC3"/>
    <w:rsid w:val="008F0C84"/>
    <w:rsid w:val="008F1B70"/>
    <w:rsid w:val="008F2143"/>
    <w:rsid w:val="008F4A8D"/>
    <w:rsid w:val="008F608A"/>
    <w:rsid w:val="00901121"/>
    <w:rsid w:val="00901DEF"/>
    <w:rsid w:val="00902FF2"/>
    <w:rsid w:val="00905B6D"/>
    <w:rsid w:val="0090647C"/>
    <w:rsid w:val="0090651A"/>
    <w:rsid w:val="00910642"/>
    <w:rsid w:val="00914B46"/>
    <w:rsid w:val="009160BB"/>
    <w:rsid w:val="009166AD"/>
    <w:rsid w:val="00917821"/>
    <w:rsid w:val="00917BAC"/>
    <w:rsid w:val="00921A22"/>
    <w:rsid w:val="009311C8"/>
    <w:rsid w:val="00933376"/>
    <w:rsid w:val="009336FC"/>
    <w:rsid w:val="00937CE6"/>
    <w:rsid w:val="00940C5F"/>
    <w:rsid w:val="00941B02"/>
    <w:rsid w:val="00942355"/>
    <w:rsid w:val="00943F25"/>
    <w:rsid w:val="00944F01"/>
    <w:rsid w:val="00946D29"/>
    <w:rsid w:val="0095050D"/>
    <w:rsid w:val="009513C2"/>
    <w:rsid w:val="0095259F"/>
    <w:rsid w:val="009531F9"/>
    <w:rsid w:val="009534EF"/>
    <w:rsid w:val="0095352B"/>
    <w:rsid w:val="00955A7F"/>
    <w:rsid w:val="0095748C"/>
    <w:rsid w:val="0096143B"/>
    <w:rsid w:val="00961C28"/>
    <w:rsid w:val="00961FA7"/>
    <w:rsid w:val="009627A5"/>
    <w:rsid w:val="00962C56"/>
    <w:rsid w:val="00964BBF"/>
    <w:rsid w:val="00964F30"/>
    <w:rsid w:val="009668DE"/>
    <w:rsid w:val="00967346"/>
    <w:rsid w:val="00970A2E"/>
    <w:rsid w:val="009711D9"/>
    <w:rsid w:val="009718F9"/>
    <w:rsid w:val="00975112"/>
    <w:rsid w:val="00975202"/>
    <w:rsid w:val="009753D7"/>
    <w:rsid w:val="00977002"/>
    <w:rsid w:val="009774C4"/>
    <w:rsid w:val="009811DF"/>
    <w:rsid w:val="00982B90"/>
    <w:rsid w:val="00982CDC"/>
    <w:rsid w:val="00982E82"/>
    <w:rsid w:val="00983333"/>
    <w:rsid w:val="00983A7C"/>
    <w:rsid w:val="00984D7B"/>
    <w:rsid w:val="00985278"/>
    <w:rsid w:val="00991A6A"/>
    <w:rsid w:val="00991B5F"/>
    <w:rsid w:val="00991C2E"/>
    <w:rsid w:val="00997999"/>
    <w:rsid w:val="009A0FF6"/>
    <w:rsid w:val="009A15FA"/>
    <w:rsid w:val="009A342B"/>
    <w:rsid w:val="009A3B71"/>
    <w:rsid w:val="009A3CA0"/>
    <w:rsid w:val="009A542C"/>
    <w:rsid w:val="009A61BC"/>
    <w:rsid w:val="009A6527"/>
    <w:rsid w:val="009A676D"/>
    <w:rsid w:val="009A727A"/>
    <w:rsid w:val="009B1466"/>
    <w:rsid w:val="009B24B7"/>
    <w:rsid w:val="009B3A14"/>
    <w:rsid w:val="009B41E7"/>
    <w:rsid w:val="009B424D"/>
    <w:rsid w:val="009B57FB"/>
    <w:rsid w:val="009B7709"/>
    <w:rsid w:val="009C1AC6"/>
    <w:rsid w:val="009C1C75"/>
    <w:rsid w:val="009C37AE"/>
    <w:rsid w:val="009C42BC"/>
    <w:rsid w:val="009C4AAC"/>
    <w:rsid w:val="009C4F04"/>
    <w:rsid w:val="009C5769"/>
    <w:rsid w:val="009C692B"/>
    <w:rsid w:val="009D068A"/>
    <w:rsid w:val="009D19A5"/>
    <w:rsid w:val="009D277F"/>
    <w:rsid w:val="009D522F"/>
    <w:rsid w:val="009D7120"/>
    <w:rsid w:val="009D7DFA"/>
    <w:rsid w:val="009E042D"/>
    <w:rsid w:val="009E18F8"/>
    <w:rsid w:val="009E1B8B"/>
    <w:rsid w:val="009E37E6"/>
    <w:rsid w:val="009E584D"/>
    <w:rsid w:val="009E6427"/>
    <w:rsid w:val="009E71C1"/>
    <w:rsid w:val="009E756C"/>
    <w:rsid w:val="009F3851"/>
    <w:rsid w:val="009F4BE7"/>
    <w:rsid w:val="00A02980"/>
    <w:rsid w:val="00A043B4"/>
    <w:rsid w:val="00A06827"/>
    <w:rsid w:val="00A07737"/>
    <w:rsid w:val="00A07D00"/>
    <w:rsid w:val="00A10614"/>
    <w:rsid w:val="00A10E98"/>
    <w:rsid w:val="00A12458"/>
    <w:rsid w:val="00A140D0"/>
    <w:rsid w:val="00A149C1"/>
    <w:rsid w:val="00A14A93"/>
    <w:rsid w:val="00A167EA"/>
    <w:rsid w:val="00A2172A"/>
    <w:rsid w:val="00A21B3B"/>
    <w:rsid w:val="00A2455B"/>
    <w:rsid w:val="00A245B7"/>
    <w:rsid w:val="00A25B4A"/>
    <w:rsid w:val="00A27328"/>
    <w:rsid w:val="00A277F9"/>
    <w:rsid w:val="00A30394"/>
    <w:rsid w:val="00A30E68"/>
    <w:rsid w:val="00A31885"/>
    <w:rsid w:val="00A31B38"/>
    <w:rsid w:val="00A32126"/>
    <w:rsid w:val="00A34AA0"/>
    <w:rsid w:val="00A35B30"/>
    <w:rsid w:val="00A373C4"/>
    <w:rsid w:val="00A37B8E"/>
    <w:rsid w:val="00A41EFC"/>
    <w:rsid w:val="00A4371E"/>
    <w:rsid w:val="00A47733"/>
    <w:rsid w:val="00A47DF3"/>
    <w:rsid w:val="00A511CD"/>
    <w:rsid w:val="00A51882"/>
    <w:rsid w:val="00A56946"/>
    <w:rsid w:val="00A578D8"/>
    <w:rsid w:val="00A61759"/>
    <w:rsid w:val="00A64A23"/>
    <w:rsid w:val="00A65FF9"/>
    <w:rsid w:val="00A70E93"/>
    <w:rsid w:val="00A73239"/>
    <w:rsid w:val="00A73B06"/>
    <w:rsid w:val="00A74DEC"/>
    <w:rsid w:val="00A76D10"/>
    <w:rsid w:val="00A76DC7"/>
    <w:rsid w:val="00A77D7A"/>
    <w:rsid w:val="00A84B60"/>
    <w:rsid w:val="00A84E68"/>
    <w:rsid w:val="00A84F62"/>
    <w:rsid w:val="00A8630D"/>
    <w:rsid w:val="00A87B6C"/>
    <w:rsid w:val="00A908F9"/>
    <w:rsid w:val="00A91B1B"/>
    <w:rsid w:val="00A922C4"/>
    <w:rsid w:val="00A9330E"/>
    <w:rsid w:val="00A9351D"/>
    <w:rsid w:val="00A94A09"/>
    <w:rsid w:val="00A967EE"/>
    <w:rsid w:val="00A97AF7"/>
    <w:rsid w:val="00AA2269"/>
    <w:rsid w:val="00AA4277"/>
    <w:rsid w:val="00AA4D58"/>
    <w:rsid w:val="00AA5B94"/>
    <w:rsid w:val="00AA6265"/>
    <w:rsid w:val="00AB4880"/>
    <w:rsid w:val="00AB5963"/>
    <w:rsid w:val="00AB762B"/>
    <w:rsid w:val="00AB78E0"/>
    <w:rsid w:val="00AC057B"/>
    <w:rsid w:val="00AC0810"/>
    <w:rsid w:val="00AC0B3D"/>
    <w:rsid w:val="00AC1ED1"/>
    <w:rsid w:val="00AC211D"/>
    <w:rsid w:val="00AC3701"/>
    <w:rsid w:val="00AC49D8"/>
    <w:rsid w:val="00AC523C"/>
    <w:rsid w:val="00AC5506"/>
    <w:rsid w:val="00AC567F"/>
    <w:rsid w:val="00AD0CCB"/>
    <w:rsid w:val="00AD1B5A"/>
    <w:rsid w:val="00AD24CE"/>
    <w:rsid w:val="00AD279E"/>
    <w:rsid w:val="00AD2B89"/>
    <w:rsid w:val="00AD3A3C"/>
    <w:rsid w:val="00AD5C2E"/>
    <w:rsid w:val="00AE11B7"/>
    <w:rsid w:val="00AE1D85"/>
    <w:rsid w:val="00AE4E07"/>
    <w:rsid w:val="00AE5230"/>
    <w:rsid w:val="00AE5901"/>
    <w:rsid w:val="00AE77B6"/>
    <w:rsid w:val="00AF0612"/>
    <w:rsid w:val="00AF0888"/>
    <w:rsid w:val="00AF2170"/>
    <w:rsid w:val="00AF36B0"/>
    <w:rsid w:val="00AF612D"/>
    <w:rsid w:val="00AF7F47"/>
    <w:rsid w:val="00B00A55"/>
    <w:rsid w:val="00B00F22"/>
    <w:rsid w:val="00B06444"/>
    <w:rsid w:val="00B0686B"/>
    <w:rsid w:val="00B06C4D"/>
    <w:rsid w:val="00B06D4B"/>
    <w:rsid w:val="00B11F1A"/>
    <w:rsid w:val="00B138F7"/>
    <w:rsid w:val="00B17CC7"/>
    <w:rsid w:val="00B201ED"/>
    <w:rsid w:val="00B214B2"/>
    <w:rsid w:val="00B24584"/>
    <w:rsid w:val="00B24C4A"/>
    <w:rsid w:val="00B25CD9"/>
    <w:rsid w:val="00B26CCF"/>
    <w:rsid w:val="00B2714D"/>
    <w:rsid w:val="00B30004"/>
    <w:rsid w:val="00B30353"/>
    <w:rsid w:val="00B316B9"/>
    <w:rsid w:val="00B34C1E"/>
    <w:rsid w:val="00B35331"/>
    <w:rsid w:val="00B36546"/>
    <w:rsid w:val="00B424BA"/>
    <w:rsid w:val="00B464BB"/>
    <w:rsid w:val="00B51544"/>
    <w:rsid w:val="00B531DD"/>
    <w:rsid w:val="00B54564"/>
    <w:rsid w:val="00B55390"/>
    <w:rsid w:val="00B56A07"/>
    <w:rsid w:val="00B56D45"/>
    <w:rsid w:val="00B572D1"/>
    <w:rsid w:val="00B572E8"/>
    <w:rsid w:val="00B603B4"/>
    <w:rsid w:val="00B60799"/>
    <w:rsid w:val="00B60860"/>
    <w:rsid w:val="00B61337"/>
    <w:rsid w:val="00B645D2"/>
    <w:rsid w:val="00B66912"/>
    <w:rsid w:val="00B67E6B"/>
    <w:rsid w:val="00B717B0"/>
    <w:rsid w:val="00B71DC2"/>
    <w:rsid w:val="00B73546"/>
    <w:rsid w:val="00B74DD5"/>
    <w:rsid w:val="00B74F88"/>
    <w:rsid w:val="00B76565"/>
    <w:rsid w:val="00B76A6E"/>
    <w:rsid w:val="00B84A83"/>
    <w:rsid w:val="00B879C7"/>
    <w:rsid w:val="00B90D3F"/>
    <w:rsid w:val="00B93893"/>
    <w:rsid w:val="00B95E58"/>
    <w:rsid w:val="00B95FC2"/>
    <w:rsid w:val="00B96945"/>
    <w:rsid w:val="00B979F2"/>
    <w:rsid w:val="00B97DCD"/>
    <w:rsid w:val="00BA038D"/>
    <w:rsid w:val="00BA06AC"/>
    <w:rsid w:val="00BA1B1C"/>
    <w:rsid w:val="00BA2CB0"/>
    <w:rsid w:val="00BA3147"/>
    <w:rsid w:val="00BA537F"/>
    <w:rsid w:val="00BA5E9E"/>
    <w:rsid w:val="00BA691D"/>
    <w:rsid w:val="00BA770E"/>
    <w:rsid w:val="00BA7A60"/>
    <w:rsid w:val="00BA7EDA"/>
    <w:rsid w:val="00BB11E1"/>
    <w:rsid w:val="00BB1594"/>
    <w:rsid w:val="00BB1670"/>
    <w:rsid w:val="00BB2BC0"/>
    <w:rsid w:val="00BB339C"/>
    <w:rsid w:val="00BB6DA1"/>
    <w:rsid w:val="00BB7ABD"/>
    <w:rsid w:val="00BB7EB7"/>
    <w:rsid w:val="00BC02E9"/>
    <w:rsid w:val="00BC05ED"/>
    <w:rsid w:val="00BC0A80"/>
    <w:rsid w:val="00BC12A3"/>
    <w:rsid w:val="00BC3B53"/>
    <w:rsid w:val="00BC4A98"/>
    <w:rsid w:val="00BC4D64"/>
    <w:rsid w:val="00BC5124"/>
    <w:rsid w:val="00BC56F5"/>
    <w:rsid w:val="00BC7D8C"/>
    <w:rsid w:val="00BD0F12"/>
    <w:rsid w:val="00BD4929"/>
    <w:rsid w:val="00BD6D99"/>
    <w:rsid w:val="00BD7AE6"/>
    <w:rsid w:val="00BE0B32"/>
    <w:rsid w:val="00BE2497"/>
    <w:rsid w:val="00BE458E"/>
    <w:rsid w:val="00BE5564"/>
    <w:rsid w:val="00BF1365"/>
    <w:rsid w:val="00BF1A9C"/>
    <w:rsid w:val="00BF2B59"/>
    <w:rsid w:val="00BF2C4F"/>
    <w:rsid w:val="00BF37A3"/>
    <w:rsid w:val="00BF3D01"/>
    <w:rsid w:val="00BF5B51"/>
    <w:rsid w:val="00C00B67"/>
    <w:rsid w:val="00C01061"/>
    <w:rsid w:val="00C010DC"/>
    <w:rsid w:val="00C10869"/>
    <w:rsid w:val="00C117E2"/>
    <w:rsid w:val="00C12C00"/>
    <w:rsid w:val="00C12E90"/>
    <w:rsid w:val="00C1320B"/>
    <w:rsid w:val="00C14CC1"/>
    <w:rsid w:val="00C206F1"/>
    <w:rsid w:val="00C23FE7"/>
    <w:rsid w:val="00C26035"/>
    <w:rsid w:val="00C26079"/>
    <w:rsid w:val="00C27206"/>
    <w:rsid w:val="00C30AC1"/>
    <w:rsid w:val="00C3189F"/>
    <w:rsid w:val="00C3256E"/>
    <w:rsid w:val="00C33340"/>
    <w:rsid w:val="00C35A91"/>
    <w:rsid w:val="00C35CC9"/>
    <w:rsid w:val="00C371A6"/>
    <w:rsid w:val="00C40C60"/>
    <w:rsid w:val="00C458C9"/>
    <w:rsid w:val="00C46B84"/>
    <w:rsid w:val="00C50ECF"/>
    <w:rsid w:val="00C52281"/>
    <w:rsid w:val="00C52E42"/>
    <w:rsid w:val="00C53426"/>
    <w:rsid w:val="00C54FEA"/>
    <w:rsid w:val="00C55E5A"/>
    <w:rsid w:val="00C56BE8"/>
    <w:rsid w:val="00C60915"/>
    <w:rsid w:val="00C60E49"/>
    <w:rsid w:val="00C60FEA"/>
    <w:rsid w:val="00C62A0B"/>
    <w:rsid w:val="00C63108"/>
    <w:rsid w:val="00C6537C"/>
    <w:rsid w:val="00C666E4"/>
    <w:rsid w:val="00C704EC"/>
    <w:rsid w:val="00C812F7"/>
    <w:rsid w:val="00C8162F"/>
    <w:rsid w:val="00C833B6"/>
    <w:rsid w:val="00C85838"/>
    <w:rsid w:val="00C876B7"/>
    <w:rsid w:val="00C87AFF"/>
    <w:rsid w:val="00C90846"/>
    <w:rsid w:val="00C91B2C"/>
    <w:rsid w:val="00C93B39"/>
    <w:rsid w:val="00C95961"/>
    <w:rsid w:val="00C96107"/>
    <w:rsid w:val="00CA0A69"/>
    <w:rsid w:val="00CA0E76"/>
    <w:rsid w:val="00CA473C"/>
    <w:rsid w:val="00CA47D3"/>
    <w:rsid w:val="00CA52E3"/>
    <w:rsid w:val="00CA53DE"/>
    <w:rsid w:val="00CA58C3"/>
    <w:rsid w:val="00CA5BC9"/>
    <w:rsid w:val="00CA6A55"/>
    <w:rsid w:val="00CA6DEF"/>
    <w:rsid w:val="00CB1BBD"/>
    <w:rsid w:val="00CB3777"/>
    <w:rsid w:val="00CB5A73"/>
    <w:rsid w:val="00CC0BB4"/>
    <w:rsid w:val="00CC12DF"/>
    <w:rsid w:val="00CC4D8D"/>
    <w:rsid w:val="00CC5975"/>
    <w:rsid w:val="00CC5AA0"/>
    <w:rsid w:val="00CC63E0"/>
    <w:rsid w:val="00CC6FDD"/>
    <w:rsid w:val="00CD1689"/>
    <w:rsid w:val="00CD2492"/>
    <w:rsid w:val="00CD47BA"/>
    <w:rsid w:val="00CD5427"/>
    <w:rsid w:val="00CD604A"/>
    <w:rsid w:val="00CD6791"/>
    <w:rsid w:val="00CE050A"/>
    <w:rsid w:val="00CE15C4"/>
    <w:rsid w:val="00CE2E6A"/>
    <w:rsid w:val="00CE2EA9"/>
    <w:rsid w:val="00CE41FC"/>
    <w:rsid w:val="00CE6D64"/>
    <w:rsid w:val="00CE74D9"/>
    <w:rsid w:val="00CF053F"/>
    <w:rsid w:val="00CF0A55"/>
    <w:rsid w:val="00CF301C"/>
    <w:rsid w:val="00CF7C8B"/>
    <w:rsid w:val="00D00180"/>
    <w:rsid w:val="00D00793"/>
    <w:rsid w:val="00D01D15"/>
    <w:rsid w:val="00D04083"/>
    <w:rsid w:val="00D078E1"/>
    <w:rsid w:val="00D102D2"/>
    <w:rsid w:val="00D10AEF"/>
    <w:rsid w:val="00D12A7F"/>
    <w:rsid w:val="00D12AFD"/>
    <w:rsid w:val="00D131D6"/>
    <w:rsid w:val="00D135BA"/>
    <w:rsid w:val="00D17A1D"/>
    <w:rsid w:val="00D20106"/>
    <w:rsid w:val="00D20C77"/>
    <w:rsid w:val="00D218AC"/>
    <w:rsid w:val="00D221A6"/>
    <w:rsid w:val="00D232A2"/>
    <w:rsid w:val="00D23522"/>
    <w:rsid w:val="00D25C90"/>
    <w:rsid w:val="00D25F5C"/>
    <w:rsid w:val="00D26196"/>
    <w:rsid w:val="00D279AE"/>
    <w:rsid w:val="00D30900"/>
    <w:rsid w:val="00D30F08"/>
    <w:rsid w:val="00D31C61"/>
    <w:rsid w:val="00D323BE"/>
    <w:rsid w:val="00D365C5"/>
    <w:rsid w:val="00D36C95"/>
    <w:rsid w:val="00D405AB"/>
    <w:rsid w:val="00D41280"/>
    <w:rsid w:val="00D43191"/>
    <w:rsid w:val="00D43528"/>
    <w:rsid w:val="00D4582E"/>
    <w:rsid w:val="00D45EB0"/>
    <w:rsid w:val="00D47AE0"/>
    <w:rsid w:val="00D5423B"/>
    <w:rsid w:val="00D54F4E"/>
    <w:rsid w:val="00D55865"/>
    <w:rsid w:val="00D56274"/>
    <w:rsid w:val="00D60BA4"/>
    <w:rsid w:val="00D61E03"/>
    <w:rsid w:val="00D62F23"/>
    <w:rsid w:val="00D6528F"/>
    <w:rsid w:val="00D711A5"/>
    <w:rsid w:val="00D72421"/>
    <w:rsid w:val="00D73F97"/>
    <w:rsid w:val="00D745A7"/>
    <w:rsid w:val="00D74D0A"/>
    <w:rsid w:val="00D767FA"/>
    <w:rsid w:val="00D80CCE"/>
    <w:rsid w:val="00D81D90"/>
    <w:rsid w:val="00D82202"/>
    <w:rsid w:val="00D85A93"/>
    <w:rsid w:val="00D87FF1"/>
    <w:rsid w:val="00D92483"/>
    <w:rsid w:val="00D92633"/>
    <w:rsid w:val="00D93CE9"/>
    <w:rsid w:val="00D93E87"/>
    <w:rsid w:val="00D949D2"/>
    <w:rsid w:val="00D951CB"/>
    <w:rsid w:val="00DA11ED"/>
    <w:rsid w:val="00DA2288"/>
    <w:rsid w:val="00DA243E"/>
    <w:rsid w:val="00DA298C"/>
    <w:rsid w:val="00DB030C"/>
    <w:rsid w:val="00DB1290"/>
    <w:rsid w:val="00DB2280"/>
    <w:rsid w:val="00DB2F87"/>
    <w:rsid w:val="00DB403F"/>
    <w:rsid w:val="00DB4A3A"/>
    <w:rsid w:val="00DC2000"/>
    <w:rsid w:val="00DC249A"/>
    <w:rsid w:val="00DC6E11"/>
    <w:rsid w:val="00DD1B91"/>
    <w:rsid w:val="00DD368B"/>
    <w:rsid w:val="00DD6E29"/>
    <w:rsid w:val="00DE343C"/>
    <w:rsid w:val="00DE575C"/>
    <w:rsid w:val="00DE578A"/>
    <w:rsid w:val="00DE5D8B"/>
    <w:rsid w:val="00DE6AC5"/>
    <w:rsid w:val="00DE6E7E"/>
    <w:rsid w:val="00DE7DDA"/>
    <w:rsid w:val="00DF1D1E"/>
    <w:rsid w:val="00DF2583"/>
    <w:rsid w:val="00DF54D9"/>
    <w:rsid w:val="00DF6973"/>
    <w:rsid w:val="00DF734E"/>
    <w:rsid w:val="00DF79E9"/>
    <w:rsid w:val="00E00687"/>
    <w:rsid w:val="00E008CB"/>
    <w:rsid w:val="00E021C8"/>
    <w:rsid w:val="00E03D32"/>
    <w:rsid w:val="00E03E8B"/>
    <w:rsid w:val="00E04465"/>
    <w:rsid w:val="00E05FDB"/>
    <w:rsid w:val="00E10DC6"/>
    <w:rsid w:val="00E11F8E"/>
    <w:rsid w:val="00E12B7F"/>
    <w:rsid w:val="00E145EA"/>
    <w:rsid w:val="00E17944"/>
    <w:rsid w:val="00E17BC5"/>
    <w:rsid w:val="00E22722"/>
    <w:rsid w:val="00E2347F"/>
    <w:rsid w:val="00E276B2"/>
    <w:rsid w:val="00E33FD4"/>
    <w:rsid w:val="00E3596E"/>
    <w:rsid w:val="00E364EF"/>
    <w:rsid w:val="00E426A4"/>
    <w:rsid w:val="00E42D22"/>
    <w:rsid w:val="00E4450E"/>
    <w:rsid w:val="00E4573C"/>
    <w:rsid w:val="00E458E2"/>
    <w:rsid w:val="00E466F2"/>
    <w:rsid w:val="00E50A17"/>
    <w:rsid w:val="00E51959"/>
    <w:rsid w:val="00E52D9D"/>
    <w:rsid w:val="00E5663C"/>
    <w:rsid w:val="00E56899"/>
    <w:rsid w:val="00E56ADD"/>
    <w:rsid w:val="00E575BA"/>
    <w:rsid w:val="00E5788D"/>
    <w:rsid w:val="00E62286"/>
    <w:rsid w:val="00E634B6"/>
    <w:rsid w:val="00E634E3"/>
    <w:rsid w:val="00E645B1"/>
    <w:rsid w:val="00E6586E"/>
    <w:rsid w:val="00E659A6"/>
    <w:rsid w:val="00E724F5"/>
    <w:rsid w:val="00E75C19"/>
    <w:rsid w:val="00E80F31"/>
    <w:rsid w:val="00E82965"/>
    <w:rsid w:val="00E84C55"/>
    <w:rsid w:val="00E85102"/>
    <w:rsid w:val="00E8592D"/>
    <w:rsid w:val="00E85FA2"/>
    <w:rsid w:val="00E86633"/>
    <w:rsid w:val="00E86A4E"/>
    <w:rsid w:val="00E876A6"/>
    <w:rsid w:val="00E9497F"/>
    <w:rsid w:val="00E95334"/>
    <w:rsid w:val="00E96D0E"/>
    <w:rsid w:val="00EA14C5"/>
    <w:rsid w:val="00EA1765"/>
    <w:rsid w:val="00EA26EF"/>
    <w:rsid w:val="00EA3241"/>
    <w:rsid w:val="00EA3B5F"/>
    <w:rsid w:val="00EA5786"/>
    <w:rsid w:val="00EA615D"/>
    <w:rsid w:val="00EA75C1"/>
    <w:rsid w:val="00EA7B10"/>
    <w:rsid w:val="00EB141A"/>
    <w:rsid w:val="00EB2DEB"/>
    <w:rsid w:val="00EB40BD"/>
    <w:rsid w:val="00EB6D1A"/>
    <w:rsid w:val="00EB7038"/>
    <w:rsid w:val="00EB7550"/>
    <w:rsid w:val="00EB79A1"/>
    <w:rsid w:val="00EB7C2E"/>
    <w:rsid w:val="00EC0F04"/>
    <w:rsid w:val="00EC1309"/>
    <w:rsid w:val="00EC237D"/>
    <w:rsid w:val="00EC306C"/>
    <w:rsid w:val="00EC3951"/>
    <w:rsid w:val="00EC5F70"/>
    <w:rsid w:val="00EC6AAB"/>
    <w:rsid w:val="00EC6F2A"/>
    <w:rsid w:val="00ED2F32"/>
    <w:rsid w:val="00ED4248"/>
    <w:rsid w:val="00ED60CA"/>
    <w:rsid w:val="00ED64EF"/>
    <w:rsid w:val="00EE0EC3"/>
    <w:rsid w:val="00EE1819"/>
    <w:rsid w:val="00EE1A75"/>
    <w:rsid w:val="00EE1B9E"/>
    <w:rsid w:val="00EE1DC0"/>
    <w:rsid w:val="00EE288B"/>
    <w:rsid w:val="00EE4A1F"/>
    <w:rsid w:val="00EE53EA"/>
    <w:rsid w:val="00EF009A"/>
    <w:rsid w:val="00EF0ED5"/>
    <w:rsid w:val="00EF1B5A"/>
    <w:rsid w:val="00EF2CCA"/>
    <w:rsid w:val="00EF61AC"/>
    <w:rsid w:val="00EF791D"/>
    <w:rsid w:val="00F01325"/>
    <w:rsid w:val="00F017B1"/>
    <w:rsid w:val="00F01BA1"/>
    <w:rsid w:val="00F03E1B"/>
    <w:rsid w:val="00F04D64"/>
    <w:rsid w:val="00F05166"/>
    <w:rsid w:val="00F057E0"/>
    <w:rsid w:val="00F05B92"/>
    <w:rsid w:val="00F10ADF"/>
    <w:rsid w:val="00F13108"/>
    <w:rsid w:val="00F13F47"/>
    <w:rsid w:val="00F16EBD"/>
    <w:rsid w:val="00F214D5"/>
    <w:rsid w:val="00F229EF"/>
    <w:rsid w:val="00F22C62"/>
    <w:rsid w:val="00F24A31"/>
    <w:rsid w:val="00F24E4E"/>
    <w:rsid w:val="00F25B9A"/>
    <w:rsid w:val="00F26059"/>
    <w:rsid w:val="00F2608D"/>
    <w:rsid w:val="00F3434D"/>
    <w:rsid w:val="00F343DA"/>
    <w:rsid w:val="00F359F8"/>
    <w:rsid w:val="00F3652C"/>
    <w:rsid w:val="00F36803"/>
    <w:rsid w:val="00F43089"/>
    <w:rsid w:val="00F43D1A"/>
    <w:rsid w:val="00F43E8A"/>
    <w:rsid w:val="00F46AA1"/>
    <w:rsid w:val="00F47235"/>
    <w:rsid w:val="00F47A9A"/>
    <w:rsid w:val="00F51771"/>
    <w:rsid w:val="00F53F91"/>
    <w:rsid w:val="00F55424"/>
    <w:rsid w:val="00F56255"/>
    <w:rsid w:val="00F57321"/>
    <w:rsid w:val="00F57CD4"/>
    <w:rsid w:val="00F60609"/>
    <w:rsid w:val="00F613E9"/>
    <w:rsid w:val="00F6168C"/>
    <w:rsid w:val="00F61A72"/>
    <w:rsid w:val="00F62D1F"/>
    <w:rsid w:val="00F6371E"/>
    <w:rsid w:val="00F63E0E"/>
    <w:rsid w:val="00F651B3"/>
    <w:rsid w:val="00F65DE4"/>
    <w:rsid w:val="00F66F13"/>
    <w:rsid w:val="00F74073"/>
    <w:rsid w:val="00F74D7D"/>
    <w:rsid w:val="00F7551B"/>
    <w:rsid w:val="00F7614E"/>
    <w:rsid w:val="00F77453"/>
    <w:rsid w:val="00F80F82"/>
    <w:rsid w:val="00F81A04"/>
    <w:rsid w:val="00F84116"/>
    <w:rsid w:val="00F8524E"/>
    <w:rsid w:val="00F85675"/>
    <w:rsid w:val="00F8778E"/>
    <w:rsid w:val="00F87D67"/>
    <w:rsid w:val="00F87D80"/>
    <w:rsid w:val="00F90E04"/>
    <w:rsid w:val="00F9189A"/>
    <w:rsid w:val="00F928C5"/>
    <w:rsid w:val="00F95FC4"/>
    <w:rsid w:val="00FA1759"/>
    <w:rsid w:val="00FA277B"/>
    <w:rsid w:val="00FB06ED"/>
    <w:rsid w:val="00FB71E4"/>
    <w:rsid w:val="00FB7653"/>
    <w:rsid w:val="00FB76DB"/>
    <w:rsid w:val="00FC084D"/>
    <w:rsid w:val="00FC36AB"/>
    <w:rsid w:val="00FC3F21"/>
    <w:rsid w:val="00FC5DE7"/>
    <w:rsid w:val="00FC6AB4"/>
    <w:rsid w:val="00FC6EC6"/>
    <w:rsid w:val="00FD09E3"/>
    <w:rsid w:val="00FD1727"/>
    <w:rsid w:val="00FD1D52"/>
    <w:rsid w:val="00FD2798"/>
    <w:rsid w:val="00FD2A72"/>
    <w:rsid w:val="00FD3E49"/>
    <w:rsid w:val="00FD5819"/>
    <w:rsid w:val="00FE15EB"/>
    <w:rsid w:val="00FE4F08"/>
    <w:rsid w:val="00FE5C0A"/>
    <w:rsid w:val="00FE64E4"/>
    <w:rsid w:val="00FF0D35"/>
    <w:rsid w:val="00FF0DF2"/>
    <w:rsid w:val="00FF3A5A"/>
    <w:rsid w:val="00FF6EDD"/>
    <w:rsid w:val="0796CF1C"/>
    <w:rsid w:val="146F093B"/>
    <w:rsid w:val="3C144531"/>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f" fillcolor="white" stroke="f">
      <v:fill color="white" on="f"/>
      <v:stroke on="f"/>
    </o:shapedefaults>
    <o:shapelayout v:ext="edit">
      <o:idmap v:ext="edit" data="1"/>
    </o:shapelayout>
  </w:shapeDefaults>
  <w:decimalSymbol w:val=","/>
  <w:listSeparator w:val=";"/>
  <w14:docId w14:val="1ED9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D99"/>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A73B06"/>
    <w:pPr>
      <w:spacing w:line="240" w:lineRule="auto"/>
    </w:pPr>
    <w:rPr>
      <w:b/>
      <w:bCs/>
    </w:rPr>
  </w:style>
  <w:style w:type="character" w:customStyle="1" w:styleId="CommentTextChar">
    <w:name w:val="Comment Text Char"/>
    <w:basedOn w:val="DefaultParagraphFont"/>
    <w:link w:val="CommentText"/>
    <w:semiHidden/>
    <w:rsid w:val="00A73B06"/>
    <w:rPr>
      <w:rFonts w:ascii="Verdana" w:hAnsi="Verdana"/>
    </w:rPr>
  </w:style>
  <w:style w:type="character" w:customStyle="1" w:styleId="CommentSubjectChar">
    <w:name w:val="Comment Subject Char"/>
    <w:basedOn w:val="CommentTextChar"/>
    <w:link w:val="CommentSubject"/>
    <w:rsid w:val="00A73B06"/>
    <w:rPr>
      <w:rFonts w:ascii="Verdana" w:hAnsi="Verdana"/>
      <w:b/>
      <w:bCs/>
    </w:rPr>
  </w:style>
  <w:style w:type="paragraph" w:styleId="ListParagraph">
    <w:name w:val="List Paragraph"/>
    <w:basedOn w:val="Normal"/>
    <w:uiPriority w:val="34"/>
    <w:qFormat/>
    <w:rsid w:val="00BF1A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D99"/>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A73B06"/>
    <w:pPr>
      <w:spacing w:line="240" w:lineRule="auto"/>
    </w:pPr>
    <w:rPr>
      <w:b/>
      <w:bCs/>
    </w:rPr>
  </w:style>
  <w:style w:type="character" w:customStyle="1" w:styleId="CommentTextChar">
    <w:name w:val="Comment Text Char"/>
    <w:basedOn w:val="DefaultParagraphFont"/>
    <w:link w:val="CommentText"/>
    <w:semiHidden/>
    <w:rsid w:val="00A73B06"/>
    <w:rPr>
      <w:rFonts w:ascii="Verdana" w:hAnsi="Verdana"/>
    </w:rPr>
  </w:style>
  <w:style w:type="character" w:customStyle="1" w:styleId="CommentSubjectChar">
    <w:name w:val="Comment Subject Char"/>
    <w:basedOn w:val="CommentTextChar"/>
    <w:link w:val="CommentSubject"/>
    <w:rsid w:val="00A73B06"/>
    <w:rPr>
      <w:rFonts w:ascii="Verdana" w:hAnsi="Verdana"/>
      <w:b/>
      <w:bCs/>
    </w:rPr>
  </w:style>
  <w:style w:type="paragraph" w:styleId="ListParagraph">
    <w:name w:val="List Paragraph"/>
    <w:basedOn w:val="Normal"/>
    <w:uiPriority w:val="34"/>
    <w:qFormat/>
    <w:rsid w:val="00BF1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068458">
      <w:bodyDiv w:val="1"/>
      <w:marLeft w:val="0"/>
      <w:marRight w:val="0"/>
      <w:marTop w:val="0"/>
      <w:marBottom w:val="0"/>
      <w:divBdr>
        <w:top w:val="none" w:sz="0" w:space="0" w:color="auto"/>
        <w:left w:val="none" w:sz="0" w:space="0" w:color="auto"/>
        <w:bottom w:val="none" w:sz="0" w:space="0" w:color="auto"/>
        <w:right w:val="none" w:sz="0" w:space="0" w:color="auto"/>
      </w:divBdr>
    </w:div>
    <w:div w:id="320619494">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438733">
      <w:bodyDiv w:val="1"/>
      <w:marLeft w:val="0"/>
      <w:marRight w:val="0"/>
      <w:marTop w:val="0"/>
      <w:marBottom w:val="0"/>
      <w:divBdr>
        <w:top w:val="none" w:sz="0" w:space="0" w:color="auto"/>
        <w:left w:val="none" w:sz="0" w:space="0" w:color="auto"/>
        <w:bottom w:val="none" w:sz="0" w:space="0" w:color="auto"/>
        <w:right w:val="none" w:sz="0" w:space="0" w:color="auto"/>
      </w:divBdr>
      <w:divsChild>
        <w:div w:id="1771507435">
          <w:marLeft w:val="0"/>
          <w:marRight w:val="0"/>
          <w:marTop w:val="0"/>
          <w:marBottom w:val="0"/>
          <w:divBdr>
            <w:top w:val="none" w:sz="0" w:space="0" w:color="auto"/>
            <w:left w:val="none" w:sz="0" w:space="0" w:color="auto"/>
            <w:bottom w:val="none" w:sz="0" w:space="0" w:color="auto"/>
            <w:right w:val="none" w:sz="0" w:space="0" w:color="auto"/>
          </w:divBdr>
        </w:div>
        <w:div w:id="1190876655">
          <w:marLeft w:val="0"/>
          <w:marRight w:val="0"/>
          <w:marTop w:val="0"/>
          <w:marBottom w:val="0"/>
          <w:divBdr>
            <w:top w:val="none" w:sz="0" w:space="0" w:color="auto"/>
            <w:left w:val="none" w:sz="0" w:space="0" w:color="auto"/>
            <w:bottom w:val="none" w:sz="0" w:space="0" w:color="auto"/>
            <w:right w:val="none" w:sz="0" w:space="0" w:color="auto"/>
          </w:divBdr>
        </w:div>
        <w:div w:id="1587494271">
          <w:marLeft w:val="0"/>
          <w:marRight w:val="0"/>
          <w:marTop w:val="0"/>
          <w:marBottom w:val="0"/>
          <w:divBdr>
            <w:top w:val="none" w:sz="0" w:space="0" w:color="auto"/>
            <w:left w:val="none" w:sz="0" w:space="0" w:color="auto"/>
            <w:bottom w:val="none" w:sz="0" w:space="0" w:color="auto"/>
            <w:right w:val="none" w:sz="0" w:space="0" w:color="auto"/>
          </w:divBdr>
        </w:div>
        <w:div w:id="1333339071">
          <w:marLeft w:val="0"/>
          <w:marRight w:val="0"/>
          <w:marTop w:val="0"/>
          <w:marBottom w:val="0"/>
          <w:divBdr>
            <w:top w:val="none" w:sz="0" w:space="0" w:color="auto"/>
            <w:left w:val="none" w:sz="0" w:space="0" w:color="auto"/>
            <w:bottom w:val="none" w:sz="0" w:space="0" w:color="auto"/>
            <w:right w:val="none" w:sz="0" w:space="0" w:color="auto"/>
          </w:divBdr>
        </w:div>
        <w:div w:id="1885754966">
          <w:marLeft w:val="0"/>
          <w:marRight w:val="0"/>
          <w:marTop w:val="0"/>
          <w:marBottom w:val="0"/>
          <w:divBdr>
            <w:top w:val="none" w:sz="0" w:space="0" w:color="auto"/>
            <w:left w:val="none" w:sz="0" w:space="0" w:color="auto"/>
            <w:bottom w:val="none" w:sz="0" w:space="0" w:color="auto"/>
            <w:right w:val="none" w:sz="0" w:space="0" w:color="auto"/>
          </w:divBdr>
        </w:div>
        <w:div w:id="849291524">
          <w:marLeft w:val="0"/>
          <w:marRight w:val="0"/>
          <w:marTop w:val="0"/>
          <w:marBottom w:val="0"/>
          <w:divBdr>
            <w:top w:val="none" w:sz="0" w:space="0" w:color="auto"/>
            <w:left w:val="none" w:sz="0" w:space="0" w:color="auto"/>
            <w:bottom w:val="none" w:sz="0" w:space="0" w:color="auto"/>
            <w:right w:val="none" w:sz="0" w:space="0" w:color="auto"/>
          </w:divBdr>
        </w:div>
      </w:divsChild>
    </w:div>
    <w:div w:id="629286261">
      <w:bodyDiv w:val="1"/>
      <w:marLeft w:val="0"/>
      <w:marRight w:val="0"/>
      <w:marTop w:val="0"/>
      <w:marBottom w:val="0"/>
      <w:divBdr>
        <w:top w:val="none" w:sz="0" w:space="0" w:color="auto"/>
        <w:left w:val="none" w:sz="0" w:space="0" w:color="auto"/>
        <w:bottom w:val="none" w:sz="0" w:space="0" w:color="auto"/>
        <w:right w:val="none" w:sz="0" w:space="0" w:color="auto"/>
      </w:divBdr>
      <w:divsChild>
        <w:div w:id="589234753">
          <w:marLeft w:val="0"/>
          <w:marRight w:val="0"/>
          <w:marTop w:val="0"/>
          <w:marBottom w:val="0"/>
          <w:divBdr>
            <w:top w:val="none" w:sz="0" w:space="0" w:color="auto"/>
            <w:left w:val="none" w:sz="0" w:space="0" w:color="auto"/>
            <w:bottom w:val="none" w:sz="0" w:space="0" w:color="auto"/>
            <w:right w:val="none" w:sz="0" w:space="0" w:color="auto"/>
          </w:divBdr>
        </w:div>
        <w:div w:id="111557922">
          <w:marLeft w:val="0"/>
          <w:marRight w:val="0"/>
          <w:marTop w:val="0"/>
          <w:marBottom w:val="0"/>
          <w:divBdr>
            <w:top w:val="none" w:sz="0" w:space="0" w:color="auto"/>
            <w:left w:val="none" w:sz="0" w:space="0" w:color="auto"/>
            <w:bottom w:val="none" w:sz="0" w:space="0" w:color="auto"/>
            <w:right w:val="none" w:sz="0" w:space="0" w:color="auto"/>
          </w:divBdr>
        </w:div>
        <w:div w:id="1476021258">
          <w:marLeft w:val="0"/>
          <w:marRight w:val="0"/>
          <w:marTop w:val="0"/>
          <w:marBottom w:val="0"/>
          <w:divBdr>
            <w:top w:val="none" w:sz="0" w:space="0" w:color="auto"/>
            <w:left w:val="none" w:sz="0" w:space="0" w:color="auto"/>
            <w:bottom w:val="none" w:sz="0" w:space="0" w:color="auto"/>
            <w:right w:val="none" w:sz="0" w:space="0" w:color="auto"/>
          </w:divBdr>
        </w:div>
        <w:div w:id="890731807">
          <w:marLeft w:val="0"/>
          <w:marRight w:val="0"/>
          <w:marTop w:val="0"/>
          <w:marBottom w:val="0"/>
          <w:divBdr>
            <w:top w:val="none" w:sz="0" w:space="0" w:color="auto"/>
            <w:left w:val="none" w:sz="0" w:space="0" w:color="auto"/>
            <w:bottom w:val="none" w:sz="0" w:space="0" w:color="auto"/>
            <w:right w:val="none" w:sz="0" w:space="0" w:color="auto"/>
          </w:divBdr>
        </w:div>
        <w:div w:id="1074165614">
          <w:marLeft w:val="0"/>
          <w:marRight w:val="0"/>
          <w:marTop w:val="0"/>
          <w:marBottom w:val="0"/>
          <w:divBdr>
            <w:top w:val="none" w:sz="0" w:space="0" w:color="auto"/>
            <w:left w:val="none" w:sz="0" w:space="0" w:color="auto"/>
            <w:bottom w:val="none" w:sz="0" w:space="0" w:color="auto"/>
            <w:right w:val="none" w:sz="0" w:space="0" w:color="auto"/>
          </w:divBdr>
        </w:div>
        <w:div w:id="1930967955">
          <w:marLeft w:val="0"/>
          <w:marRight w:val="0"/>
          <w:marTop w:val="0"/>
          <w:marBottom w:val="0"/>
          <w:divBdr>
            <w:top w:val="none" w:sz="0" w:space="0" w:color="auto"/>
            <w:left w:val="none" w:sz="0" w:space="0" w:color="auto"/>
            <w:bottom w:val="none" w:sz="0" w:space="0" w:color="auto"/>
            <w:right w:val="none" w:sz="0" w:space="0" w:color="auto"/>
          </w:divBdr>
        </w:div>
        <w:div w:id="46955195">
          <w:marLeft w:val="0"/>
          <w:marRight w:val="0"/>
          <w:marTop w:val="0"/>
          <w:marBottom w:val="0"/>
          <w:divBdr>
            <w:top w:val="none" w:sz="0" w:space="0" w:color="auto"/>
            <w:left w:val="none" w:sz="0" w:space="0" w:color="auto"/>
            <w:bottom w:val="none" w:sz="0" w:space="0" w:color="auto"/>
            <w:right w:val="none" w:sz="0" w:space="0" w:color="auto"/>
          </w:divBdr>
        </w:div>
        <w:div w:id="210699682">
          <w:marLeft w:val="0"/>
          <w:marRight w:val="0"/>
          <w:marTop w:val="0"/>
          <w:marBottom w:val="0"/>
          <w:divBdr>
            <w:top w:val="none" w:sz="0" w:space="0" w:color="auto"/>
            <w:left w:val="none" w:sz="0" w:space="0" w:color="auto"/>
            <w:bottom w:val="none" w:sz="0" w:space="0" w:color="auto"/>
            <w:right w:val="none" w:sz="0" w:space="0" w:color="auto"/>
          </w:divBdr>
        </w:div>
        <w:div w:id="785272784">
          <w:marLeft w:val="0"/>
          <w:marRight w:val="0"/>
          <w:marTop w:val="0"/>
          <w:marBottom w:val="0"/>
          <w:divBdr>
            <w:top w:val="none" w:sz="0" w:space="0" w:color="auto"/>
            <w:left w:val="none" w:sz="0" w:space="0" w:color="auto"/>
            <w:bottom w:val="none" w:sz="0" w:space="0" w:color="auto"/>
            <w:right w:val="none" w:sz="0" w:space="0" w:color="auto"/>
          </w:divBdr>
        </w:div>
        <w:div w:id="131363159">
          <w:marLeft w:val="0"/>
          <w:marRight w:val="0"/>
          <w:marTop w:val="0"/>
          <w:marBottom w:val="0"/>
          <w:divBdr>
            <w:top w:val="none" w:sz="0" w:space="0" w:color="auto"/>
            <w:left w:val="none" w:sz="0" w:space="0" w:color="auto"/>
            <w:bottom w:val="none" w:sz="0" w:space="0" w:color="auto"/>
            <w:right w:val="none" w:sz="0" w:space="0" w:color="auto"/>
          </w:divBdr>
        </w:div>
        <w:div w:id="1353453320">
          <w:marLeft w:val="0"/>
          <w:marRight w:val="0"/>
          <w:marTop w:val="0"/>
          <w:marBottom w:val="0"/>
          <w:divBdr>
            <w:top w:val="none" w:sz="0" w:space="0" w:color="auto"/>
            <w:left w:val="none" w:sz="0" w:space="0" w:color="auto"/>
            <w:bottom w:val="none" w:sz="0" w:space="0" w:color="auto"/>
            <w:right w:val="none" w:sz="0" w:space="0" w:color="auto"/>
          </w:divBdr>
        </w:div>
        <w:div w:id="1094935378">
          <w:marLeft w:val="0"/>
          <w:marRight w:val="0"/>
          <w:marTop w:val="0"/>
          <w:marBottom w:val="0"/>
          <w:divBdr>
            <w:top w:val="none" w:sz="0" w:space="0" w:color="auto"/>
            <w:left w:val="none" w:sz="0" w:space="0" w:color="auto"/>
            <w:bottom w:val="none" w:sz="0" w:space="0" w:color="auto"/>
            <w:right w:val="none" w:sz="0" w:space="0" w:color="auto"/>
          </w:divBdr>
        </w:div>
        <w:div w:id="1784425536">
          <w:marLeft w:val="0"/>
          <w:marRight w:val="0"/>
          <w:marTop w:val="0"/>
          <w:marBottom w:val="0"/>
          <w:divBdr>
            <w:top w:val="none" w:sz="0" w:space="0" w:color="auto"/>
            <w:left w:val="none" w:sz="0" w:space="0" w:color="auto"/>
            <w:bottom w:val="none" w:sz="0" w:space="0" w:color="auto"/>
            <w:right w:val="none" w:sz="0" w:space="0" w:color="auto"/>
          </w:divBdr>
        </w:div>
        <w:div w:id="502625216">
          <w:marLeft w:val="0"/>
          <w:marRight w:val="0"/>
          <w:marTop w:val="0"/>
          <w:marBottom w:val="0"/>
          <w:divBdr>
            <w:top w:val="none" w:sz="0" w:space="0" w:color="auto"/>
            <w:left w:val="none" w:sz="0" w:space="0" w:color="auto"/>
            <w:bottom w:val="none" w:sz="0" w:space="0" w:color="auto"/>
            <w:right w:val="none" w:sz="0" w:space="0" w:color="auto"/>
          </w:divBdr>
        </w:div>
        <w:div w:id="951665568">
          <w:marLeft w:val="0"/>
          <w:marRight w:val="0"/>
          <w:marTop w:val="0"/>
          <w:marBottom w:val="0"/>
          <w:divBdr>
            <w:top w:val="none" w:sz="0" w:space="0" w:color="auto"/>
            <w:left w:val="none" w:sz="0" w:space="0" w:color="auto"/>
            <w:bottom w:val="none" w:sz="0" w:space="0" w:color="auto"/>
            <w:right w:val="none" w:sz="0" w:space="0" w:color="auto"/>
          </w:divBdr>
        </w:div>
        <w:div w:id="1605577572">
          <w:marLeft w:val="0"/>
          <w:marRight w:val="0"/>
          <w:marTop w:val="0"/>
          <w:marBottom w:val="0"/>
          <w:divBdr>
            <w:top w:val="none" w:sz="0" w:space="0" w:color="auto"/>
            <w:left w:val="none" w:sz="0" w:space="0" w:color="auto"/>
            <w:bottom w:val="none" w:sz="0" w:space="0" w:color="auto"/>
            <w:right w:val="none" w:sz="0" w:space="0" w:color="auto"/>
          </w:divBdr>
        </w:div>
        <w:div w:id="715005188">
          <w:marLeft w:val="0"/>
          <w:marRight w:val="0"/>
          <w:marTop w:val="0"/>
          <w:marBottom w:val="0"/>
          <w:divBdr>
            <w:top w:val="none" w:sz="0" w:space="0" w:color="auto"/>
            <w:left w:val="none" w:sz="0" w:space="0" w:color="auto"/>
            <w:bottom w:val="none" w:sz="0" w:space="0" w:color="auto"/>
            <w:right w:val="none" w:sz="0" w:space="0" w:color="auto"/>
          </w:divBdr>
        </w:div>
      </w:divsChild>
    </w:div>
    <w:div w:id="642196048">
      <w:bodyDiv w:val="1"/>
      <w:marLeft w:val="0"/>
      <w:marRight w:val="0"/>
      <w:marTop w:val="0"/>
      <w:marBottom w:val="0"/>
      <w:divBdr>
        <w:top w:val="none" w:sz="0" w:space="0" w:color="auto"/>
        <w:left w:val="none" w:sz="0" w:space="0" w:color="auto"/>
        <w:bottom w:val="none" w:sz="0" w:space="0" w:color="auto"/>
        <w:right w:val="none" w:sz="0" w:space="0" w:color="auto"/>
      </w:divBdr>
      <w:divsChild>
        <w:div w:id="471793901">
          <w:marLeft w:val="0"/>
          <w:marRight w:val="0"/>
          <w:marTop w:val="0"/>
          <w:marBottom w:val="0"/>
          <w:divBdr>
            <w:top w:val="none" w:sz="0" w:space="0" w:color="auto"/>
            <w:left w:val="none" w:sz="0" w:space="0" w:color="auto"/>
            <w:bottom w:val="none" w:sz="0" w:space="0" w:color="auto"/>
            <w:right w:val="none" w:sz="0" w:space="0" w:color="auto"/>
          </w:divBdr>
        </w:div>
        <w:div w:id="303393839">
          <w:marLeft w:val="0"/>
          <w:marRight w:val="0"/>
          <w:marTop w:val="0"/>
          <w:marBottom w:val="0"/>
          <w:divBdr>
            <w:top w:val="none" w:sz="0" w:space="0" w:color="auto"/>
            <w:left w:val="none" w:sz="0" w:space="0" w:color="auto"/>
            <w:bottom w:val="none" w:sz="0" w:space="0" w:color="auto"/>
            <w:right w:val="none" w:sz="0" w:space="0" w:color="auto"/>
          </w:divBdr>
        </w:div>
        <w:div w:id="1604265944">
          <w:marLeft w:val="0"/>
          <w:marRight w:val="0"/>
          <w:marTop w:val="0"/>
          <w:marBottom w:val="0"/>
          <w:divBdr>
            <w:top w:val="none" w:sz="0" w:space="0" w:color="auto"/>
            <w:left w:val="none" w:sz="0" w:space="0" w:color="auto"/>
            <w:bottom w:val="none" w:sz="0" w:space="0" w:color="auto"/>
            <w:right w:val="none" w:sz="0" w:space="0" w:color="auto"/>
          </w:divBdr>
        </w:div>
        <w:div w:id="601492884">
          <w:marLeft w:val="0"/>
          <w:marRight w:val="0"/>
          <w:marTop w:val="0"/>
          <w:marBottom w:val="0"/>
          <w:divBdr>
            <w:top w:val="none" w:sz="0" w:space="0" w:color="auto"/>
            <w:left w:val="none" w:sz="0" w:space="0" w:color="auto"/>
            <w:bottom w:val="none" w:sz="0" w:space="0" w:color="auto"/>
            <w:right w:val="none" w:sz="0" w:space="0" w:color="auto"/>
          </w:divBdr>
        </w:div>
        <w:div w:id="1790666416">
          <w:marLeft w:val="0"/>
          <w:marRight w:val="0"/>
          <w:marTop w:val="0"/>
          <w:marBottom w:val="0"/>
          <w:divBdr>
            <w:top w:val="none" w:sz="0" w:space="0" w:color="auto"/>
            <w:left w:val="none" w:sz="0" w:space="0" w:color="auto"/>
            <w:bottom w:val="none" w:sz="0" w:space="0" w:color="auto"/>
            <w:right w:val="none" w:sz="0" w:space="0" w:color="auto"/>
          </w:divBdr>
        </w:div>
        <w:div w:id="359430352">
          <w:marLeft w:val="0"/>
          <w:marRight w:val="0"/>
          <w:marTop w:val="0"/>
          <w:marBottom w:val="0"/>
          <w:divBdr>
            <w:top w:val="none" w:sz="0" w:space="0" w:color="auto"/>
            <w:left w:val="none" w:sz="0" w:space="0" w:color="auto"/>
            <w:bottom w:val="none" w:sz="0" w:space="0" w:color="auto"/>
            <w:right w:val="none" w:sz="0" w:space="0" w:color="auto"/>
          </w:divBdr>
        </w:div>
        <w:div w:id="1610550143">
          <w:marLeft w:val="0"/>
          <w:marRight w:val="0"/>
          <w:marTop w:val="0"/>
          <w:marBottom w:val="0"/>
          <w:divBdr>
            <w:top w:val="none" w:sz="0" w:space="0" w:color="auto"/>
            <w:left w:val="none" w:sz="0" w:space="0" w:color="auto"/>
            <w:bottom w:val="none" w:sz="0" w:space="0" w:color="auto"/>
            <w:right w:val="none" w:sz="0" w:space="0" w:color="auto"/>
          </w:divBdr>
        </w:div>
        <w:div w:id="425343239">
          <w:marLeft w:val="0"/>
          <w:marRight w:val="0"/>
          <w:marTop w:val="0"/>
          <w:marBottom w:val="0"/>
          <w:divBdr>
            <w:top w:val="none" w:sz="0" w:space="0" w:color="auto"/>
            <w:left w:val="none" w:sz="0" w:space="0" w:color="auto"/>
            <w:bottom w:val="none" w:sz="0" w:space="0" w:color="auto"/>
            <w:right w:val="none" w:sz="0" w:space="0" w:color="auto"/>
          </w:divBdr>
        </w:div>
        <w:div w:id="1319652485">
          <w:marLeft w:val="0"/>
          <w:marRight w:val="0"/>
          <w:marTop w:val="0"/>
          <w:marBottom w:val="0"/>
          <w:divBdr>
            <w:top w:val="none" w:sz="0" w:space="0" w:color="auto"/>
            <w:left w:val="none" w:sz="0" w:space="0" w:color="auto"/>
            <w:bottom w:val="none" w:sz="0" w:space="0" w:color="auto"/>
            <w:right w:val="none" w:sz="0" w:space="0" w:color="auto"/>
          </w:divBdr>
        </w:div>
        <w:div w:id="626787504">
          <w:marLeft w:val="0"/>
          <w:marRight w:val="0"/>
          <w:marTop w:val="0"/>
          <w:marBottom w:val="0"/>
          <w:divBdr>
            <w:top w:val="none" w:sz="0" w:space="0" w:color="auto"/>
            <w:left w:val="none" w:sz="0" w:space="0" w:color="auto"/>
            <w:bottom w:val="none" w:sz="0" w:space="0" w:color="auto"/>
            <w:right w:val="none" w:sz="0" w:space="0" w:color="auto"/>
          </w:divBdr>
        </w:div>
        <w:div w:id="1743402684">
          <w:marLeft w:val="0"/>
          <w:marRight w:val="0"/>
          <w:marTop w:val="0"/>
          <w:marBottom w:val="0"/>
          <w:divBdr>
            <w:top w:val="none" w:sz="0" w:space="0" w:color="auto"/>
            <w:left w:val="none" w:sz="0" w:space="0" w:color="auto"/>
            <w:bottom w:val="none" w:sz="0" w:space="0" w:color="auto"/>
            <w:right w:val="none" w:sz="0" w:space="0" w:color="auto"/>
          </w:divBdr>
        </w:div>
        <w:div w:id="1436631527">
          <w:marLeft w:val="0"/>
          <w:marRight w:val="0"/>
          <w:marTop w:val="0"/>
          <w:marBottom w:val="0"/>
          <w:divBdr>
            <w:top w:val="none" w:sz="0" w:space="0" w:color="auto"/>
            <w:left w:val="none" w:sz="0" w:space="0" w:color="auto"/>
            <w:bottom w:val="none" w:sz="0" w:space="0" w:color="auto"/>
            <w:right w:val="none" w:sz="0" w:space="0" w:color="auto"/>
          </w:divBdr>
        </w:div>
        <w:div w:id="1256942748">
          <w:marLeft w:val="0"/>
          <w:marRight w:val="0"/>
          <w:marTop w:val="0"/>
          <w:marBottom w:val="0"/>
          <w:divBdr>
            <w:top w:val="none" w:sz="0" w:space="0" w:color="auto"/>
            <w:left w:val="none" w:sz="0" w:space="0" w:color="auto"/>
            <w:bottom w:val="none" w:sz="0" w:space="0" w:color="auto"/>
            <w:right w:val="none" w:sz="0" w:space="0" w:color="auto"/>
          </w:divBdr>
        </w:div>
        <w:div w:id="967471724">
          <w:marLeft w:val="0"/>
          <w:marRight w:val="0"/>
          <w:marTop w:val="0"/>
          <w:marBottom w:val="0"/>
          <w:divBdr>
            <w:top w:val="none" w:sz="0" w:space="0" w:color="auto"/>
            <w:left w:val="none" w:sz="0" w:space="0" w:color="auto"/>
            <w:bottom w:val="none" w:sz="0" w:space="0" w:color="auto"/>
            <w:right w:val="none" w:sz="0" w:space="0" w:color="auto"/>
          </w:divBdr>
        </w:div>
        <w:div w:id="1418359577">
          <w:marLeft w:val="0"/>
          <w:marRight w:val="0"/>
          <w:marTop w:val="0"/>
          <w:marBottom w:val="0"/>
          <w:divBdr>
            <w:top w:val="none" w:sz="0" w:space="0" w:color="auto"/>
            <w:left w:val="none" w:sz="0" w:space="0" w:color="auto"/>
            <w:bottom w:val="none" w:sz="0" w:space="0" w:color="auto"/>
            <w:right w:val="none" w:sz="0" w:space="0" w:color="auto"/>
          </w:divBdr>
        </w:div>
        <w:div w:id="548614021">
          <w:marLeft w:val="0"/>
          <w:marRight w:val="0"/>
          <w:marTop w:val="0"/>
          <w:marBottom w:val="0"/>
          <w:divBdr>
            <w:top w:val="none" w:sz="0" w:space="0" w:color="auto"/>
            <w:left w:val="none" w:sz="0" w:space="0" w:color="auto"/>
            <w:bottom w:val="none" w:sz="0" w:space="0" w:color="auto"/>
            <w:right w:val="none" w:sz="0" w:space="0" w:color="auto"/>
          </w:divBdr>
        </w:div>
        <w:div w:id="520167711">
          <w:marLeft w:val="0"/>
          <w:marRight w:val="0"/>
          <w:marTop w:val="0"/>
          <w:marBottom w:val="0"/>
          <w:divBdr>
            <w:top w:val="none" w:sz="0" w:space="0" w:color="auto"/>
            <w:left w:val="none" w:sz="0" w:space="0" w:color="auto"/>
            <w:bottom w:val="none" w:sz="0" w:space="0" w:color="auto"/>
            <w:right w:val="none" w:sz="0" w:space="0" w:color="auto"/>
          </w:divBdr>
        </w:div>
      </w:divsChild>
    </w:div>
    <w:div w:id="642275741">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827986305">
      <w:bodyDiv w:val="1"/>
      <w:marLeft w:val="0"/>
      <w:marRight w:val="0"/>
      <w:marTop w:val="0"/>
      <w:marBottom w:val="0"/>
      <w:divBdr>
        <w:top w:val="none" w:sz="0" w:space="0" w:color="auto"/>
        <w:left w:val="none" w:sz="0" w:space="0" w:color="auto"/>
        <w:bottom w:val="none" w:sz="0" w:space="0" w:color="auto"/>
        <w:right w:val="none" w:sz="0" w:space="0" w:color="auto"/>
      </w:divBdr>
      <w:divsChild>
        <w:div w:id="2125155102">
          <w:marLeft w:val="0"/>
          <w:marRight w:val="0"/>
          <w:marTop w:val="0"/>
          <w:marBottom w:val="0"/>
          <w:divBdr>
            <w:top w:val="none" w:sz="0" w:space="0" w:color="auto"/>
            <w:left w:val="none" w:sz="0" w:space="0" w:color="auto"/>
            <w:bottom w:val="none" w:sz="0" w:space="0" w:color="auto"/>
            <w:right w:val="none" w:sz="0" w:space="0" w:color="auto"/>
          </w:divBdr>
        </w:div>
        <w:div w:id="1704207150">
          <w:marLeft w:val="0"/>
          <w:marRight w:val="0"/>
          <w:marTop w:val="0"/>
          <w:marBottom w:val="0"/>
          <w:divBdr>
            <w:top w:val="none" w:sz="0" w:space="0" w:color="auto"/>
            <w:left w:val="none" w:sz="0" w:space="0" w:color="auto"/>
            <w:bottom w:val="none" w:sz="0" w:space="0" w:color="auto"/>
            <w:right w:val="none" w:sz="0" w:space="0" w:color="auto"/>
          </w:divBdr>
        </w:div>
      </w:divsChild>
    </w:div>
    <w:div w:id="930088418">
      <w:bodyDiv w:val="1"/>
      <w:marLeft w:val="0"/>
      <w:marRight w:val="0"/>
      <w:marTop w:val="0"/>
      <w:marBottom w:val="0"/>
      <w:divBdr>
        <w:top w:val="none" w:sz="0" w:space="0" w:color="auto"/>
        <w:left w:val="none" w:sz="0" w:space="0" w:color="auto"/>
        <w:bottom w:val="none" w:sz="0" w:space="0" w:color="auto"/>
        <w:right w:val="none" w:sz="0" w:space="0" w:color="auto"/>
      </w:divBdr>
      <w:divsChild>
        <w:div w:id="247812474">
          <w:marLeft w:val="0"/>
          <w:marRight w:val="0"/>
          <w:marTop w:val="0"/>
          <w:marBottom w:val="0"/>
          <w:divBdr>
            <w:top w:val="none" w:sz="0" w:space="0" w:color="auto"/>
            <w:left w:val="none" w:sz="0" w:space="0" w:color="auto"/>
            <w:bottom w:val="none" w:sz="0" w:space="0" w:color="auto"/>
            <w:right w:val="none" w:sz="0" w:space="0" w:color="auto"/>
          </w:divBdr>
        </w:div>
        <w:div w:id="1545361050">
          <w:marLeft w:val="0"/>
          <w:marRight w:val="0"/>
          <w:marTop w:val="0"/>
          <w:marBottom w:val="0"/>
          <w:divBdr>
            <w:top w:val="none" w:sz="0" w:space="0" w:color="auto"/>
            <w:left w:val="none" w:sz="0" w:space="0" w:color="auto"/>
            <w:bottom w:val="none" w:sz="0" w:space="0" w:color="auto"/>
            <w:right w:val="none" w:sz="0" w:space="0" w:color="auto"/>
          </w:divBdr>
        </w:div>
        <w:div w:id="2102212109">
          <w:marLeft w:val="0"/>
          <w:marRight w:val="0"/>
          <w:marTop w:val="0"/>
          <w:marBottom w:val="0"/>
          <w:divBdr>
            <w:top w:val="none" w:sz="0" w:space="0" w:color="auto"/>
            <w:left w:val="none" w:sz="0" w:space="0" w:color="auto"/>
            <w:bottom w:val="none" w:sz="0" w:space="0" w:color="auto"/>
            <w:right w:val="none" w:sz="0" w:space="0" w:color="auto"/>
          </w:divBdr>
        </w:div>
        <w:div w:id="739249705">
          <w:marLeft w:val="0"/>
          <w:marRight w:val="0"/>
          <w:marTop w:val="0"/>
          <w:marBottom w:val="0"/>
          <w:divBdr>
            <w:top w:val="none" w:sz="0" w:space="0" w:color="auto"/>
            <w:left w:val="none" w:sz="0" w:space="0" w:color="auto"/>
            <w:bottom w:val="none" w:sz="0" w:space="0" w:color="auto"/>
            <w:right w:val="none" w:sz="0" w:space="0" w:color="auto"/>
          </w:divBdr>
        </w:div>
        <w:div w:id="1030686787">
          <w:marLeft w:val="0"/>
          <w:marRight w:val="0"/>
          <w:marTop w:val="0"/>
          <w:marBottom w:val="0"/>
          <w:divBdr>
            <w:top w:val="none" w:sz="0" w:space="0" w:color="auto"/>
            <w:left w:val="none" w:sz="0" w:space="0" w:color="auto"/>
            <w:bottom w:val="none" w:sz="0" w:space="0" w:color="auto"/>
            <w:right w:val="none" w:sz="0" w:space="0" w:color="auto"/>
          </w:divBdr>
        </w:div>
        <w:div w:id="37321675">
          <w:marLeft w:val="0"/>
          <w:marRight w:val="0"/>
          <w:marTop w:val="0"/>
          <w:marBottom w:val="0"/>
          <w:divBdr>
            <w:top w:val="none" w:sz="0" w:space="0" w:color="auto"/>
            <w:left w:val="none" w:sz="0" w:space="0" w:color="auto"/>
            <w:bottom w:val="none" w:sz="0" w:space="0" w:color="auto"/>
            <w:right w:val="none" w:sz="0" w:space="0" w:color="auto"/>
          </w:divBdr>
        </w:div>
        <w:div w:id="1367218860">
          <w:marLeft w:val="0"/>
          <w:marRight w:val="0"/>
          <w:marTop w:val="0"/>
          <w:marBottom w:val="0"/>
          <w:divBdr>
            <w:top w:val="none" w:sz="0" w:space="0" w:color="auto"/>
            <w:left w:val="none" w:sz="0" w:space="0" w:color="auto"/>
            <w:bottom w:val="none" w:sz="0" w:space="0" w:color="auto"/>
            <w:right w:val="none" w:sz="0" w:space="0" w:color="auto"/>
          </w:divBdr>
        </w:div>
        <w:div w:id="1207258980">
          <w:marLeft w:val="0"/>
          <w:marRight w:val="0"/>
          <w:marTop w:val="0"/>
          <w:marBottom w:val="0"/>
          <w:divBdr>
            <w:top w:val="none" w:sz="0" w:space="0" w:color="auto"/>
            <w:left w:val="none" w:sz="0" w:space="0" w:color="auto"/>
            <w:bottom w:val="none" w:sz="0" w:space="0" w:color="auto"/>
            <w:right w:val="none" w:sz="0" w:space="0" w:color="auto"/>
          </w:divBdr>
        </w:div>
        <w:div w:id="1616786832">
          <w:marLeft w:val="0"/>
          <w:marRight w:val="0"/>
          <w:marTop w:val="0"/>
          <w:marBottom w:val="0"/>
          <w:divBdr>
            <w:top w:val="none" w:sz="0" w:space="0" w:color="auto"/>
            <w:left w:val="none" w:sz="0" w:space="0" w:color="auto"/>
            <w:bottom w:val="none" w:sz="0" w:space="0" w:color="auto"/>
            <w:right w:val="none" w:sz="0" w:space="0" w:color="auto"/>
          </w:divBdr>
        </w:div>
        <w:div w:id="1546721183">
          <w:marLeft w:val="0"/>
          <w:marRight w:val="0"/>
          <w:marTop w:val="0"/>
          <w:marBottom w:val="0"/>
          <w:divBdr>
            <w:top w:val="none" w:sz="0" w:space="0" w:color="auto"/>
            <w:left w:val="none" w:sz="0" w:space="0" w:color="auto"/>
            <w:bottom w:val="none" w:sz="0" w:space="0" w:color="auto"/>
            <w:right w:val="none" w:sz="0" w:space="0" w:color="auto"/>
          </w:divBdr>
        </w:div>
        <w:div w:id="1221358244">
          <w:marLeft w:val="0"/>
          <w:marRight w:val="0"/>
          <w:marTop w:val="0"/>
          <w:marBottom w:val="0"/>
          <w:divBdr>
            <w:top w:val="none" w:sz="0" w:space="0" w:color="auto"/>
            <w:left w:val="none" w:sz="0" w:space="0" w:color="auto"/>
            <w:bottom w:val="none" w:sz="0" w:space="0" w:color="auto"/>
            <w:right w:val="none" w:sz="0" w:space="0" w:color="auto"/>
          </w:divBdr>
        </w:div>
        <w:div w:id="844518205">
          <w:marLeft w:val="0"/>
          <w:marRight w:val="0"/>
          <w:marTop w:val="0"/>
          <w:marBottom w:val="0"/>
          <w:divBdr>
            <w:top w:val="none" w:sz="0" w:space="0" w:color="auto"/>
            <w:left w:val="none" w:sz="0" w:space="0" w:color="auto"/>
            <w:bottom w:val="none" w:sz="0" w:space="0" w:color="auto"/>
            <w:right w:val="none" w:sz="0" w:space="0" w:color="auto"/>
          </w:divBdr>
        </w:div>
        <w:div w:id="1895308518">
          <w:marLeft w:val="0"/>
          <w:marRight w:val="0"/>
          <w:marTop w:val="0"/>
          <w:marBottom w:val="0"/>
          <w:divBdr>
            <w:top w:val="none" w:sz="0" w:space="0" w:color="auto"/>
            <w:left w:val="none" w:sz="0" w:space="0" w:color="auto"/>
            <w:bottom w:val="none" w:sz="0" w:space="0" w:color="auto"/>
            <w:right w:val="none" w:sz="0" w:space="0" w:color="auto"/>
          </w:divBdr>
        </w:div>
        <w:div w:id="766004739">
          <w:marLeft w:val="0"/>
          <w:marRight w:val="0"/>
          <w:marTop w:val="0"/>
          <w:marBottom w:val="0"/>
          <w:divBdr>
            <w:top w:val="none" w:sz="0" w:space="0" w:color="auto"/>
            <w:left w:val="none" w:sz="0" w:space="0" w:color="auto"/>
            <w:bottom w:val="none" w:sz="0" w:space="0" w:color="auto"/>
            <w:right w:val="none" w:sz="0" w:space="0" w:color="auto"/>
          </w:divBdr>
        </w:div>
        <w:div w:id="1959994431">
          <w:marLeft w:val="0"/>
          <w:marRight w:val="0"/>
          <w:marTop w:val="0"/>
          <w:marBottom w:val="0"/>
          <w:divBdr>
            <w:top w:val="none" w:sz="0" w:space="0" w:color="auto"/>
            <w:left w:val="none" w:sz="0" w:space="0" w:color="auto"/>
            <w:bottom w:val="none" w:sz="0" w:space="0" w:color="auto"/>
            <w:right w:val="none" w:sz="0" w:space="0" w:color="auto"/>
          </w:divBdr>
        </w:div>
        <w:div w:id="672951561">
          <w:marLeft w:val="0"/>
          <w:marRight w:val="0"/>
          <w:marTop w:val="0"/>
          <w:marBottom w:val="0"/>
          <w:divBdr>
            <w:top w:val="none" w:sz="0" w:space="0" w:color="auto"/>
            <w:left w:val="none" w:sz="0" w:space="0" w:color="auto"/>
            <w:bottom w:val="none" w:sz="0" w:space="0" w:color="auto"/>
            <w:right w:val="none" w:sz="0" w:space="0" w:color="auto"/>
          </w:divBdr>
        </w:div>
        <w:div w:id="229466049">
          <w:marLeft w:val="0"/>
          <w:marRight w:val="0"/>
          <w:marTop w:val="0"/>
          <w:marBottom w:val="0"/>
          <w:divBdr>
            <w:top w:val="none" w:sz="0" w:space="0" w:color="auto"/>
            <w:left w:val="none" w:sz="0" w:space="0" w:color="auto"/>
            <w:bottom w:val="none" w:sz="0" w:space="0" w:color="auto"/>
            <w:right w:val="none" w:sz="0" w:space="0" w:color="auto"/>
          </w:divBdr>
        </w:div>
        <w:div w:id="273094285">
          <w:marLeft w:val="0"/>
          <w:marRight w:val="0"/>
          <w:marTop w:val="0"/>
          <w:marBottom w:val="0"/>
          <w:divBdr>
            <w:top w:val="none" w:sz="0" w:space="0" w:color="auto"/>
            <w:left w:val="none" w:sz="0" w:space="0" w:color="auto"/>
            <w:bottom w:val="none" w:sz="0" w:space="0" w:color="auto"/>
            <w:right w:val="none" w:sz="0" w:space="0" w:color="auto"/>
          </w:divBdr>
        </w:div>
        <w:div w:id="468284652">
          <w:marLeft w:val="0"/>
          <w:marRight w:val="0"/>
          <w:marTop w:val="0"/>
          <w:marBottom w:val="0"/>
          <w:divBdr>
            <w:top w:val="none" w:sz="0" w:space="0" w:color="auto"/>
            <w:left w:val="none" w:sz="0" w:space="0" w:color="auto"/>
            <w:bottom w:val="none" w:sz="0" w:space="0" w:color="auto"/>
            <w:right w:val="none" w:sz="0" w:space="0" w:color="auto"/>
          </w:divBdr>
        </w:div>
        <w:div w:id="611325620">
          <w:marLeft w:val="0"/>
          <w:marRight w:val="0"/>
          <w:marTop w:val="0"/>
          <w:marBottom w:val="0"/>
          <w:divBdr>
            <w:top w:val="none" w:sz="0" w:space="0" w:color="auto"/>
            <w:left w:val="none" w:sz="0" w:space="0" w:color="auto"/>
            <w:bottom w:val="none" w:sz="0" w:space="0" w:color="auto"/>
            <w:right w:val="none" w:sz="0" w:space="0" w:color="auto"/>
          </w:divBdr>
        </w:div>
        <w:div w:id="64836199">
          <w:marLeft w:val="0"/>
          <w:marRight w:val="0"/>
          <w:marTop w:val="0"/>
          <w:marBottom w:val="0"/>
          <w:divBdr>
            <w:top w:val="none" w:sz="0" w:space="0" w:color="auto"/>
            <w:left w:val="none" w:sz="0" w:space="0" w:color="auto"/>
            <w:bottom w:val="none" w:sz="0" w:space="0" w:color="auto"/>
            <w:right w:val="none" w:sz="0" w:space="0" w:color="auto"/>
          </w:divBdr>
        </w:div>
        <w:div w:id="1616212614">
          <w:marLeft w:val="0"/>
          <w:marRight w:val="0"/>
          <w:marTop w:val="0"/>
          <w:marBottom w:val="0"/>
          <w:divBdr>
            <w:top w:val="none" w:sz="0" w:space="0" w:color="auto"/>
            <w:left w:val="none" w:sz="0" w:space="0" w:color="auto"/>
            <w:bottom w:val="none" w:sz="0" w:space="0" w:color="auto"/>
            <w:right w:val="none" w:sz="0" w:space="0" w:color="auto"/>
          </w:divBdr>
        </w:div>
        <w:div w:id="595091617">
          <w:marLeft w:val="0"/>
          <w:marRight w:val="0"/>
          <w:marTop w:val="0"/>
          <w:marBottom w:val="0"/>
          <w:divBdr>
            <w:top w:val="none" w:sz="0" w:space="0" w:color="auto"/>
            <w:left w:val="none" w:sz="0" w:space="0" w:color="auto"/>
            <w:bottom w:val="none" w:sz="0" w:space="0" w:color="auto"/>
            <w:right w:val="none" w:sz="0" w:space="0" w:color="auto"/>
          </w:divBdr>
        </w:div>
      </w:divsChild>
    </w:div>
    <w:div w:id="1278760361">
      <w:bodyDiv w:val="1"/>
      <w:marLeft w:val="0"/>
      <w:marRight w:val="0"/>
      <w:marTop w:val="0"/>
      <w:marBottom w:val="0"/>
      <w:divBdr>
        <w:top w:val="none" w:sz="0" w:space="0" w:color="auto"/>
        <w:left w:val="none" w:sz="0" w:space="0" w:color="auto"/>
        <w:bottom w:val="none" w:sz="0" w:space="0" w:color="auto"/>
        <w:right w:val="none" w:sz="0" w:space="0" w:color="auto"/>
      </w:divBdr>
    </w:div>
    <w:div w:id="1305233491">
      <w:bodyDiv w:val="1"/>
      <w:marLeft w:val="0"/>
      <w:marRight w:val="0"/>
      <w:marTop w:val="0"/>
      <w:marBottom w:val="0"/>
      <w:divBdr>
        <w:top w:val="none" w:sz="0" w:space="0" w:color="auto"/>
        <w:left w:val="none" w:sz="0" w:space="0" w:color="auto"/>
        <w:bottom w:val="none" w:sz="0" w:space="0" w:color="auto"/>
        <w:right w:val="none" w:sz="0" w:space="0" w:color="auto"/>
      </w:divBdr>
    </w:div>
    <w:div w:id="1637761658">
      <w:bodyDiv w:val="1"/>
      <w:marLeft w:val="0"/>
      <w:marRight w:val="0"/>
      <w:marTop w:val="0"/>
      <w:marBottom w:val="0"/>
      <w:divBdr>
        <w:top w:val="none" w:sz="0" w:space="0" w:color="auto"/>
        <w:left w:val="none" w:sz="0" w:space="0" w:color="auto"/>
        <w:bottom w:val="none" w:sz="0" w:space="0" w:color="auto"/>
        <w:right w:val="none" w:sz="0" w:space="0" w:color="auto"/>
      </w:divBdr>
    </w:div>
    <w:div w:id="1691684001">
      <w:bodyDiv w:val="1"/>
      <w:marLeft w:val="0"/>
      <w:marRight w:val="0"/>
      <w:marTop w:val="0"/>
      <w:marBottom w:val="0"/>
      <w:divBdr>
        <w:top w:val="none" w:sz="0" w:space="0" w:color="auto"/>
        <w:left w:val="none" w:sz="0" w:space="0" w:color="auto"/>
        <w:bottom w:val="none" w:sz="0" w:space="0" w:color="auto"/>
        <w:right w:val="none" w:sz="0" w:space="0" w:color="auto"/>
      </w:divBdr>
    </w:div>
    <w:div w:id="1913464358">
      <w:bodyDiv w:val="1"/>
      <w:marLeft w:val="0"/>
      <w:marRight w:val="0"/>
      <w:marTop w:val="0"/>
      <w:marBottom w:val="0"/>
      <w:divBdr>
        <w:top w:val="none" w:sz="0" w:space="0" w:color="auto"/>
        <w:left w:val="none" w:sz="0" w:space="0" w:color="auto"/>
        <w:bottom w:val="none" w:sz="0" w:space="0" w:color="auto"/>
        <w:right w:val="none" w:sz="0" w:space="0" w:color="auto"/>
      </w:divBdr>
      <w:divsChild>
        <w:div w:id="1723671478">
          <w:marLeft w:val="0"/>
          <w:marRight w:val="0"/>
          <w:marTop w:val="0"/>
          <w:marBottom w:val="0"/>
          <w:divBdr>
            <w:top w:val="none" w:sz="0" w:space="0" w:color="auto"/>
            <w:left w:val="none" w:sz="0" w:space="0" w:color="auto"/>
            <w:bottom w:val="none" w:sz="0" w:space="0" w:color="auto"/>
            <w:right w:val="none" w:sz="0" w:space="0" w:color="auto"/>
          </w:divBdr>
        </w:div>
        <w:div w:id="525991950">
          <w:marLeft w:val="0"/>
          <w:marRight w:val="0"/>
          <w:marTop w:val="0"/>
          <w:marBottom w:val="0"/>
          <w:divBdr>
            <w:top w:val="none" w:sz="0" w:space="0" w:color="auto"/>
            <w:left w:val="none" w:sz="0" w:space="0" w:color="auto"/>
            <w:bottom w:val="none" w:sz="0" w:space="0" w:color="auto"/>
            <w:right w:val="none" w:sz="0" w:space="0" w:color="auto"/>
          </w:divBdr>
        </w:div>
        <w:div w:id="764612767">
          <w:marLeft w:val="0"/>
          <w:marRight w:val="0"/>
          <w:marTop w:val="0"/>
          <w:marBottom w:val="0"/>
          <w:divBdr>
            <w:top w:val="none" w:sz="0" w:space="0" w:color="auto"/>
            <w:left w:val="none" w:sz="0" w:space="0" w:color="auto"/>
            <w:bottom w:val="none" w:sz="0" w:space="0" w:color="auto"/>
            <w:right w:val="none" w:sz="0" w:space="0" w:color="auto"/>
          </w:divBdr>
        </w:div>
        <w:div w:id="1106997564">
          <w:marLeft w:val="0"/>
          <w:marRight w:val="0"/>
          <w:marTop w:val="0"/>
          <w:marBottom w:val="0"/>
          <w:divBdr>
            <w:top w:val="none" w:sz="0" w:space="0" w:color="auto"/>
            <w:left w:val="none" w:sz="0" w:space="0" w:color="auto"/>
            <w:bottom w:val="none" w:sz="0" w:space="0" w:color="auto"/>
            <w:right w:val="none" w:sz="0" w:space="0" w:color="auto"/>
          </w:divBdr>
        </w:div>
        <w:div w:id="841504447">
          <w:marLeft w:val="0"/>
          <w:marRight w:val="0"/>
          <w:marTop w:val="0"/>
          <w:marBottom w:val="0"/>
          <w:divBdr>
            <w:top w:val="none" w:sz="0" w:space="0" w:color="auto"/>
            <w:left w:val="none" w:sz="0" w:space="0" w:color="auto"/>
            <w:bottom w:val="none" w:sz="0" w:space="0" w:color="auto"/>
            <w:right w:val="none" w:sz="0" w:space="0" w:color="auto"/>
          </w:divBdr>
        </w:div>
        <w:div w:id="284776774">
          <w:marLeft w:val="0"/>
          <w:marRight w:val="0"/>
          <w:marTop w:val="0"/>
          <w:marBottom w:val="0"/>
          <w:divBdr>
            <w:top w:val="none" w:sz="0" w:space="0" w:color="auto"/>
            <w:left w:val="none" w:sz="0" w:space="0" w:color="auto"/>
            <w:bottom w:val="none" w:sz="0" w:space="0" w:color="auto"/>
            <w:right w:val="none" w:sz="0" w:space="0" w:color="auto"/>
          </w:divBdr>
        </w:div>
        <w:div w:id="1786580651">
          <w:marLeft w:val="0"/>
          <w:marRight w:val="0"/>
          <w:marTop w:val="0"/>
          <w:marBottom w:val="0"/>
          <w:divBdr>
            <w:top w:val="none" w:sz="0" w:space="0" w:color="auto"/>
            <w:left w:val="none" w:sz="0" w:space="0" w:color="auto"/>
            <w:bottom w:val="none" w:sz="0" w:space="0" w:color="auto"/>
            <w:right w:val="none" w:sz="0" w:space="0" w:color="auto"/>
          </w:divBdr>
        </w:div>
        <w:div w:id="1143931595">
          <w:marLeft w:val="0"/>
          <w:marRight w:val="0"/>
          <w:marTop w:val="0"/>
          <w:marBottom w:val="0"/>
          <w:divBdr>
            <w:top w:val="none" w:sz="0" w:space="0" w:color="auto"/>
            <w:left w:val="none" w:sz="0" w:space="0" w:color="auto"/>
            <w:bottom w:val="none" w:sz="0" w:space="0" w:color="auto"/>
            <w:right w:val="none" w:sz="0" w:space="0" w:color="auto"/>
          </w:divBdr>
        </w:div>
        <w:div w:id="985816604">
          <w:marLeft w:val="0"/>
          <w:marRight w:val="0"/>
          <w:marTop w:val="0"/>
          <w:marBottom w:val="0"/>
          <w:divBdr>
            <w:top w:val="none" w:sz="0" w:space="0" w:color="auto"/>
            <w:left w:val="none" w:sz="0" w:space="0" w:color="auto"/>
            <w:bottom w:val="none" w:sz="0" w:space="0" w:color="auto"/>
            <w:right w:val="none" w:sz="0" w:space="0" w:color="auto"/>
          </w:divBdr>
        </w:div>
        <w:div w:id="107824596">
          <w:marLeft w:val="0"/>
          <w:marRight w:val="0"/>
          <w:marTop w:val="0"/>
          <w:marBottom w:val="0"/>
          <w:divBdr>
            <w:top w:val="none" w:sz="0" w:space="0" w:color="auto"/>
            <w:left w:val="none" w:sz="0" w:space="0" w:color="auto"/>
            <w:bottom w:val="none" w:sz="0" w:space="0" w:color="auto"/>
            <w:right w:val="none" w:sz="0" w:space="0" w:color="auto"/>
          </w:divBdr>
        </w:div>
        <w:div w:id="1965846595">
          <w:marLeft w:val="0"/>
          <w:marRight w:val="0"/>
          <w:marTop w:val="0"/>
          <w:marBottom w:val="0"/>
          <w:divBdr>
            <w:top w:val="none" w:sz="0" w:space="0" w:color="auto"/>
            <w:left w:val="none" w:sz="0" w:space="0" w:color="auto"/>
            <w:bottom w:val="none" w:sz="0" w:space="0" w:color="auto"/>
            <w:right w:val="none" w:sz="0" w:space="0" w:color="auto"/>
          </w:divBdr>
        </w:div>
        <w:div w:id="1356732367">
          <w:marLeft w:val="0"/>
          <w:marRight w:val="0"/>
          <w:marTop w:val="0"/>
          <w:marBottom w:val="0"/>
          <w:divBdr>
            <w:top w:val="none" w:sz="0" w:space="0" w:color="auto"/>
            <w:left w:val="none" w:sz="0" w:space="0" w:color="auto"/>
            <w:bottom w:val="none" w:sz="0" w:space="0" w:color="auto"/>
            <w:right w:val="none" w:sz="0" w:space="0" w:color="auto"/>
          </w:divBdr>
        </w:div>
        <w:div w:id="1592279910">
          <w:marLeft w:val="0"/>
          <w:marRight w:val="0"/>
          <w:marTop w:val="0"/>
          <w:marBottom w:val="0"/>
          <w:divBdr>
            <w:top w:val="none" w:sz="0" w:space="0" w:color="auto"/>
            <w:left w:val="none" w:sz="0" w:space="0" w:color="auto"/>
            <w:bottom w:val="none" w:sz="0" w:space="0" w:color="auto"/>
            <w:right w:val="none" w:sz="0" w:space="0" w:color="auto"/>
          </w:divBdr>
        </w:div>
        <w:div w:id="1324552264">
          <w:marLeft w:val="0"/>
          <w:marRight w:val="0"/>
          <w:marTop w:val="0"/>
          <w:marBottom w:val="0"/>
          <w:divBdr>
            <w:top w:val="none" w:sz="0" w:space="0" w:color="auto"/>
            <w:left w:val="none" w:sz="0" w:space="0" w:color="auto"/>
            <w:bottom w:val="none" w:sz="0" w:space="0" w:color="auto"/>
            <w:right w:val="none" w:sz="0" w:space="0" w:color="auto"/>
          </w:divBdr>
        </w:div>
        <w:div w:id="763458497">
          <w:marLeft w:val="0"/>
          <w:marRight w:val="0"/>
          <w:marTop w:val="0"/>
          <w:marBottom w:val="0"/>
          <w:divBdr>
            <w:top w:val="none" w:sz="0" w:space="0" w:color="auto"/>
            <w:left w:val="none" w:sz="0" w:space="0" w:color="auto"/>
            <w:bottom w:val="none" w:sz="0" w:space="0" w:color="auto"/>
            <w:right w:val="none" w:sz="0" w:space="0" w:color="auto"/>
          </w:divBdr>
        </w:div>
        <w:div w:id="1776779136">
          <w:marLeft w:val="0"/>
          <w:marRight w:val="0"/>
          <w:marTop w:val="0"/>
          <w:marBottom w:val="0"/>
          <w:divBdr>
            <w:top w:val="none" w:sz="0" w:space="0" w:color="auto"/>
            <w:left w:val="none" w:sz="0" w:space="0" w:color="auto"/>
            <w:bottom w:val="none" w:sz="0" w:space="0" w:color="auto"/>
            <w:right w:val="none" w:sz="0" w:space="0" w:color="auto"/>
          </w:divBdr>
        </w:div>
        <w:div w:id="276371617">
          <w:marLeft w:val="0"/>
          <w:marRight w:val="0"/>
          <w:marTop w:val="0"/>
          <w:marBottom w:val="0"/>
          <w:divBdr>
            <w:top w:val="none" w:sz="0" w:space="0" w:color="auto"/>
            <w:left w:val="none" w:sz="0" w:space="0" w:color="auto"/>
            <w:bottom w:val="none" w:sz="0" w:space="0" w:color="auto"/>
            <w:right w:val="none" w:sz="0" w:space="0" w:color="auto"/>
          </w:divBdr>
        </w:div>
        <w:div w:id="1753118127">
          <w:marLeft w:val="0"/>
          <w:marRight w:val="0"/>
          <w:marTop w:val="0"/>
          <w:marBottom w:val="0"/>
          <w:divBdr>
            <w:top w:val="none" w:sz="0" w:space="0" w:color="auto"/>
            <w:left w:val="none" w:sz="0" w:space="0" w:color="auto"/>
            <w:bottom w:val="none" w:sz="0" w:space="0" w:color="auto"/>
            <w:right w:val="none" w:sz="0" w:space="0" w:color="auto"/>
          </w:divBdr>
        </w:div>
        <w:div w:id="1535849017">
          <w:marLeft w:val="0"/>
          <w:marRight w:val="0"/>
          <w:marTop w:val="0"/>
          <w:marBottom w:val="0"/>
          <w:divBdr>
            <w:top w:val="none" w:sz="0" w:space="0" w:color="auto"/>
            <w:left w:val="none" w:sz="0" w:space="0" w:color="auto"/>
            <w:bottom w:val="none" w:sz="0" w:space="0" w:color="auto"/>
            <w:right w:val="none" w:sz="0" w:space="0" w:color="auto"/>
          </w:divBdr>
        </w:div>
        <w:div w:id="1196505949">
          <w:marLeft w:val="0"/>
          <w:marRight w:val="0"/>
          <w:marTop w:val="0"/>
          <w:marBottom w:val="0"/>
          <w:divBdr>
            <w:top w:val="none" w:sz="0" w:space="0" w:color="auto"/>
            <w:left w:val="none" w:sz="0" w:space="0" w:color="auto"/>
            <w:bottom w:val="none" w:sz="0" w:space="0" w:color="auto"/>
            <w:right w:val="none" w:sz="0" w:space="0" w:color="auto"/>
          </w:divBdr>
        </w:div>
        <w:div w:id="134223806">
          <w:marLeft w:val="0"/>
          <w:marRight w:val="0"/>
          <w:marTop w:val="0"/>
          <w:marBottom w:val="0"/>
          <w:divBdr>
            <w:top w:val="none" w:sz="0" w:space="0" w:color="auto"/>
            <w:left w:val="none" w:sz="0" w:space="0" w:color="auto"/>
            <w:bottom w:val="none" w:sz="0" w:space="0" w:color="auto"/>
            <w:right w:val="none" w:sz="0" w:space="0" w:color="auto"/>
          </w:divBdr>
        </w:div>
        <w:div w:id="1926457996">
          <w:marLeft w:val="0"/>
          <w:marRight w:val="0"/>
          <w:marTop w:val="0"/>
          <w:marBottom w:val="0"/>
          <w:divBdr>
            <w:top w:val="none" w:sz="0" w:space="0" w:color="auto"/>
            <w:left w:val="none" w:sz="0" w:space="0" w:color="auto"/>
            <w:bottom w:val="none" w:sz="0" w:space="0" w:color="auto"/>
            <w:right w:val="none" w:sz="0" w:space="0" w:color="auto"/>
          </w:divBdr>
        </w:div>
        <w:div w:id="462309034">
          <w:marLeft w:val="0"/>
          <w:marRight w:val="0"/>
          <w:marTop w:val="0"/>
          <w:marBottom w:val="0"/>
          <w:divBdr>
            <w:top w:val="none" w:sz="0" w:space="0" w:color="auto"/>
            <w:left w:val="none" w:sz="0" w:space="0" w:color="auto"/>
            <w:bottom w:val="none" w:sz="0" w:space="0" w:color="auto"/>
            <w:right w:val="none" w:sz="0" w:space="0" w:color="auto"/>
          </w:divBdr>
        </w:div>
      </w:divsChild>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office\Template\Buza-Common\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A6D4983D28D84FAF1C285E1CA84D71" ma:contentTypeVersion="0" ma:contentTypeDescription="Create a new document." ma:contentTypeScope="" ma:versionID="4bd9914d6a4265ebcb6fd51965d705b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1D6D4-A8A6-40F6-A530-D687C9B0A489}">
  <ds:schemaRefs>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2006/metadata/properties"/>
    <ds:schemaRef ds:uri="http://purl.org/dc/dcmitype/"/>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E936A2FA-6F75-4A93-83C2-E5BB97EC333C}">
  <ds:schemaRefs>
    <ds:schemaRef ds:uri="http://schemas.microsoft.com/sharepoint/v3/contenttype/forms"/>
  </ds:schemaRefs>
</ds:datastoreItem>
</file>

<file path=customXml/itemProps3.xml><?xml version="1.0" encoding="utf-8"?>
<ds:datastoreItem xmlns:ds="http://schemas.openxmlformats.org/officeDocument/2006/customXml" ds:itemID="{C6DC6B49-056A-411B-A30A-D95ED6082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26C010-93A1-442D-A457-29E633E0B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TotalTime>
  <Pages>13</Pages>
  <Words>3635</Words>
  <Characters>23391</Characters>
  <Application>Microsoft Office Word</Application>
  <DocSecurity>0</DocSecurity>
  <Lines>194</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Ministerie van Buitenlandse Zaken</Company>
  <LinksUpToDate>false</LinksUpToDate>
  <CharactersWithSpaces>26973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Krap</dc:creator>
  <cp:lastModifiedBy>Elmar Lasse Smid</cp:lastModifiedBy>
  <cp:revision>4</cp:revision>
  <cp:lastPrinted>2015-01-30T16:36:00Z</cp:lastPrinted>
  <dcterms:created xsi:type="dcterms:W3CDTF">2015-06-18T14:45:00Z</dcterms:created>
  <dcterms:modified xsi:type="dcterms:W3CDTF">2015-06-19T09:26:00Z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0x01010044A6D4983D28D84FAF1C285E1CA84D71</vt:lpwstr>
  </property>
</Properties>
</file>