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32AEA4" w14:textId="77777777" w:rsidR="009A0FF6" w:rsidRDefault="009A0FF6" w:rsidP="002F6CE5">
      <w:pPr>
        <w:ind w:left="2292" w:hanging="2292"/>
      </w:pPr>
      <w:bookmarkStart w:id="0" w:name="_Toc209500354"/>
      <w:bookmarkStart w:id="1" w:name="_Toc219275270"/>
      <w:bookmarkStart w:id="2" w:name="_Toc219275340"/>
      <w:bookmarkStart w:id="3" w:name="_Toc219518985"/>
    </w:p>
    <w:p w14:paraId="3A32AEA5" w14:textId="77777777" w:rsidR="008720EB" w:rsidRDefault="008720EB" w:rsidP="002F6CE5">
      <w:pPr>
        <w:ind w:left="2292" w:hanging="2292"/>
      </w:pPr>
      <w:r>
        <w:t xml:space="preserve">SCORECARD </w:t>
      </w:r>
    </w:p>
    <w:p w14:paraId="3A32AEA6" w14:textId="77777777" w:rsidR="008720EB" w:rsidRDefault="008720EB" w:rsidP="002F6CE5">
      <w:pPr>
        <w:ind w:left="2292" w:hanging="2292"/>
      </w:pPr>
    </w:p>
    <w:p w14:paraId="3A32AEA7" w14:textId="77777777" w:rsidR="009B57FB" w:rsidRDefault="005E7033" w:rsidP="002F6CE5">
      <w:pPr>
        <w:ind w:left="2292" w:hanging="2292"/>
      </w:pPr>
      <w:fldSimple w:instr=" DOCPROPERTY  L_CONTACT  \* MERGEFORMAT ">
        <w:r w:rsidR="00AE3AC1">
          <w:t>Opgesteld door</w:t>
        </w:r>
      </w:fldSimple>
      <w:r w:rsidR="002F6CE5" w:rsidRPr="00785F18">
        <w:tab/>
      </w:r>
      <w:r w:rsidR="003A65E8">
        <w:t xml:space="preserve">Directie </w:t>
      </w:r>
      <w:r w:rsidR="00460E7F">
        <w:t>Multilaterale Instellingen en Mensenrechten</w:t>
      </w:r>
    </w:p>
    <w:p w14:paraId="3A32AEA8" w14:textId="77777777" w:rsidR="002F6CE5" w:rsidRPr="00785F18" w:rsidRDefault="005B4830" w:rsidP="002F6CE5">
      <w:pPr>
        <w:ind w:left="2292" w:hanging="2292"/>
      </w:pPr>
      <w:r>
        <w:tab/>
        <w:t>Afdeling Internationale Financiële Instellingen</w:t>
      </w:r>
      <w:r w:rsidR="002F6CE5" w:rsidRPr="00785F18">
        <w:br/>
        <w:t xml:space="preserve">T- </w:t>
      </w:r>
      <w:r w:rsidR="002F6CE5">
        <w:t xml:space="preserve">+31 (0)70 – </w:t>
      </w:r>
      <w:r w:rsidR="00077D70">
        <w:t>348 68 53</w:t>
      </w:r>
      <w:r w:rsidR="002F6CE5" w:rsidRPr="00785F18">
        <w:br/>
      </w:r>
    </w:p>
    <w:p w14:paraId="3A32AEA9" w14:textId="77777777" w:rsidR="002F6CE5" w:rsidRPr="00785F18" w:rsidRDefault="002F6CE5" w:rsidP="002F6CE5">
      <w:pPr>
        <w:ind w:left="2292" w:hanging="2292"/>
      </w:pPr>
    </w:p>
    <w:p w14:paraId="3A32AEAE" w14:textId="77777777" w:rsidR="00991C2E" w:rsidRDefault="00991C2E" w:rsidP="00991C2E">
      <w:bookmarkStart w:id="4" w:name="_GoBack"/>
      <w:bookmarkEnd w:id="4"/>
    </w:p>
    <w:p w14:paraId="3A32AEAF" w14:textId="77777777" w:rsidR="00991C2E" w:rsidRDefault="00991C2E" w:rsidP="00991C2E"/>
    <w:p w14:paraId="3A32AEB0" w14:textId="77777777" w:rsidR="00991C2E" w:rsidRDefault="00991C2E" w:rsidP="00991C2E"/>
    <w:p w14:paraId="3A32AEB1" w14:textId="77777777" w:rsidR="00326699" w:rsidRDefault="00326699" w:rsidP="00326699">
      <w:pPr>
        <w:spacing w:line="240" w:lineRule="auto"/>
      </w:pPr>
    </w:p>
    <w:p w14:paraId="3A32AEB2" w14:textId="77777777" w:rsidR="00326699" w:rsidRDefault="00326699" w:rsidP="00326699">
      <w:pPr>
        <w:spacing w:line="240" w:lineRule="auto"/>
        <w:sectPr w:rsidR="00326699">
          <w:headerReference w:type="even" r:id="rId12"/>
          <w:headerReference w:type="default" r:id="rId13"/>
          <w:footerReference w:type="even" r:id="rId14"/>
          <w:footerReference w:type="default" r:id="rId15"/>
          <w:headerReference w:type="first" r:id="rId16"/>
          <w:footerReference w:type="first" r:id="rId17"/>
          <w:pgSz w:w="11906" w:h="16838" w:code="9"/>
          <w:pgMar w:top="2520" w:right="960" w:bottom="1080" w:left="3220" w:header="200" w:footer="660" w:gutter="0"/>
          <w:cols w:space="708"/>
          <w:titlePg/>
          <w:docGrid w:linePitch="360"/>
        </w:sectPr>
      </w:pPr>
    </w:p>
    <w:bookmarkEnd w:id="0"/>
    <w:bookmarkEnd w:id="1"/>
    <w:bookmarkEnd w:id="2"/>
    <w:bookmarkEnd w:id="3"/>
    <w:p w14:paraId="3A32AEB3" w14:textId="77777777" w:rsidR="00A908F9" w:rsidRDefault="00A908F9" w:rsidP="00A908F9">
      <w:pPr>
        <w:pStyle w:val="Kop-Inhoudsopgave"/>
      </w:pPr>
    </w:p>
    <w:p w14:paraId="3A32AEB4" w14:textId="77777777" w:rsidR="00E574DD" w:rsidRDefault="00E574DD" w:rsidP="00A908F9">
      <w:pPr>
        <w:pStyle w:val="Kop-Inhoudsopgave"/>
      </w:pPr>
    </w:p>
    <w:p w14:paraId="3A32AEB5" w14:textId="77777777" w:rsidR="0083532A" w:rsidRDefault="0083532A" w:rsidP="003D064A"/>
    <w:p w14:paraId="3A32AEB6" w14:textId="77777777" w:rsidR="0083532A" w:rsidRDefault="0083532A" w:rsidP="003D064A"/>
    <w:p w14:paraId="3A32AEB7" w14:textId="77777777" w:rsidR="0083532A" w:rsidRDefault="0083532A" w:rsidP="003D064A"/>
    <w:p w14:paraId="3A32AEB8" w14:textId="77777777" w:rsidR="0083532A" w:rsidRDefault="0083532A" w:rsidP="003D064A"/>
    <w:p w14:paraId="3A32AEB9" w14:textId="77777777" w:rsidR="0083532A" w:rsidRDefault="0083532A" w:rsidP="003D064A"/>
    <w:p w14:paraId="3A32AEBA" w14:textId="77777777" w:rsidR="0083532A" w:rsidRDefault="0083532A" w:rsidP="003D064A"/>
    <w:p w14:paraId="3A32AEBB" w14:textId="77777777" w:rsidR="0083532A" w:rsidRDefault="00E574DD" w:rsidP="003D064A">
      <w:pPr>
        <w:tabs>
          <w:tab w:val="left" w:pos="4580"/>
        </w:tabs>
      </w:pPr>
      <w:r>
        <w:tab/>
      </w:r>
    </w:p>
    <w:p w14:paraId="3A32AEBC" w14:textId="77777777" w:rsidR="0083532A" w:rsidRDefault="0083532A" w:rsidP="003D064A"/>
    <w:p w14:paraId="3A32AEBD" w14:textId="77777777" w:rsidR="00A908F9" w:rsidRDefault="008720EB" w:rsidP="00A908F9">
      <w:pPr>
        <w:pStyle w:val="Kop-Inhoudsopgave"/>
      </w:pPr>
      <w:r w:rsidRPr="002372F4">
        <w:br w:type="page"/>
      </w:r>
      <w:fldSimple w:instr=" DOCPROPERTY  L_TOC  \* MERGEFORMAT ">
        <w:bookmarkStart w:id="6" w:name="_Toc422132159"/>
        <w:bookmarkStart w:id="7" w:name="_Toc422132105"/>
        <w:bookmarkStart w:id="8" w:name="_Toc422131878"/>
        <w:bookmarkStart w:id="9" w:name="_Toc422131845"/>
        <w:bookmarkStart w:id="10" w:name="_Toc422131301"/>
        <w:bookmarkStart w:id="11" w:name="_Toc287454445"/>
        <w:bookmarkStart w:id="12" w:name="_Toc287446465"/>
        <w:r w:rsidR="00AE3AC1">
          <w:t>Inhoudsopgave</w:t>
        </w:r>
        <w:bookmarkEnd w:id="6"/>
        <w:bookmarkEnd w:id="7"/>
        <w:bookmarkEnd w:id="8"/>
        <w:bookmarkEnd w:id="9"/>
        <w:bookmarkEnd w:id="10"/>
        <w:bookmarkEnd w:id="11"/>
        <w:bookmarkEnd w:id="12"/>
      </w:fldSimple>
    </w:p>
    <w:p w14:paraId="3A32AEBE" w14:textId="420AFEAD" w:rsidR="008C3F57" w:rsidRPr="00290657" w:rsidRDefault="003F0010">
      <w:pPr>
        <w:pStyle w:val="TOC1"/>
        <w:tabs>
          <w:tab w:val="right" w:leader="dot" w:pos="7716"/>
        </w:tabs>
        <w:rPr>
          <w:rFonts w:ascii="Calibri" w:hAnsi="Calibri"/>
          <w:noProof/>
          <w:sz w:val="22"/>
          <w:szCs w:val="22"/>
        </w:rPr>
      </w:pPr>
      <w:r w:rsidRPr="00785F18">
        <w:fldChar w:fldCharType="begin"/>
      </w:r>
      <w:r w:rsidR="006B2292" w:rsidRPr="00785F18">
        <w:instrText xml:space="preserve"> TOC \t "Heading 1;2;Heading 2;3;Heading 3;4;Kop-Inhoudsopgave;1;Kop zonder nummering;1;Subtitle;2;Title;1" </w:instrText>
      </w:r>
      <w:r w:rsidRPr="00785F18">
        <w:fldChar w:fldCharType="separate"/>
      </w:r>
      <w:r w:rsidR="008C3F57">
        <w:rPr>
          <w:noProof/>
        </w:rPr>
        <w:t>Inhoudsopgave</w:t>
      </w:r>
      <w:r w:rsidR="008C3F57">
        <w:rPr>
          <w:noProof/>
        </w:rPr>
        <w:tab/>
      </w:r>
      <w:r w:rsidR="00BA537F">
        <w:rPr>
          <w:noProof/>
        </w:rPr>
        <w:t>2</w:t>
      </w:r>
    </w:p>
    <w:p w14:paraId="3A32AEBF" w14:textId="77777777" w:rsidR="008C3F57" w:rsidRPr="00290657" w:rsidRDefault="008C3F57" w:rsidP="000842B5">
      <w:pPr>
        <w:pStyle w:val="TOC2"/>
        <w:rPr>
          <w:rFonts w:ascii="Calibri" w:hAnsi="Calibri"/>
          <w:sz w:val="22"/>
          <w:szCs w:val="22"/>
        </w:rPr>
      </w:pPr>
      <w:r>
        <w:t xml:space="preserve">1 </w:t>
      </w:r>
      <w:r w:rsidRPr="00290657">
        <w:rPr>
          <w:rFonts w:ascii="Calibri" w:hAnsi="Calibri"/>
          <w:sz w:val="22"/>
          <w:szCs w:val="22"/>
        </w:rPr>
        <w:tab/>
      </w:r>
      <w:r>
        <w:t>Inleiding</w:t>
      </w:r>
      <w:r>
        <w:tab/>
      </w:r>
      <w:r w:rsidR="00BA537F">
        <w:t>3</w:t>
      </w:r>
    </w:p>
    <w:p w14:paraId="3A32AEC0" w14:textId="77777777" w:rsidR="008C3F57" w:rsidRPr="00290657" w:rsidRDefault="008C3F57" w:rsidP="000842B5">
      <w:pPr>
        <w:pStyle w:val="TOC2"/>
        <w:rPr>
          <w:rFonts w:ascii="Calibri" w:hAnsi="Calibri"/>
          <w:sz w:val="22"/>
          <w:szCs w:val="22"/>
        </w:rPr>
      </w:pPr>
      <w:r>
        <w:t xml:space="preserve">2 </w:t>
      </w:r>
      <w:r w:rsidRPr="00290657">
        <w:rPr>
          <w:rFonts w:ascii="Calibri" w:hAnsi="Calibri"/>
          <w:sz w:val="22"/>
          <w:szCs w:val="22"/>
        </w:rPr>
        <w:tab/>
      </w:r>
      <w:r>
        <w:t>Algemene achtergrond</w:t>
      </w:r>
      <w:r>
        <w:tab/>
      </w:r>
      <w:r w:rsidR="00BA537F">
        <w:t>4</w:t>
      </w:r>
    </w:p>
    <w:p w14:paraId="3A32AEC1" w14:textId="77777777" w:rsidR="008C3F57" w:rsidRPr="00290657" w:rsidRDefault="008C3F57" w:rsidP="000842B5">
      <w:pPr>
        <w:pStyle w:val="TOC3"/>
        <w:rPr>
          <w:rFonts w:ascii="Calibri" w:hAnsi="Calibri"/>
          <w:sz w:val="22"/>
          <w:szCs w:val="22"/>
        </w:rPr>
      </w:pPr>
      <w:r>
        <w:t>2.1</w:t>
      </w:r>
      <w:r w:rsidRPr="00290657">
        <w:rPr>
          <w:rFonts w:ascii="Calibri" w:hAnsi="Calibri"/>
          <w:sz w:val="22"/>
          <w:szCs w:val="22"/>
        </w:rPr>
        <w:tab/>
      </w:r>
      <w:r>
        <w:t>Doelstelling en toegevoegde waarde</w:t>
      </w:r>
      <w:r>
        <w:tab/>
      </w:r>
      <w:r w:rsidR="00BA537F">
        <w:t>4</w:t>
      </w:r>
    </w:p>
    <w:p w14:paraId="3A32AEC2" w14:textId="77777777" w:rsidR="008C3F57" w:rsidRPr="00290657" w:rsidRDefault="008C3F57" w:rsidP="000842B5">
      <w:pPr>
        <w:pStyle w:val="TOC3"/>
        <w:rPr>
          <w:rFonts w:ascii="Calibri" w:hAnsi="Calibri"/>
          <w:sz w:val="22"/>
          <w:szCs w:val="22"/>
        </w:rPr>
      </w:pPr>
      <w:r>
        <w:t xml:space="preserve">2.2 </w:t>
      </w:r>
      <w:r w:rsidRPr="00290657">
        <w:rPr>
          <w:rFonts w:ascii="Calibri" w:hAnsi="Calibri"/>
          <w:sz w:val="22"/>
          <w:szCs w:val="22"/>
        </w:rPr>
        <w:tab/>
      </w:r>
      <w:r>
        <w:t>Organisatie, werkwijze en activiteiten</w:t>
      </w:r>
      <w:r>
        <w:tab/>
      </w:r>
      <w:r w:rsidR="00BA537F">
        <w:t>4</w:t>
      </w:r>
    </w:p>
    <w:p w14:paraId="3A32AEC3" w14:textId="77777777" w:rsidR="008C3F57" w:rsidRPr="00290657" w:rsidRDefault="008C3F57" w:rsidP="000842B5">
      <w:pPr>
        <w:pStyle w:val="TOC3"/>
        <w:rPr>
          <w:rFonts w:ascii="Calibri" w:hAnsi="Calibri"/>
          <w:sz w:val="22"/>
          <w:szCs w:val="22"/>
        </w:rPr>
      </w:pPr>
      <w:r>
        <w:t xml:space="preserve">2.3 </w:t>
      </w:r>
      <w:r w:rsidRPr="00290657">
        <w:rPr>
          <w:rFonts w:ascii="Calibri" w:hAnsi="Calibri"/>
          <w:sz w:val="22"/>
          <w:szCs w:val="22"/>
        </w:rPr>
        <w:tab/>
      </w:r>
      <w:r>
        <w:t>Nederlandse rol en invloed</w:t>
      </w:r>
      <w:r>
        <w:tab/>
      </w:r>
      <w:r w:rsidR="005B4830">
        <w:t>5</w:t>
      </w:r>
    </w:p>
    <w:p w14:paraId="3A32AEC4" w14:textId="51B3E2BA" w:rsidR="008C3F57" w:rsidRPr="00290657" w:rsidRDefault="008C3F57" w:rsidP="000842B5">
      <w:pPr>
        <w:pStyle w:val="TOC3"/>
        <w:rPr>
          <w:rFonts w:ascii="Calibri" w:hAnsi="Calibri"/>
          <w:sz w:val="22"/>
          <w:szCs w:val="22"/>
        </w:rPr>
      </w:pPr>
      <w:r>
        <w:t>2.4</w:t>
      </w:r>
      <w:r w:rsidRPr="00290657">
        <w:rPr>
          <w:rFonts w:ascii="Calibri" w:hAnsi="Calibri"/>
          <w:sz w:val="22"/>
          <w:szCs w:val="22"/>
        </w:rPr>
        <w:tab/>
      </w:r>
      <w:r>
        <w:t>Financiële omvang en bijdragen</w:t>
      </w:r>
      <w:r>
        <w:tab/>
      </w:r>
      <w:r w:rsidR="008A3DA1">
        <w:t>6</w:t>
      </w:r>
    </w:p>
    <w:p w14:paraId="3A32AEC5" w14:textId="1E1788B2" w:rsidR="008C3F57" w:rsidRPr="00290657" w:rsidRDefault="008C3F57" w:rsidP="000842B5">
      <w:pPr>
        <w:pStyle w:val="TOC2"/>
        <w:rPr>
          <w:rFonts w:ascii="Calibri" w:hAnsi="Calibri"/>
          <w:sz w:val="22"/>
          <w:szCs w:val="22"/>
        </w:rPr>
      </w:pPr>
      <w:r>
        <w:t xml:space="preserve">3 </w:t>
      </w:r>
      <w:r w:rsidRPr="00290657">
        <w:rPr>
          <w:rFonts w:ascii="Calibri" w:hAnsi="Calibri"/>
          <w:sz w:val="22"/>
          <w:szCs w:val="22"/>
        </w:rPr>
        <w:tab/>
      </w:r>
      <w:r>
        <w:t>Institutionele aspecten en functioneren van de organisatie</w:t>
      </w:r>
      <w:r>
        <w:tab/>
      </w:r>
      <w:r w:rsidR="00B6771F">
        <w:t>8</w:t>
      </w:r>
    </w:p>
    <w:p w14:paraId="3A32AEC6" w14:textId="183D4042" w:rsidR="008C3F57" w:rsidRPr="00290657" w:rsidRDefault="008C3F57" w:rsidP="000842B5">
      <w:pPr>
        <w:pStyle w:val="TOC3"/>
        <w:rPr>
          <w:rFonts w:ascii="Calibri" w:hAnsi="Calibri"/>
          <w:sz w:val="22"/>
          <w:szCs w:val="22"/>
        </w:rPr>
      </w:pPr>
      <w:r>
        <w:t>3.1</w:t>
      </w:r>
      <w:r w:rsidRPr="00290657">
        <w:rPr>
          <w:rFonts w:ascii="Calibri" w:hAnsi="Calibri"/>
          <w:sz w:val="22"/>
          <w:szCs w:val="22"/>
        </w:rPr>
        <w:tab/>
      </w:r>
      <w:r>
        <w:t>Strategie en focus</w:t>
      </w:r>
      <w:r>
        <w:tab/>
      </w:r>
      <w:r w:rsidR="008A3DA1">
        <w:t>8</w:t>
      </w:r>
    </w:p>
    <w:p w14:paraId="3A32AEC7" w14:textId="00D6D403" w:rsidR="00EF61AC" w:rsidRPr="00E71BFE" w:rsidRDefault="008C3F57" w:rsidP="000842B5">
      <w:pPr>
        <w:pStyle w:val="TOC3"/>
      </w:pPr>
      <w:r w:rsidRPr="00E71BFE">
        <w:t>3.2</w:t>
      </w:r>
      <w:r w:rsidRPr="00E71BFE">
        <w:rPr>
          <w:rFonts w:ascii="Calibri" w:hAnsi="Calibri"/>
          <w:sz w:val="22"/>
          <w:szCs w:val="22"/>
        </w:rPr>
        <w:tab/>
      </w:r>
      <w:r w:rsidR="005B4830" w:rsidRPr="00E71BFE">
        <w:t>Resultaatsturing</w:t>
      </w:r>
      <w:r w:rsidR="005B4830" w:rsidRPr="00E71BFE">
        <w:tab/>
      </w:r>
      <w:r w:rsidR="008A3DA1">
        <w:t>9</w:t>
      </w:r>
    </w:p>
    <w:p w14:paraId="3A32AEC8" w14:textId="4C9014C3" w:rsidR="008C3F57" w:rsidRPr="00290657" w:rsidRDefault="00EF61AC" w:rsidP="000842B5">
      <w:pPr>
        <w:pStyle w:val="TOC3"/>
        <w:rPr>
          <w:rFonts w:ascii="Calibri" w:hAnsi="Calibri"/>
          <w:sz w:val="22"/>
          <w:szCs w:val="22"/>
        </w:rPr>
      </w:pPr>
      <w:r>
        <w:t>3.3</w:t>
      </w:r>
      <w:r>
        <w:tab/>
        <w:t>Partnerschappen</w:t>
      </w:r>
      <w:r w:rsidR="008C3F57">
        <w:tab/>
      </w:r>
      <w:r w:rsidR="008A3DA1">
        <w:t>10</w:t>
      </w:r>
    </w:p>
    <w:p w14:paraId="3A32AEC9" w14:textId="4C9B0F8C" w:rsidR="008C3F57" w:rsidRPr="00290657" w:rsidRDefault="008C3F57" w:rsidP="000842B5">
      <w:pPr>
        <w:pStyle w:val="TOC3"/>
        <w:rPr>
          <w:rFonts w:ascii="Calibri" w:hAnsi="Calibri"/>
          <w:sz w:val="22"/>
          <w:szCs w:val="22"/>
        </w:rPr>
      </w:pPr>
      <w:r>
        <w:t xml:space="preserve">3.4 </w:t>
      </w:r>
      <w:r w:rsidRPr="00290657">
        <w:rPr>
          <w:rFonts w:ascii="Calibri" w:hAnsi="Calibri"/>
          <w:sz w:val="22"/>
          <w:szCs w:val="22"/>
        </w:rPr>
        <w:tab/>
      </w:r>
      <w:r>
        <w:t>Effectiviteit bestuurs- en beheersorganen</w:t>
      </w:r>
      <w:r>
        <w:tab/>
      </w:r>
      <w:r w:rsidR="008A3DA1">
        <w:t>1</w:t>
      </w:r>
      <w:r w:rsidR="00B6771F">
        <w:t>0</w:t>
      </w:r>
    </w:p>
    <w:p w14:paraId="3A32AECA" w14:textId="4B769E50" w:rsidR="008C3F57" w:rsidRPr="00290657" w:rsidRDefault="008C3F57" w:rsidP="000842B5">
      <w:pPr>
        <w:pStyle w:val="TOC3"/>
        <w:rPr>
          <w:rFonts w:ascii="Calibri" w:hAnsi="Calibri"/>
          <w:sz w:val="22"/>
          <w:szCs w:val="22"/>
        </w:rPr>
      </w:pPr>
      <w:r>
        <w:t>3.5</w:t>
      </w:r>
      <w:r w:rsidRPr="00290657">
        <w:rPr>
          <w:rFonts w:ascii="Calibri" w:hAnsi="Calibri"/>
          <w:sz w:val="22"/>
          <w:szCs w:val="22"/>
        </w:rPr>
        <w:tab/>
      </w:r>
      <w:r>
        <w:t>Beleidsevaluatie</w:t>
      </w:r>
      <w:r>
        <w:tab/>
      </w:r>
      <w:r w:rsidR="008A3DA1">
        <w:t>1</w:t>
      </w:r>
      <w:r w:rsidR="00B6771F">
        <w:t>1</w:t>
      </w:r>
    </w:p>
    <w:p w14:paraId="3A32AECB" w14:textId="587EF30E" w:rsidR="008C3F57" w:rsidRPr="00290657" w:rsidRDefault="008C3F57" w:rsidP="000842B5">
      <w:pPr>
        <w:pStyle w:val="TOC3"/>
        <w:rPr>
          <w:rFonts w:ascii="Calibri" w:hAnsi="Calibri"/>
          <w:sz w:val="22"/>
          <w:szCs w:val="22"/>
        </w:rPr>
      </w:pPr>
      <w:r>
        <w:t>3.6</w:t>
      </w:r>
      <w:r w:rsidRPr="00290657">
        <w:rPr>
          <w:rFonts w:ascii="Calibri" w:hAnsi="Calibri"/>
          <w:sz w:val="22"/>
          <w:szCs w:val="22"/>
        </w:rPr>
        <w:tab/>
      </w:r>
      <w:r w:rsidR="005B4830">
        <w:t>Personeelsbeleid</w:t>
      </w:r>
      <w:r>
        <w:tab/>
      </w:r>
      <w:r w:rsidR="008A3DA1">
        <w:t>1</w:t>
      </w:r>
      <w:r w:rsidR="00B6771F">
        <w:t>1</w:t>
      </w:r>
    </w:p>
    <w:p w14:paraId="3A32AECC" w14:textId="2908917F" w:rsidR="008C3F57" w:rsidRPr="00290657" w:rsidRDefault="008C3F57" w:rsidP="000842B5">
      <w:pPr>
        <w:pStyle w:val="TOC3"/>
        <w:rPr>
          <w:rFonts w:ascii="Calibri" w:hAnsi="Calibri"/>
          <w:sz w:val="22"/>
          <w:szCs w:val="22"/>
        </w:rPr>
      </w:pPr>
      <w:r>
        <w:t xml:space="preserve">3.7 </w:t>
      </w:r>
      <w:r w:rsidRPr="00290657">
        <w:rPr>
          <w:rFonts w:ascii="Calibri" w:hAnsi="Calibri"/>
          <w:sz w:val="22"/>
          <w:szCs w:val="22"/>
        </w:rPr>
        <w:tab/>
      </w:r>
      <w:r w:rsidR="005B4830">
        <w:t>Financieel</w:t>
      </w:r>
      <w:r>
        <w:t xml:space="preserve"> beheer</w:t>
      </w:r>
      <w:r>
        <w:tab/>
      </w:r>
      <w:r w:rsidR="008A3DA1">
        <w:t>1</w:t>
      </w:r>
      <w:r w:rsidR="00B6771F">
        <w:t>2</w:t>
      </w:r>
    </w:p>
    <w:p w14:paraId="3A32AECD" w14:textId="68813AAF" w:rsidR="008C3F57" w:rsidRPr="00290657" w:rsidRDefault="008C3F57" w:rsidP="000842B5">
      <w:pPr>
        <w:pStyle w:val="TOC3"/>
        <w:rPr>
          <w:rFonts w:ascii="Calibri" w:hAnsi="Calibri"/>
          <w:sz w:val="22"/>
          <w:szCs w:val="22"/>
        </w:rPr>
      </w:pPr>
      <w:r>
        <w:t xml:space="preserve">3.8 </w:t>
      </w:r>
      <w:r w:rsidRPr="00290657">
        <w:rPr>
          <w:rFonts w:ascii="Calibri" w:hAnsi="Calibri"/>
          <w:sz w:val="22"/>
          <w:szCs w:val="22"/>
        </w:rPr>
        <w:tab/>
      </w:r>
      <w:r>
        <w:t>Corruptiebestrijding in de interne organisatie</w:t>
      </w:r>
      <w:r>
        <w:tab/>
      </w:r>
      <w:r w:rsidR="008A3DA1">
        <w:t>1</w:t>
      </w:r>
      <w:r w:rsidR="00B6771F">
        <w:t>3</w:t>
      </w:r>
    </w:p>
    <w:p w14:paraId="3A32AECE" w14:textId="02BF0A49" w:rsidR="008C3F57" w:rsidRPr="00290657" w:rsidRDefault="008C3F57" w:rsidP="000842B5">
      <w:pPr>
        <w:pStyle w:val="TOC2"/>
        <w:rPr>
          <w:rFonts w:ascii="Calibri" w:hAnsi="Calibri"/>
          <w:sz w:val="22"/>
          <w:szCs w:val="22"/>
        </w:rPr>
      </w:pPr>
      <w:r>
        <w:t xml:space="preserve">4 </w:t>
      </w:r>
      <w:r w:rsidRPr="00290657">
        <w:rPr>
          <w:rFonts w:ascii="Calibri" w:hAnsi="Calibri"/>
          <w:sz w:val="22"/>
          <w:szCs w:val="22"/>
        </w:rPr>
        <w:tab/>
      </w:r>
      <w:r>
        <w:t>Beleidsrelevantie en resultaten van de organisatie</w:t>
      </w:r>
      <w:r>
        <w:tab/>
      </w:r>
      <w:r w:rsidR="008A3DA1">
        <w:t>1</w:t>
      </w:r>
      <w:r w:rsidR="00B6771F">
        <w:t>4</w:t>
      </w:r>
    </w:p>
    <w:p w14:paraId="3A32AECF" w14:textId="1B50F0DA" w:rsidR="008C3F57" w:rsidRPr="00290657" w:rsidRDefault="008C3F57" w:rsidP="000842B5">
      <w:pPr>
        <w:pStyle w:val="TOC3"/>
        <w:rPr>
          <w:rFonts w:ascii="Calibri" w:hAnsi="Calibri"/>
          <w:sz w:val="22"/>
          <w:szCs w:val="22"/>
        </w:rPr>
      </w:pPr>
      <w:r>
        <w:t xml:space="preserve">4.1 </w:t>
      </w:r>
      <w:r w:rsidRPr="00290657">
        <w:rPr>
          <w:rFonts w:ascii="Calibri" w:hAnsi="Calibri"/>
          <w:sz w:val="22"/>
          <w:szCs w:val="22"/>
        </w:rPr>
        <w:tab/>
      </w:r>
      <w:r>
        <w:t>Relevantie voor Nederlandse BHOS-prioriteiten</w:t>
      </w:r>
      <w:r>
        <w:tab/>
      </w:r>
      <w:r w:rsidR="008A3DA1">
        <w:t>1</w:t>
      </w:r>
      <w:r w:rsidR="00B6771F">
        <w:t>4</w:t>
      </w:r>
    </w:p>
    <w:p w14:paraId="3A32AED0" w14:textId="7B1B651A" w:rsidR="008C3F57" w:rsidRPr="00290657" w:rsidRDefault="008C3F57" w:rsidP="000842B5">
      <w:pPr>
        <w:pStyle w:val="TOC3"/>
        <w:rPr>
          <w:rFonts w:ascii="Calibri" w:hAnsi="Calibri"/>
          <w:sz w:val="22"/>
          <w:szCs w:val="22"/>
        </w:rPr>
      </w:pPr>
      <w:r>
        <w:t>4.2</w:t>
      </w:r>
      <w:r w:rsidRPr="00290657">
        <w:rPr>
          <w:rFonts w:ascii="Calibri" w:hAnsi="Calibri"/>
          <w:sz w:val="22"/>
          <w:szCs w:val="22"/>
        </w:rPr>
        <w:tab/>
      </w:r>
      <w:r w:rsidR="005B4830">
        <w:t>Extra</w:t>
      </w:r>
      <w:r>
        <w:t xml:space="preserve"> relevantie</w:t>
      </w:r>
      <w:r>
        <w:tab/>
      </w:r>
      <w:r w:rsidR="008A3DA1">
        <w:t>1</w:t>
      </w:r>
      <w:r w:rsidR="00B6771F">
        <w:t>5</w:t>
      </w:r>
    </w:p>
    <w:p w14:paraId="3A32AED1" w14:textId="2C4C533B" w:rsidR="005B4830" w:rsidRPr="00290657" w:rsidRDefault="00242356" w:rsidP="005B4830">
      <w:pPr>
        <w:pStyle w:val="TOC2"/>
        <w:rPr>
          <w:rFonts w:ascii="Calibri" w:hAnsi="Calibri"/>
          <w:sz w:val="22"/>
          <w:szCs w:val="22"/>
        </w:rPr>
      </w:pPr>
      <w:r w:rsidRPr="000842B5">
        <w:t>5</w:t>
      </w:r>
      <w:r w:rsidR="005B4830">
        <w:t xml:space="preserve"> </w:t>
      </w:r>
      <w:r w:rsidR="005B4830" w:rsidRPr="00290657">
        <w:rPr>
          <w:rFonts w:ascii="Calibri" w:hAnsi="Calibri"/>
          <w:sz w:val="22"/>
          <w:szCs w:val="22"/>
        </w:rPr>
        <w:tab/>
      </w:r>
      <w:r w:rsidR="005B4830">
        <w:t>Conclusie</w:t>
      </w:r>
      <w:r w:rsidR="005B4830">
        <w:tab/>
      </w:r>
      <w:r w:rsidR="008A3DA1">
        <w:t>1</w:t>
      </w:r>
      <w:r w:rsidR="00B6771F">
        <w:t>6</w:t>
      </w:r>
    </w:p>
    <w:p w14:paraId="3A32AED2" w14:textId="34EF0F95" w:rsidR="005B4830" w:rsidRPr="00290657" w:rsidRDefault="005B4830" w:rsidP="005B4830">
      <w:pPr>
        <w:pStyle w:val="TOC3"/>
        <w:rPr>
          <w:rFonts w:ascii="Calibri" w:hAnsi="Calibri"/>
          <w:sz w:val="22"/>
          <w:szCs w:val="22"/>
        </w:rPr>
      </w:pPr>
      <w:r>
        <w:t xml:space="preserve">5.1 </w:t>
      </w:r>
      <w:r w:rsidRPr="00290657">
        <w:rPr>
          <w:rFonts w:ascii="Calibri" w:hAnsi="Calibri"/>
          <w:sz w:val="22"/>
          <w:szCs w:val="22"/>
        </w:rPr>
        <w:tab/>
      </w:r>
      <w:r>
        <w:t>Institutionele aspecten en functioneren</w:t>
      </w:r>
      <w:r>
        <w:tab/>
      </w:r>
      <w:r w:rsidR="008A3DA1">
        <w:t>1</w:t>
      </w:r>
      <w:r w:rsidR="00B6771F">
        <w:t>6</w:t>
      </w:r>
    </w:p>
    <w:p w14:paraId="3A32AED3" w14:textId="3212B75A" w:rsidR="005B4830" w:rsidRPr="00290657" w:rsidRDefault="005B4830" w:rsidP="005B4830">
      <w:pPr>
        <w:pStyle w:val="TOC3"/>
        <w:rPr>
          <w:rFonts w:ascii="Calibri" w:hAnsi="Calibri"/>
          <w:sz w:val="22"/>
          <w:szCs w:val="22"/>
        </w:rPr>
      </w:pPr>
      <w:r>
        <w:t>5.2</w:t>
      </w:r>
      <w:r w:rsidRPr="00290657">
        <w:rPr>
          <w:rFonts w:ascii="Calibri" w:hAnsi="Calibri"/>
          <w:sz w:val="22"/>
          <w:szCs w:val="22"/>
        </w:rPr>
        <w:tab/>
      </w:r>
      <w:r>
        <w:t>Beleidsrelevantie</w:t>
      </w:r>
      <w:r>
        <w:tab/>
      </w:r>
      <w:r w:rsidR="00B6771F">
        <w:t>16</w:t>
      </w:r>
    </w:p>
    <w:p w14:paraId="3A32AED4" w14:textId="77777777" w:rsidR="00101F98" w:rsidRPr="00785F18" w:rsidRDefault="003F0010" w:rsidP="00163FA2">
      <w:pPr>
        <w:tabs>
          <w:tab w:val="left" w:pos="0"/>
        </w:tabs>
      </w:pPr>
      <w:r w:rsidRPr="00785F18">
        <w:fldChar w:fldCharType="end"/>
      </w:r>
    </w:p>
    <w:p w14:paraId="3A32AED5" w14:textId="77777777" w:rsidR="00A908F9" w:rsidRDefault="00A908F9" w:rsidP="00101F98"/>
    <w:p w14:paraId="3A32AED6" w14:textId="77777777" w:rsidR="00A908F9" w:rsidRPr="00A908F9" w:rsidRDefault="00A908F9" w:rsidP="00A908F9"/>
    <w:p w14:paraId="3A32AED7" w14:textId="77777777" w:rsidR="00A908F9" w:rsidRPr="00A908F9" w:rsidRDefault="00A908F9" w:rsidP="00A908F9"/>
    <w:p w14:paraId="3A32AED8" w14:textId="77777777" w:rsidR="00A908F9" w:rsidRDefault="00A908F9" w:rsidP="00A908F9">
      <w:pPr>
        <w:jc w:val="center"/>
      </w:pPr>
    </w:p>
    <w:p w14:paraId="3A32AED9" w14:textId="77777777" w:rsidR="00101F98" w:rsidRPr="00A908F9" w:rsidRDefault="00101F98" w:rsidP="00A908F9">
      <w:pPr>
        <w:sectPr w:rsidR="00101F98" w:rsidRPr="00A908F9">
          <w:headerReference w:type="first" r:id="rId18"/>
          <w:type w:val="continuous"/>
          <w:pgSz w:w="11906" w:h="16838" w:code="9"/>
          <w:pgMar w:top="2520" w:right="960" w:bottom="1080" w:left="3220" w:header="200" w:footer="660" w:gutter="0"/>
          <w:cols w:space="708"/>
          <w:titlePg/>
          <w:docGrid w:linePitch="360"/>
        </w:sectPr>
      </w:pPr>
    </w:p>
    <w:p w14:paraId="3A32AEDA" w14:textId="77777777" w:rsidR="00B95FC2" w:rsidRPr="00734374" w:rsidRDefault="00734374" w:rsidP="00734374">
      <w:pPr>
        <w:pStyle w:val="Heading1"/>
        <w:tabs>
          <w:tab w:val="num" w:pos="0"/>
        </w:tabs>
        <w:spacing w:after="240" w:line="240" w:lineRule="auto"/>
        <w:ind w:hanging="1162"/>
      </w:pPr>
      <w:bookmarkStart w:id="13" w:name="_Toc238533654"/>
      <w:bookmarkStart w:id="14" w:name="_Toc238537583"/>
      <w:bookmarkStart w:id="15" w:name="_Toc238538136"/>
      <w:bookmarkStart w:id="16" w:name="_Toc238538151"/>
      <w:bookmarkStart w:id="17" w:name="_Toc300822504"/>
      <w:bookmarkStart w:id="18" w:name="_Toc422131302"/>
      <w:bookmarkStart w:id="19" w:name="_Toc422131846"/>
      <w:bookmarkStart w:id="20" w:name="_Toc422131879"/>
      <w:bookmarkStart w:id="21" w:name="_Toc422132106"/>
      <w:bookmarkStart w:id="22" w:name="_Toc422132160"/>
      <w:bookmarkEnd w:id="13"/>
      <w:bookmarkEnd w:id="14"/>
      <w:bookmarkEnd w:id="15"/>
      <w:bookmarkEnd w:id="16"/>
      <w:r w:rsidRPr="00734374">
        <w:lastRenderedPageBreak/>
        <w:t xml:space="preserve">1 </w:t>
      </w:r>
      <w:r>
        <w:tab/>
      </w:r>
      <w:r w:rsidR="00AD0CCB" w:rsidRPr="00734374">
        <w:t>Inleiding</w:t>
      </w:r>
      <w:bookmarkEnd w:id="17"/>
      <w:bookmarkEnd w:id="18"/>
      <w:bookmarkEnd w:id="19"/>
      <w:bookmarkEnd w:id="20"/>
      <w:bookmarkEnd w:id="21"/>
      <w:bookmarkEnd w:id="22"/>
    </w:p>
    <w:p w14:paraId="3A32AEDB" w14:textId="77777777" w:rsidR="00B201ED" w:rsidRDefault="00B201ED" w:rsidP="005150FC">
      <w:pPr>
        <w:shd w:val="clear" w:color="auto" w:fill="FFFFFF"/>
        <w:spacing w:before="100" w:beforeAutospacing="1" w:after="100" w:afterAutospacing="1" w:line="240" w:lineRule="auto"/>
        <w:rPr>
          <w:szCs w:val="18"/>
          <w:lang w:eastAsia="zh-CN"/>
        </w:rPr>
      </w:pPr>
    </w:p>
    <w:p w14:paraId="3A32AEDC" w14:textId="7F7E0CE5" w:rsidR="005D3322" w:rsidRDefault="005150FC" w:rsidP="005150FC">
      <w:pPr>
        <w:shd w:val="clear" w:color="auto" w:fill="FFFFFF"/>
        <w:spacing w:before="100" w:beforeAutospacing="1" w:after="100" w:afterAutospacing="1" w:line="240" w:lineRule="auto"/>
        <w:rPr>
          <w:szCs w:val="18"/>
          <w:lang w:eastAsia="zh-CN"/>
        </w:rPr>
      </w:pPr>
      <w:r>
        <w:rPr>
          <w:szCs w:val="18"/>
          <w:lang w:eastAsia="zh-CN"/>
        </w:rPr>
        <w:t xml:space="preserve">Scorecards worden opgesteld om het functioneren en de beleidsrelevantie van multilaterale organisaties in kaart te brengen. </w:t>
      </w:r>
      <w:r w:rsidR="00710978">
        <w:rPr>
          <w:szCs w:val="18"/>
          <w:lang w:eastAsia="zh-CN"/>
        </w:rPr>
        <w:t>D</w:t>
      </w:r>
      <w:r>
        <w:rPr>
          <w:szCs w:val="18"/>
          <w:lang w:eastAsia="zh-CN"/>
        </w:rPr>
        <w:t>e Nederlandse inzet in multilaterale organisaties word</w:t>
      </w:r>
      <w:r w:rsidR="00710978">
        <w:rPr>
          <w:szCs w:val="18"/>
          <w:lang w:eastAsia="zh-CN"/>
        </w:rPr>
        <w:t>t</w:t>
      </w:r>
      <w:r>
        <w:rPr>
          <w:szCs w:val="18"/>
          <w:lang w:eastAsia="zh-CN"/>
        </w:rPr>
        <w:t xml:space="preserve"> geconcentreerd op organ</w:t>
      </w:r>
      <w:r w:rsidR="007E1149">
        <w:rPr>
          <w:szCs w:val="18"/>
          <w:lang w:eastAsia="zh-CN"/>
        </w:rPr>
        <w:t>isaties die relevant zijn voor</w:t>
      </w:r>
      <w:r>
        <w:rPr>
          <w:szCs w:val="18"/>
          <w:lang w:eastAsia="zh-CN"/>
        </w:rPr>
        <w:t xml:space="preserve"> het Nederlandse beleid en d</w:t>
      </w:r>
      <w:r w:rsidR="007E1149">
        <w:rPr>
          <w:szCs w:val="18"/>
          <w:lang w:eastAsia="zh-CN"/>
        </w:rPr>
        <w:t>ie effectief zijn</w:t>
      </w:r>
      <w:r w:rsidR="000C082E">
        <w:rPr>
          <w:szCs w:val="18"/>
          <w:lang w:eastAsia="zh-CN"/>
        </w:rPr>
        <w:t>, dan</w:t>
      </w:r>
      <w:r w:rsidR="00455451">
        <w:rPr>
          <w:szCs w:val="18"/>
          <w:lang w:eastAsia="zh-CN"/>
        </w:rPr>
        <w:t xml:space="preserve"> </w:t>
      </w:r>
      <w:r w:rsidR="000C082E">
        <w:rPr>
          <w:szCs w:val="18"/>
          <w:lang w:eastAsia="zh-CN"/>
        </w:rPr>
        <w:t xml:space="preserve">wel een sleutelrol vervullen binnen de multilaterale architectuur als </w:t>
      </w:r>
      <w:r w:rsidR="00125028">
        <w:rPr>
          <w:szCs w:val="18"/>
          <w:lang w:eastAsia="zh-CN"/>
        </w:rPr>
        <w:t>“</w:t>
      </w:r>
      <w:r w:rsidR="000C082E">
        <w:rPr>
          <w:szCs w:val="18"/>
          <w:lang w:eastAsia="zh-CN"/>
        </w:rPr>
        <w:t>systeemorganisatie</w:t>
      </w:r>
      <w:r w:rsidR="00125028">
        <w:rPr>
          <w:szCs w:val="18"/>
          <w:lang w:eastAsia="zh-CN"/>
        </w:rPr>
        <w:t>”</w:t>
      </w:r>
      <w:r w:rsidR="000C082E">
        <w:rPr>
          <w:szCs w:val="18"/>
          <w:lang w:eastAsia="zh-CN"/>
        </w:rPr>
        <w:t xml:space="preserve">. </w:t>
      </w:r>
      <w:r w:rsidR="00967346">
        <w:rPr>
          <w:szCs w:val="18"/>
          <w:lang w:eastAsia="zh-CN"/>
        </w:rPr>
        <w:t>Dit vraagt om</w:t>
      </w:r>
      <w:r>
        <w:rPr>
          <w:szCs w:val="18"/>
          <w:lang w:eastAsia="zh-CN"/>
        </w:rPr>
        <w:t xml:space="preserve"> zorgvuldige en regelmatige toetsing. </w:t>
      </w:r>
      <w:r w:rsidR="005D3322">
        <w:rPr>
          <w:szCs w:val="18"/>
          <w:lang w:eastAsia="zh-CN"/>
        </w:rPr>
        <w:t>Het streven is om scorecards</w:t>
      </w:r>
      <w:r w:rsidR="00DB2280">
        <w:rPr>
          <w:szCs w:val="18"/>
          <w:lang w:eastAsia="zh-CN"/>
        </w:rPr>
        <w:t xml:space="preserve"> op te stellen voor de</w:t>
      </w:r>
      <w:r w:rsidR="005D3322">
        <w:rPr>
          <w:szCs w:val="18"/>
          <w:lang w:eastAsia="zh-CN"/>
        </w:rPr>
        <w:t xml:space="preserve"> </w:t>
      </w:r>
      <w:r w:rsidR="00A2455B">
        <w:rPr>
          <w:szCs w:val="18"/>
          <w:lang w:eastAsia="zh-CN"/>
        </w:rPr>
        <w:t xml:space="preserve">VN Fondsen en </w:t>
      </w:r>
      <w:r w:rsidR="00223E42">
        <w:rPr>
          <w:szCs w:val="18"/>
          <w:lang w:eastAsia="zh-CN"/>
        </w:rPr>
        <w:t xml:space="preserve">Programma’s, </w:t>
      </w:r>
      <w:r w:rsidR="003B4CB4">
        <w:rPr>
          <w:szCs w:val="18"/>
          <w:lang w:eastAsia="zh-CN"/>
        </w:rPr>
        <w:t xml:space="preserve">de Internationale </w:t>
      </w:r>
      <w:r w:rsidR="00F613E9">
        <w:rPr>
          <w:szCs w:val="18"/>
          <w:lang w:eastAsia="zh-CN"/>
        </w:rPr>
        <w:t>Financiële</w:t>
      </w:r>
      <w:r w:rsidR="003B4CB4">
        <w:rPr>
          <w:szCs w:val="18"/>
          <w:lang w:eastAsia="zh-CN"/>
        </w:rPr>
        <w:t xml:space="preserve"> Instellingen, </w:t>
      </w:r>
      <w:r w:rsidR="00223E42">
        <w:rPr>
          <w:szCs w:val="18"/>
          <w:lang w:eastAsia="zh-CN"/>
        </w:rPr>
        <w:t>de voor Nederlands BHOS-beleid relevante gespecialiseerde VN-organisaties en kantoren, en de majeure wereldwijde fondsen</w:t>
      </w:r>
      <w:r w:rsidR="00A37B8E">
        <w:rPr>
          <w:szCs w:val="18"/>
          <w:lang w:eastAsia="zh-CN"/>
        </w:rPr>
        <w:t>;</w:t>
      </w:r>
      <w:r w:rsidR="00223E42">
        <w:rPr>
          <w:szCs w:val="18"/>
          <w:lang w:eastAsia="zh-CN"/>
        </w:rPr>
        <w:t xml:space="preserve"> </w:t>
      </w:r>
      <w:r w:rsidR="005D3322">
        <w:rPr>
          <w:szCs w:val="18"/>
          <w:lang w:eastAsia="zh-CN"/>
        </w:rPr>
        <w:t xml:space="preserve">multilaterale organisaties waaraan Nederland een substantiële ODA-bijdrage levert. De relevantie wordt primair getoetst aan het Nederlandse beleid voor </w:t>
      </w:r>
      <w:r w:rsidR="00A07737">
        <w:rPr>
          <w:szCs w:val="18"/>
          <w:lang w:eastAsia="zh-CN"/>
        </w:rPr>
        <w:t>B</w:t>
      </w:r>
      <w:r w:rsidR="00CF0A55">
        <w:rPr>
          <w:szCs w:val="18"/>
          <w:lang w:eastAsia="zh-CN"/>
        </w:rPr>
        <w:t xml:space="preserve">uitenlandse </w:t>
      </w:r>
      <w:r w:rsidR="00A07737">
        <w:rPr>
          <w:szCs w:val="18"/>
          <w:lang w:eastAsia="zh-CN"/>
        </w:rPr>
        <w:t>H</w:t>
      </w:r>
      <w:r w:rsidR="00CF0A55">
        <w:rPr>
          <w:szCs w:val="18"/>
          <w:lang w:eastAsia="zh-CN"/>
        </w:rPr>
        <w:t xml:space="preserve">andel en </w:t>
      </w:r>
      <w:r w:rsidR="00A07737">
        <w:rPr>
          <w:szCs w:val="18"/>
          <w:lang w:eastAsia="zh-CN"/>
        </w:rPr>
        <w:t>O</w:t>
      </w:r>
      <w:r w:rsidR="005D3322">
        <w:rPr>
          <w:szCs w:val="18"/>
          <w:lang w:eastAsia="zh-CN"/>
        </w:rPr>
        <w:t>ntwikkelingssamenwerking</w:t>
      </w:r>
      <w:r w:rsidR="00CF0A55">
        <w:rPr>
          <w:szCs w:val="18"/>
          <w:lang w:eastAsia="zh-CN"/>
        </w:rPr>
        <w:t>,</w:t>
      </w:r>
      <w:r w:rsidR="005D3322">
        <w:rPr>
          <w:szCs w:val="18"/>
          <w:lang w:eastAsia="zh-CN"/>
        </w:rPr>
        <w:t xml:space="preserve"> maar de bredere betekenis van multilaterale instellingen voor andere aspecten van Nederlands beleid wordt </w:t>
      </w:r>
      <w:r w:rsidR="00A8630D">
        <w:rPr>
          <w:szCs w:val="18"/>
          <w:lang w:eastAsia="zh-CN"/>
        </w:rPr>
        <w:t>waar relevant</w:t>
      </w:r>
      <w:r w:rsidR="005D3322">
        <w:rPr>
          <w:szCs w:val="18"/>
          <w:lang w:eastAsia="zh-CN"/>
        </w:rPr>
        <w:t xml:space="preserve"> meegenomen.</w:t>
      </w:r>
    </w:p>
    <w:p w14:paraId="3A32AEDD" w14:textId="2A30C26A" w:rsidR="005150FC" w:rsidRPr="00307981" w:rsidRDefault="005150FC" w:rsidP="005150FC">
      <w:pPr>
        <w:shd w:val="clear" w:color="auto" w:fill="FFFFFF"/>
        <w:spacing w:before="100" w:beforeAutospacing="1" w:after="100" w:afterAutospacing="1" w:line="240" w:lineRule="auto"/>
        <w:rPr>
          <w:szCs w:val="18"/>
          <w:lang w:eastAsia="zh-CN"/>
        </w:rPr>
      </w:pPr>
      <w:r>
        <w:rPr>
          <w:szCs w:val="18"/>
          <w:lang w:eastAsia="zh-CN"/>
        </w:rPr>
        <w:t>Elke</w:t>
      </w:r>
      <w:r w:rsidRPr="00307981">
        <w:rPr>
          <w:szCs w:val="18"/>
          <w:lang w:eastAsia="zh-CN"/>
        </w:rPr>
        <w:t xml:space="preserve"> scorecard ge</w:t>
      </w:r>
      <w:r>
        <w:rPr>
          <w:szCs w:val="18"/>
          <w:lang w:eastAsia="zh-CN"/>
        </w:rPr>
        <w:t>eft</w:t>
      </w:r>
      <w:r w:rsidRPr="00307981">
        <w:rPr>
          <w:szCs w:val="18"/>
          <w:lang w:eastAsia="zh-CN"/>
        </w:rPr>
        <w:t xml:space="preserve"> een overzicht van de doelstellingen</w:t>
      </w:r>
      <w:r w:rsidR="00C1320B">
        <w:rPr>
          <w:szCs w:val="18"/>
          <w:lang w:eastAsia="zh-CN"/>
        </w:rPr>
        <w:t>,</w:t>
      </w:r>
      <w:r w:rsidRPr="00307981">
        <w:rPr>
          <w:szCs w:val="18"/>
          <w:lang w:eastAsia="zh-CN"/>
        </w:rPr>
        <w:t xml:space="preserve"> het mandaat </w:t>
      </w:r>
      <w:r w:rsidR="00C1320B">
        <w:rPr>
          <w:szCs w:val="18"/>
          <w:lang w:eastAsia="zh-CN"/>
        </w:rPr>
        <w:t xml:space="preserve">en de kernkwaliteiten </w:t>
      </w:r>
      <w:r w:rsidR="006569DB">
        <w:rPr>
          <w:szCs w:val="18"/>
          <w:lang w:eastAsia="zh-CN"/>
        </w:rPr>
        <w:t xml:space="preserve">van de </w:t>
      </w:r>
      <w:proofErr w:type="gramStart"/>
      <w:r w:rsidRPr="00307981">
        <w:rPr>
          <w:szCs w:val="18"/>
          <w:lang w:eastAsia="zh-CN"/>
        </w:rPr>
        <w:t>betreffende</w:t>
      </w:r>
      <w:proofErr w:type="gramEnd"/>
      <w:r w:rsidRPr="00307981">
        <w:rPr>
          <w:szCs w:val="18"/>
          <w:lang w:eastAsia="zh-CN"/>
        </w:rPr>
        <w:t xml:space="preserve"> internationale </w:t>
      </w:r>
      <w:r>
        <w:rPr>
          <w:szCs w:val="18"/>
          <w:lang w:eastAsia="zh-CN"/>
        </w:rPr>
        <w:t>instelling</w:t>
      </w:r>
      <w:r w:rsidRPr="00307981">
        <w:rPr>
          <w:szCs w:val="18"/>
          <w:lang w:eastAsia="zh-CN"/>
        </w:rPr>
        <w:t xml:space="preserve">, van de wijze waarop de organisatie </w:t>
      </w:r>
      <w:r>
        <w:rPr>
          <w:szCs w:val="18"/>
          <w:lang w:eastAsia="zh-CN"/>
        </w:rPr>
        <w:t>is ingericht en welke activiteiten ze</w:t>
      </w:r>
      <w:r w:rsidRPr="00307981">
        <w:rPr>
          <w:szCs w:val="18"/>
          <w:lang w:eastAsia="zh-CN"/>
        </w:rPr>
        <w:t xml:space="preserve"> uitvoert, van de financiële omvang en de Nederlandse bijdragen</w:t>
      </w:r>
      <w:r>
        <w:rPr>
          <w:szCs w:val="18"/>
          <w:lang w:eastAsia="zh-CN"/>
        </w:rPr>
        <w:t>. Op basis van een analyse van de verschillende deelaspecten wordt een</w:t>
      </w:r>
      <w:r w:rsidRPr="00307981">
        <w:rPr>
          <w:szCs w:val="18"/>
          <w:lang w:eastAsia="zh-CN"/>
        </w:rPr>
        <w:t xml:space="preserve"> appreciatie </w:t>
      </w:r>
      <w:r>
        <w:rPr>
          <w:szCs w:val="18"/>
          <w:lang w:eastAsia="zh-CN"/>
        </w:rPr>
        <w:t xml:space="preserve">gegeven </w:t>
      </w:r>
      <w:r w:rsidRPr="00307981">
        <w:rPr>
          <w:szCs w:val="18"/>
          <w:lang w:eastAsia="zh-CN"/>
        </w:rPr>
        <w:t xml:space="preserve">van de </w:t>
      </w:r>
      <w:r w:rsidR="008735BA">
        <w:rPr>
          <w:szCs w:val="18"/>
          <w:lang w:eastAsia="zh-CN"/>
        </w:rPr>
        <w:t xml:space="preserve">organisatorische </w:t>
      </w:r>
      <w:r w:rsidR="00AB5963">
        <w:rPr>
          <w:szCs w:val="18"/>
          <w:lang w:eastAsia="zh-CN"/>
        </w:rPr>
        <w:t>effectiviteit</w:t>
      </w:r>
      <w:r w:rsidRPr="00307981">
        <w:rPr>
          <w:szCs w:val="18"/>
          <w:lang w:eastAsia="zh-CN"/>
        </w:rPr>
        <w:t xml:space="preserve"> en van de relevantie </w:t>
      </w:r>
      <w:r w:rsidR="00456A79">
        <w:rPr>
          <w:szCs w:val="18"/>
          <w:lang w:eastAsia="zh-CN"/>
        </w:rPr>
        <w:t>voor en de impact op</w:t>
      </w:r>
      <w:r w:rsidRPr="00307981">
        <w:rPr>
          <w:szCs w:val="18"/>
          <w:lang w:eastAsia="zh-CN"/>
        </w:rPr>
        <w:t xml:space="preserve"> de Nederlandse beleidsdoelstellingen.</w:t>
      </w:r>
      <w:r w:rsidR="005D3322">
        <w:rPr>
          <w:szCs w:val="18"/>
          <w:lang w:eastAsia="zh-CN"/>
        </w:rPr>
        <w:t xml:space="preserve"> </w:t>
      </w:r>
      <w:r w:rsidR="00F3652C">
        <w:rPr>
          <w:szCs w:val="18"/>
          <w:lang w:eastAsia="zh-CN"/>
        </w:rPr>
        <w:t xml:space="preserve">Er </w:t>
      </w:r>
      <w:r w:rsidR="00BB7ABD">
        <w:rPr>
          <w:szCs w:val="18"/>
          <w:lang w:eastAsia="zh-CN"/>
        </w:rPr>
        <w:t xml:space="preserve">wordt een appreciatie gegeven van de mate waarin organisaties voor het Nederlandse BHOS-beleid </w:t>
      </w:r>
      <w:r w:rsidR="003E0A8A">
        <w:rPr>
          <w:szCs w:val="18"/>
          <w:lang w:eastAsia="zh-CN"/>
        </w:rPr>
        <w:t xml:space="preserve">relevante resultaten behalen. </w:t>
      </w:r>
      <w:r w:rsidR="005D3322">
        <w:rPr>
          <w:szCs w:val="18"/>
          <w:lang w:eastAsia="zh-CN"/>
        </w:rPr>
        <w:t xml:space="preserve">Deelaspecten van effectiviteit worden beoordeeld op basis van specifieke criteria en gescoord op een vierpuntsschaal van onvoldoende, matig, voldoende en goed. Daarnaast wordt een </w:t>
      </w:r>
      <w:r w:rsidR="003B4CB4">
        <w:rPr>
          <w:szCs w:val="18"/>
          <w:lang w:eastAsia="zh-CN"/>
        </w:rPr>
        <w:t>“</w:t>
      </w:r>
      <w:r w:rsidR="005D3322">
        <w:rPr>
          <w:szCs w:val="18"/>
          <w:lang w:eastAsia="zh-CN"/>
        </w:rPr>
        <w:t>verwachting v</w:t>
      </w:r>
      <w:r w:rsidR="003B4CB4">
        <w:rPr>
          <w:szCs w:val="18"/>
          <w:lang w:eastAsia="zh-CN"/>
        </w:rPr>
        <w:t>oor</w:t>
      </w:r>
      <w:r w:rsidR="005D3322">
        <w:rPr>
          <w:szCs w:val="18"/>
          <w:lang w:eastAsia="zh-CN"/>
        </w:rPr>
        <w:t xml:space="preserve"> po</w:t>
      </w:r>
      <w:r w:rsidR="00E724F5">
        <w:rPr>
          <w:szCs w:val="18"/>
          <w:lang w:eastAsia="zh-CN"/>
        </w:rPr>
        <w:t xml:space="preserve">sitieve </w:t>
      </w:r>
      <w:r w:rsidR="005D3322">
        <w:rPr>
          <w:szCs w:val="18"/>
          <w:lang w:eastAsia="zh-CN"/>
        </w:rPr>
        <w:t>verandering</w:t>
      </w:r>
      <w:r w:rsidR="003B4CB4">
        <w:rPr>
          <w:szCs w:val="18"/>
          <w:lang w:eastAsia="zh-CN"/>
        </w:rPr>
        <w:t>”</w:t>
      </w:r>
      <w:r w:rsidR="005D3322">
        <w:rPr>
          <w:szCs w:val="18"/>
          <w:lang w:eastAsia="zh-CN"/>
        </w:rPr>
        <w:t xml:space="preserve"> gegeven. </w:t>
      </w:r>
      <w:r w:rsidR="00EE1DC0">
        <w:rPr>
          <w:szCs w:val="18"/>
          <w:lang w:eastAsia="zh-CN"/>
        </w:rPr>
        <w:t>Beleidsmatige r</w:t>
      </w:r>
      <w:r w:rsidR="005D3322">
        <w:rPr>
          <w:szCs w:val="18"/>
          <w:lang w:eastAsia="zh-CN"/>
        </w:rPr>
        <w:t xml:space="preserve">elevantie </w:t>
      </w:r>
      <w:r w:rsidR="00EE1DC0">
        <w:rPr>
          <w:szCs w:val="18"/>
          <w:lang w:eastAsia="zh-CN"/>
        </w:rPr>
        <w:t>en impact</w:t>
      </w:r>
      <w:r w:rsidR="00770864">
        <w:rPr>
          <w:szCs w:val="18"/>
          <w:lang w:eastAsia="zh-CN"/>
        </w:rPr>
        <w:t xml:space="preserve"> (resultaten)</w:t>
      </w:r>
      <w:r w:rsidR="00EE1DC0">
        <w:rPr>
          <w:szCs w:val="18"/>
          <w:lang w:eastAsia="zh-CN"/>
        </w:rPr>
        <w:t xml:space="preserve"> worden </w:t>
      </w:r>
      <w:r w:rsidR="005D3322">
        <w:rPr>
          <w:szCs w:val="18"/>
          <w:lang w:eastAsia="zh-CN"/>
        </w:rPr>
        <w:t>aangeduid met de kwalificaties relevant, beperkt relevant en niet relevant. Een samenvatting van al deze scores is te vind</w:t>
      </w:r>
      <w:r w:rsidR="005A463A">
        <w:rPr>
          <w:szCs w:val="18"/>
          <w:lang w:eastAsia="zh-CN"/>
        </w:rPr>
        <w:t>en in de tabellen in hoofdstuk 5</w:t>
      </w:r>
      <w:r w:rsidR="005D3322">
        <w:rPr>
          <w:szCs w:val="18"/>
          <w:lang w:eastAsia="zh-CN"/>
        </w:rPr>
        <w:t>.</w:t>
      </w:r>
    </w:p>
    <w:p w14:paraId="3A32AEDE" w14:textId="77777777" w:rsidR="005150FC" w:rsidRPr="00307981" w:rsidRDefault="005150FC" w:rsidP="005150FC">
      <w:pPr>
        <w:shd w:val="clear" w:color="auto" w:fill="FFFFFF"/>
        <w:spacing w:before="100" w:beforeAutospacing="1" w:after="100" w:afterAutospacing="1" w:line="240" w:lineRule="auto"/>
        <w:rPr>
          <w:szCs w:val="18"/>
          <w:lang w:eastAsia="zh-CN"/>
        </w:rPr>
      </w:pPr>
      <w:r w:rsidRPr="00307981">
        <w:rPr>
          <w:szCs w:val="18"/>
          <w:lang w:eastAsia="zh-CN"/>
        </w:rPr>
        <w:t xml:space="preserve">De scorecards </w:t>
      </w:r>
      <w:r>
        <w:rPr>
          <w:szCs w:val="18"/>
          <w:lang w:eastAsia="zh-CN"/>
        </w:rPr>
        <w:t>zijn</w:t>
      </w:r>
      <w:r w:rsidRPr="00307981">
        <w:rPr>
          <w:szCs w:val="18"/>
          <w:lang w:eastAsia="zh-CN"/>
        </w:rPr>
        <w:t xml:space="preserve"> samengesteld op basis van rapportages van de organisatie zelf, van de </w:t>
      </w:r>
      <w:r w:rsidRPr="00CA5BC9">
        <w:rPr>
          <w:i/>
          <w:szCs w:val="18"/>
          <w:lang w:eastAsia="zh-CN"/>
        </w:rPr>
        <w:t>Board of Auditors</w:t>
      </w:r>
      <w:r w:rsidRPr="00307981">
        <w:rPr>
          <w:szCs w:val="18"/>
          <w:lang w:eastAsia="zh-CN"/>
        </w:rPr>
        <w:t xml:space="preserve">, </w:t>
      </w:r>
      <w:r>
        <w:rPr>
          <w:szCs w:val="18"/>
          <w:lang w:eastAsia="zh-CN"/>
        </w:rPr>
        <w:t xml:space="preserve">interne en externe </w:t>
      </w:r>
      <w:r w:rsidRPr="00307981">
        <w:rPr>
          <w:szCs w:val="18"/>
          <w:lang w:eastAsia="zh-CN"/>
        </w:rPr>
        <w:t>evaluaties</w:t>
      </w:r>
      <w:r w:rsidR="00AC567F">
        <w:rPr>
          <w:szCs w:val="18"/>
          <w:lang w:eastAsia="zh-CN"/>
        </w:rPr>
        <w:t>,</w:t>
      </w:r>
      <w:r w:rsidRPr="00307981">
        <w:rPr>
          <w:szCs w:val="18"/>
          <w:lang w:eastAsia="zh-CN"/>
        </w:rPr>
        <w:t xml:space="preserve"> </w:t>
      </w:r>
      <w:r>
        <w:rPr>
          <w:szCs w:val="18"/>
          <w:lang w:eastAsia="zh-CN"/>
        </w:rPr>
        <w:t xml:space="preserve">beoordelingen door andere donoren en </w:t>
      </w:r>
      <w:r w:rsidRPr="00307981">
        <w:rPr>
          <w:szCs w:val="18"/>
          <w:lang w:eastAsia="zh-CN"/>
        </w:rPr>
        <w:t xml:space="preserve">van het </w:t>
      </w:r>
      <w:r w:rsidRPr="00AF36B0">
        <w:rPr>
          <w:i/>
          <w:szCs w:val="18"/>
          <w:lang w:eastAsia="zh-CN"/>
        </w:rPr>
        <w:t>Multilateral Organisations Performance Assessment Network</w:t>
      </w:r>
      <w:r w:rsidRPr="00307981">
        <w:rPr>
          <w:szCs w:val="18"/>
          <w:lang w:eastAsia="zh-CN"/>
        </w:rPr>
        <w:t xml:space="preserve"> (MOPAN)</w:t>
      </w:r>
      <w:r>
        <w:rPr>
          <w:rStyle w:val="FootnoteReference"/>
          <w:szCs w:val="18"/>
          <w:lang w:eastAsia="zh-CN"/>
        </w:rPr>
        <w:footnoteReference w:id="2"/>
      </w:r>
      <w:r>
        <w:rPr>
          <w:szCs w:val="18"/>
          <w:lang w:eastAsia="zh-CN"/>
        </w:rPr>
        <w:t xml:space="preserve">. </w:t>
      </w:r>
      <w:r w:rsidRPr="00307981">
        <w:rPr>
          <w:szCs w:val="18"/>
          <w:lang w:eastAsia="zh-CN"/>
        </w:rPr>
        <w:t>Daarnaast wordt om de input gevraagd van betrokken vakdepartementen, de Permanente Vertegenwoordigingen</w:t>
      </w:r>
      <w:r>
        <w:rPr>
          <w:szCs w:val="18"/>
          <w:lang w:eastAsia="zh-CN"/>
        </w:rPr>
        <w:t xml:space="preserve"> en</w:t>
      </w:r>
      <w:r w:rsidRPr="00307981">
        <w:rPr>
          <w:szCs w:val="18"/>
          <w:lang w:eastAsia="zh-CN"/>
        </w:rPr>
        <w:t xml:space="preserve"> Kiesgroepkantoren. Ook </w:t>
      </w:r>
      <w:r w:rsidR="004E60C0">
        <w:rPr>
          <w:szCs w:val="18"/>
          <w:lang w:eastAsia="zh-CN"/>
        </w:rPr>
        <w:t xml:space="preserve">informatie </w:t>
      </w:r>
      <w:r>
        <w:rPr>
          <w:szCs w:val="18"/>
          <w:lang w:eastAsia="zh-CN"/>
        </w:rPr>
        <w:t xml:space="preserve">van ambassades </w:t>
      </w:r>
      <w:r w:rsidRPr="00307981">
        <w:rPr>
          <w:szCs w:val="18"/>
          <w:lang w:eastAsia="zh-CN"/>
        </w:rPr>
        <w:t xml:space="preserve">over het functioneren van landenkantoren </w:t>
      </w:r>
      <w:r>
        <w:rPr>
          <w:szCs w:val="18"/>
          <w:lang w:eastAsia="zh-CN"/>
        </w:rPr>
        <w:t>van multilaterale instellingen zijn</w:t>
      </w:r>
      <w:r w:rsidRPr="00307981">
        <w:rPr>
          <w:szCs w:val="18"/>
          <w:lang w:eastAsia="zh-CN"/>
        </w:rPr>
        <w:t xml:space="preserve"> in de scorecard </w:t>
      </w:r>
      <w:r w:rsidR="00710978">
        <w:rPr>
          <w:szCs w:val="18"/>
          <w:lang w:eastAsia="zh-CN"/>
        </w:rPr>
        <w:t>verwerkt</w:t>
      </w:r>
      <w:r>
        <w:rPr>
          <w:szCs w:val="18"/>
          <w:lang w:eastAsia="zh-CN"/>
        </w:rPr>
        <w:t>.</w:t>
      </w:r>
      <w:r w:rsidRPr="00307981">
        <w:rPr>
          <w:szCs w:val="18"/>
          <w:lang w:eastAsia="zh-CN"/>
        </w:rPr>
        <w:t xml:space="preserve"> </w:t>
      </w:r>
      <w:proofErr w:type="gramStart"/>
      <w:r w:rsidR="00AC567F">
        <w:rPr>
          <w:szCs w:val="18"/>
          <w:lang w:eastAsia="zh-CN"/>
        </w:rPr>
        <w:t>De</w:t>
      </w:r>
      <w:proofErr w:type="gramEnd"/>
      <w:r w:rsidR="00AC567F">
        <w:rPr>
          <w:szCs w:val="18"/>
          <w:lang w:eastAsia="zh-CN"/>
        </w:rPr>
        <w:t xml:space="preserve"> s</w:t>
      </w:r>
      <w:r w:rsidRPr="00307981">
        <w:rPr>
          <w:szCs w:val="18"/>
          <w:lang w:eastAsia="zh-CN"/>
        </w:rPr>
        <w:t xml:space="preserve">corecards </w:t>
      </w:r>
      <w:r>
        <w:rPr>
          <w:szCs w:val="18"/>
          <w:lang w:eastAsia="zh-CN"/>
        </w:rPr>
        <w:t xml:space="preserve">worden </w:t>
      </w:r>
      <w:r w:rsidR="002633CA">
        <w:rPr>
          <w:szCs w:val="18"/>
          <w:lang w:eastAsia="zh-CN"/>
        </w:rPr>
        <w:t xml:space="preserve">iedere twee jaar </w:t>
      </w:r>
      <w:r w:rsidRPr="00307981">
        <w:rPr>
          <w:szCs w:val="18"/>
          <w:lang w:eastAsia="zh-CN"/>
        </w:rPr>
        <w:t>geactualiseerd</w:t>
      </w:r>
      <w:r w:rsidR="002C77AF">
        <w:rPr>
          <w:szCs w:val="18"/>
          <w:lang w:eastAsia="zh-CN"/>
        </w:rPr>
        <w:t>.</w:t>
      </w:r>
      <w:r w:rsidRPr="00307981">
        <w:rPr>
          <w:szCs w:val="18"/>
          <w:lang w:eastAsia="zh-CN"/>
        </w:rPr>
        <w:t xml:space="preserve"> </w:t>
      </w:r>
    </w:p>
    <w:p w14:paraId="3A32AEDF" w14:textId="77777777" w:rsidR="00307981" w:rsidRPr="00307981" w:rsidRDefault="00307981" w:rsidP="00307981"/>
    <w:p w14:paraId="3A32AEE0" w14:textId="77777777" w:rsidR="00D745A7" w:rsidRDefault="00F24A31" w:rsidP="00F24A31">
      <w:pPr>
        <w:pStyle w:val="Heading1"/>
        <w:tabs>
          <w:tab w:val="num" w:pos="0"/>
        </w:tabs>
        <w:spacing w:after="240" w:line="240" w:lineRule="auto"/>
        <w:ind w:hanging="1162"/>
      </w:pPr>
      <w:bookmarkStart w:id="23" w:name="_Toc422131303"/>
      <w:bookmarkStart w:id="24" w:name="_Toc422131847"/>
      <w:bookmarkStart w:id="25" w:name="_Toc422131880"/>
      <w:bookmarkStart w:id="26" w:name="_Toc422132107"/>
      <w:bookmarkStart w:id="27" w:name="_Toc422132161"/>
      <w:r>
        <w:t xml:space="preserve">2 </w:t>
      </w:r>
      <w:r>
        <w:tab/>
      </w:r>
      <w:r w:rsidR="00D745A7">
        <w:t>Algemene achtergrond</w:t>
      </w:r>
      <w:bookmarkEnd w:id="23"/>
      <w:bookmarkEnd w:id="24"/>
      <w:bookmarkEnd w:id="25"/>
      <w:bookmarkEnd w:id="26"/>
      <w:bookmarkEnd w:id="27"/>
    </w:p>
    <w:p w14:paraId="3A32AEE1" w14:textId="77777777" w:rsidR="00F24A31" w:rsidRPr="00F24A31" w:rsidRDefault="00F24A31" w:rsidP="00F24A31"/>
    <w:p w14:paraId="3A32AEE2" w14:textId="77777777" w:rsidR="009C4AAC" w:rsidRPr="009C4AAC" w:rsidRDefault="005B4830" w:rsidP="009C4AAC">
      <w:pPr>
        <w:pStyle w:val="Heading2"/>
        <w:numPr>
          <w:ilvl w:val="1"/>
          <w:numId w:val="21"/>
        </w:numPr>
        <w:tabs>
          <w:tab w:val="left" w:pos="-1162"/>
          <w:tab w:val="left" w:pos="0"/>
        </w:tabs>
        <w:spacing w:line="240" w:lineRule="auto"/>
      </w:pPr>
      <w:r>
        <w:tab/>
      </w:r>
      <w:bookmarkStart w:id="28" w:name="_Toc422131304"/>
      <w:bookmarkStart w:id="29" w:name="_Toc422131848"/>
      <w:bookmarkStart w:id="30" w:name="_Toc422131881"/>
      <w:bookmarkStart w:id="31" w:name="_Toc422132108"/>
      <w:bookmarkStart w:id="32" w:name="_Toc422132162"/>
      <w:r w:rsidR="0055776D">
        <w:t>Doelstelling</w:t>
      </w:r>
      <w:r w:rsidR="00FC6EC6">
        <w:t xml:space="preserve"> en toegevoegde waarde</w:t>
      </w:r>
      <w:bookmarkEnd w:id="28"/>
      <w:bookmarkEnd w:id="29"/>
      <w:bookmarkEnd w:id="30"/>
      <w:bookmarkEnd w:id="31"/>
      <w:bookmarkEnd w:id="32"/>
    </w:p>
    <w:p w14:paraId="3A32AEE3" w14:textId="3DFAE23B" w:rsidR="00077D70" w:rsidRDefault="00077D70" w:rsidP="00077D70">
      <w:r>
        <w:t xml:space="preserve">De </w:t>
      </w:r>
      <w:r w:rsidRPr="00E423AE">
        <w:rPr>
          <w:i/>
        </w:rPr>
        <w:t>International Finance Corporation</w:t>
      </w:r>
      <w:r>
        <w:t xml:space="preserve"> (IFC) is opgericht in 1956</w:t>
      </w:r>
      <w:r w:rsidR="00646987">
        <w:t xml:space="preserve">. Het is </w:t>
      </w:r>
      <w:r>
        <w:t>onderdeel van de Wereldbank</w:t>
      </w:r>
      <w:r w:rsidR="00646987">
        <w:t xml:space="preserve"> G</w:t>
      </w:r>
      <w:r>
        <w:t>roep</w:t>
      </w:r>
      <w:r w:rsidR="00646987">
        <w:t xml:space="preserve"> (WBG), maar als een</w:t>
      </w:r>
      <w:r w:rsidR="00F64C4F">
        <w:t xml:space="preserve"> aparte juridische entiteit met </w:t>
      </w:r>
      <w:r w:rsidR="00646987">
        <w:t>eigen</w:t>
      </w:r>
      <w:r w:rsidR="00F64C4F">
        <w:t xml:space="preserve"> ‘</w:t>
      </w:r>
      <w:r w:rsidR="00F64C4F" w:rsidRPr="003E0A8A">
        <w:rPr>
          <w:i/>
        </w:rPr>
        <w:t>articles of agreement’</w:t>
      </w:r>
      <w:r w:rsidR="00235525">
        <w:t xml:space="preserve">, kapitaal, financiële structuur, management en </w:t>
      </w:r>
      <w:r w:rsidR="00DD13B8">
        <w:t>personeel.</w:t>
      </w:r>
      <w:r w:rsidR="00235525">
        <w:t xml:space="preserve"> </w:t>
      </w:r>
      <w:r>
        <w:t xml:space="preserve">IFC is gericht op het creëren van mogelijkheden voor mensen om aan armoede te ontsnappen en hun levens te verbeteren door inclusieve en duurzame groei te stimuleren door middel van private sector ontwikkeling. Dit wil IFC bereiken door zich te richten op: </w:t>
      </w:r>
    </w:p>
    <w:p w14:paraId="3A32AEE4" w14:textId="77777777" w:rsidR="00077D70" w:rsidRDefault="00077D70" w:rsidP="00077D70">
      <w:pPr>
        <w:numPr>
          <w:ilvl w:val="0"/>
          <w:numId w:val="33"/>
        </w:numPr>
      </w:pPr>
      <w:r>
        <w:t>Het mobiliseren van financieringsbronnen voor private bedrijfsontwikkeling;</w:t>
      </w:r>
    </w:p>
    <w:p w14:paraId="3A32AEE5" w14:textId="77777777" w:rsidR="00077D70" w:rsidRDefault="00077D70" w:rsidP="00077D70">
      <w:pPr>
        <w:numPr>
          <w:ilvl w:val="0"/>
          <w:numId w:val="33"/>
        </w:numPr>
      </w:pPr>
      <w:r>
        <w:t>Het promoten van open en concurrerende markten in ontwikkelingslanden;</w:t>
      </w:r>
    </w:p>
    <w:p w14:paraId="3A32AEE6" w14:textId="77777777" w:rsidR="00077D70" w:rsidRDefault="00077D70" w:rsidP="00077D70">
      <w:pPr>
        <w:numPr>
          <w:ilvl w:val="0"/>
          <w:numId w:val="33"/>
        </w:numPr>
      </w:pPr>
      <w:r>
        <w:t>Het ondersteunen van bedrijven en overige private sector partners;</w:t>
      </w:r>
    </w:p>
    <w:p w14:paraId="3A32AEE7" w14:textId="77777777" w:rsidR="00077D70" w:rsidRDefault="00077D70" w:rsidP="00077D70">
      <w:pPr>
        <w:numPr>
          <w:ilvl w:val="0"/>
          <w:numId w:val="33"/>
        </w:numPr>
      </w:pPr>
      <w:r>
        <w:t xml:space="preserve">Het bijdragen aan het genereren van productieve banen en het leveren van essentiële diensten voor de armen en de kwetsbaren. </w:t>
      </w:r>
    </w:p>
    <w:p w14:paraId="3A32AEE8" w14:textId="77777777" w:rsidR="00077D70" w:rsidRDefault="00077D70" w:rsidP="00077D70"/>
    <w:p w14:paraId="3A32AEE9" w14:textId="50300B22" w:rsidR="006C27FA" w:rsidRDefault="00221006" w:rsidP="006C27FA">
      <w:r>
        <w:t>Als 's werelds grootste multilaterale organisatie gericht op de ontwikkeling van de part</w:t>
      </w:r>
      <w:r w:rsidR="00E57194">
        <w:t xml:space="preserve">iculiere sector, is </w:t>
      </w:r>
      <w:r w:rsidR="00646987">
        <w:t>IFC</w:t>
      </w:r>
      <w:r w:rsidR="00E57194">
        <w:t xml:space="preserve"> goed</w:t>
      </w:r>
      <w:r>
        <w:t xml:space="preserve"> gepositioneerd om een sleutelrol te spelen bij het behalen van de</w:t>
      </w:r>
      <w:r w:rsidR="00646987">
        <w:t xml:space="preserve"> twee</w:t>
      </w:r>
      <w:r>
        <w:t xml:space="preserve"> nieuwe doelste</w:t>
      </w:r>
      <w:r w:rsidR="00E57194">
        <w:t xml:space="preserve">llingen van de </w:t>
      </w:r>
      <w:r w:rsidR="00646987">
        <w:t>WBG</w:t>
      </w:r>
      <w:r w:rsidR="006C27FA">
        <w:t xml:space="preserve">: </w:t>
      </w:r>
    </w:p>
    <w:p w14:paraId="3A32AEEA" w14:textId="77777777" w:rsidR="006C27FA" w:rsidRPr="003E0A8A" w:rsidRDefault="006C27FA" w:rsidP="003E0A8A">
      <w:pPr>
        <w:numPr>
          <w:ilvl w:val="0"/>
          <w:numId w:val="50"/>
        </w:numPr>
      </w:pPr>
      <w:r w:rsidRPr="003E0A8A">
        <w:t>het beëindigen van extreme armoede in 2030, waarbij minder dan 3% van de wereldbevolking leeft van een inkomen van USD 1,25 per dag</w:t>
      </w:r>
    </w:p>
    <w:p w14:paraId="3A32AEEB" w14:textId="52A011C6" w:rsidR="006C27FA" w:rsidRPr="006C27FA" w:rsidRDefault="006C27FA" w:rsidP="003E0A8A">
      <w:pPr>
        <w:numPr>
          <w:ilvl w:val="0"/>
          <w:numId w:val="50"/>
        </w:numPr>
      </w:pPr>
      <w:r w:rsidRPr="003E0A8A">
        <w:t>het bereiken van gedeelde welvaart, zodat de inkomensgroei van de armste 40% van de bevolking in de klantlanden minimaal gelijk wordt aan de gemiddelde inkomensgroei per hoofd van de bevolking.</w:t>
      </w:r>
    </w:p>
    <w:p w14:paraId="3A32AEEC" w14:textId="77777777" w:rsidR="006C27FA" w:rsidRDefault="006C27FA" w:rsidP="00221006"/>
    <w:p w14:paraId="3A32AEED" w14:textId="5E28014C" w:rsidR="00221006" w:rsidRDefault="00322564" w:rsidP="00E57194">
      <w:r>
        <w:t>D</w:t>
      </w:r>
      <w:r w:rsidR="00E57194">
        <w:t>e WBG-strategie die in oktober 2013 is vastgesteld benadrukt de centrale rol die de private sector heeft in het bereiken van deze doelstellingen. De private sector is een</w:t>
      </w:r>
      <w:r w:rsidR="008A74DC">
        <w:t xml:space="preserve"> cruciale</w:t>
      </w:r>
      <w:r w:rsidR="00E57194">
        <w:t xml:space="preserve"> </w:t>
      </w:r>
      <w:r w:rsidR="008A74DC">
        <w:t>aanjager</w:t>
      </w:r>
      <w:r w:rsidR="00E57194">
        <w:t xml:space="preserve"> van economische groei en de meest effectieve manier om armoede te bestrijden door toegang tot </w:t>
      </w:r>
      <w:r>
        <w:t>meer én betere</w:t>
      </w:r>
      <w:r w:rsidR="00E57194">
        <w:t xml:space="preserve"> banen. </w:t>
      </w:r>
      <w:r w:rsidR="00646987">
        <w:t>IFC</w:t>
      </w:r>
      <w:r w:rsidR="00E57194">
        <w:t xml:space="preserve"> is goed gepositioneerd om de WBG strategie te helpen uitvoeren door het bevorderen van de private sector in ontwikkelingslanden. </w:t>
      </w:r>
    </w:p>
    <w:p w14:paraId="3A32AEEE" w14:textId="77777777" w:rsidR="002A6BFA" w:rsidRDefault="002A6BFA" w:rsidP="00077D70"/>
    <w:p w14:paraId="3A32AEEF" w14:textId="2A943C05" w:rsidR="00077D70" w:rsidRDefault="00552266" w:rsidP="00077D70">
      <w:r>
        <w:t xml:space="preserve">IFC </w:t>
      </w:r>
      <w:r w:rsidR="00646987">
        <w:t xml:space="preserve">is </w:t>
      </w:r>
      <w:r>
        <w:t xml:space="preserve">niet de enige multilaterale leverancier van private sector financiering in ontwikkelingslanden, </w:t>
      </w:r>
      <w:r w:rsidR="00646987">
        <w:t xml:space="preserve">maar </w:t>
      </w:r>
      <w:r>
        <w:t xml:space="preserve">is </w:t>
      </w:r>
      <w:r w:rsidR="002B2F27">
        <w:t xml:space="preserve">wereldwijd </w:t>
      </w:r>
      <w:r>
        <w:t xml:space="preserve">nog altijd veruit de grootste en meest ervaren organisatie op dit gebied. </w:t>
      </w:r>
    </w:p>
    <w:p w14:paraId="3A32AEF0" w14:textId="77777777" w:rsidR="00077D70" w:rsidRDefault="00077D70" w:rsidP="00077D70"/>
    <w:p w14:paraId="3A32AEF1" w14:textId="77777777" w:rsidR="009C4AAC" w:rsidRPr="009C4AAC" w:rsidRDefault="005B4830" w:rsidP="00DD13B8">
      <w:pPr>
        <w:pStyle w:val="Heading2"/>
        <w:numPr>
          <w:ilvl w:val="1"/>
          <w:numId w:val="21"/>
        </w:numPr>
        <w:tabs>
          <w:tab w:val="left" w:pos="-1162"/>
          <w:tab w:val="left" w:pos="0"/>
        </w:tabs>
        <w:spacing w:line="240" w:lineRule="auto"/>
      </w:pPr>
      <w:r>
        <w:tab/>
      </w:r>
      <w:bookmarkStart w:id="33" w:name="_Toc422131305"/>
      <w:bookmarkStart w:id="34" w:name="_Toc422131849"/>
      <w:bookmarkStart w:id="35" w:name="_Toc422131882"/>
      <w:bookmarkStart w:id="36" w:name="_Toc422132109"/>
      <w:bookmarkStart w:id="37" w:name="_Toc422132163"/>
      <w:r w:rsidR="00D745A7">
        <w:t>Organisatie, werkwijze en activiteiten</w:t>
      </w:r>
      <w:bookmarkEnd w:id="33"/>
      <w:bookmarkEnd w:id="34"/>
      <w:bookmarkEnd w:id="35"/>
      <w:bookmarkEnd w:id="36"/>
      <w:bookmarkEnd w:id="37"/>
    </w:p>
    <w:p w14:paraId="3A32AEF2" w14:textId="3CC4C9CB" w:rsidR="00B257CC" w:rsidRDefault="00077D70" w:rsidP="00B257CC">
      <w:pPr>
        <w:rPr>
          <w:szCs w:val="22"/>
        </w:rPr>
      </w:pPr>
      <w:r w:rsidRPr="00077D70">
        <w:rPr>
          <w:szCs w:val="22"/>
        </w:rPr>
        <w:t xml:space="preserve">IFC maakt onderdeel uit van de Wereldbankgroep. IFC geeft financiële steun aan bedrijven in de vorm van niet-concessionele leningen, garanties en </w:t>
      </w:r>
      <w:r w:rsidRPr="00077D70">
        <w:rPr>
          <w:i/>
          <w:szCs w:val="22"/>
        </w:rPr>
        <w:t>equity</w:t>
      </w:r>
      <w:r w:rsidRPr="00077D70">
        <w:rPr>
          <w:szCs w:val="22"/>
        </w:rPr>
        <w:t>. Daarnaast levert IFC private sector gerelateerde probleemanalyse</w:t>
      </w:r>
      <w:r w:rsidR="00B757A6">
        <w:rPr>
          <w:szCs w:val="22"/>
        </w:rPr>
        <w:t>s</w:t>
      </w:r>
      <w:r w:rsidRPr="00077D70">
        <w:rPr>
          <w:szCs w:val="22"/>
        </w:rPr>
        <w:t xml:space="preserve">, advies en kennisoverdracht aan zowel individuele bedrijven, bedrijfstakken als overheden. </w:t>
      </w:r>
      <w:r w:rsidR="00B257CC">
        <w:rPr>
          <w:szCs w:val="22"/>
        </w:rPr>
        <w:t xml:space="preserve">Een apart onderdeel van </w:t>
      </w:r>
      <w:r w:rsidR="00646987">
        <w:rPr>
          <w:szCs w:val="22"/>
        </w:rPr>
        <w:t>IFC</w:t>
      </w:r>
      <w:r w:rsidR="00B257CC">
        <w:rPr>
          <w:szCs w:val="22"/>
        </w:rPr>
        <w:t xml:space="preserve"> is de </w:t>
      </w:r>
      <w:r w:rsidR="00B257CC" w:rsidRPr="00E423AE">
        <w:rPr>
          <w:i/>
          <w:szCs w:val="22"/>
        </w:rPr>
        <w:t xml:space="preserve">Asset Management </w:t>
      </w:r>
      <w:proofErr w:type="gramStart"/>
      <w:r w:rsidR="00B257CC" w:rsidRPr="00E423AE">
        <w:rPr>
          <w:i/>
          <w:szCs w:val="22"/>
        </w:rPr>
        <w:t>Company</w:t>
      </w:r>
      <w:proofErr w:type="gramEnd"/>
      <w:r w:rsidR="00B257CC">
        <w:rPr>
          <w:szCs w:val="22"/>
        </w:rPr>
        <w:t xml:space="preserve"> (AMC). De AMC</w:t>
      </w:r>
      <w:r w:rsidR="00B257CC" w:rsidRPr="00B257CC">
        <w:rPr>
          <w:szCs w:val="22"/>
        </w:rPr>
        <w:t xml:space="preserve"> mobiliseert en beheert fondsen van derden voor investeringen in opkomende</w:t>
      </w:r>
      <w:r w:rsidR="00B257CC">
        <w:rPr>
          <w:szCs w:val="22"/>
        </w:rPr>
        <w:t xml:space="preserve"> </w:t>
      </w:r>
      <w:r w:rsidR="00E56B66" w:rsidRPr="00B257CC">
        <w:rPr>
          <w:szCs w:val="22"/>
        </w:rPr>
        <w:t>markten.</w:t>
      </w:r>
      <w:r w:rsidR="00B257CC" w:rsidRPr="00B257CC">
        <w:rPr>
          <w:szCs w:val="22"/>
        </w:rPr>
        <w:t xml:space="preserve"> Het beheert fondsen ten behoeve van een breed scala van institutionele beleggers, met inbegrip van </w:t>
      </w:r>
      <w:r w:rsidR="00B257CC" w:rsidRPr="00B257CC">
        <w:rPr>
          <w:i/>
          <w:szCs w:val="22"/>
        </w:rPr>
        <w:t>sovereign</w:t>
      </w:r>
      <w:r w:rsidR="00E56B66">
        <w:rPr>
          <w:i/>
          <w:szCs w:val="22"/>
        </w:rPr>
        <w:t xml:space="preserve"> </w:t>
      </w:r>
      <w:r w:rsidR="00B257CC" w:rsidRPr="00B257CC">
        <w:rPr>
          <w:i/>
          <w:szCs w:val="22"/>
        </w:rPr>
        <w:t xml:space="preserve">wealth </w:t>
      </w:r>
      <w:r w:rsidR="00E56B66" w:rsidRPr="00B257CC">
        <w:rPr>
          <w:i/>
          <w:szCs w:val="22"/>
        </w:rPr>
        <w:t>funds,</w:t>
      </w:r>
      <w:r w:rsidR="00E56B66">
        <w:rPr>
          <w:szCs w:val="22"/>
        </w:rPr>
        <w:t xml:space="preserve"> </w:t>
      </w:r>
      <w:r w:rsidR="00B257CC">
        <w:rPr>
          <w:szCs w:val="22"/>
        </w:rPr>
        <w:t xml:space="preserve">pensioenfondsen </w:t>
      </w:r>
      <w:r w:rsidR="00B257CC" w:rsidRPr="00B257CC">
        <w:rPr>
          <w:szCs w:val="22"/>
        </w:rPr>
        <w:t>en financiële instellingen</w:t>
      </w:r>
      <w:r w:rsidR="006424CD">
        <w:rPr>
          <w:szCs w:val="22"/>
        </w:rPr>
        <w:t>.</w:t>
      </w:r>
    </w:p>
    <w:p w14:paraId="3A32AEF3" w14:textId="77777777" w:rsidR="006424CD" w:rsidRDefault="006424CD" w:rsidP="00B257CC">
      <w:pPr>
        <w:rPr>
          <w:szCs w:val="22"/>
        </w:rPr>
      </w:pPr>
    </w:p>
    <w:p w14:paraId="3A32AEF4" w14:textId="53E8343D" w:rsidR="006424CD" w:rsidRDefault="00646987" w:rsidP="006424CD">
      <w:proofErr w:type="gramStart"/>
      <w:r>
        <w:rPr>
          <w:lang w:val="en-US"/>
        </w:rPr>
        <w:t>IFC</w:t>
      </w:r>
      <w:r w:rsidR="006424CD" w:rsidRPr="003A701A">
        <w:rPr>
          <w:lang w:val="en-US"/>
        </w:rPr>
        <w:t xml:space="preserve"> biedt </w:t>
      </w:r>
      <w:r w:rsidR="006424CD" w:rsidRPr="002A6BFA">
        <w:rPr>
          <w:i/>
          <w:lang w:val="en-US"/>
        </w:rPr>
        <w:t>Advisory Services</w:t>
      </w:r>
      <w:r w:rsidR="006424CD" w:rsidRPr="003A701A">
        <w:rPr>
          <w:lang w:val="en-US"/>
        </w:rPr>
        <w:t xml:space="preserve"> en </w:t>
      </w:r>
      <w:r w:rsidR="006424CD" w:rsidRPr="002A6BFA">
        <w:rPr>
          <w:i/>
          <w:lang w:val="en-US"/>
        </w:rPr>
        <w:t>Investment Services</w:t>
      </w:r>
      <w:r w:rsidR="006424CD" w:rsidRPr="003A701A">
        <w:rPr>
          <w:lang w:val="en-US"/>
        </w:rPr>
        <w:t xml:space="preserve"> aan.</w:t>
      </w:r>
      <w:proofErr w:type="gramEnd"/>
      <w:r w:rsidR="006424CD">
        <w:rPr>
          <w:lang w:val="en-US"/>
        </w:rPr>
        <w:t xml:space="preserve"> </w:t>
      </w:r>
      <w:r w:rsidR="006424CD" w:rsidRPr="00E423AE">
        <w:rPr>
          <w:i/>
        </w:rPr>
        <w:t>Advisory Services</w:t>
      </w:r>
      <w:r w:rsidR="006424CD" w:rsidRPr="003A701A">
        <w:t xml:space="preserve"> </w:t>
      </w:r>
      <w:r w:rsidR="006424CD">
        <w:t xml:space="preserve">behelzen advisering en trainingen aan bedrijven, industrieën en overheden ten einde de private sector in opkomende markten te ondersteunen. </w:t>
      </w:r>
      <w:r w:rsidR="006424CD" w:rsidRPr="00247937">
        <w:rPr>
          <w:i/>
        </w:rPr>
        <w:t>Investment services</w:t>
      </w:r>
      <w:r w:rsidR="006424CD">
        <w:t xml:space="preserve"> behelzen het ontwikkelen en aanbieden van nieuwe financiële producten die het bedrijven mogelijk maakt om hun risico’s te beheren en hun toegang tot binnenlandse en buitenlandse kapitaalmarkten te vergroten. Met het verstrekken van </w:t>
      </w:r>
      <w:r w:rsidR="006424CD" w:rsidRPr="00615DD7">
        <w:rPr>
          <w:i/>
        </w:rPr>
        <w:t>advisory services</w:t>
      </w:r>
      <w:r w:rsidR="006424CD">
        <w:t xml:space="preserve"> speelt </w:t>
      </w:r>
      <w:r>
        <w:t>IFC</w:t>
      </w:r>
      <w:r w:rsidR="006424CD">
        <w:t xml:space="preserve"> een cruciale rol in het versterken van de capaciteit en </w:t>
      </w:r>
      <w:proofErr w:type="gramStart"/>
      <w:r w:rsidR="006424CD" w:rsidRPr="00E423AE">
        <w:rPr>
          <w:i/>
        </w:rPr>
        <w:t>knowhow</w:t>
      </w:r>
      <w:proofErr w:type="gramEnd"/>
      <w:r w:rsidR="006424CD">
        <w:t xml:space="preserve"> van private sector cliënten en draagt </w:t>
      </w:r>
      <w:r>
        <w:t>het</w:t>
      </w:r>
      <w:r w:rsidR="006424CD">
        <w:t xml:space="preserve"> bij aan het creëren van een ‘enabling environment’ voor private investeringen. </w:t>
      </w:r>
    </w:p>
    <w:p w14:paraId="3A32AEF6" w14:textId="77777777" w:rsidR="00E56B66" w:rsidRDefault="00E56B66" w:rsidP="00077D70">
      <w:pPr>
        <w:rPr>
          <w:szCs w:val="22"/>
        </w:rPr>
      </w:pPr>
    </w:p>
    <w:p w14:paraId="3A32AEF7" w14:textId="194036C4" w:rsidR="00077D70" w:rsidRPr="00077D70" w:rsidRDefault="00646987" w:rsidP="00077D70">
      <w:pPr>
        <w:rPr>
          <w:szCs w:val="22"/>
        </w:rPr>
      </w:pPr>
      <w:r>
        <w:rPr>
          <w:szCs w:val="22"/>
        </w:rPr>
        <w:t>IFC</w:t>
      </w:r>
      <w:r w:rsidR="002124A7">
        <w:rPr>
          <w:szCs w:val="22"/>
        </w:rPr>
        <w:t xml:space="preserve"> werkt nauw samen met de andere leden van de Wereldbankgroep, de </w:t>
      </w:r>
      <w:r w:rsidR="002124A7" w:rsidRPr="00E423AE">
        <w:rPr>
          <w:i/>
          <w:szCs w:val="22"/>
        </w:rPr>
        <w:t>International Bank for Reconstruction</w:t>
      </w:r>
      <w:r>
        <w:rPr>
          <w:i/>
          <w:szCs w:val="22"/>
        </w:rPr>
        <w:t xml:space="preserve"> and Development</w:t>
      </w:r>
      <w:r w:rsidR="002124A7">
        <w:rPr>
          <w:szCs w:val="22"/>
        </w:rPr>
        <w:t xml:space="preserve"> (IBRD), de </w:t>
      </w:r>
      <w:r w:rsidR="002124A7" w:rsidRPr="00E423AE">
        <w:rPr>
          <w:i/>
          <w:szCs w:val="22"/>
        </w:rPr>
        <w:t>International Development Association</w:t>
      </w:r>
      <w:r w:rsidR="002124A7">
        <w:rPr>
          <w:szCs w:val="22"/>
        </w:rPr>
        <w:t xml:space="preserve"> (IDA) en de </w:t>
      </w:r>
      <w:r w:rsidR="002124A7" w:rsidRPr="00E423AE">
        <w:rPr>
          <w:i/>
          <w:szCs w:val="22"/>
        </w:rPr>
        <w:t>Multilateral Investment Guarantee Agency</w:t>
      </w:r>
      <w:r w:rsidR="002124A7">
        <w:rPr>
          <w:szCs w:val="22"/>
        </w:rPr>
        <w:t xml:space="preserve"> (MIGA). Daarnaast werkt </w:t>
      </w:r>
      <w:r>
        <w:rPr>
          <w:szCs w:val="22"/>
        </w:rPr>
        <w:t>IFC</w:t>
      </w:r>
      <w:r w:rsidR="002124A7">
        <w:rPr>
          <w:szCs w:val="22"/>
        </w:rPr>
        <w:t xml:space="preserve"> nauw samen met de regionale </w:t>
      </w:r>
      <w:r w:rsidR="00EF31ED">
        <w:rPr>
          <w:szCs w:val="22"/>
        </w:rPr>
        <w:t xml:space="preserve">ontwikkelingsbanken </w:t>
      </w:r>
      <w:r w:rsidR="002124A7">
        <w:rPr>
          <w:szCs w:val="22"/>
        </w:rPr>
        <w:t xml:space="preserve">en met het Internationaal Monetair Fonds (IMF). </w:t>
      </w:r>
    </w:p>
    <w:p w14:paraId="3A32AEF8" w14:textId="77777777" w:rsidR="00077D70" w:rsidRPr="00077D70" w:rsidRDefault="00077D70" w:rsidP="00077D70">
      <w:pPr>
        <w:rPr>
          <w:szCs w:val="22"/>
        </w:rPr>
      </w:pPr>
    </w:p>
    <w:p w14:paraId="3A32AEF9" w14:textId="598B7311" w:rsidR="00B757A6" w:rsidRDefault="00077D70" w:rsidP="00077D70">
      <w:pPr>
        <w:rPr>
          <w:szCs w:val="22"/>
        </w:rPr>
      </w:pPr>
      <w:r w:rsidRPr="00077D70">
        <w:rPr>
          <w:szCs w:val="22"/>
        </w:rPr>
        <w:t xml:space="preserve">Het hoofdkantoor van </w:t>
      </w:r>
      <w:r w:rsidR="00646987">
        <w:rPr>
          <w:szCs w:val="22"/>
        </w:rPr>
        <w:t>IFC</w:t>
      </w:r>
      <w:r w:rsidRPr="00077D70">
        <w:rPr>
          <w:szCs w:val="22"/>
        </w:rPr>
        <w:t xml:space="preserve"> is gevestigd in Washington. Meer dan de helft </w:t>
      </w:r>
      <w:r w:rsidR="00B257CC">
        <w:rPr>
          <w:szCs w:val="22"/>
        </w:rPr>
        <w:t xml:space="preserve">(59%) </w:t>
      </w:r>
      <w:r w:rsidRPr="00077D70">
        <w:rPr>
          <w:szCs w:val="22"/>
        </w:rPr>
        <w:t>van de 3</w:t>
      </w:r>
      <w:r w:rsidR="00B257CC">
        <w:rPr>
          <w:szCs w:val="22"/>
        </w:rPr>
        <w:t>879</w:t>
      </w:r>
      <w:r w:rsidRPr="00077D70">
        <w:rPr>
          <w:szCs w:val="22"/>
        </w:rPr>
        <w:t xml:space="preserve"> werknemers werkt in één van de 10</w:t>
      </w:r>
      <w:r w:rsidR="00A51B50">
        <w:rPr>
          <w:szCs w:val="22"/>
        </w:rPr>
        <w:t>8</w:t>
      </w:r>
      <w:r w:rsidRPr="00077D70">
        <w:rPr>
          <w:szCs w:val="22"/>
        </w:rPr>
        <w:t xml:space="preserve"> veldkantoren verdeeld over 9</w:t>
      </w:r>
      <w:r w:rsidR="00A51B50">
        <w:rPr>
          <w:szCs w:val="22"/>
        </w:rPr>
        <w:t>8</w:t>
      </w:r>
      <w:r w:rsidRPr="00077D70">
        <w:rPr>
          <w:szCs w:val="22"/>
        </w:rPr>
        <w:t xml:space="preserve"> landen. </w:t>
      </w:r>
      <w:r w:rsidR="00646987">
        <w:rPr>
          <w:szCs w:val="22"/>
        </w:rPr>
        <w:t>IFC</w:t>
      </w:r>
      <w:r w:rsidRPr="00077D70">
        <w:rPr>
          <w:szCs w:val="22"/>
        </w:rPr>
        <w:t xml:space="preserve"> heeft 184 lidstaten. Om lid te kunnen worden van </w:t>
      </w:r>
      <w:r w:rsidR="00646987">
        <w:rPr>
          <w:szCs w:val="22"/>
        </w:rPr>
        <w:t>IFC</w:t>
      </w:r>
      <w:r w:rsidRPr="00077D70">
        <w:rPr>
          <w:szCs w:val="22"/>
        </w:rPr>
        <w:t xml:space="preserve"> is lidmaatschap van de Wereldbank een vereiste. Het hoogste besluitvormende en toezichthoudende orgaan, de Raad van Gouverneurs, is vrijwel gelijk aan die van de W</w:t>
      </w:r>
      <w:r w:rsidR="0083532A">
        <w:rPr>
          <w:szCs w:val="22"/>
        </w:rPr>
        <w:t>ereldbank</w:t>
      </w:r>
      <w:r w:rsidRPr="00077D70">
        <w:rPr>
          <w:szCs w:val="22"/>
        </w:rPr>
        <w:t xml:space="preserve">. De gouverneurs zijn meestal de minister van Financiën of Ontwikkelingssamenwerking van een land. De president van de </w:t>
      </w:r>
      <w:r w:rsidR="00EF31ED">
        <w:rPr>
          <w:szCs w:val="22"/>
        </w:rPr>
        <w:t>WBG</w:t>
      </w:r>
      <w:r w:rsidR="00EF31ED" w:rsidRPr="00077D70">
        <w:rPr>
          <w:szCs w:val="22"/>
        </w:rPr>
        <w:t xml:space="preserve"> </w:t>
      </w:r>
      <w:r w:rsidRPr="00077D70">
        <w:rPr>
          <w:szCs w:val="22"/>
        </w:rPr>
        <w:t xml:space="preserve">is tevens de </w:t>
      </w:r>
      <w:r w:rsidR="00EF31ED">
        <w:rPr>
          <w:szCs w:val="22"/>
        </w:rPr>
        <w:t>p</w:t>
      </w:r>
      <w:r w:rsidRPr="00077D70">
        <w:rPr>
          <w:szCs w:val="22"/>
        </w:rPr>
        <w:t>resident van</w:t>
      </w:r>
      <w:r w:rsidR="0083532A">
        <w:rPr>
          <w:szCs w:val="22"/>
        </w:rPr>
        <w:t xml:space="preserve"> </w:t>
      </w:r>
      <w:r w:rsidR="00646987">
        <w:rPr>
          <w:szCs w:val="22"/>
        </w:rPr>
        <w:t>IFC</w:t>
      </w:r>
      <w:r w:rsidRPr="00077D70">
        <w:rPr>
          <w:szCs w:val="22"/>
        </w:rPr>
        <w:t xml:space="preserve">. </w:t>
      </w:r>
    </w:p>
    <w:p w14:paraId="3A32AEFA" w14:textId="77777777" w:rsidR="0083532A" w:rsidRDefault="0083532A" w:rsidP="00077D70">
      <w:pPr>
        <w:rPr>
          <w:szCs w:val="22"/>
        </w:rPr>
      </w:pPr>
    </w:p>
    <w:p w14:paraId="3A32AEFB" w14:textId="6A229C69" w:rsidR="00077D70" w:rsidRDefault="00077D70" w:rsidP="00077D70">
      <w:pPr>
        <w:rPr>
          <w:szCs w:val="22"/>
        </w:rPr>
      </w:pPr>
      <w:r w:rsidRPr="00077D70">
        <w:rPr>
          <w:szCs w:val="22"/>
        </w:rPr>
        <w:t xml:space="preserve">Het dagelijkse bestuur is gedelegeerd aan de </w:t>
      </w:r>
      <w:r w:rsidRPr="00E423AE">
        <w:rPr>
          <w:i/>
          <w:szCs w:val="22"/>
        </w:rPr>
        <w:t>Executive Vice President</w:t>
      </w:r>
      <w:r w:rsidRPr="00077D70">
        <w:rPr>
          <w:szCs w:val="22"/>
        </w:rPr>
        <w:t>, sinds 1 oktober 2012 is dat de Chinees Jin-Yong Cai. Toezicht op het management is door de gouverneurs gedelegeerd aan de Raad van Bewindvoerders. Deze komt frequent bijeen en telt vijfentwintig zetels. De vijf grootste aandeelhouders – de V</w:t>
      </w:r>
      <w:r w:rsidR="00C20672">
        <w:rPr>
          <w:szCs w:val="22"/>
        </w:rPr>
        <w:t xml:space="preserve">erenigde </w:t>
      </w:r>
      <w:r w:rsidRPr="00077D70">
        <w:rPr>
          <w:szCs w:val="22"/>
        </w:rPr>
        <w:t>S</w:t>
      </w:r>
      <w:r w:rsidR="00C20672">
        <w:rPr>
          <w:szCs w:val="22"/>
        </w:rPr>
        <w:t>taten</w:t>
      </w:r>
      <w:r w:rsidR="002124A7">
        <w:rPr>
          <w:szCs w:val="22"/>
        </w:rPr>
        <w:t xml:space="preserve"> (22,75%)</w:t>
      </w:r>
      <w:r w:rsidRPr="00077D70">
        <w:rPr>
          <w:szCs w:val="22"/>
        </w:rPr>
        <w:t>, Japan</w:t>
      </w:r>
      <w:r w:rsidR="002124A7">
        <w:rPr>
          <w:szCs w:val="22"/>
        </w:rPr>
        <w:t xml:space="preserve"> (6,49%)</w:t>
      </w:r>
      <w:r w:rsidRPr="00077D70">
        <w:rPr>
          <w:szCs w:val="22"/>
        </w:rPr>
        <w:t>, Duitsland</w:t>
      </w:r>
      <w:r w:rsidR="002124A7">
        <w:rPr>
          <w:szCs w:val="22"/>
        </w:rPr>
        <w:t xml:space="preserve"> (5,15%)</w:t>
      </w:r>
      <w:r w:rsidRPr="00077D70">
        <w:rPr>
          <w:szCs w:val="22"/>
        </w:rPr>
        <w:t>, Frankrijk</w:t>
      </w:r>
      <w:r w:rsidR="002124A7">
        <w:rPr>
          <w:szCs w:val="22"/>
        </w:rPr>
        <w:t xml:space="preserve"> (4,84%)</w:t>
      </w:r>
      <w:r w:rsidRPr="00077D70">
        <w:rPr>
          <w:szCs w:val="22"/>
        </w:rPr>
        <w:t xml:space="preserve"> en het V</w:t>
      </w:r>
      <w:r w:rsidR="00C20672">
        <w:rPr>
          <w:szCs w:val="22"/>
        </w:rPr>
        <w:t xml:space="preserve">erenigd </w:t>
      </w:r>
      <w:r w:rsidRPr="00077D70">
        <w:rPr>
          <w:szCs w:val="22"/>
        </w:rPr>
        <w:t>K</w:t>
      </w:r>
      <w:r w:rsidR="00C20672">
        <w:rPr>
          <w:szCs w:val="22"/>
        </w:rPr>
        <w:t>oninkrijk</w:t>
      </w:r>
      <w:r w:rsidR="002124A7">
        <w:rPr>
          <w:szCs w:val="22"/>
        </w:rPr>
        <w:t xml:space="preserve"> (4,84%)</w:t>
      </w:r>
      <w:r w:rsidRPr="00077D70">
        <w:rPr>
          <w:szCs w:val="22"/>
        </w:rPr>
        <w:t xml:space="preserve"> – mogen een eigen bewindvoerder benoemen. De overige leden zijn gegroepeerd in kiesgroepen. Leden kiezen zelf hoe ze gegroepeerd willen zijn en wie als bewindvoerder de kiesgroep in de Raad</w:t>
      </w:r>
      <w:r w:rsidR="00EE745C">
        <w:rPr>
          <w:szCs w:val="22"/>
        </w:rPr>
        <w:t xml:space="preserve"> van Bewindvoerders</w:t>
      </w:r>
      <w:r w:rsidRPr="00077D70">
        <w:rPr>
          <w:szCs w:val="22"/>
        </w:rPr>
        <w:t xml:space="preserve"> vertegenwoordigt. Het stemgewicht van de bewindvoerders is gebaseerd op het aandeel van de door hen vertegenwoordigde (kiesgroep)landen in het kapitaal van </w:t>
      </w:r>
      <w:r w:rsidR="00646987">
        <w:rPr>
          <w:szCs w:val="22"/>
        </w:rPr>
        <w:t>IFC</w:t>
      </w:r>
      <w:r w:rsidRPr="00077D70">
        <w:rPr>
          <w:szCs w:val="22"/>
        </w:rPr>
        <w:t>. De Raad benoemt en ontslaat de President en beoordeelt individuele voorstellen voor leningen en investeringen. De Raad kan beslissingen nemen op basis van meerderheid van stemmen maar besluit doorgaans bij consensus. De Raad heeft een adviserende rol in de formulering van beleid.</w:t>
      </w:r>
      <w:r w:rsidR="00F3042C">
        <w:rPr>
          <w:szCs w:val="22"/>
        </w:rPr>
        <w:t xml:space="preserve"> </w:t>
      </w:r>
    </w:p>
    <w:p w14:paraId="3A32AEFC" w14:textId="77777777" w:rsidR="00552266" w:rsidRDefault="00552266" w:rsidP="00077D70">
      <w:pPr>
        <w:rPr>
          <w:szCs w:val="22"/>
        </w:rPr>
      </w:pPr>
    </w:p>
    <w:p w14:paraId="3A32AEFD" w14:textId="691E6544" w:rsidR="00F3042C" w:rsidRDefault="00EE745C" w:rsidP="00E41D02">
      <w:pPr>
        <w:rPr>
          <w:szCs w:val="22"/>
        </w:rPr>
      </w:pPr>
      <w:r>
        <w:rPr>
          <w:szCs w:val="22"/>
        </w:rPr>
        <w:t>I</w:t>
      </w:r>
      <w:r w:rsidRPr="003B5593">
        <w:rPr>
          <w:szCs w:val="22"/>
        </w:rPr>
        <w:t>n tegenstelling tot andere mu</w:t>
      </w:r>
      <w:r>
        <w:rPr>
          <w:szCs w:val="22"/>
        </w:rPr>
        <w:t>ltilaterale instellingen, die lenen tegen vaste minimale marges boven</w:t>
      </w:r>
      <w:r w:rsidR="00EF31ED">
        <w:rPr>
          <w:szCs w:val="22"/>
        </w:rPr>
        <w:t>op</w:t>
      </w:r>
      <w:r>
        <w:rPr>
          <w:szCs w:val="22"/>
        </w:rPr>
        <w:t xml:space="preserve"> </w:t>
      </w:r>
      <w:r w:rsidRPr="003B5593">
        <w:rPr>
          <w:szCs w:val="22"/>
        </w:rPr>
        <w:t xml:space="preserve">de kosten van de fondsen, </w:t>
      </w:r>
      <w:r>
        <w:rPr>
          <w:szCs w:val="22"/>
        </w:rPr>
        <w:t xml:space="preserve">rekent </w:t>
      </w:r>
      <w:r w:rsidR="00646987">
        <w:rPr>
          <w:szCs w:val="22"/>
        </w:rPr>
        <w:t>IFC</w:t>
      </w:r>
      <w:r w:rsidRPr="003B5593">
        <w:rPr>
          <w:szCs w:val="22"/>
        </w:rPr>
        <w:t xml:space="preserve"> commerc</w:t>
      </w:r>
      <w:r>
        <w:rPr>
          <w:szCs w:val="22"/>
        </w:rPr>
        <w:t>iële tarieven voor</w:t>
      </w:r>
      <w:r w:rsidRPr="003B5593">
        <w:rPr>
          <w:szCs w:val="22"/>
        </w:rPr>
        <w:t xml:space="preserve"> haar leningen </w:t>
      </w:r>
      <w:r w:rsidR="0083532A">
        <w:rPr>
          <w:szCs w:val="22"/>
        </w:rPr>
        <w:t xml:space="preserve">en </w:t>
      </w:r>
      <w:r>
        <w:rPr>
          <w:szCs w:val="22"/>
        </w:rPr>
        <w:t xml:space="preserve">diensten en streeft </w:t>
      </w:r>
      <w:r w:rsidR="00646987">
        <w:rPr>
          <w:szCs w:val="22"/>
        </w:rPr>
        <w:t>IFC</w:t>
      </w:r>
      <w:r>
        <w:rPr>
          <w:szCs w:val="22"/>
        </w:rPr>
        <w:t xml:space="preserve"> </w:t>
      </w:r>
      <w:r w:rsidRPr="003B5593">
        <w:rPr>
          <w:szCs w:val="22"/>
        </w:rPr>
        <w:t xml:space="preserve">rendement </w:t>
      </w:r>
      <w:r>
        <w:rPr>
          <w:szCs w:val="22"/>
        </w:rPr>
        <w:t xml:space="preserve">na op haar investeringen. </w:t>
      </w:r>
      <w:r w:rsidR="0083532A">
        <w:rPr>
          <w:szCs w:val="22"/>
        </w:rPr>
        <w:t>Aangezien</w:t>
      </w:r>
      <w:r w:rsidR="0083532A" w:rsidRPr="003B5593">
        <w:rPr>
          <w:szCs w:val="22"/>
        </w:rPr>
        <w:t xml:space="preserve"> </w:t>
      </w:r>
      <w:r w:rsidR="00646987">
        <w:rPr>
          <w:szCs w:val="22"/>
        </w:rPr>
        <w:t>IFC</w:t>
      </w:r>
      <w:r w:rsidR="003B5593">
        <w:rPr>
          <w:szCs w:val="22"/>
        </w:rPr>
        <w:t xml:space="preserve"> </w:t>
      </w:r>
      <w:r w:rsidR="00EF31ED">
        <w:rPr>
          <w:szCs w:val="22"/>
        </w:rPr>
        <w:t>zich tot doel stelt o</w:t>
      </w:r>
      <w:r w:rsidR="003B5593">
        <w:rPr>
          <w:szCs w:val="22"/>
        </w:rPr>
        <w:t>m de groei van</w:t>
      </w:r>
      <w:r w:rsidR="003B5593" w:rsidRPr="003B5593">
        <w:rPr>
          <w:szCs w:val="22"/>
        </w:rPr>
        <w:t xml:space="preserve"> productieve particuliere ondern</w:t>
      </w:r>
      <w:r w:rsidR="003B5593">
        <w:rPr>
          <w:szCs w:val="22"/>
        </w:rPr>
        <w:t xml:space="preserve">emingen te ondersteunen zonder </w:t>
      </w:r>
      <w:r w:rsidR="003B5593" w:rsidRPr="003B5593">
        <w:rPr>
          <w:szCs w:val="22"/>
        </w:rPr>
        <w:t xml:space="preserve">overheidsgaranties, </w:t>
      </w:r>
      <w:r w:rsidR="003B5593">
        <w:rPr>
          <w:szCs w:val="22"/>
        </w:rPr>
        <w:t xml:space="preserve">weerspiegelt het </w:t>
      </w:r>
      <w:r w:rsidR="003B5593" w:rsidRPr="003B5593">
        <w:rPr>
          <w:szCs w:val="22"/>
        </w:rPr>
        <w:t>operationele en financiële beleid</w:t>
      </w:r>
      <w:r w:rsidR="003B5593">
        <w:rPr>
          <w:szCs w:val="22"/>
        </w:rPr>
        <w:t xml:space="preserve"> van </w:t>
      </w:r>
      <w:r w:rsidR="00646987">
        <w:rPr>
          <w:szCs w:val="22"/>
        </w:rPr>
        <w:t>IFC</w:t>
      </w:r>
      <w:r w:rsidR="003B5593">
        <w:rPr>
          <w:szCs w:val="22"/>
        </w:rPr>
        <w:t xml:space="preserve"> de risico’s é</w:t>
      </w:r>
      <w:r w:rsidR="003B5593" w:rsidRPr="003B5593">
        <w:rPr>
          <w:szCs w:val="22"/>
        </w:rPr>
        <w:t>n</w:t>
      </w:r>
      <w:r w:rsidR="003B5593">
        <w:rPr>
          <w:szCs w:val="22"/>
        </w:rPr>
        <w:t xml:space="preserve"> </w:t>
      </w:r>
      <w:r w:rsidR="00221006">
        <w:rPr>
          <w:szCs w:val="22"/>
        </w:rPr>
        <w:t xml:space="preserve">de </w:t>
      </w:r>
      <w:r w:rsidR="003B5593" w:rsidRPr="003B5593">
        <w:rPr>
          <w:szCs w:val="22"/>
        </w:rPr>
        <w:t xml:space="preserve">mogelijkheden van het werken in een marktomgeving. </w:t>
      </w:r>
      <w:r w:rsidRPr="003B5593">
        <w:rPr>
          <w:szCs w:val="22"/>
        </w:rPr>
        <w:t xml:space="preserve">Zo wordt veel nadruk </w:t>
      </w:r>
      <w:r>
        <w:rPr>
          <w:szCs w:val="22"/>
        </w:rPr>
        <w:t xml:space="preserve">gelegd </w:t>
      </w:r>
      <w:r w:rsidRPr="003B5593">
        <w:rPr>
          <w:szCs w:val="22"/>
        </w:rPr>
        <w:t>op de technische, financiële en economische leve</w:t>
      </w:r>
      <w:r>
        <w:rPr>
          <w:szCs w:val="22"/>
        </w:rPr>
        <w:t xml:space="preserve">nsvatbaarheid van </w:t>
      </w:r>
      <w:r w:rsidRPr="003B5593">
        <w:rPr>
          <w:szCs w:val="22"/>
        </w:rPr>
        <w:t xml:space="preserve">specifieke transacties, </w:t>
      </w:r>
      <w:r w:rsidR="0083532A">
        <w:rPr>
          <w:szCs w:val="22"/>
        </w:rPr>
        <w:t>waarbij</w:t>
      </w:r>
      <w:r w:rsidRPr="003B5593">
        <w:rPr>
          <w:szCs w:val="22"/>
        </w:rPr>
        <w:t xml:space="preserve"> verwachte rendementen in</w:t>
      </w:r>
      <w:r>
        <w:rPr>
          <w:szCs w:val="22"/>
        </w:rPr>
        <w:t xml:space="preserve"> de juiste</w:t>
      </w:r>
      <w:r w:rsidRPr="003B5593">
        <w:rPr>
          <w:szCs w:val="22"/>
        </w:rPr>
        <w:t xml:space="preserve"> verhoudi</w:t>
      </w:r>
      <w:r>
        <w:rPr>
          <w:szCs w:val="22"/>
        </w:rPr>
        <w:t xml:space="preserve">ng tot de risico's moeten </w:t>
      </w:r>
      <w:r w:rsidR="00EF31ED">
        <w:rPr>
          <w:szCs w:val="22"/>
        </w:rPr>
        <w:t>staan</w:t>
      </w:r>
      <w:r w:rsidR="00D315F2">
        <w:rPr>
          <w:szCs w:val="22"/>
        </w:rPr>
        <w:t>.</w:t>
      </w:r>
      <w:r>
        <w:rPr>
          <w:szCs w:val="22"/>
        </w:rPr>
        <w:t xml:space="preserve"> </w:t>
      </w:r>
      <w:r w:rsidR="003B5593">
        <w:rPr>
          <w:szCs w:val="22"/>
        </w:rPr>
        <w:t>Het p</w:t>
      </w:r>
      <w:r w:rsidR="003B5593" w:rsidRPr="003B5593">
        <w:rPr>
          <w:szCs w:val="22"/>
        </w:rPr>
        <w:t xml:space="preserve">ersoneel </w:t>
      </w:r>
      <w:r w:rsidR="003B5593">
        <w:rPr>
          <w:szCs w:val="22"/>
        </w:rPr>
        <w:t xml:space="preserve">van </w:t>
      </w:r>
      <w:r w:rsidR="00646987">
        <w:rPr>
          <w:szCs w:val="22"/>
        </w:rPr>
        <w:t>IFC</w:t>
      </w:r>
      <w:r w:rsidR="003B5593" w:rsidRPr="003B5593">
        <w:rPr>
          <w:szCs w:val="22"/>
        </w:rPr>
        <w:t xml:space="preserve"> komt grotende</w:t>
      </w:r>
      <w:r w:rsidR="003B5593">
        <w:rPr>
          <w:szCs w:val="22"/>
        </w:rPr>
        <w:t xml:space="preserve">els uit de particuliere </w:t>
      </w:r>
      <w:r w:rsidR="003B5593" w:rsidRPr="003B5593">
        <w:rPr>
          <w:szCs w:val="22"/>
        </w:rPr>
        <w:t xml:space="preserve">sector en </w:t>
      </w:r>
      <w:r w:rsidR="00221006">
        <w:rPr>
          <w:szCs w:val="22"/>
        </w:rPr>
        <w:t>is getraind op het identificeren van</w:t>
      </w:r>
      <w:r w:rsidR="003B5593" w:rsidRPr="003B5593">
        <w:rPr>
          <w:szCs w:val="22"/>
        </w:rPr>
        <w:t xml:space="preserve"> deze risico's en kansen, </w:t>
      </w:r>
      <w:r w:rsidR="00221006">
        <w:rPr>
          <w:szCs w:val="22"/>
        </w:rPr>
        <w:t>vooral in de context van</w:t>
      </w:r>
      <w:r w:rsidR="003B5593" w:rsidRPr="003B5593">
        <w:rPr>
          <w:szCs w:val="22"/>
        </w:rPr>
        <w:t xml:space="preserve"> ontwikkelings</w:t>
      </w:r>
      <w:r w:rsidR="00221006">
        <w:rPr>
          <w:szCs w:val="22"/>
        </w:rPr>
        <w:t>landen</w:t>
      </w:r>
      <w:r w:rsidR="00E56B66">
        <w:rPr>
          <w:szCs w:val="22"/>
        </w:rPr>
        <w:t>.</w:t>
      </w:r>
    </w:p>
    <w:p w14:paraId="3A32AEFE" w14:textId="77777777" w:rsidR="006B3971" w:rsidRDefault="00F24A31" w:rsidP="005B4830">
      <w:pPr>
        <w:pStyle w:val="Heading2"/>
        <w:tabs>
          <w:tab w:val="left" w:pos="-1162"/>
          <w:tab w:val="left" w:pos="0"/>
          <w:tab w:val="num" w:pos="1160"/>
        </w:tabs>
        <w:spacing w:line="240" w:lineRule="auto"/>
        <w:ind w:hanging="1162"/>
      </w:pPr>
      <w:bookmarkStart w:id="38" w:name="_Toc410397626"/>
      <w:bookmarkStart w:id="39" w:name="_Toc422131306"/>
      <w:bookmarkStart w:id="40" w:name="_Toc422131850"/>
      <w:bookmarkStart w:id="41" w:name="_Toc422131883"/>
      <w:bookmarkStart w:id="42" w:name="_Toc422132110"/>
      <w:bookmarkStart w:id="43" w:name="_Toc422132164"/>
      <w:r>
        <w:t xml:space="preserve">2.3 </w:t>
      </w:r>
      <w:r>
        <w:tab/>
      </w:r>
      <w:r w:rsidR="00D745A7">
        <w:t xml:space="preserve">Nederlandse </w:t>
      </w:r>
      <w:r w:rsidR="000304C1">
        <w:t>rol en invloed</w:t>
      </w:r>
      <w:bookmarkEnd w:id="38"/>
      <w:bookmarkEnd w:id="39"/>
      <w:bookmarkEnd w:id="40"/>
      <w:bookmarkEnd w:id="41"/>
      <w:bookmarkEnd w:id="42"/>
      <w:bookmarkEnd w:id="43"/>
    </w:p>
    <w:p w14:paraId="3A32AEFF" w14:textId="40C45A66" w:rsidR="00431598" w:rsidRDefault="00E41D02" w:rsidP="00A908F9">
      <w:r w:rsidRPr="00E41D02">
        <w:t xml:space="preserve">De Nederlandse Gouverneur is de </w:t>
      </w:r>
      <w:r w:rsidR="00EF31ED">
        <w:t>m</w:t>
      </w:r>
      <w:r w:rsidRPr="00E41D02">
        <w:t xml:space="preserve">inister van Financiën, zijn plaatsvervanger is de </w:t>
      </w:r>
      <w:r w:rsidR="00EF31ED">
        <w:t>m</w:t>
      </w:r>
      <w:r w:rsidRPr="00E41D02">
        <w:t xml:space="preserve">inister voor Buitenlandse Handel en Ontwikkelingssamenwerking. Nederland bekleedt permanent de positie van Bewindvoerder in </w:t>
      </w:r>
      <w:r w:rsidR="006A3182">
        <w:t>de Kiesgroep waar Nederland lid van is</w:t>
      </w:r>
      <w:r w:rsidRPr="00E41D02">
        <w:t xml:space="preserve">. </w:t>
      </w:r>
    </w:p>
    <w:p w14:paraId="3A32AF00" w14:textId="77777777" w:rsidR="00431598" w:rsidRDefault="00431598" w:rsidP="00A908F9"/>
    <w:p w14:paraId="3A32AF01" w14:textId="72CF5D0B" w:rsidR="00431598" w:rsidRDefault="00431598" w:rsidP="00A908F9">
      <w:r>
        <w:t xml:space="preserve">Nederland is één van de grondleggers van </w:t>
      </w:r>
      <w:r w:rsidR="00646987">
        <w:t>IFC</w:t>
      </w:r>
      <w:r w:rsidR="00322564">
        <w:t xml:space="preserve">, de </w:t>
      </w:r>
      <w:r w:rsidR="008078F1">
        <w:t xml:space="preserve">derde </w:t>
      </w:r>
      <w:r w:rsidR="00B757A6">
        <w:t>donor</w:t>
      </w:r>
      <w:r w:rsidR="008078F1">
        <w:rPr>
          <w:rStyle w:val="FootnoteReference"/>
        </w:rPr>
        <w:footnoteReference w:id="3"/>
      </w:r>
      <w:r w:rsidR="00B757A6">
        <w:t xml:space="preserve"> en </w:t>
      </w:r>
      <w:r>
        <w:t>de tiende grootste aandeelhouder</w:t>
      </w:r>
      <w:r w:rsidR="00B757A6">
        <w:t xml:space="preserve"> van </w:t>
      </w:r>
      <w:r w:rsidR="00646987">
        <w:t>IFC</w:t>
      </w:r>
      <w:r>
        <w:t xml:space="preserve">. Nederland kent een lange samenwerkingsrelatie met </w:t>
      </w:r>
      <w:r w:rsidR="00646987">
        <w:t>IFC</w:t>
      </w:r>
      <w:r>
        <w:t xml:space="preserve"> en ondersteunt </w:t>
      </w:r>
      <w:r w:rsidR="00646987">
        <w:t>IFC</w:t>
      </w:r>
      <w:r>
        <w:t xml:space="preserve"> bij investeringsoperaties en internationale handelsfinanciering en is een partner bij de adviesdiensten van </w:t>
      </w:r>
      <w:r w:rsidR="00646987">
        <w:t>IFC</w:t>
      </w:r>
      <w:r>
        <w:t>. IFC profiteert ook van Nederlandse expertise</w:t>
      </w:r>
      <w:r w:rsidR="00EE745C">
        <w:t xml:space="preserve"> bijvoorbeeld</w:t>
      </w:r>
      <w:r w:rsidR="00FD0B22">
        <w:t xml:space="preserve"> </w:t>
      </w:r>
      <w:r>
        <w:t xml:space="preserve">door Nederlands personeel bij </w:t>
      </w:r>
      <w:r w:rsidR="00646987">
        <w:t>IFC</w:t>
      </w:r>
      <w:r w:rsidR="00EE745C">
        <w:t>.</w:t>
      </w:r>
      <w:r>
        <w:t xml:space="preserve"> </w:t>
      </w:r>
    </w:p>
    <w:p w14:paraId="3A32AF02" w14:textId="77777777" w:rsidR="004C5589" w:rsidRDefault="004C5589" w:rsidP="00310C62"/>
    <w:p w14:paraId="3A32AF03" w14:textId="70C66AA9" w:rsidR="00A908F9" w:rsidRDefault="00E41D02" w:rsidP="00A908F9">
      <w:r w:rsidRPr="00A51B50">
        <w:t xml:space="preserve">Het Nederlandse stemaandeel, gebaseerd op het </w:t>
      </w:r>
      <w:r w:rsidR="00EF31ED">
        <w:t>ingelegde</w:t>
      </w:r>
      <w:r w:rsidR="00EF31ED" w:rsidRPr="00A51B50">
        <w:t xml:space="preserve"> </w:t>
      </w:r>
      <w:r w:rsidRPr="00A51B50">
        <w:t xml:space="preserve">kapitaal, is </w:t>
      </w:r>
      <w:r w:rsidRPr="00132760">
        <w:t>2,</w:t>
      </w:r>
      <w:r w:rsidR="0046613E">
        <w:t>1</w:t>
      </w:r>
      <w:r w:rsidRPr="00132760">
        <w:t>4%.</w:t>
      </w:r>
      <w:r w:rsidRPr="00A51B50">
        <w:t xml:space="preserve"> Het gezamenlijke stemgewicht van de Nederlandse kiesgroep is </w:t>
      </w:r>
      <w:r w:rsidRPr="00132760">
        <w:t>3,</w:t>
      </w:r>
      <w:r w:rsidR="00A51B50" w:rsidRPr="00132760">
        <w:t>65</w:t>
      </w:r>
      <w:r w:rsidRPr="00132760">
        <w:t>%.</w:t>
      </w:r>
      <w:r w:rsidR="00B6771F">
        <w:rPr>
          <w:rStyle w:val="FootnoteReference"/>
        </w:rPr>
        <w:footnoteReference w:id="4"/>
      </w:r>
    </w:p>
    <w:p w14:paraId="3A32AF04" w14:textId="77777777" w:rsidR="00E41D02" w:rsidRDefault="00E41D02" w:rsidP="00E41D02"/>
    <w:p w14:paraId="3A32AF05" w14:textId="77777777" w:rsidR="00B95FC2" w:rsidRDefault="00F24A31" w:rsidP="005B4830">
      <w:pPr>
        <w:pStyle w:val="Heading2"/>
        <w:tabs>
          <w:tab w:val="left" w:pos="-1162"/>
          <w:tab w:val="left" w:pos="0"/>
          <w:tab w:val="num" w:pos="1160"/>
        </w:tabs>
        <w:spacing w:line="240" w:lineRule="auto"/>
        <w:ind w:hanging="1162"/>
      </w:pPr>
      <w:bookmarkStart w:id="44" w:name="_Toc422131307"/>
      <w:bookmarkStart w:id="45" w:name="_Toc422131851"/>
      <w:bookmarkStart w:id="46" w:name="_Toc422131884"/>
      <w:bookmarkStart w:id="47" w:name="_Toc422132111"/>
      <w:bookmarkStart w:id="48" w:name="_Toc422132165"/>
      <w:r>
        <w:t>2.4</w:t>
      </w:r>
      <w:r>
        <w:tab/>
      </w:r>
      <w:r w:rsidR="00D745A7">
        <w:t>Financiële omvang en bijdragen</w:t>
      </w:r>
      <w:bookmarkEnd w:id="44"/>
      <w:bookmarkEnd w:id="45"/>
      <w:bookmarkEnd w:id="46"/>
      <w:bookmarkEnd w:id="47"/>
      <w:bookmarkEnd w:id="48"/>
    </w:p>
    <w:p w14:paraId="3A32AF06" w14:textId="4634CDBB" w:rsidR="00275A4D" w:rsidRDefault="00275A4D" w:rsidP="00275A4D">
      <w:r w:rsidRPr="00A51B50">
        <w:t xml:space="preserve">Het aandelenkapitaal van </w:t>
      </w:r>
      <w:r w:rsidR="00646987">
        <w:t>IFC</w:t>
      </w:r>
      <w:r w:rsidRPr="00A51B50">
        <w:t xml:space="preserve"> bedroeg in </w:t>
      </w:r>
      <w:r w:rsidR="00B757A6" w:rsidRPr="00132760">
        <w:t>fiscaal jaar 2014 (juli 2013-juli 2014</w:t>
      </w:r>
      <w:r w:rsidRPr="00132760">
        <w:t xml:space="preserve">) </w:t>
      </w:r>
      <w:r w:rsidR="00235E60">
        <w:t xml:space="preserve">USD </w:t>
      </w:r>
      <w:r w:rsidR="00654E0C">
        <w:t>2,5</w:t>
      </w:r>
      <w:r w:rsidRPr="00132760">
        <w:t xml:space="preserve"> miljard</w:t>
      </w:r>
      <w:r w:rsidRPr="00A51B50">
        <w:t xml:space="preserve">. IFC heeft geen garantiekapitaal. De totale omvang van de eigen investeringen bedroeg in </w:t>
      </w:r>
      <w:r w:rsidR="0083532A">
        <w:t>fiscaal jaar</w:t>
      </w:r>
      <w:r w:rsidR="00BF0759" w:rsidRPr="00A51B50">
        <w:t xml:space="preserve"> 2014 </w:t>
      </w:r>
      <w:r w:rsidR="00235E60">
        <w:t xml:space="preserve">USD </w:t>
      </w:r>
      <w:r w:rsidR="00BF0759" w:rsidRPr="00A51B50">
        <w:t>17,3</w:t>
      </w:r>
      <w:r w:rsidRPr="00A51B50">
        <w:t xml:space="preserve"> miljard. </w:t>
      </w:r>
      <w:r w:rsidR="00F64C4F" w:rsidRPr="00A51B50">
        <w:t xml:space="preserve">Dit is terecht gekomen bij meer dan </w:t>
      </w:r>
      <w:r w:rsidR="00841598">
        <w:t>599</w:t>
      </w:r>
      <w:r w:rsidR="00841598" w:rsidRPr="00A51B50">
        <w:t xml:space="preserve"> </w:t>
      </w:r>
      <w:r w:rsidR="00F64C4F" w:rsidRPr="00A51B50">
        <w:t xml:space="preserve">projecten. </w:t>
      </w:r>
      <w:r w:rsidRPr="00E17E8B">
        <w:t xml:space="preserve">Daarnaast heeft IFC </w:t>
      </w:r>
      <w:r w:rsidR="00235525" w:rsidRPr="00E17E8B">
        <w:t>voor</w:t>
      </w:r>
      <w:r w:rsidRPr="00E17E8B">
        <w:t xml:space="preserve"> </w:t>
      </w:r>
      <w:r w:rsidR="00235E60">
        <w:t xml:space="preserve">USD </w:t>
      </w:r>
      <w:r w:rsidRPr="00E17E8B">
        <w:t>5 miljard aan additionele financiering van private investeerders gemobiliseerd.</w:t>
      </w:r>
      <w:r w:rsidR="00B6771F">
        <w:t xml:space="preserve"> </w:t>
      </w:r>
    </w:p>
    <w:p w14:paraId="3A32AF07" w14:textId="77777777" w:rsidR="00D315F2" w:rsidRDefault="00D315F2" w:rsidP="00275A4D"/>
    <w:p w14:paraId="3A32AF08" w14:textId="6F7DAD59" w:rsidR="006D017E" w:rsidRDefault="00275A4D" w:rsidP="006D017E">
      <w:r w:rsidRPr="00132760">
        <w:t xml:space="preserve">Nederland heeft een aandeel </w:t>
      </w:r>
      <w:r w:rsidR="006D017E">
        <w:t xml:space="preserve">(gestort kapitaal) </w:t>
      </w:r>
      <w:r w:rsidRPr="00132760">
        <w:t xml:space="preserve">in IFC van </w:t>
      </w:r>
      <w:r w:rsidR="00235E60">
        <w:t xml:space="preserve">USD </w:t>
      </w:r>
      <w:r w:rsidR="001D41B8" w:rsidRPr="00132760">
        <w:t>56,1</w:t>
      </w:r>
      <w:r w:rsidRPr="00132760">
        <w:t xml:space="preserve"> miljoen</w:t>
      </w:r>
      <w:r w:rsidR="00235E60">
        <w:t>,</w:t>
      </w:r>
      <w:r w:rsidRPr="00132760">
        <w:t xml:space="preserve"> dit komt overeen met 2,</w:t>
      </w:r>
      <w:r w:rsidR="001D41B8" w:rsidRPr="00132760">
        <w:t>2</w:t>
      </w:r>
      <w:r w:rsidRPr="00132760">
        <w:t>4% van de aandelen</w:t>
      </w:r>
      <w:r w:rsidR="00247937">
        <w:t>.</w:t>
      </w:r>
      <w:r w:rsidRPr="00132760">
        <w:t xml:space="preserve"> De Verenigde Staten zijn de grootste aandeelhouder en</w:t>
      </w:r>
      <w:r w:rsidR="00B34E8E" w:rsidRPr="00132760">
        <w:t xml:space="preserve"> hebben een stemgewicht van 22,7</w:t>
      </w:r>
      <w:r w:rsidRPr="00132760">
        <w:t>5%.</w:t>
      </w:r>
    </w:p>
    <w:p w14:paraId="3A32AF09" w14:textId="77777777" w:rsidR="00275A4D" w:rsidRDefault="00275A4D" w:rsidP="00275A4D"/>
    <w:p w14:paraId="3A32AF0A" w14:textId="637DCA05" w:rsidR="00A24915" w:rsidRDefault="00275A4D" w:rsidP="00FC76A5">
      <w:r>
        <w:t xml:space="preserve">Naast de bijdrage </w:t>
      </w:r>
      <w:r w:rsidR="00384D86">
        <w:t xml:space="preserve">aan </w:t>
      </w:r>
      <w:r>
        <w:t>het kapitaal van IFC (</w:t>
      </w:r>
      <w:r w:rsidR="00384D86">
        <w:t xml:space="preserve">afkomstig van de </w:t>
      </w:r>
      <w:r>
        <w:t xml:space="preserve">begroting </w:t>
      </w:r>
      <w:r w:rsidR="00384D86">
        <w:t xml:space="preserve">van het </w:t>
      </w:r>
      <w:r>
        <w:t xml:space="preserve">ministerie van Financiën), is Nederland ook donor van IFC’s </w:t>
      </w:r>
      <w:r w:rsidRPr="00E423AE">
        <w:rPr>
          <w:i/>
        </w:rPr>
        <w:t>Advisory Services</w:t>
      </w:r>
      <w:r>
        <w:t xml:space="preserve"> </w:t>
      </w:r>
      <w:r w:rsidR="00FA60E9">
        <w:t xml:space="preserve">en </w:t>
      </w:r>
      <w:r w:rsidR="00FA60E9" w:rsidRPr="00E423AE">
        <w:rPr>
          <w:i/>
        </w:rPr>
        <w:t>Investment Services</w:t>
      </w:r>
      <w:r w:rsidR="00FA60E9">
        <w:t xml:space="preserve"> </w:t>
      </w:r>
      <w:r>
        <w:t>programma’s</w:t>
      </w:r>
      <w:r w:rsidR="000F07B8">
        <w:t xml:space="preserve"> (</w:t>
      </w:r>
      <w:r>
        <w:t>begroting van Buitenlandse Zaken</w:t>
      </w:r>
      <w:r w:rsidR="000F07B8">
        <w:t xml:space="preserve"> BHOS)</w:t>
      </w:r>
      <w:r>
        <w:t>.</w:t>
      </w:r>
    </w:p>
    <w:p w14:paraId="3A32AF0B" w14:textId="77777777" w:rsidR="00A24915" w:rsidRDefault="00A24915" w:rsidP="00FC76A5"/>
    <w:p w14:paraId="3A32AF0C" w14:textId="3E8F9AFC" w:rsidR="00FC76A5" w:rsidRPr="00D828D7" w:rsidRDefault="00FA60E9" w:rsidP="00FC76A5">
      <w:r w:rsidRPr="00D828D7">
        <w:t xml:space="preserve">Sinds de oprichting van </w:t>
      </w:r>
      <w:r w:rsidR="00646987">
        <w:t>IFC</w:t>
      </w:r>
      <w:r w:rsidRPr="00D828D7">
        <w:t xml:space="preserve"> in 1956 heeft Nederland in totaal ongeveer </w:t>
      </w:r>
      <w:r w:rsidR="00235E60">
        <w:t xml:space="preserve">USD </w:t>
      </w:r>
      <w:r w:rsidRPr="00D828D7">
        <w:t>360,72 miljoen bijgedragen aan</w:t>
      </w:r>
      <w:r w:rsidRPr="00E423AE">
        <w:rPr>
          <w:i/>
        </w:rPr>
        <w:t xml:space="preserve"> Advisory Services</w:t>
      </w:r>
      <w:r w:rsidRPr="00D828D7">
        <w:t xml:space="preserve">. Hiermee is Nederland, na het Verenigd Koninkrijk, de tweede </w:t>
      </w:r>
      <w:r w:rsidRPr="00E423AE">
        <w:rPr>
          <w:i/>
        </w:rPr>
        <w:t>trust fund</w:t>
      </w:r>
      <w:r w:rsidRPr="00D828D7">
        <w:t xml:space="preserve"> donor van IFC. Andere belangrijke donoren zijn Canada, Zwitserland, VS, Japan en Oostenrijk. </w:t>
      </w:r>
      <w:r w:rsidR="00384D86">
        <w:t xml:space="preserve">Nederland draagt </w:t>
      </w:r>
      <w:r>
        <w:t xml:space="preserve">aan IFC’s </w:t>
      </w:r>
      <w:r w:rsidRPr="00E423AE">
        <w:rPr>
          <w:i/>
        </w:rPr>
        <w:t>Advisory Services</w:t>
      </w:r>
      <w:r>
        <w:t xml:space="preserve"> </w:t>
      </w:r>
      <w:proofErr w:type="gramStart"/>
      <w:r w:rsidR="00384D86">
        <w:t>met name</w:t>
      </w:r>
      <w:proofErr w:type="gramEnd"/>
      <w:r w:rsidR="00384D86">
        <w:t xml:space="preserve"> bij </w:t>
      </w:r>
      <w:r w:rsidR="00275A4D">
        <w:t xml:space="preserve">via het </w:t>
      </w:r>
      <w:r w:rsidR="00275A4D" w:rsidRPr="00E423AE">
        <w:rPr>
          <w:i/>
        </w:rPr>
        <w:t>Netherlands-IFC Partnership Programme</w:t>
      </w:r>
      <w:r w:rsidR="00275A4D">
        <w:t xml:space="preserve"> (NIPP), waaraan gemiddeld </w:t>
      </w:r>
      <w:r w:rsidR="000F07B8">
        <w:t xml:space="preserve">USD </w:t>
      </w:r>
      <w:r w:rsidR="00275A4D">
        <w:t xml:space="preserve">22 miljoen per jaar </w:t>
      </w:r>
      <w:r w:rsidR="00384D86">
        <w:t xml:space="preserve">is </w:t>
      </w:r>
      <w:r w:rsidR="00275A4D">
        <w:t xml:space="preserve">bijgedragen. In 2013 is </w:t>
      </w:r>
      <w:r w:rsidR="00D828D7">
        <w:t xml:space="preserve">dit programma beëindigd en </w:t>
      </w:r>
      <w:r w:rsidR="000F07B8">
        <w:t xml:space="preserve">verleent </w:t>
      </w:r>
      <w:r w:rsidR="00384D86">
        <w:t xml:space="preserve">Nederland </w:t>
      </w:r>
      <w:r w:rsidR="000F07B8">
        <w:t xml:space="preserve">alleen nog </w:t>
      </w:r>
      <w:r w:rsidR="00D828D7">
        <w:t>bijdragen met een meer thematische invalshoek</w:t>
      </w:r>
      <w:r w:rsidR="006D017E">
        <w:t xml:space="preserve">, zoals aan het IFC </w:t>
      </w:r>
      <w:r w:rsidR="006D017E" w:rsidRPr="00E423AE">
        <w:rPr>
          <w:i/>
        </w:rPr>
        <w:t>Conflict Affected States in Africa</w:t>
      </w:r>
      <w:r w:rsidR="006D017E" w:rsidRPr="006D017E">
        <w:t xml:space="preserve"> (CASA)</w:t>
      </w:r>
      <w:r w:rsidR="006D017E">
        <w:t xml:space="preserve"> programma</w:t>
      </w:r>
      <w:r w:rsidR="00D828D7">
        <w:t xml:space="preserve">. </w:t>
      </w:r>
      <w:r w:rsidR="00FC76A5" w:rsidRPr="00D828D7">
        <w:t xml:space="preserve">In 2012 is een bijdrage aan het </w:t>
      </w:r>
      <w:r w:rsidR="00FC76A5" w:rsidRPr="00E423AE">
        <w:rPr>
          <w:i/>
        </w:rPr>
        <w:t xml:space="preserve">Global Agricultural and Food Security Program </w:t>
      </w:r>
      <w:r w:rsidR="00FC76A5">
        <w:t xml:space="preserve">(GAFSP) </w:t>
      </w:r>
      <w:r w:rsidR="00FC76A5" w:rsidRPr="00D828D7">
        <w:t xml:space="preserve">toegezegd van </w:t>
      </w:r>
      <w:r w:rsidR="000F07B8">
        <w:t xml:space="preserve">USD </w:t>
      </w:r>
      <w:r w:rsidR="00FC76A5" w:rsidRPr="00D828D7">
        <w:t xml:space="preserve">142,8 miljoen voor </w:t>
      </w:r>
      <w:r w:rsidR="000F07B8">
        <w:t xml:space="preserve">een periode van </w:t>
      </w:r>
      <w:r w:rsidR="00FC76A5" w:rsidRPr="00D828D7">
        <w:t xml:space="preserve">vier jaar. </w:t>
      </w:r>
      <w:r>
        <w:t xml:space="preserve">Deze toezegging betreft zowel een bijdrage aan de </w:t>
      </w:r>
      <w:r w:rsidRPr="00E423AE">
        <w:rPr>
          <w:i/>
        </w:rPr>
        <w:t>Advisory Services</w:t>
      </w:r>
      <w:r w:rsidRPr="00D828D7">
        <w:t xml:space="preserve"> (</w:t>
      </w:r>
      <w:r w:rsidR="000F07B8">
        <w:t xml:space="preserve">USD </w:t>
      </w:r>
      <w:r w:rsidRPr="00D828D7">
        <w:t>21,4 miljoen</w:t>
      </w:r>
      <w:r w:rsidR="000F07B8">
        <w:t>)</w:t>
      </w:r>
      <w:r>
        <w:t xml:space="preserve"> en een bijdrage aan de</w:t>
      </w:r>
      <w:r w:rsidR="00FC76A5" w:rsidRPr="00D828D7">
        <w:t xml:space="preserve"> </w:t>
      </w:r>
      <w:r w:rsidR="00FC76A5" w:rsidRPr="00E423AE">
        <w:rPr>
          <w:i/>
        </w:rPr>
        <w:t>Investment Services</w:t>
      </w:r>
      <w:r w:rsidR="00FC76A5" w:rsidRPr="00D828D7">
        <w:t xml:space="preserve"> (</w:t>
      </w:r>
      <w:r w:rsidR="000F07B8">
        <w:t xml:space="preserve">USD </w:t>
      </w:r>
      <w:r w:rsidR="00FC76A5" w:rsidRPr="00D828D7">
        <w:t xml:space="preserve">121,4 miljoen) </w:t>
      </w:r>
      <w:r>
        <w:t>en is</w:t>
      </w:r>
      <w:r w:rsidRPr="00D828D7">
        <w:t xml:space="preserve"> </w:t>
      </w:r>
      <w:r w:rsidR="00FC76A5">
        <w:t>ger</w:t>
      </w:r>
      <w:r w:rsidR="00FC76A5" w:rsidRPr="00D828D7">
        <w:t>i</w:t>
      </w:r>
      <w:r w:rsidR="00FC76A5">
        <w:t xml:space="preserve">cht </w:t>
      </w:r>
      <w:r w:rsidR="00FC76A5" w:rsidRPr="00D828D7">
        <w:t xml:space="preserve">op </w:t>
      </w:r>
      <w:r w:rsidR="00FC76A5">
        <w:t xml:space="preserve">het vergroten van de commerciële potentie van </w:t>
      </w:r>
      <w:r w:rsidR="000F07B8">
        <w:t>k</w:t>
      </w:r>
      <w:r w:rsidR="000F07B8" w:rsidRPr="00D828D7">
        <w:t>leine</w:t>
      </w:r>
      <w:r w:rsidR="000F07B8">
        <w:t xml:space="preserve"> en </w:t>
      </w:r>
      <w:r w:rsidR="00FC76A5">
        <w:t xml:space="preserve">middelgrote </w:t>
      </w:r>
      <w:r w:rsidR="000F07B8">
        <w:t>boeren en landbouw</w:t>
      </w:r>
      <w:r w:rsidR="00FC76A5">
        <w:t>bedrijven door hen op te nemen in waardeketens</w:t>
      </w:r>
      <w:r w:rsidR="00FC76A5" w:rsidRPr="00D828D7">
        <w:t xml:space="preserve">. </w:t>
      </w:r>
    </w:p>
    <w:p w14:paraId="3A32AF0F" w14:textId="77777777" w:rsidR="00615DD7" w:rsidRDefault="00615DD7" w:rsidP="006D017E"/>
    <w:p w14:paraId="3A32AF11" w14:textId="02D296F9" w:rsidR="00275A4D" w:rsidRDefault="00FA60E9" w:rsidP="00275A4D">
      <w:r>
        <w:t>De</w:t>
      </w:r>
      <w:r w:rsidRPr="00D801C5">
        <w:t xml:space="preserve"> </w:t>
      </w:r>
      <w:r w:rsidR="00D801C5" w:rsidRPr="00D801C5">
        <w:t xml:space="preserve">goede financiële resultaten van </w:t>
      </w:r>
      <w:r w:rsidR="00646987">
        <w:t>IFC</w:t>
      </w:r>
      <w:r>
        <w:t xml:space="preserve"> zorgen er voor dat ook IDA hiervan kan profiteren</w:t>
      </w:r>
      <w:r w:rsidR="00D801C5" w:rsidRPr="00D801C5">
        <w:t xml:space="preserve">. Sinds 2004 vindt een jaarlijkse overheveling van een deel van IFC’s netto inkomen naar IDA plaats. In 2014 bedroeg de overheveling </w:t>
      </w:r>
      <w:r w:rsidR="000F07B8">
        <w:t xml:space="preserve">USD </w:t>
      </w:r>
      <w:r w:rsidR="00D801C5" w:rsidRPr="00D801C5">
        <w:t>251 miljoen</w:t>
      </w:r>
      <w:r>
        <w:t xml:space="preserve"> en sinds 2007 is in totaal voor meer dan USD 2,8 miljard overgeheveld aan IDA</w:t>
      </w:r>
      <w:r w:rsidR="00615DD7" w:rsidRPr="00D801C5">
        <w:t xml:space="preserve">. </w:t>
      </w:r>
      <w:r>
        <w:t xml:space="preserve">IFC </w:t>
      </w:r>
      <w:r w:rsidR="000F07B8">
        <w:t xml:space="preserve">richt zich </w:t>
      </w:r>
      <w:r>
        <w:t>zelf ook op lage inkomenslanden</w:t>
      </w:r>
      <w:r w:rsidR="000F07B8">
        <w:t xml:space="preserve">. In 2014 zijn door IFC </w:t>
      </w:r>
      <w:r>
        <w:t>b</w:t>
      </w:r>
      <w:r w:rsidR="006D017E" w:rsidRPr="00235525">
        <w:t xml:space="preserve">ijna </w:t>
      </w:r>
      <w:r>
        <w:t>300</w:t>
      </w:r>
      <w:r w:rsidR="006D017E" w:rsidRPr="00235525">
        <w:t xml:space="preserve"> projecten</w:t>
      </w:r>
      <w:r>
        <w:t xml:space="preserve"> </w:t>
      </w:r>
      <w:r w:rsidR="000F07B8">
        <w:t>voor een totaal van</w:t>
      </w:r>
      <w:r>
        <w:t xml:space="preserve"> USD 8,5 m</w:t>
      </w:r>
      <w:r w:rsidR="000F07B8">
        <w:t>iljard</w:t>
      </w:r>
      <w:r w:rsidR="006D017E" w:rsidRPr="00235525">
        <w:t xml:space="preserve"> uitgevoerd in lage inkomenslanden</w:t>
      </w:r>
      <w:r w:rsidR="00F14D38">
        <w:t xml:space="preserve">. </w:t>
      </w:r>
    </w:p>
    <w:p w14:paraId="3A32AF12" w14:textId="26461A2C" w:rsidR="00B6771F" w:rsidRDefault="00B6771F">
      <w:pPr>
        <w:spacing w:line="240" w:lineRule="auto"/>
      </w:pPr>
      <w:r>
        <w:br w:type="page"/>
      </w:r>
    </w:p>
    <w:p w14:paraId="6A66DCED" w14:textId="77777777" w:rsidR="00DA298C" w:rsidRPr="0069317D" w:rsidRDefault="00DA298C" w:rsidP="00B95FC2"/>
    <w:tbl>
      <w:tblPr>
        <w:tblW w:w="5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913"/>
      </w:tblGrid>
      <w:tr w:rsidR="00A51B50" w:rsidRPr="0069317D" w14:paraId="3A32AF15" w14:textId="77777777">
        <w:tc>
          <w:tcPr>
            <w:tcW w:w="3794" w:type="dxa"/>
            <w:shd w:val="clear" w:color="auto" w:fill="auto"/>
          </w:tcPr>
          <w:p w14:paraId="3A32AF13" w14:textId="1132229B" w:rsidR="00A51B50" w:rsidRPr="00E423AE" w:rsidRDefault="000F07B8" w:rsidP="00B95FC2">
            <w:r w:rsidRPr="00E423AE">
              <w:t>Overzicht IFC financiering en Nederlandse bijdrage</w:t>
            </w:r>
          </w:p>
        </w:tc>
        <w:tc>
          <w:tcPr>
            <w:tcW w:w="1913" w:type="dxa"/>
            <w:shd w:val="clear" w:color="auto" w:fill="auto"/>
          </w:tcPr>
          <w:p w14:paraId="3A32AF14" w14:textId="683EAE42" w:rsidR="00A51B50" w:rsidRPr="00E423AE" w:rsidRDefault="000F07B8" w:rsidP="00E423AE">
            <w:pPr>
              <w:jc w:val="right"/>
            </w:pPr>
            <w:r w:rsidRPr="00E423AE">
              <w:t>(bedragen in USD miljard)</w:t>
            </w:r>
          </w:p>
        </w:tc>
      </w:tr>
      <w:tr w:rsidR="00A51B50" w:rsidRPr="0069317D" w14:paraId="3A32AF18" w14:textId="77777777">
        <w:tc>
          <w:tcPr>
            <w:tcW w:w="3794" w:type="dxa"/>
            <w:shd w:val="clear" w:color="auto" w:fill="auto"/>
          </w:tcPr>
          <w:p w14:paraId="3A32AF16" w14:textId="2D5057B7" w:rsidR="00A51B50" w:rsidRPr="00A51B50" w:rsidRDefault="00A51B50" w:rsidP="00BC7D8C">
            <w:r w:rsidRPr="00A51B50">
              <w:rPr>
                <w:szCs w:val="18"/>
                <w:lang w:eastAsia="zh-CN"/>
              </w:rPr>
              <w:t>Goedgekeurde leningen in 2013/</w:t>
            </w:r>
            <w:r w:rsidR="000F07B8">
              <w:rPr>
                <w:szCs w:val="18"/>
                <w:lang w:eastAsia="zh-CN"/>
              </w:rPr>
              <w:t>20</w:t>
            </w:r>
            <w:r w:rsidRPr="00A51B50">
              <w:rPr>
                <w:szCs w:val="18"/>
                <w:lang w:eastAsia="zh-CN"/>
              </w:rPr>
              <w:t>14</w:t>
            </w:r>
          </w:p>
        </w:tc>
        <w:tc>
          <w:tcPr>
            <w:tcW w:w="1913" w:type="dxa"/>
            <w:shd w:val="clear" w:color="auto" w:fill="auto"/>
          </w:tcPr>
          <w:p w14:paraId="3A32AF17" w14:textId="47AFF923" w:rsidR="00A51B50" w:rsidRPr="00A51B50" w:rsidRDefault="00A51B50" w:rsidP="00E423AE">
            <w:pPr>
              <w:jc w:val="right"/>
            </w:pPr>
            <w:r w:rsidRPr="00A51B50">
              <w:t xml:space="preserve">17,6 </w:t>
            </w:r>
          </w:p>
        </w:tc>
      </w:tr>
      <w:tr w:rsidR="00A51B50" w:rsidRPr="0069317D" w14:paraId="3A32AF1B" w14:textId="77777777">
        <w:tc>
          <w:tcPr>
            <w:tcW w:w="3794" w:type="dxa"/>
            <w:shd w:val="clear" w:color="auto" w:fill="auto"/>
          </w:tcPr>
          <w:p w14:paraId="3A32AF19" w14:textId="7CD00A69" w:rsidR="00A51B50" w:rsidRPr="00A51B50" w:rsidRDefault="00A51B50" w:rsidP="00E423AE">
            <w:r w:rsidRPr="00A51B50">
              <w:rPr>
                <w:szCs w:val="18"/>
                <w:lang w:eastAsia="zh-CN"/>
              </w:rPr>
              <w:t xml:space="preserve">Totaal kapitaal </w:t>
            </w:r>
            <w:r w:rsidR="000F07B8">
              <w:rPr>
                <w:szCs w:val="18"/>
                <w:lang w:eastAsia="zh-CN"/>
              </w:rPr>
              <w:t xml:space="preserve">IFC in </w:t>
            </w:r>
            <w:r w:rsidR="00E423AE">
              <w:rPr>
                <w:szCs w:val="18"/>
                <w:lang w:eastAsia="zh-CN"/>
              </w:rPr>
              <w:t>2015</w:t>
            </w:r>
          </w:p>
        </w:tc>
        <w:tc>
          <w:tcPr>
            <w:tcW w:w="1913" w:type="dxa"/>
            <w:shd w:val="clear" w:color="auto" w:fill="auto"/>
          </w:tcPr>
          <w:p w14:paraId="3A32AF1A" w14:textId="44F58CE1" w:rsidR="00A51B50" w:rsidRPr="00A51B50" w:rsidRDefault="00DB6021" w:rsidP="00E423AE">
            <w:pPr>
              <w:jc w:val="right"/>
            </w:pPr>
            <w:r>
              <w:t xml:space="preserve">2,5 </w:t>
            </w:r>
          </w:p>
        </w:tc>
      </w:tr>
      <w:tr w:rsidR="00A51B50" w:rsidRPr="0069317D" w14:paraId="3A32AF1E" w14:textId="77777777">
        <w:tc>
          <w:tcPr>
            <w:tcW w:w="3794" w:type="dxa"/>
            <w:shd w:val="clear" w:color="auto" w:fill="auto"/>
          </w:tcPr>
          <w:p w14:paraId="3A32AF1C" w14:textId="7051B4BA" w:rsidR="00A51B50" w:rsidRPr="00A51B50" w:rsidRDefault="00A51B50" w:rsidP="00BC7D8C">
            <w:pPr>
              <w:rPr>
                <w:szCs w:val="18"/>
                <w:lang w:eastAsia="zh-CN"/>
              </w:rPr>
            </w:pPr>
            <w:r w:rsidRPr="00A51B50">
              <w:rPr>
                <w:szCs w:val="18"/>
                <w:lang w:eastAsia="zh-CN"/>
              </w:rPr>
              <w:t>Nederlands aandeel</w:t>
            </w:r>
            <w:r w:rsidR="000F07B8">
              <w:rPr>
                <w:szCs w:val="18"/>
                <w:lang w:eastAsia="zh-CN"/>
              </w:rPr>
              <w:t xml:space="preserve"> in totale kapitaal</w:t>
            </w:r>
          </w:p>
        </w:tc>
        <w:tc>
          <w:tcPr>
            <w:tcW w:w="1913" w:type="dxa"/>
            <w:shd w:val="clear" w:color="auto" w:fill="auto"/>
          </w:tcPr>
          <w:p w14:paraId="3A32AF1D" w14:textId="77777777" w:rsidR="00A51B50" w:rsidRPr="00A51B50" w:rsidRDefault="00A51B50" w:rsidP="00E423AE">
            <w:pPr>
              <w:jc w:val="right"/>
            </w:pPr>
            <w:r w:rsidRPr="00A51B50">
              <w:t>2,24%</w:t>
            </w:r>
          </w:p>
        </w:tc>
      </w:tr>
      <w:tr w:rsidR="00A51B50" w:rsidRPr="0069317D" w14:paraId="3A32AF21" w14:textId="77777777">
        <w:tc>
          <w:tcPr>
            <w:tcW w:w="3794" w:type="dxa"/>
            <w:shd w:val="clear" w:color="auto" w:fill="auto"/>
          </w:tcPr>
          <w:p w14:paraId="3A32AF1F" w14:textId="77777777" w:rsidR="00A51B50" w:rsidRPr="00A51B50" w:rsidRDefault="00A51B50" w:rsidP="00B95FC2">
            <w:r w:rsidRPr="00A51B50">
              <w:rPr>
                <w:szCs w:val="18"/>
                <w:lang w:eastAsia="zh-CN"/>
              </w:rPr>
              <w:t>Kiesgroep aandeel in %</w:t>
            </w:r>
          </w:p>
        </w:tc>
        <w:tc>
          <w:tcPr>
            <w:tcW w:w="1913" w:type="dxa"/>
            <w:shd w:val="clear" w:color="auto" w:fill="auto"/>
          </w:tcPr>
          <w:p w14:paraId="3A32AF20" w14:textId="77777777" w:rsidR="00A51B50" w:rsidRPr="00A51B50" w:rsidRDefault="00A51B50" w:rsidP="00E423AE">
            <w:pPr>
              <w:jc w:val="right"/>
            </w:pPr>
            <w:r w:rsidRPr="00A51B50">
              <w:t>3</w:t>
            </w:r>
            <w:r w:rsidR="00FC76A5" w:rsidRPr="00A51B50">
              <w:t>,</w:t>
            </w:r>
            <w:r w:rsidRPr="00A51B50">
              <w:t>65%</w:t>
            </w:r>
          </w:p>
        </w:tc>
      </w:tr>
      <w:tr w:rsidR="00A51B50" w:rsidRPr="0069317D" w14:paraId="3A32AF24" w14:textId="77777777">
        <w:tc>
          <w:tcPr>
            <w:tcW w:w="3794" w:type="dxa"/>
            <w:shd w:val="clear" w:color="auto" w:fill="auto"/>
          </w:tcPr>
          <w:p w14:paraId="3A32AF22" w14:textId="77777777" w:rsidR="00A51B50" w:rsidRPr="00A51B50" w:rsidRDefault="00A51B50" w:rsidP="00B95FC2">
            <w:r w:rsidRPr="00A51B50">
              <w:rPr>
                <w:szCs w:val="18"/>
                <w:lang w:eastAsia="zh-CN"/>
              </w:rPr>
              <w:t>Positie Nederland op ranglijst</w:t>
            </w:r>
          </w:p>
        </w:tc>
        <w:tc>
          <w:tcPr>
            <w:tcW w:w="1913" w:type="dxa"/>
            <w:shd w:val="clear" w:color="auto" w:fill="auto"/>
          </w:tcPr>
          <w:p w14:paraId="3A32AF23" w14:textId="0398D073" w:rsidR="00A51B50" w:rsidRPr="00A51B50" w:rsidRDefault="00FD0B22" w:rsidP="00E423AE">
            <w:pPr>
              <w:jc w:val="right"/>
            </w:pPr>
            <w:r>
              <w:t>10</w:t>
            </w:r>
            <w:r w:rsidR="000F07B8">
              <w:t>e</w:t>
            </w:r>
          </w:p>
        </w:tc>
      </w:tr>
    </w:tbl>
    <w:p w14:paraId="3A32AF25" w14:textId="77777777" w:rsidR="00DA298C" w:rsidRDefault="00DA298C" w:rsidP="00B95FC2"/>
    <w:p w14:paraId="3A32AF26" w14:textId="77777777" w:rsidR="005150FC" w:rsidRDefault="005150FC" w:rsidP="005150FC">
      <w:pPr>
        <w:rPr>
          <w:highlight w:val="yellow"/>
        </w:rPr>
      </w:pPr>
    </w:p>
    <w:p w14:paraId="3A32AF27" w14:textId="168BB0E7" w:rsidR="005150FC" w:rsidRDefault="005150FC" w:rsidP="005150FC">
      <w:r w:rsidRPr="005B4830">
        <w:t xml:space="preserve">Overzicht </w:t>
      </w:r>
      <w:r w:rsidR="000A32F1">
        <w:t xml:space="preserve">non-core </w:t>
      </w:r>
      <w:r w:rsidRPr="005B4830">
        <w:t>bijdragen en ranking grootste donoren</w:t>
      </w:r>
      <w:r w:rsidR="005B4830">
        <w:t xml:space="preserve"> </w:t>
      </w:r>
      <w:r w:rsidRPr="00D828D7">
        <w:t>(bedragen in USD miljoen)</w:t>
      </w:r>
    </w:p>
    <w:p w14:paraId="3A32AF2A" w14:textId="77777777" w:rsidR="005150FC" w:rsidRDefault="005150FC" w:rsidP="005150FC"/>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2073"/>
        <w:gridCol w:w="3110"/>
        <w:gridCol w:w="2054"/>
      </w:tblGrid>
      <w:tr w:rsidR="005150FC" w14:paraId="3A32AF2F" w14:textId="77777777">
        <w:tc>
          <w:tcPr>
            <w:tcW w:w="444" w:type="pct"/>
            <w:tcBorders>
              <w:top w:val="single" w:sz="4" w:space="0" w:color="auto"/>
              <w:left w:val="single" w:sz="4" w:space="0" w:color="auto"/>
              <w:bottom w:val="single" w:sz="4" w:space="0" w:color="auto"/>
              <w:right w:val="single" w:sz="4" w:space="0" w:color="auto"/>
            </w:tcBorders>
          </w:tcPr>
          <w:p w14:paraId="3A32AF2B" w14:textId="77777777" w:rsidR="005150FC" w:rsidRDefault="005150FC" w:rsidP="005150FC">
            <w:pPr>
              <w:rPr>
                <w:i/>
              </w:rPr>
            </w:pPr>
            <w:r>
              <w:rPr>
                <w:i/>
              </w:rPr>
              <w:t>Jaar</w:t>
            </w:r>
          </w:p>
        </w:tc>
        <w:tc>
          <w:tcPr>
            <w:tcW w:w="1305" w:type="pct"/>
            <w:tcBorders>
              <w:top w:val="single" w:sz="4" w:space="0" w:color="auto"/>
              <w:left w:val="single" w:sz="4" w:space="0" w:color="auto"/>
              <w:bottom w:val="single" w:sz="4" w:space="0" w:color="auto"/>
              <w:right w:val="single" w:sz="4" w:space="0" w:color="auto"/>
            </w:tcBorders>
          </w:tcPr>
          <w:p w14:paraId="3A32AF2C" w14:textId="77777777" w:rsidR="005150FC" w:rsidRDefault="005150FC" w:rsidP="005150FC">
            <w:pPr>
              <w:rPr>
                <w:i/>
              </w:rPr>
            </w:pPr>
            <w:r>
              <w:rPr>
                <w:i/>
              </w:rPr>
              <w:t>Bijdrage</w:t>
            </w:r>
          </w:p>
        </w:tc>
        <w:tc>
          <w:tcPr>
            <w:tcW w:w="1958" w:type="pct"/>
            <w:tcBorders>
              <w:top w:val="single" w:sz="4" w:space="0" w:color="auto"/>
              <w:left w:val="single" w:sz="4" w:space="0" w:color="auto"/>
              <w:bottom w:val="single" w:sz="4" w:space="0" w:color="auto"/>
              <w:right w:val="single" w:sz="4" w:space="0" w:color="auto"/>
            </w:tcBorders>
          </w:tcPr>
          <w:p w14:paraId="3A32AF2D" w14:textId="77777777" w:rsidR="005150FC" w:rsidRDefault="005150FC" w:rsidP="005150FC">
            <w:pPr>
              <w:rPr>
                <w:i/>
              </w:rPr>
            </w:pPr>
            <w:r>
              <w:rPr>
                <w:i/>
              </w:rPr>
              <w:t>Ranking/donor</w:t>
            </w:r>
          </w:p>
        </w:tc>
        <w:tc>
          <w:tcPr>
            <w:tcW w:w="1293" w:type="pct"/>
            <w:tcBorders>
              <w:top w:val="single" w:sz="4" w:space="0" w:color="auto"/>
              <w:left w:val="single" w:sz="4" w:space="0" w:color="auto"/>
              <w:bottom w:val="single" w:sz="4" w:space="0" w:color="auto"/>
              <w:right w:val="single" w:sz="4" w:space="0" w:color="auto"/>
            </w:tcBorders>
          </w:tcPr>
          <w:p w14:paraId="3A32AF2E" w14:textId="77777777" w:rsidR="005150FC" w:rsidRDefault="005150FC" w:rsidP="005150FC">
            <w:pPr>
              <w:jc w:val="center"/>
              <w:rPr>
                <w:i/>
              </w:rPr>
            </w:pPr>
            <w:r>
              <w:rPr>
                <w:i/>
              </w:rPr>
              <w:t>Bedrag</w:t>
            </w:r>
          </w:p>
        </w:tc>
      </w:tr>
      <w:tr w:rsidR="005150FC" w14:paraId="3A32AF34" w14:textId="77777777">
        <w:tc>
          <w:tcPr>
            <w:tcW w:w="444" w:type="pct"/>
            <w:tcBorders>
              <w:top w:val="single" w:sz="4" w:space="0" w:color="auto"/>
              <w:left w:val="single" w:sz="4" w:space="0" w:color="auto"/>
              <w:bottom w:val="single" w:sz="4" w:space="0" w:color="auto"/>
              <w:right w:val="single" w:sz="4" w:space="0" w:color="auto"/>
            </w:tcBorders>
            <w:shd w:val="clear" w:color="auto" w:fill="D9D9D9"/>
          </w:tcPr>
          <w:p w14:paraId="3A32AF30" w14:textId="77777777" w:rsidR="005150FC" w:rsidRDefault="005150FC" w:rsidP="005150FC"/>
        </w:tc>
        <w:tc>
          <w:tcPr>
            <w:tcW w:w="1305" w:type="pct"/>
            <w:tcBorders>
              <w:top w:val="single" w:sz="4" w:space="0" w:color="auto"/>
              <w:left w:val="single" w:sz="4" w:space="0" w:color="auto"/>
              <w:bottom w:val="single" w:sz="4" w:space="0" w:color="auto"/>
              <w:right w:val="single" w:sz="4" w:space="0" w:color="auto"/>
            </w:tcBorders>
            <w:shd w:val="clear" w:color="auto" w:fill="D9D9D9"/>
          </w:tcPr>
          <w:p w14:paraId="3A32AF31" w14:textId="77777777" w:rsidR="005150FC" w:rsidRDefault="005150FC" w:rsidP="005150FC"/>
        </w:tc>
        <w:tc>
          <w:tcPr>
            <w:tcW w:w="1958" w:type="pct"/>
            <w:tcBorders>
              <w:top w:val="single" w:sz="4" w:space="0" w:color="auto"/>
              <w:left w:val="single" w:sz="4" w:space="0" w:color="auto"/>
              <w:bottom w:val="single" w:sz="4" w:space="0" w:color="auto"/>
              <w:right w:val="single" w:sz="4" w:space="0" w:color="auto"/>
            </w:tcBorders>
            <w:shd w:val="clear" w:color="auto" w:fill="D9D9D9"/>
          </w:tcPr>
          <w:p w14:paraId="3A32AF32" w14:textId="77777777" w:rsidR="005150FC" w:rsidRDefault="005150FC" w:rsidP="005150FC"/>
        </w:tc>
        <w:tc>
          <w:tcPr>
            <w:tcW w:w="1293" w:type="pct"/>
            <w:tcBorders>
              <w:top w:val="single" w:sz="4" w:space="0" w:color="auto"/>
              <w:left w:val="single" w:sz="4" w:space="0" w:color="auto"/>
              <w:bottom w:val="single" w:sz="4" w:space="0" w:color="auto"/>
              <w:right w:val="single" w:sz="4" w:space="0" w:color="auto"/>
            </w:tcBorders>
            <w:shd w:val="clear" w:color="auto" w:fill="D9D9D9"/>
          </w:tcPr>
          <w:p w14:paraId="3A32AF33" w14:textId="77777777" w:rsidR="005150FC" w:rsidRDefault="005150FC" w:rsidP="005150FC"/>
        </w:tc>
      </w:tr>
      <w:tr w:rsidR="00F51CF4" w14:paraId="3A32AF39" w14:textId="77777777">
        <w:tc>
          <w:tcPr>
            <w:tcW w:w="444" w:type="pct"/>
            <w:tcBorders>
              <w:top w:val="nil"/>
              <w:left w:val="single" w:sz="4" w:space="0" w:color="auto"/>
              <w:bottom w:val="nil"/>
              <w:right w:val="single" w:sz="4" w:space="0" w:color="auto"/>
            </w:tcBorders>
          </w:tcPr>
          <w:p w14:paraId="3A32AF35" w14:textId="77777777" w:rsidR="00F51CF4" w:rsidRDefault="00F51CF4" w:rsidP="005150FC">
            <w:r>
              <w:t>2012</w:t>
            </w:r>
          </w:p>
        </w:tc>
        <w:tc>
          <w:tcPr>
            <w:tcW w:w="1305" w:type="pct"/>
            <w:vMerge w:val="restart"/>
            <w:tcBorders>
              <w:top w:val="single" w:sz="4" w:space="0" w:color="auto"/>
              <w:left w:val="single" w:sz="4" w:space="0" w:color="auto"/>
              <w:right w:val="single" w:sz="4" w:space="0" w:color="auto"/>
            </w:tcBorders>
          </w:tcPr>
          <w:p w14:paraId="3A32AF36" w14:textId="77777777" w:rsidR="00F51CF4" w:rsidRDefault="00F51CF4" w:rsidP="005150FC">
            <w:r>
              <w:t>Non-core-bijdragen</w:t>
            </w:r>
          </w:p>
        </w:tc>
        <w:tc>
          <w:tcPr>
            <w:tcW w:w="1958" w:type="pct"/>
            <w:tcBorders>
              <w:top w:val="single" w:sz="4" w:space="0" w:color="auto"/>
              <w:left w:val="single" w:sz="4" w:space="0" w:color="auto"/>
              <w:bottom w:val="single" w:sz="4" w:space="0" w:color="auto"/>
              <w:right w:val="single" w:sz="4" w:space="0" w:color="auto"/>
            </w:tcBorders>
          </w:tcPr>
          <w:p w14:paraId="3A32AF37" w14:textId="77777777" w:rsidR="00F51CF4" w:rsidRDefault="00F51CF4" w:rsidP="00F51CF4">
            <w:r>
              <w:t>1. Verenigd Koninkrijk</w:t>
            </w:r>
          </w:p>
        </w:tc>
        <w:tc>
          <w:tcPr>
            <w:tcW w:w="1293" w:type="pct"/>
            <w:tcBorders>
              <w:top w:val="single" w:sz="4" w:space="0" w:color="auto"/>
              <w:left w:val="single" w:sz="4" w:space="0" w:color="auto"/>
              <w:bottom w:val="single" w:sz="4" w:space="0" w:color="auto"/>
              <w:right w:val="single" w:sz="4" w:space="0" w:color="auto"/>
            </w:tcBorders>
          </w:tcPr>
          <w:p w14:paraId="3A32AF38" w14:textId="77777777" w:rsidR="00F51CF4" w:rsidRDefault="00F51CF4" w:rsidP="005150FC">
            <w:pPr>
              <w:tabs>
                <w:tab w:val="decimal" w:pos="1026"/>
              </w:tabs>
            </w:pPr>
            <w:r>
              <w:t>69,94</w:t>
            </w:r>
          </w:p>
        </w:tc>
      </w:tr>
      <w:tr w:rsidR="00F51CF4" w14:paraId="3A32AF3E" w14:textId="77777777">
        <w:tc>
          <w:tcPr>
            <w:tcW w:w="444" w:type="pct"/>
            <w:tcBorders>
              <w:top w:val="nil"/>
              <w:left w:val="single" w:sz="4" w:space="0" w:color="auto"/>
              <w:bottom w:val="nil"/>
              <w:right w:val="single" w:sz="4" w:space="0" w:color="auto"/>
            </w:tcBorders>
          </w:tcPr>
          <w:p w14:paraId="3A32AF3A" w14:textId="77777777" w:rsidR="00F51CF4" w:rsidRDefault="00F51CF4" w:rsidP="005150FC"/>
        </w:tc>
        <w:tc>
          <w:tcPr>
            <w:tcW w:w="1305" w:type="pct"/>
            <w:vMerge/>
            <w:tcBorders>
              <w:left w:val="single" w:sz="4" w:space="0" w:color="auto"/>
              <w:right w:val="single" w:sz="4" w:space="0" w:color="auto"/>
            </w:tcBorders>
          </w:tcPr>
          <w:p w14:paraId="3A32AF3B" w14:textId="77777777" w:rsidR="00F51CF4" w:rsidRDefault="00F51CF4" w:rsidP="005150FC"/>
        </w:tc>
        <w:tc>
          <w:tcPr>
            <w:tcW w:w="1958" w:type="pct"/>
            <w:tcBorders>
              <w:top w:val="single" w:sz="4" w:space="0" w:color="auto"/>
              <w:left w:val="single" w:sz="4" w:space="0" w:color="auto"/>
              <w:bottom w:val="single" w:sz="4" w:space="0" w:color="auto"/>
              <w:right w:val="single" w:sz="4" w:space="0" w:color="auto"/>
            </w:tcBorders>
          </w:tcPr>
          <w:p w14:paraId="3A32AF3C" w14:textId="77777777" w:rsidR="00F51CF4" w:rsidRDefault="00F51CF4" w:rsidP="00F51CF4">
            <w:r>
              <w:t>2. Zwitserland</w:t>
            </w:r>
          </w:p>
        </w:tc>
        <w:tc>
          <w:tcPr>
            <w:tcW w:w="1293" w:type="pct"/>
            <w:tcBorders>
              <w:top w:val="single" w:sz="4" w:space="0" w:color="auto"/>
              <w:left w:val="single" w:sz="4" w:space="0" w:color="auto"/>
              <w:bottom w:val="single" w:sz="4" w:space="0" w:color="auto"/>
              <w:right w:val="single" w:sz="4" w:space="0" w:color="auto"/>
            </w:tcBorders>
          </w:tcPr>
          <w:p w14:paraId="3A32AF3D" w14:textId="77777777" w:rsidR="00F51CF4" w:rsidRDefault="00F51CF4" w:rsidP="005150FC">
            <w:pPr>
              <w:tabs>
                <w:tab w:val="decimal" w:pos="1026"/>
              </w:tabs>
            </w:pPr>
            <w:r>
              <w:t>57,15</w:t>
            </w:r>
          </w:p>
        </w:tc>
      </w:tr>
      <w:tr w:rsidR="00F51CF4" w14:paraId="3A32AF43" w14:textId="77777777">
        <w:tc>
          <w:tcPr>
            <w:tcW w:w="444" w:type="pct"/>
            <w:tcBorders>
              <w:top w:val="nil"/>
              <w:left w:val="single" w:sz="4" w:space="0" w:color="auto"/>
              <w:bottom w:val="nil"/>
              <w:right w:val="single" w:sz="4" w:space="0" w:color="auto"/>
            </w:tcBorders>
          </w:tcPr>
          <w:p w14:paraId="3A32AF3F" w14:textId="77777777" w:rsidR="00F51CF4" w:rsidRDefault="00F51CF4" w:rsidP="005150FC"/>
        </w:tc>
        <w:tc>
          <w:tcPr>
            <w:tcW w:w="1305" w:type="pct"/>
            <w:vMerge/>
            <w:tcBorders>
              <w:left w:val="single" w:sz="4" w:space="0" w:color="auto"/>
              <w:bottom w:val="single" w:sz="4" w:space="0" w:color="auto"/>
              <w:right w:val="single" w:sz="4" w:space="0" w:color="auto"/>
            </w:tcBorders>
          </w:tcPr>
          <w:p w14:paraId="3A32AF40" w14:textId="77777777" w:rsidR="00F51CF4" w:rsidRDefault="00F51CF4" w:rsidP="005150FC"/>
        </w:tc>
        <w:tc>
          <w:tcPr>
            <w:tcW w:w="1958" w:type="pct"/>
            <w:tcBorders>
              <w:top w:val="single" w:sz="4" w:space="0" w:color="auto"/>
              <w:left w:val="single" w:sz="4" w:space="0" w:color="auto"/>
              <w:bottom w:val="single" w:sz="4" w:space="0" w:color="auto"/>
              <w:right w:val="single" w:sz="4" w:space="0" w:color="auto"/>
            </w:tcBorders>
          </w:tcPr>
          <w:p w14:paraId="3A32AF41" w14:textId="77777777" w:rsidR="00F51CF4" w:rsidRDefault="00F51CF4" w:rsidP="00F51CF4">
            <w:r>
              <w:t>3. Nederland</w:t>
            </w:r>
          </w:p>
        </w:tc>
        <w:tc>
          <w:tcPr>
            <w:tcW w:w="1293" w:type="pct"/>
            <w:tcBorders>
              <w:top w:val="single" w:sz="4" w:space="0" w:color="auto"/>
              <w:left w:val="single" w:sz="4" w:space="0" w:color="auto"/>
              <w:bottom w:val="single" w:sz="4" w:space="0" w:color="auto"/>
              <w:right w:val="single" w:sz="4" w:space="0" w:color="auto"/>
            </w:tcBorders>
          </w:tcPr>
          <w:p w14:paraId="3A32AF42" w14:textId="77777777" w:rsidR="00F51CF4" w:rsidRDefault="00F51CF4" w:rsidP="005150FC">
            <w:pPr>
              <w:tabs>
                <w:tab w:val="decimal" w:pos="1026"/>
              </w:tabs>
            </w:pPr>
            <w:r>
              <w:t>42,37</w:t>
            </w:r>
          </w:p>
        </w:tc>
      </w:tr>
      <w:tr w:rsidR="005150FC" w14:paraId="3A32AF48" w14:textId="77777777">
        <w:tc>
          <w:tcPr>
            <w:tcW w:w="444" w:type="pct"/>
            <w:tcBorders>
              <w:top w:val="single" w:sz="4" w:space="0" w:color="auto"/>
              <w:left w:val="single" w:sz="4" w:space="0" w:color="auto"/>
              <w:bottom w:val="single" w:sz="4" w:space="0" w:color="auto"/>
              <w:right w:val="single" w:sz="4" w:space="0" w:color="auto"/>
            </w:tcBorders>
            <w:shd w:val="clear" w:color="auto" w:fill="D9D9D9"/>
          </w:tcPr>
          <w:p w14:paraId="3A32AF44" w14:textId="77777777" w:rsidR="005150FC" w:rsidRDefault="005150FC" w:rsidP="005150FC"/>
        </w:tc>
        <w:tc>
          <w:tcPr>
            <w:tcW w:w="1305" w:type="pct"/>
            <w:tcBorders>
              <w:top w:val="single" w:sz="4" w:space="0" w:color="auto"/>
              <w:left w:val="single" w:sz="4" w:space="0" w:color="auto"/>
              <w:bottom w:val="single" w:sz="4" w:space="0" w:color="auto"/>
              <w:right w:val="single" w:sz="4" w:space="0" w:color="auto"/>
            </w:tcBorders>
            <w:shd w:val="clear" w:color="auto" w:fill="D9D9D9"/>
          </w:tcPr>
          <w:p w14:paraId="3A32AF45" w14:textId="77777777" w:rsidR="005150FC" w:rsidRDefault="005150FC" w:rsidP="005150FC"/>
        </w:tc>
        <w:tc>
          <w:tcPr>
            <w:tcW w:w="1958" w:type="pct"/>
            <w:tcBorders>
              <w:top w:val="single" w:sz="4" w:space="0" w:color="auto"/>
              <w:left w:val="single" w:sz="4" w:space="0" w:color="auto"/>
              <w:bottom w:val="single" w:sz="4" w:space="0" w:color="auto"/>
              <w:right w:val="single" w:sz="4" w:space="0" w:color="auto"/>
            </w:tcBorders>
            <w:shd w:val="clear" w:color="auto" w:fill="D9D9D9"/>
          </w:tcPr>
          <w:p w14:paraId="3A32AF46" w14:textId="77777777" w:rsidR="005150FC" w:rsidRDefault="005150FC" w:rsidP="005150FC"/>
        </w:tc>
        <w:tc>
          <w:tcPr>
            <w:tcW w:w="1293" w:type="pct"/>
            <w:tcBorders>
              <w:top w:val="single" w:sz="4" w:space="0" w:color="auto"/>
              <w:left w:val="single" w:sz="4" w:space="0" w:color="auto"/>
              <w:bottom w:val="single" w:sz="4" w:space="0" w:color="auto"/>
              <w:right w:val="single" w:sz="4" w:space="0" w:color="auto"/>
            </w:tcBorders>
            <w:shd w:val="clear" w:color="auto" w:fill="D9D9D9"/>
          </w:tcPr>
          <w:p w14:paraId="3A32AF47" w14:textId="77777777" w:rsidR="005150FC" w:rsidRDefault="005150FC" w:rsidP="005150FC">
            <w:pPr>
              <w:tabs>
                <w:tab w:val="decimal" w:pos="1026"/>
              </w:tabs>
            </w:pPr>
          </w:p>
        </w:tc>
      </w:tr>
      <w:tr w:rsidR="00F51CF4" w14:paraId="3A32AF4D" w14:textId="77777777">
        <w:tc>
          <w:tcPr>
            <w:tcW w:w="444" w:type="pct"/>
            <w:vMerge w:val="restart"/>
            <w:tcBorders>
              <w:top w:val="single" w:sz="4" w:space="0" w:color="auto"/>
              <w:left w:val="single" w:sz="4" w:space="0" w:color="auto"/>
              <w:right w:val="single" w:sz="4" w:space="0" w:color="auto"/>
            </w:tcBorders>
          </w:tcPr>
          <w:p w14:paraId="3A32AF49" w14:textId="77777777" w:rsidR="00F51CF4" w:rsidRDefault="00F51CF4" w:rsidP="005150FC">
            <w:r>
              <w:t>2013</w:t>
            </w:r>
          </w:p>
        </w:tc>
        <w:tc>
          <w:tcPr>
            <w:tcW w:w="1305" w:type="pct"/>
            <w:vMerge w:val="restart"/>
            <w:tcBorders>
              <w:top w:val="single" w:sz="4" w:space="0" w:color="auto"/>
              <w:left w:val="single" w:sz="4" w:space="0" w:color="auto"/>
              <w:right w:val="single" w:sz="4" w:space="0" w:color="auto"/>
            </w:tcBorders>
          </w:tcPr>
          <w:p w14:paraId="3A32AF4A" w14:textId="77777777" w:rsidR="00F51CF4" w:rsidRDefault="00F51CF4" w:rsidP="005150FC">
            <w:r>
              <w:t>Non-core-bijdragen</w:t>
            </w:r>
          </w:p>
        </w:tc>
        <w:tc>
          <w:tcPr>
            <w:tcW w:w="1958" w:type="pct"/>
            <w:tcBorders>
              <w:top w:val="single" w:sz="4" w:space="0" w:color="auto"/>
              <w:left w:val="single" w:sz="4" w:space="0" w:color="auto"/>
              <w:bottom w:val="single" w:sz="4" w:space="0" w:color="auto"/>
              <w:right w:val="single" w:sz="4" w:space="0" w:color="auto"/>
            </w:tcBorders>
          </w:tcPr>
          <w:p w14:paraId="3A32AF4B" w14:textId="77777777" w:rsidR="00F51CF4" w:rsidRDefault="00F51CF4" w:rsidP="00F51CF4">
            <w:r>
              <w:t>1. Zwitserland</w:t>
            </w:r>
          </w:p>
        </w:tc>
        <w:tc>
          <w:tcPr>
            <w:tcW w:w="1293" w:type="pct"/>
            <w:tcBorders>
              <w:top w:val="single" w:sz="4" w:space="0" w:color="auto"/>
              <w:left w:val="single" w:sz="4" w:space="0" w:color="auto"/>
              <w:bottom w:val="single" w:sz="4" w:space="0" w:color="auto"/>
              <w:right w:val="single" w:sz="4" w:space="0" w:color="auto"/>
            </w:tcBorders>
          </w:tcPr>
          <w:p w14:paraId="3A32AF4C" w14:textId="77777777" w:rsidR="00F51CF4" w:rsidRDefault="00F51CF4" w:rsidP="005150FC">
            <w:pPr>
              <w:tabs>
                <w:tab w:val="decimal" w:pos="1026"/>
              </w:tabs>
            </w:pPr>
            <w:r>
              <w:t>63,51</w:t>
            </w:r>
          </w:p>
        </w:tc>
      </w:tr>
      <w:tr w:rsidR="00F51CF4" w14:paraId="3A32AF52" w14:textId="77777777">
        <w:tc>
          <w:tcPr>
            <w:tcW w:w="444" w:type="pct"/>
            <w:vMerge/>
            <w:tcBorders>
              <w:left w:val="single" w:sz="4" w:space="0" w:color="auto"/>
              <w:right w:val="single" w:sz="4" w:space="0" w:color="auto"/>
            </w:tcBorders>
          </w:tcPr>
          <w:p w14:paraId="3A32AF4E" w14:textId="77777777" w:rsidR="00F51CF4" w:rsidRDefault="00F51CF4" w:rsidP="005150FC"/>
        </w:tc>
        <w:tc>
          <w:tcPr>
            <w:tcW w:w="1305" w:type="pct"/>
            <w:vMerge/>
            <w:tcBorders>
              <w:left w:val="single" w:sz="4" w:space="0" w:color="auto"/>
              <w:right w:val="single" w:sz="4" w:space="0" w:color="auto"/>
            </w:tcBorders>
          </w:tcPr>
          <w:p w14:paraId="3A32AF4F" w14:textId="77777777" w:rsidR="00F51CF4" w:rsidRDefault="00F51CF4" w:rsidP="005150FC"/>
        </w:tc>
        <w:tc>
          <w:tcPr>
            <w:tcW w:w="1958" w:type="pct"/>
            <w:tcBorders>
              <w:top w:val="single" w:sz="4" w:space="0" w:color="auto"/>
              <w:left w:val="single" w:sz="4" w:space="0" w:color="auto"/>
              <w:bottom w:val="single" w:sz="4" w:space="0" w:color="auto"/>
              <w:right w:val="single" w:sz="4" w:space="0" w:color="auto"/>
            </w:tcBorders>
          </w:tcPr>
          <w:p w14:paraId="3A32AF50" w14:textId="77777777" w:rsidR="00F51CF4" w:rsidRDefault="00F51CF4" w:rsidP="00F51CF4">
            <w:r>
              <w:t>2. Canada</w:t>
            </w:r>
          </w:p>
        </w:tc>
        <w:tc>
          <w:tcPr>
            <w:tcW w:w="1293" w:type="pct"/>
            <w:tcBorders>
              <w:top w:val="single" w:sz="4" w:space="0" w:color="auto"/>
              <w:left w:val="single" w:sz="4" w:space="0" w:color="auto"/>
              <w:bottom w:val="single" w:sz="4" w:space="0" w:color="auto"/>
              <w:right w:val="single" w:sz="4" w:space="0" w:color="auto"/>
            </w:tcBorders>
          </w:tcPr>
          <w:p w14:paraId="3A32AF51" w14:textId="77777777" w:rsidR="00F51CF4" w:rsidRDefault="00F51CF4" w:rsidP="005150FC">
            <w:pPr>
              <w:tabs>
                <w:tab w:val="decimal" w:pos="1026"/>
              </w:tabs>
            </w:pPr>
            <w:r>
              <w:t>47,83</w:t>
            </w:r>
          </w:p>
        </w:tc>
      </w:tr>
      <w:tr w:rsidR="00F51CF4" w14:paraId="3A32AF57" w14:textId="77777777">
        <w:tc>
          <w:tcPr>
            <w:tcW w:w="444" w:type="pct"/>
            <w:vMerge/>
            <w:tcBorders>
              <w:left w:val="single" w:sz="4" w:space="0" w:color="auto"/>
              <w:bottom w:val="single" w:sz="4" w:space="0" w:color="auto"/>
              <w:right w:val="single" w:sz="4" w:space="0" w:color="auto"/>
            </w:tcBorders>
          </w:tcPr>
          <w:p w14:paraId="3A32AF53" w14:textId="77777777" w:rsidR="00F51CF4" w:rsidRDefault="00F51CF4" w:rsidP="005150FC"/>
        </w:tc>
        <w:tc>
          <w:tcPr>
            <w:tcW w:w="1305" w:type="pct"/>
            <w:vMerge/>
            <w:tcBorders>
              <w:left w:val="single" w:sz="4" w:space="0" w:color="auto"/>
              <w:bottom w:val="single" w:sz="4" w:space="0" w:color="auto"/>
              <w:right w:val="single" w:sz="4" w:space="0" w:color="auto"/>
            </w:tcBorders>
          </w:tcPr>
          <w:p w14:paraId="3A32AF54" w14:textId="77777777" w:rsidR="00F51CF4" w:rsidRDefault="00F51CF4" w:rsidP="005150FC"/>
        </w:tc>
        <w:tc>
          <w:tcPr>
            <w:tcW w:w="1958" w:type="pct"/>
            <w:tcBorders>
              <w:top w:val="single" w:sz="4" w:space="0" w:color="auto"/>
              <w:left w:val="single" w:sz="4" w:space="0" w:color="auto"/>
              <w:bottom w:val="single" w:sz="4" w:space="0" w:color="auto"/>
              <w:right w:val="single" w:sz="4" w:space="0" w:color="auto"/>
            </w:tcBorders>
          </w:tcPr>
          <w:p w14:paraId="3A32AF55" w14:textId="77777777" w:rsidR="00F51CF4" w:rsidRDefault="00F51CF4" w:rsidP="005150FC">
            <w:r>
              <w:t>3. Verenigd Koninkrijk</w:t>
            </w:r>
          </w:p>
        </w:tc>
        <w:tc>
          <w:tcPr>
            <w:tcW w:w="1293" w:type="pct"/>
            <w:tcBorders>
              <w:top w:val="single" w:sz="4" w:space="0" w:color="auto"/>
              <w:left w:val="single" w:sz="4" w:space="0" w:color="auto"/>
              <w:bottom w:val="single" w:sz="4" w:space="0" w:color="auto"/>
              <w:right w:val="single" w:sz="4" w:space="0" w:color="auto"/>
            </w:tcBorders>
          </w:tcPr>
          <w:p w14:paraId="3A32AF56" w14:textId="77777777" w:rsidR="00F51CF4" w:rsidRDefault="00F51CF4" w:rsidP="005150FC">
            <w:pPr>
              <w:tabs>
                <w:tab w:val="decimal" w:pos="1026"/>
              </w:tabs>
            </w:pPr>
            <w:r>
              <w:t>34,79</w:t>
            </w:r>
          </w:p>
        </w:tc>
      </w:tr>
      <w:tr w:rsidR="00F51CF4" w14:paraId="3A32AF5C" w14:textId="77777777">
        <w:tc>
          <w:tcPr>
            <w:tcW w:w="444" w:type="pct"/>
            <w:tcBorders>
              <w:top w:val="single" w:sz="4" w:space="0" w:color="auto"/>
              <w:left w:val="single" w:sz="4" w:space="0" w:color="auto"/>
              <w:bottom w:val="single" w:sz="4" w:space="0" w:color="auto"/>
              <w:right w:val="single" w:sz="4" w:space="0" w:color="auto"/>
            </w:tcBorders>
            <w:shd w:val="clear" w:color="auto" w:fill="D9D9D9"/>
          </w:tcPr>
          <w:p w14:paraId="3A32AF58" w14:textId="77777777" w:rsidR="00F51CF4" w:rsidRDefault="00F51CF4" w:rsidP="00D102BF"/>
        </w:tc>
        <w:tc>
          <w:tcPr>
            <w:tcW w:w="1305" w:type="pct"/>
            <w:tcBorders>
              <w:top w:val="single" w:sz="4" w:space="0" w:color="auto"/>
              <w:left w:val="single" w:sz="4" w:space="0" w:color="auto"/>
              <w:bottom w:val="single" w:sz="4" w:space="0" w:color="auto"/>
              <w:right w:val="single" w:sz="4" w:space="0" w:color="auto"/>
            </w:tcBorders>
            <w:shd w:val="clear" w:color="auto" w:fill="D9D9D9"/>
          </w:tcPr>
          <w:p w14:paraId="3A32AF59" w14:textId="77777777" w:rsidR="00F51CF4" w:rsidRDefault="00F51CF4" w:rsidP="00D102BF"/>
        </w:tc>
        <w:tc>
          <w:tcPr>
            <w:tcW w:w="1958" w:type="pct"/>
            <w:tcBorders>
              <w:top w:val="single" w:sz="4" w:space="0" w:color="auto"/>
              <w:left w:val="single" w:sz="4" w:space="0" w:color="auto"/>
              <w:bottom w:val="single" w:sz="4" w:space="0" w:color="auto"/>
              <w:right w:val="single" w:sz="4" w:space="0" w:color="auto"/>
            </w:tcBorders>
            <w:shd w:val="clear" w:color="auto" w:fill="D9D9D9"/>
          </w:tcPr>
          <w:p w14:paraId="3A32AF5A" w14:textId="77777777" w:rsidR="00F51CF4" w:rsidRDefault="00F51CF4" w:rsidP="00D102BF"/>
        </w:tc>
        <w:tc>
          <w:tcPr>
            <w:tcW w:w="1293" w:type="pct"/>
            <w:tcBorders>
              <w:top w:val="single" w:sz="4" w:space="0" w:color="auto"/>
              <w:left w:val="single" w:sz="4" w:space="0" w:color="auto"/>
              <w:bottom w:val="single" w:sz="4" w:space="0" w:color="auto"/>
              <w:right w:val="single" w:sz="4" w:space="0" w:color="auto"/>
            </w:tcBorders>
            <w:shd w:val="clear" w:color="auto" w:fill="D9D9D9"/>
          </w:tcPr>
          <w:p w14:paraId="3A32AF5B" w14:textId="77777777" w:rsidR="00F51CF4" w:rsidRDefault="00F51CF4" w:rsidP="00D102BF">
            <w:pPr>
              <w:tabs>
                <w:tab w:val="decimal" w:pos="1026"/>
              </w:tabs>
            </w:pPr>
          </w:p>
        </w:tc>
      </w:tr>
      <w:tr w:rsidR="00A51B50" w14:paraId="3A32AF61" w14:textId="77777777">
        <w:tc>
          <w:tcPr>
            <w:tcW w:w="444" w:type="pct"/>
            <w:vMerge w:val="restart"/>
            <w:tcBorders>
              <w:top w:val="single" w:sz="4" w:space="0" w:color="auto"/>
              <w:left w:val="single" w:sz="4" w:space="0" w:color="auto"/>
              <w:right w:val="single" w:sz="4" w:space="0" w:color="auto"/>
            </w:tcBorders>
          </w:tcPr>
          <w:p w14:paraId="3A32AF5D" w14:textId="77777777" w:rsidR="00A51B50" w:rsidRDefault="00A51B50" w:rsidP="005150FC">
            <w:r>
              <w:t>2014</w:t>
            </w:r>
          </w:p>
        </w:tc>
        <w:tc>
          <w:tcPr>
            <w:tcW w:w="1305" w:type="pct"/>
            <w:vMerge w:val="restart"/>
            <w:tcBorders>
              <w:top w:val="single" w:sz="4" w:space="0" w:color="auto"/>
              <w:left w:val="single" w:sz="4" w:space="0" w:color="auto"/>
              <w:right w:val="single" w:sz="4" w:space="0" w:color="auto"/>
            </w:tcBorders>
          </w:tcPr>
          <w:p w14:paraId="3A32AF5E" w14:textId="77777777" w:rsidR="00A51B50" w:rsidRDefault="00A51B50" w:rsidP="005150FC">
            <w:r>
              <w:t>Non-core bijdragen</w:t>
            </w:r>
          </w:p>
        </w:tc>
        <w:tc>
          <w:tcPr>
            <w:tcW w:w="1958" w:type="pct"/>
            <w:tcBorders>
              <w:top w:val="single" w:sz="4" w:space="0" w:color="auto"/>
              <w:left w:val="single" w:sz="4" w:space="0" w:color="auto"/>
              <w:bottom w:val="single" w:sz="4" w:space="0" w:color="auto"/>
              <w:right w:val="single" w:sz="4" w:space="0" w:color="auto"/>
            </w:tcBorders>
          </w:tcPr>
          <w:p w14:paraId="3A32AF5F" w14:textId="77777777" w:rsidR="00A51B50" w:rsidRDefault="00A51B50" w:rsidP="00F51CF4">
            <w:r>
              <w:t>1. Nederland</w:t>
            </w:r>
          </w:p>
        </w:tc>
        <w:tc>
          <w:tcPr>
            <w:tcW w:w="1293" w:type="pct"/>
            <w:tcBorders>
              <w:top w:val="single" w:sz="4" w:space="0" w:color="auto"/>
              <w:left w:val="single" w:sz="4" w:space="0" w:color="auto"/>
              <w:bottom w:val="single" w:sz="4" w:space="0" w:color="auto"/>
              <w:right w:val="single" w:sz="4" w:space="0" w:color="auto"/>
            </w:tcBorders>
          </w:tcPr>
          <w:p w14:paraId="3A32AF60" w14:textId="77777777" w:rsidR="00A51B50" w:rsidRDefault="00A51B50" w:rsidP="005150FC">
            <w:pPr>
              <w:tabs>
                <w:tab w:val="decimal" w:pos="1026"/>
              </w:tabs>
            </w:pPr>
            <w:r>
              <w:t>55,00</w:t>
            </w:r>
          </w:p>
        </w:tc>
      </w:tr>
      <w:tr w:rsidR="00A51B50" w14:paraId="3A32AF66" w14:textId="77777777">
        <w:tc>
          <w:tcPr>
            <w:tcW w:w="444" w:type="pct"/>
            <w:vMerge/>
            <w:tcBorders>
              <w:left w:val="single" w:sz="4" w:space="0" w:color="auto"/>
              <w:right w:val="single" w:sz="4" w:space="0" w:color="auto"/>
            </w:tcBorders>
          </w:tcPr>
          <w:p w14:paraId="3A32AF62" w14:textId="77777777" w:rsidR="00A51B50" w:rsidRDefault="00A51B50" w:rsidP="005150FC"/>
        </w:tc>
        <w:tc>
          <w:tcPr>
            <w:tcW w:w="1305" w:type="pct"/>
            <w:vMerge/>
            <w:tcBorders>
              <w:left w:val="single" w:sz="4" w:space="0" w:color="auto"/>
              <w:right w:val="single" w:sz="4" w:space="0" w:color="auto"/>
            </w:tcBorders>
          </w:tcPr>
          <w:p w14:paraId="3A32AF63" w14:textId="77777777" w:rsidR="00A51B50" w:rsidRDefault="00A51B50" w:rsidP="005150FC"/>
        </w:tc>
        <w:tc>
          <w:tcPr>
            <w:tcW w:w="1958" w:type="pct"/>
            <w:tcBorders>
              <w:top w:val="single" w:sz="4" w:space="0" w:color="auto"/>
              <w:left w:val="single" w:sz="4" w:space="0" w:color="auto"/>
              <w:bottom w:val="single" w:sz="4" w:space="0" w:color="auto"/>
              <w:right w:val="single" w:sz="4" w:space="0" w:color="auto"/>
            </w:tcBorders>
          </w:tcPr>
          <w:p w14:paraId="3A32AF64" w14:textId="77777777" w:rsidR="00A51B50" w:rsidRDefault="00A51B50" w:rsidP="00F51CF4">
            <w:r>
              <w:t>2. Canada</w:t>
            </w:r>
          </w:p>
        </w:tc>
        <w:tc>
          <w:tcPr>
            <w:tcW w:w="1293" w:type="pct"/>
            <w:tcBorders>
              <w:top w:val="single" w:sz="4" w:space="0" w:color="auto"/>
              <w:left w:val="single" w:sz="4" w:space="0" w:color="auto"/>
              <w:bottom w:val="single" w:sz="4" w:space="0" w:color="auto"/>
              <w:right w:val="single" w:sz="4" w:space="0" w:color="auto"/>
            </w:tcBorders>
          </w:tcPr>
          <w:p w14:paraId="3A32AF65" w14:textId="77777777" w:rsidR="00A51B50" w:rsidRDefault="00A51B50" w:rsidP="005150FC">
            <w:pPr>
              <w:tabs>
                <w:tab w:val="decimal" w:pos="1026"/>
              </w:tabs>
            </w:pPr>
            <w:r>
              <w:t>48,12</w:t>
            </w:r>
          </w:p>
        </w:tc>
      </w:tr>
      <w:tr w:rsidR="00A51B50" w14:paraId="3A32AF6B" w14:textId="77777777">
        <w:tc>
          <w:tcPr>
            <w:tcW w:w="444" w:type="pct"/>
            <w:vMerge/>
            <w:tcBorders>
              <w:left w:val="single" w:sz="4" w:space="0" w:color="auto"/>
              <w:bottom w:val="single" w:sz="4" w:space="0" w:color="auto"/>
              <w:right w:val="single" w:sz="4" w:space="0" w:color="auto"/>
            </w:tcBorders>
          </w:tcPr>
          <w:p w14:paraId="3A32AF67" w14:textId="77777777" w:rsidR="00A51B50" w:rsidRDefault="00A51B50" w:rsidP="005150FC"/>
        </w:tc>
        <w:tc>
          <w:tcPr>
            <w:tcW w:w="1305" w:type="pct"/>
            <w:vMerge/>
            <w:tcBorders>
              <w:left w:val="single" w:sz="4" w:space="0" w:color="auto"/>
              <w:bottom w:val="single" w:sz="4" w:space="0" w:color="auto"/>
              <w:right w:val="single" w:sz="4" w:space="0" w:color="auto"/>
            </w:tcBorders>
          </w:tcPr>
          <w:p w14:paraId="3A32AF68" w14:textId="77777777" w:rsidR="00A51B50" w:rsidRDefault="00A51B50" w:rsidP="005150FC"/>
        </w:tc>
        <w:tc>
          <w:tcPr>
            <w:tcW w:w="1958" w:type="pct"/>
            <w:tcBorders>
              <w:top w:val="single" w:sz="4" w:space="0" w:color="auto"/>
              <w:left w:val="single" w:sz="4" w:space="0" w:color="auto"/>
              <w:bottom w:val="single" w:sz="4" w:space="0" w:color="auto"/>
              <w:right w:val="single" w:sz="4" w:space="0" w:color="auto"/>
            </w:tcBorders>
          </w:tcPr>
          <w:p w14:paraId="3A32AF69" w14:textId="77777777" w:rsidR="00A51B50" w:rsidRDefault="00A51B50" w:rsidP="00F51CF4">
            <w:r>
              <w:t>3. Zwitserland</w:t>
            </w:r>
          </w:p>
        </w:tc>
        <w:tc>
          <w:tcPr>
            <w:tcW w:w="1293" w:type="pct"/>
            <w:tcBorders>
              <w:top w:val="single" w:sz="4" w:space="0" w:color="auto"/>
              <w:left w:val="single" w:sz="4" w:space="0" w:color="auto"/>
              <w:bottom w:val="single" w:sz="4" w:space="0" w:color="auto"/>
              <w:right w:val="single" w:sz="4" w:space="0" w:color="auto"/>
            </w:tcBorders>
          </w:tcPr>
          <w:p w14:paraId="3A32AF6A" w14:textId="77777777" w:rsidR="00A51B50" w:rsidRDefault="00A51B50" w:rsidP="005150FC">
            <w:pPr>
              <w:tabs>
                <w:tab w:val="decimal" w:pos="1026"/>
              </w:tabs>
            </w:pPr>
            <w:r>
              <w:t>47,72</w:t>
            </w:r>
          </w:p>
        </w:tc>
      </w:tr>
    </w:tbl>
    <w:p w14:paraId="2418DFBA" w14:textId="307FEBC8" w:rsidR="000F07B8" w:rsidRDefault="000F07B8" w:rsidP="000F07B8">
      <w:r>
        <w:t xml:space="preserve">Noot: Bij IFC zijn alle bijdragen non-core. Dit overzicht is gebaseerd op de Nederlandse bijdrage aan </w:t>
      </w:r>
      <w:r w:rsidRPr="00C20672">
        <w:rPr>
          <w:i/>
        </w:rPr>
        <w:t>Advisory Services</w:t>
      </w:r>
      <w:r>
        <w:t xml:space="preserve"> voor FY2014. </w:t>
      </w:r>
    </w:p>
    <w:p w14:paraId="3A32AF6C" w14:textId="77777777" w:rsidR="005150FC" w:rsidRDefault="005150FC" w:rsidP="005150FC"/>
    <w:p w14:paraId="3A32AF6D" w14:textId="77777777" w:rsidR="009811DF" w:rsidRDefault="00F24A31" w:rsidP="00F24A31">
      <w:pPr>
        <w:pStyle w:val="Heading1"/>
        <w:tabs>
          <w:tab w:val="num" w:pos="0"/>
        </w:tabs>
        <w:spacing w:after="240" w:line="240" w:lineRule="auto"/>
        <w:ind w:hanging="1162"/>
      </w:pPr>
      <w:bookmarkStart w:id="49" w:name="_Toc422131308"/>
      <w:bookmarkStart w:id="50" w:name="_Toc422131852"/>
      <w:bookmarkStart w:id="51" w:name="_Toc422131885"/>
      <w:bookmarkStart w:id="52" w:name="_Toc422132112"/>
      <w:bookmarkStart w:id="53" w:name="_Toc422132166"/>
      <w:r>
        <w:t xml:space="preserve">3 </w:t>
      </w:r>
      <w:r>
        <w:tab/>
      </w:r>
      <w:r w:rsidR="006C1EB0">
        <w:t>Institutionele aspecten</w:t>
      </w:r>
      <w:r w:rsidR="00D745A7">
        <w:t xml:space="preserve"> </w:t>
      </w:r>
      <w:r w:rsidR="009B1466">
        <w:t xml:space="preserve">en functioneren </w:t>
      </w:r>
      <w:r w:rsidR="00D745A7">
        <w:t>van de organisatie</w:t>
      </w:r>
      <w:bookmarkEnd w:id="49"/>
      <w:bookmarkEnd w:id="50"/>
      <w:bookmarkEnd w:id="51"/>
      <w:bookmarkEnd w:id="52"/>
      <w:bookmarkEnd w:id="53"/>
    </w:p>
    <w:p w14:paraId="3A32AF6E" w14:textId="77777777" w:rsidR="00D745A7" w:rsidRPr="004D372F" w:rsidRDefault="005B4830" w:rsidP="00ED4248">
      <w:pPr>
        <w:pStyle w:val="Heading2"/>
        <w:numPr>
          <w:ilvl w:val="1"/>
          <w:numId w:val="20"/>
        </w:numPr>
        <w:tabs>
          <w:tab w:val="left" w:pos="-1162"/>
          <w:tab w:val="left" w:pos="0"/>
        </w:tabs>
        <w:spacing w:line="240" w:lineRule="auto"/>
      </w:pPr>
      <w:r>
        <w:tab/>
      </w:r>
      <w:bookmarkStart w:id="54" w:name="_Toc422131309"/>
      <w:bookmarkStart w:id="55" w:name="_Toc422131853"/>
      <w:bookmarkStart w:id="56" w:name="_Toc422131886"/>
      <w:bookmarkStart w:id="57" w:name="_Toc422132113"/>
      <w:bookmarkStart w:id="58" w:name="_Toc422132167"/>
      <w:r w:rsidR="00743337">
        <w:t xml:space="preserve">Strategie en </w:t>
      </w:r>
      <w:r w:rsidR="00A84B60">
        <w:t>f</w:t>
      </w:r>
      <w:r w:rsidR="00D745A7" w:rsidRPr="004D372F">
        <w:t>ocus</w:t>
      </w:r>
      <w:bookmarkEnd w:id="54"/>
      <w:bookmarkEnd w:id="55"/>
      <w:bookmarkEnd w:id="56"/>
      <w:bookmarkEnd w:id="57"/>
      <w:bookmarkEnd w:id="58"/>
    </w:p>
    <w:p w14:paraId="3A32AF6F" w14:textId="77777777" w:rsidR="006B3971" w:rsidRDefault="006B3971" w:rsidP="00275A4D"/>
    <w:p w14:paraId="3A32AF70" w14:textId="5595C7F3" w:rsidR="009C3E30" w:rsidRDefault="00646987">
      <w:r>
        <w:t>IFC</w:t>
      </w:r>
      <w:r w:rsidR="00D149C8">
        <w:t xml:space="preserve"> heeft als centrale</w:t>
      </w:r>
      <w:r w:rsidR="00275A4D">
        <w:t xml:space="preserve"> missie: “het bevorderen van duurzame investeringen in de private sector”. Alle financierings- of adviseringsactiviteiten van </w:t>
      </w:r>
      <w:r>
        <w:t>IFC</w:t>
      </w:r>
      <w:r w:rsidR="00275A4D">
        <w:t xml:space="preserve"> hebben te maken met private sector ontwikkeling en dienen ontwikkelingsrelevant te zijn. </w:t>
      </w:r>
      <w:r>
        <w:t>IFC</w:t>
      </w:r>
      <w:r w:rsidR="00D27467">
        <w:t xml:space="preserve"> zet </w:t>
      </w:r>
      <w:r w:rsidR="00F85583">
        <w:t xml:space="preserve">enerzijds </w:t>
      </w:r>
      <w:r w:rsidR="00D27467">
        <w:t xml:space="preserve">in op de private sector als aanjager van </w:t>
      </w:r>
      <w:r w:rsidR="00D27467" w:rsidRPr="00615DD7">
        <w:rPr>
          <w:i/>
        </w:rPr>
        <w:t>economische groei</w:t>
      </w:r>
      <w:r w:rsidR="00D149C8">
        <w:t xml:space="preserve"> </w:t>
      </w:r>
      <w:r w:rsidR="004E0468">
        <w:t xml:space="preserve">en </w:t>
      </w:r>
      <w:r w:rsidR="00163990">
        <w:t xml:space="preserve">als </w:t>
      </w:r>
      <w:r w:rsidR="00D27467" w:rsidRPr="00615DD7">
        <w:rPr>
          <w:i/>
        </w:rPr>
        <w:t>toegang tot meer en betere banen</w:t>
      </w:r>
      <w:r w:rsidR="00D149C8">
        <w:rPr>
          <w:i/>
        </w:rPr>
        <w:t xml:space="preserve"> </w:t>
      </w:r>
      <w:r w:rsidR="00D149C8">
        <w:t xml:space="preserve">en </w:t>
      </w:r>
      <w:r w:rsidR="00F85583">
        <w:t>anderzijds op betere</w:t>
      </w:r>
      <w:r w:rsidR="00163990">
        <w:t xml:space="preserve"> </w:t>
      </w:r>
      <w:r w:rsidR="00D149C8">
        <w:t>toegang tot kritische goederen en diensten (zoals gezondheidszorg, onderwijs en kredietverlening)</w:t>
      </w:r>
      <w:r w:rsidR="00F85583">
        <w:t>.</w:t>
      </w:r>
      <w:r w:rsidR="00D27467">
        <w:t xml:space="preserve"> </w:t>
      </w:r>
      <w:r>
        <w:t>IFC</w:t>
      </w:r>
      <w:r w:rsidR="009C3E30">
        <w:t xml:space="preserve"> kent een mondiaal bereik en gedecentraliseerde operaties,</w:t>
      </w:r>
      <w:r w:rsidR="004E0468">
        <w:t xml:space="preserve"> </w:t>
      </w:r>
      <w:r w:rsidR="00D149C8">
        <w:t>le</w:t>
      </w:r>
      <w:r w:rsidR="004E0468">
        <w:t>e</w:t>
      </w:r>
      <w:r w:rsidR="00D149C8">
        <w:t>r</w:t>
      </w:r>
      <w:r w:rsidR="004E0468">
        <w:t>t</w:t>
      </w:r>
      <w:r w:rsidR="00D149C8">
        <w:t xml:space="preserve"> van</w:t>
      </w:r>
      <w:r w:rsidR="009C3E30">
        <w:t xml:space="preserve"> de ervaringen in de verschillende </w:t>
      </w:r>
      <w:r w:rsidR="00D27467">
        <w:t>regio’s</w:t>
      </w:r>
      <w:r w:rsidR="009C3E30">
        <w:t xml:space="preserve"> en sectoren</w:t>
      </w:r>
      <w:r w:rsidR="00163990">
        <w:t>,</w:t>
      </w:r>
      <w:r w:rsidR="009C3E30">
        <w:t xml:space="preserve"> en </w:t>
      </w:r>
      <w:r w:rsidR="00163990">
        <w:t>is daarom in staat</w:t>
      </w:r>
      <w:r w:rsidR="00D149C8">
        <w:t xml:space="preserve"> </w:t>
      </w:r>
      <w:r w:rsidR="004E0468">
        <w:t>om</w:t>
      </w:r>
      <w:r w:rsidR="00D149C8">
        <w:t xml:space="preserve"> </w:t>
      </w:r>
      <w:r w:rsidR="009C3E30">
        <w:t>risico</w:t>
      </w:r>
      <w:r w:rsidR="00163990">
        <w:t>’</w:t>
      </w:r>
      <w:r w:rsidR="009C3E30">
        <w:t xml:space="preserve">s </w:t>
      </w:r>
      <w:r w:rsidR="00163990">
        <w:t xml:space="preserve">goed te </w:t>
      </w:r>
      <w:r w:rsidR="009C3E30">
        <w:t xml:space="preserve">spreiden. </w:t>
      </w:r>
    </w:p>
    <w:p w14:paraId="3A32AF71" w14:textId="77777777" w:rsidR="003E2CF1" w:rsidRDefault="003E2CF1" w:rsidP="00275A4D"/>
    <w:p w14:paraId="3A32AF72" w14:textId="26B2CF39" w:rsidR="00D149C8" w:rsidRDefault="00646987" w:rsidP="00D149C8">
      <w:r>
        <w:t>IFC</w:t>
      </w:r>
      <w:r w:rsidR="00D149C8" w:rsidRPr="00615DD7">
        <w:t xml:space="preserve"> </w:t>
      </w:r>
      <w:r w:rsidR="00D149C8">
        <w:t xml:space="preserve">focust zich op de volgende kernsectoren: </w:t>
      </w:r>
      <w:r w:rsidR="00163990">
        <w:t>i</w:t>
      </w:r>
      <w:r w:rsidR="00D149C8">
        <w:t xml:space="preserve">nfrastructuur (energie en grondstoffen), </w:t>
      </w:r>
      <w:r w:rsidR="00D149C8" w:rsidRPr="00E423AE">
        <w:rPr>
          <w:i/>
        </w:rPr>
        <w:t>agribusiness</w:t>
      </w:r>
      <w:r w:rsidR="00D149C8">
        <w:t xml:space="preserve"> en de voedselketen, gezondheid</w:t>
      </w:r>
      <w:r w:rsidR="00F85583">
        <w:t>s</w:t>
      </w:r>
      <w:r w:rsidR="00D149C8">
        <w:t>zorg &amp; onderwijs en financiële sector ontwikkeling en toegang tot financiering</w:t>
      </w:r>
      <w:r w:rsidR="00F85583">
        <w:t>.</w:t>
      </w:r>
      <w:r w:rsidR="00D149C8">
        <w:t xml:space="preserve"> Daarnaast concentreert </w:t>
      </w:r>
      <w:r>
        <w:t>IFC</w:t>
      </w:r>
      <w:r w:rsidR="00D149C8">
        <w:t xml:space="preserve"> zich op de volgende kernthema’s: </w:t>
      </w:r>
      <w:r w:rsidR="00163990">
        <w:t>b</w:t>
      </w:r>
      <w:r w:rsidR="00D149C8">
        <w:t xml:space="preserve">anen, </w:t>
      </w:r>
      <w:r w:rsidR="00163990">
        <w:t>k</w:t>
      </w:r>
      <w:r w:rsidR="00D149C8">
        <w:t xml:space="preserve">limaatverandering, </w:t>
      </w:r>
      <w:r w:rsidR="00163990">
        <w:t>g</w:t>
      </w:r>
      <w:r w:rsidR="00D149C8">
        <w:t xml:space="preserve">ender en </w:t>
      </w:r>
      <w:r w:rsidR="00163990">
        <w:t>P</w:t>
      </w:r>
      <w:r w:rsidR="00D149C8">
        <w:t>ubliek-Private Partnerschappen</w:t>
      </w:r>
      <w:r w:rsidR="00163990">
        <w:t xml:space="preserve"> (PPP’s)</w:t>
      </w:r>
      <w:r w:rsidR="00D149C8">
        <w:t>.</w:t>
      </w:r>
      <w:r w:rsidR="00B6771F">
        <w:t xml:space="preserve"> </w:t>
      </w:r>
    </w:p>
    <w:p w14:paraId="3A32AF73" w14:textId="77777777" w:rsidR="00D149C8" w:rsidRDefault="00D149C8" w:rsidP="00275A4D"/>
    <w:p w14:paraId="3A32AF76" w14:textId="76B7920A" w:rsidR="006424CD" w:rsidRDefault="00646987" w:rsidP="006424CD">
      <w:r>
        <w:t>IFC</w:t>
      </w:r>
      <w:r w:rsidR="00151378">
        <w:t xml:space="preserve"> wil bijdragen aan het behalen van de </w:t>
      </w:r>
      <w:r w:rsidR="00F85583">
        <w:t>twee</w:t>
      </w:r>
      <w:r w:rsidR="00151378">
        <w:t xml:space="preserve"> centrale doelstellingen van de Wereldbank en </w:t>
      </w:r>
      <w:r w:rsidR="00A875AE">
        <w:t xml:space="preserve">IFC </w:t>
      </w:r>
      <w:r w:rsidR="00F85583">
        <w:t xml:space="preserve">en </w:t>
      </w:r>
      <w:r w:rsidR="00A875AE">
        <w:t xml:space="preserve">is </w:t>
      </w:r>
      <w:r w:rsidR="00E574DD">
        <w:t>in het bijzonder</w:t>
      </w:r>
      <w:r w:rsidR="00A875AE">
        <w:t xml:space="preserve"> gericht op </w:t>
      </w:r>
      <w:r w:rsidR="00F85583">
        <w:t>de verkenning en ontwikkeling van nieuwe markten</w:t>
      </w:r>
      <w:r w:rsidR="00A875AE">
        <w:t xml:space="preserve">. </w:t>
      </w:r>
      <w:r>
        <w:t>IFC</w:t>
      </w:r>
      <w:r w:rsidR="00A875AE">
        <w:t xml:space="preserve"> wil zich vooral concentreren op </w:t>
      </w:r>
      <w:r w:rsidR="00F85583">
        <w:t>f</w:t>
      </w:r>
      <w:r w:rsidR="00A875AE">
        <w:t xml:space="preserve">ragiele en door </w:t>
      </w:r>
      <w:r w:rsidR="00F85583">
        <w:t>c</w:t>
      </w:r>
      <w:r w:rsidR="00A875AE">
        <w:t xml:space="preserve">onflict geraakte landen en op IDA-landen. </w:t>
      </w:r>
      <w:r w:rsidR="00F85583">
        <w:t>A</w:t>
      </w:r>
      <w:r w:rsidR="002C5258">
        <w:t xml:space="preserve">ctiviteiten in deze landen </w:t>
      </w:r>
      <w:r w:rsidR="00F85583">
        <w:t xml:space="preserve">gaan </w:t>
      </w:r>
      <w:r w:rsidR="002C5258">
        <w:t>gepaard met hogere risico</w:t>
      </w:r>
      <w:r w:rsidR="00F85583">
        <w:t>’</w:t>
      </w:r>
      <w:r w:rsidR="002C5258">
        <w:t xml:space="preserve">s </w:t>
      </w:r>
      <w:r w:rsidR="00F85583">
        <w:t>wat er toe leidt</w:t>
      </w:r>
      <w:r w:rsidR="002C5258">
        <w:t xml:space="preserve"> dat de private sector </w:t>
      </w:r>
      <w:r w:rsidR="00151378">
        <w:t xml:space="preserve">minder geneigd is </w:t>
      </w:r>
      <w:r w:rsidR="00F85583">
        <w:t xml:space="preserve">daar </w:t>
      </w:r>
      <w:r w:rsidR="00151378">
        <w:t>te investeren</w:t>
      </w:r>
      <w:r w:rsidR="002C5258">
        <w:t xml:space="preserve">. </w:t>
      </w:r>
      <w:r>
        <w:t>IFC</w:t>
      </w:r>
      <w:r w:rsidR="002C5258">
        <w:t xml:space="preserve"> </w:t>
      </w:r>
      <w:r w:rsidR="00F85583">
        <w:t xml:space="preserve">speelt dus een belangrijke rol in het beperken van deze </w:t>
      </w:r>
      <w:r w:rsidR="002C5258">
        <w:t xml:space="preserve">risico’s. </w:t>
      </w:r>
      <w:r w:rsidR="006424CD">
        <w:t xml:space="preserve">De </w:t>
      </w:r>
      <w:r w:rsidR="006424CD" w:rsidRPr="00D841BD">
        <w:rPr>
          <w:i/>
        </w:rPr>
        <w:t>advisory services</w:t>
      </w:r>
      <w:r w:rsidR="006424CD">
        <w:t xml:space="preserve"> </w:t>
      </w:r>
      <w:r w:rsidR="00562D1A">
        <w:t>kunnen bij</w:t>
      </w:r>
      <w:r w:rsidR="006424CD">
        <w:t xml:space="preserve">dragen aan het vergroten van de ontwikkelingsimpact van IFC, </w:t>
      </w:r>
      <w:proofErr w:type="gramStart"/>
      <w:r w:rsidR="006424CD">
        <w:t>met name</w:t>
      </w:r>
      <w:proofErr w:type="gramEnd"/>
      <w:r w:rsidR="006424CD">
        <w:t xml:space="preserve"> in moeilijke markten. Daarom zijn de </w:t>
      </w:r>
      <w:r w:rsidR="006424CD" w:rsidRPr="00247937">
        <w:rPr>
          <w:i/>
        </w:rPr>
        <w:t>advisory services</w:t>
      </w:r>
      <w:r w:rsidR="006424CD">
        <w:t xml:space="preserve"> richting overheden per 1 juli 2014 geïntegreerd in de ‘</w:t>
      </w:r>
      <w:r w:rsidR="006424CD" w:rsidRPr="00C20672">
        <w:rPr>
          <w:i/>
        </w:rPr>
        <w:t>Global Practices</w:t>
      </w:r>
      <w:r w:rsidR="006424CD">
        <w:t xml:space="preserve">’ van de </w:t>
      </w:r>
      <w:r w:rsidR="00562D1A">
        <w:t>WBG</w:t>
      </w:r>
      <w:r w:rsidR="006424CD">
        <w:t xml:space="preserve"> en zijn de </w:t>
      </w:r>
      <w:r w:rsidR="006424CD" w:rsidRPr="00615DD7">
        <w:rPr>
          <w:i/>
        </w:rPr>
        <w:t>advisory services</w:t>
      </w:r>
      <w:r w:rsidR="006424CD">
        <w:t xml:space="preserve"> richting bedrijven deels geïntegreerd in de </w:t>
      </w:r>
      <w:r w:rsidR="006424CD" w:rsidRPr="00E423AE">
        <w:rPr>
          <w:i/>
        </w:rPr>
        <w:t>investment services</w:t>
      </w:r>
      <w:r w:rsidR="006424CD">
        <w:t xml:space="preserve">. </w:t>
      </w:r>
    </w:p>
    <w:p w14:paraId="3A32AF77" w14:textId="77777777" w:rsidR="00A875AE" w:rsidRPr="00615DD7" w:rsidRDefault="00A875AE" w:rsidP="00D27467"/>
    <w:p w14:paraId="3A32AF79" w14:textId="444AC43A" w:rsidR="00AD6F15" w:rsidRDefault="00562D1A" w:rsidP="00275A4D">
      <w:r>
        <w:t xml:space="preserve">Nederland is tevreden met de versterkte focus van IFC op </w:t>
      </w:r>
      <w:r w:rsidRPr="008A74DC">
        <w:t>ontwikkelingsimpact en de bijdrage aan de twee kerndoelstellingen van de WBG.</w:t>
      </w:r>
      <w:r>
        <w:t xml:space="preserve"> De additionaliteit van </w:t>
      </w:r>
      <w:r w:rsidR="003E0A8A">
        <w:t xml:space="preserve">IFC </w:t>
      </w:r>
      <w:r w:rsidR="00275A4D" w:rsidRPr="000E16E9">
        <w:t>ten opzichte van commerciële instellingen</w:t>
      </w:r>
      <w:r>
        <w:t xml:space="preserve"> blijft echter een punt van aandacht</w:t>
      </w:r>
      <w:r w:rsidR="00275A4D" w:rsidRPr="000E16E9">
        <w:t xml:space="preserve">. </w:t>
      </w:r>
      <w:r>
        <w:t>I</w:t>
      </w:r>
      <w:r w:rsidR="00322564">
        <w:t xml:space="preserve">n sommige gevallen </w:t>
      </w:r>
      <w:r>
        <w:t xml:space="preserve">lijkt </w:t>
      </w:r>
      <w:r w:rsidR="00A51B50">
        <w:t>financiële</w:t>
      </w:r>
      <w:r w:rsidR="009D46EC">
        <w:t xml:space="preserve"> winstgevendheid de </w:t>
      </w:r>
      <w:r>
        <w:t xml:space="preserve">belangrijkste factor bij de </w:t>
      </w:r>
      <w:r w:rsidR="009D46EC">
        <w:t xml:space="preserve">identificatie van </w:t>
      </w:r>
      <w:r w:rsidR="00A51B50">
        <w:t xml:space="preserve">investeringsmogelijkheden. </w:t>
      </w:r>
      <w:r w:rsidR="006424CD">
        <w:t>I</w:t>
      </w:r>
      <w:r w:rsidR="00322564">
        <w:t xml:space="preserve">FC </w:t>
      </w:r>
      <w:r>
        <w:t xml:space="preserve">moet </w:t>
      </w:r>
      <w:r w:rsidR="00C7606F">
        <w:t xml:space="preserve">in de </w:t>
      </w:r>
      <w:r>
        <w:t xml:space="preserve">Nederlandse </w:t>
      </w:r>
      <w:r w:rsidR="00C7606F">
        <w:t xml:space="preserve">optiek </w:t>
      </w:r>
      <w:r w:rsidR="008A74DC">
        <w:t xml:space="preserve">een </w:t>
      </w:r>
      <w:r>
        <w:t xml:space="preserve">goede </w:t>
      </w:r>
      <w:r w:rsidR="008A74DC">
        <w:t xml:space="preserve">balans vinden </w:t>
      </w:r>
      <w:r w:rsidR="00275A4D">
        <w:t>tussen bedrijfseconomische afwegingen en ontwikkelings</w:t>
      </w:r>
      <w:r>
        <w:t>-</w:t>
      </w:r>
      <w:r w:rsidR="00275A4D">
        <w:t>relevantie</w:t>
      </w:r>
      <w:r>
        <w:t xml:space="preserve">. </w:t>
      </w:r>
      <w:r w:rsidR="00151378">
        <w:t xml:space="preserve">Nederland </w:t>
      </w:r>
      <w:r>
        <w:t>ziet net als de IEG</w:t>
      </w:r>
      <w:r w:rsidR="0082726D">
        <w:rPr>
          <w:rStyle w:val="FootnoteReference"/>
        </w:rPr>
        <w:footnoteReference w:id="5"/>
      </w:r>
      <w:r>
        <w:t xml:space="preserve"> ook grote</w:t>
      </w:r>
      <w:r w:rsidR="00151378">
        <w:t xml:space="preserve"> </w:t>
      </w:r>
      <w:r>
        <w:t xml:space="preserve">toegevoegde waarde </w:t>
      </w:r>
      <w:r w:rsidR="00151378">
        <w:t xml:space="preserve">van IFC </w:t>
      </w:r>
      <w:r>
        <w:t>in f</w:t>
      </w:r>
      <w:r w:rsidR="00151378">
        <w:t xml:space="preserve">ragiele en door </w:t>
      </w:r>
      <w:r>
        <w:t>c</w:t>
      </w:r>
      <w:r w:rsidR="00151378">
        <w:t xml:space="preserve">onflict geraakte staten. </w:t>
      </w:r>
      <w:r w:rsidR="0082726D">
        <w:t xml:space="preserve">Volgens de IEG dient </w:t>
      </w:r>
      <w:r w:rsidR="00646987">
        <w:t>IFC</w:t>
      </w:r>
      <w:r w:rsidR="007B4CBB">
        <w:t xml:space="preserve"> een meer strategische benadering </w:t>
      </w:r>
      <w:r w:rsidR="006424CD">
        <w:t xml:space="preserve">te </w:t>
      </w:r>
      <w:r w:rsidR="007B4CBB">
        <w:t xml:space="preserve">hanteren </w:t>
      </w:r>
      <w:r w:rsidR="0082726D">
        <w:t xml:space="preserve">om </w:t>
      </w:r>
      <w:r w:rsidR="007B4CBB">
        <w:t>armoede te bestrijden</w:t>
      </w:r>
      <w:r w:rsidR="00151378">
        <w:t xml:space="preserve">, </w:t>
      </w:r>
      <w:r w:rsidR="0082726D">
        <w:t>met meer oog voor de</w:t>
      </w:r>
      <w:r w:rsidR="007B4CBB">
        <w:t xml:space="preserve"> verdelingseffecten van projecten </w:t>
      </w:r>
      <w:r w:rsidR="0082726D">
        <w:t>en om er zeker van te zijn dat de armen ook</w:t>
      </w:r>
      <w:r w:rsidR="007B4CBB">
        <w:t xml:space="preserve"> daadwerkelijk bereik</w:t>
      </w:r>
      <w:r w:rsidR="0082726D">
        <w:t>t worden</w:t>
      </w:r>
      <w:r w:rsidR="007B4CBB">
        <w:t xml:space="preserve">. </w:t>
      </w:r>
      <w:r w:rsidR="00646987">
        <w:t>IFC</w:t>
      </w:r>
      <w:r w:rsidR="006945F0">
        <w:t xml:space="preserve"> heeft zich deze kritiek aangetrokken en</w:t>
      </w:r>
      <w:r w:rsidR="006424CD">
        <w:t xml:space="preserve"> de</w:t>
      </w:r>
      <w:r w:rsidR="006945F0">
        <w:t xml:space="preserve"> ‘</w:t>
      </w:r>
      <w:r w:rsidR="006945F0" w:rsidRPr="00C20672">
        <w:rPr>
          <w:i/>
        </w:rPr>
        <w:t>holistic portfolio approach</w:t>
      </w:r>
      <w:r w:rsidR="006945F0">
        <w:t>’ aangekondi</w:t>
      </w:r>
      <w:r w:rsidR="008E2EE1">
        <w:t>gd</w:t>
      </w:r>
      <w:r w:rsidR="00AD6F15">
        <w:t xml:space="preserve">. Deze benadering heeft als doelstelling om binnen de gehele IFC-portefeuille zowel ontwikkelingsdoelstellingen te behalen </w:t>
      </w:r>
      <w:r w:rsidR="0082726D">
        <w:t>als</w:t>
      </w:r>
      <w:r w:rsidR="00AD6F15">
        <w:t xml:space="preserve"> financiële duurzaamheid te garanderen. Dit maakt het mogelijk om hogere risico’s te nemen op projecten in bijvoorbeeld fragiele staten. </w:t>
      </w:r>
      <w:r w:rsidR="00AF2BE2">
        <w:t>Bij het nemen van risico</w:t>
      </w:r>
      <w:r w:rsidR="0082726D">
        <w:t>’s</w:t>
      </w:r>
      <w:r w:rsidR="00AF2BE2">
        <w:t xml:space="preserve"> </w:t>
      </w:r>
      <w:r w:rsidR="0082726D">
        <w:t xml:space="preserve">houdt IFC rekening met de </w:t>
      </w:r>
      <w:r w:rsidR="00AF2BE2">
        <w:t xml:space="preserve">potentiele negatieve impact op de financiële positie </w:t>
      </w:r>
      <w:r w:rsidR="0082726D">
        <w:t>van</w:t>
      </w:r>
      <w:r w:rsidR="00F31D61">
        <w:t xml:space="preserve"> de organisatie</w:t>
      </w:r>
      <w:r w:rsidR="0082726D">
        <w:t>. O</w:t>
      </w:r>
      <w:r w:rsidR="006424CD">
        <w:t xml:space="preserve">m die reden </w:t>
      </w:r>
      <w:r w:rsidR="0082726D">
        <w:t xml:space="preserve">houdt IFC </w:t>
      </w:r>
      <w:r w:rsidR="00F31D61">
        <w:t xml:space="preserve">ook minder risicovolle projecten </w:t>
      </w:r>
      <w:r w:rsidR="0082726D">
        <w:t xml:space="preserve">in de </w:t>
      </w:r>
      <w:r w:rsidR="00F31D61">
        <w:t>portefeuille</w:t>
      </w:r>
      <w:r w:rsidR="0082726D">
        <w:t>.</w:t>
      </w:r>
      <w:r w:rsidR="00F31D61">
        <w:t xml:space="preserve"> </w:t>
      </w:r>
    </w:p>
    <w:p w14:paraId="3A32AF7A" w14:textId="77777777" w:rsidR="00AD6F15" w:rsidRDefault="00AD6F15" w:rsidP="00275A4D"/>
    <w:p w14:paraId="3A32AF7B" w14:textId="2D2681A1" w:rsidR="00615DD7" w:rsidRDefault="00F31D61" w:rsidP="00275A4D">
      <w:r>
        <w:t>P</w:t>
      </w:r>
      <w:r w:rsidR="006945F0">
        <w:t xml:space="preserve">ositieve ontwikkeling is dat </w:t>
      </w:r>
      <w:r w:rsidR="00646987">
        <w:t>IFC</w:t>
      </w:r>
      <w:r w:rsidR="006945F0">
        <w:t xml:space="preserve"> haar activiteiten verder heeft uitgebreid naar IDA-landen, een sterkere focus laat zien op Sub-Sahara Afrika en </w:t>
      </w:r>
      <w:r w:rsidR="006945F0" w:rsidRPr="00D47C69">
        <w:t>een verdubbeling van de portfolio in fragiele staten</w:t>
      </w:r>
      <w:r w:rsidR="007F0A5C">
        <w:t xml:space="preserve"> heeft </w:t>
      </w:r>
      <w:r w:rsidR="00272A62">
        <w:t>gerealiseerd</w:t>
      </w:r>
      <w:r w:rsidR="00272A62" w:rsidRPr="00D47C69">
        <w:t xml:space="preserve">. </w:t>
      </w:r>
      <w:r w:rsidR="00646987">
        <w:t>IFC</w:t>
      </w:r>
      <w:r w:rsidR="006945F0">
        <w:t xml:space="preserve"> had in 2014 voor </w:t>
      </w:r>
      <w:r w:rsidR="0082726D">
        <w:t xml:space="preserve">USD </w:t>
      </w:r>
      <w:r w:rsidR="006945F0">
        <w:t>14,5 miljard aan investeringen (uitgezonderd regionale investeringen) uitstaan in IDA-landen. Dit betreft een stijging van 6% t</w:t>
      </w:r>
      <w:r w:rsidR="003E0A8A">
        <w:t>en opzichte van</w:t>
      </w:r>
      <w:r w:rsidR="006945F0">
        <w:t xml:space="preserve"> 2013. De </w:t>
      </w:r>
      <w:r w:rsidR="006C1E5A">
        <w:t>IFC investeringen</w:t>
      </w:r>
      <w:r w:rsidR="006945F0">
        <w:t xml:space="preserve"> </w:t>
      </w:r>
      <w:r w:rsidR="006C1E5A">
        <w:t xml:space="preserve">in IDA landen </w:t>
      </w:r>
      <w:r w:rsidR="006945F0">
        <w:t>bedra</w:t>
      </w:r>
      <w:r w:rsidR="006C1E5A">
        <w:t>gen</w:t>
      </w:r>
      <w:r w:rsidR="006945F0">
        <w:t xml:space="preserve"> daarmee 28% van </w:t>
      </w:r>
      <w:r w:rsidR="006C1E5A">
        <w:t>de totale IFC investeringsportefeuille</w:t>
      </w:r>
      <w:r w:rsidR="006945F0">
        <w:t>.</w:t>
      </w:r>
    </w:p>
    <w:p w14:paraId="3A32AF7C" w14:textId="77777777" w:rsidR="00615DD7" w:rsidRDefault="00615DD7" w:rsidP="00275A4D"/>
    <w:p w14:paraId="3A32AF7D" w14:textId="4CD75D08" w:rsidR="003E2CF1" w:rsidRDefault="001C1594" w:rsidP="003E2CF1">
      <w:r>
        <w:t xml:space="preserve">Nederland </w:t>
      </w:r>
      <w:r w:rsidR="00A51B50">
        <w:t>tracht</w:t>
      </w:r>
      <w:r w:rsidR="006945F0">
        <w:t xml:space="preserve"> verder</w:t>
      </w:r>
      <w:r w:rsidR="00A51B50">
        <w:t xml:space="preserve"> met</w:t>
      </w:r>
      <w:r>
        <w:t xml:space="preserve"> </w:t>
      </w:r>
      <w:r w:rsidR="006945F0">
        <w:t xml:space="preserve">gerichte </w:t>
      </w:r>
      <w:r>
        <w:t>bijdragen aan bijv</w:t>
      </w:r>
      <w:r w:rsidR="00A51B50">
        <w:t>oorbeeld</w:t>
      </w:r>
      <w:r>
        <w:t xml:space="preserve"> het </w:t>
      </w:r>
      <w:r w:rsidR="007F0A5C">
        <w:t xml:space="preserve">eerder genoemde </w:t>
      </w:r>
      <w:r>
        <w:t>GAFSP en het CASA programma</w:t>
      </w:r>
      <w:r w:rsidR="007F0A5C">
        <w:t xml:space="preserve"> (zie paragraaf 2.4)</w:t>
      </w:r>
      <w:r>
        <w:t xml:space="preserve"> IFC aan te moedigen </w:t>
      </w:r>
      <w:r w:rsidR="00597AFB">
        <w:t xml:space="preserve">het </w:t>
      </w:r>
      <w:r>
        <w:t xml:space="preserve">ontwikkelingseffect van </w:t>
      </w:r>
      <w:r w:rsidR="00293D0B">
        <w:t>IFC-</w:t>
      </w:r>
      <w:r w:rsidR="006C1E5A">
        <w:t xml:space="preserve">activiteiten </w:t>
      </w:r>
      <w:r>
        <w:t>te versterken</w:t>
      </w:r>
      <w:r w:rsidR="00293D0B">
        <w:t xml:space="preserve">. Dit doet Nederland </w:t>
      </w:r>
      <w:r>
        <w:t xml:space="preserve">door nieuwe </w:t>
      </w:r>
      <w:r w:rsidR="00293D0B">
        <w:t xml:space="preserve">onderwerpen te agenderen, zoals conflict </w:t>
      </w:r>
      <w:r w:rsidR="003E0A8A">
        <w:t>en</w:t>
      </w:r>
      <w:r w:rsidR="00293D0B">
        <w:t xml:space="preserve"> gender en door het aangaan van nieuwe partnerschappen. </w:t>
      </w:r>
    </w:p>
    <w:p w14:paraId="3A32AF7E" w14:textId="77777777" w:rsidR="001C1594" w:rsidRPr="00F05423" w:rsidRDefault="001C1594" w:rsidP="003E2CF1"/>
    <w:p w14:paraId="3A32AF7F" w14:textId="77777777" w:rsidR="00275A4D" w:rsidRPr="00F05423" w:rsidRDefault="00275A4D" w:rsidP="00275A4D">
      <w:r w:rsidRPr="00F05423">
        <w:t>Beoordeling: voldoende = 3</w:t>
      </w:r>
    </w:p>
    <w:p w14:paraId="3A32AF80" w14:textId="77777777" w:rsidR="00275A4D" w:rsidRDefault="00275A4D" w:rsidP="00275A4D">
      <w:r w:rsidRPr="00F05423">
        <w:t xml:space="preserve">Verwachting voor positieve </w:t>
      </w:r>
      <w:r w:rsidR="00F05423">
        <w:t xml:space="preserve">verandering: neutraal = </w:t>
      </w:r>
      <w:r w:rsidR="00F05423" w:rsidRPr="00193994">
        <w:sym w:font="Wingdings" w:char="F0E8"/>
      </w:r>
    </w:p>
    <w:p w14:paraId="3A32AF81" w14:textId="77777777" w:rsidR="009711D9" w:rsidRDefault="009711D9" w:rsidP="00326699"/>
    <w:p w14:paraId="3A32AF82" w14:textId="77777777" w:rsidR="00CD5427" w:rsidRPr="007230FA" w:rsidRDefault="005B4830" w:rsidP="00ED4248">
      <w:pPr>
        <w:pStyle w:val="Heading2"/>
        <w:numPr>
          <w:ilvl w:val="1"/>
          <w:numId w:val="20"/>
        </w:numPr>
        <w:tabs>
          <w:tab w:val="left" w:pos="-1162"/>
          <w:tab w:val="left" w:pos="0"/>
        </w:tabs>
        <w:spacing w:line="240" w:lineRule="auto"/>
        <w:rPr>
          <w:lang w:val="en-US"/>
        </w:rPr>
      </w:pPr>
      <w:r>
        <w:tab/>
      </w:r>
      <w:bookmarkStart w:id="59" w:name="_Toc422131310"/>
      <w:bookmarkStart w:id="60" w:name="_Toc422131854"/>
      <w:bookmarkStart w:id="61" w:name="_Toc422131887"/>
      <w:bookmarkStart w:id="62" w:name="_Toc422132114"/>
      <w:bookmarkStart w:id="63" w:name="_Toc422132168"/>
      <w:r w:rsidR="00CD5427" w:rsidRPr="007230FA">
        <w:rPr>
          <w:lang w:val="en-US"/>
        </w:rPr>
        <w:t>Result</w:t>
      </w:r>
      <w:r>
        <w:rPr>
          <w:lang w:val="en-US"/>
        </w:rPr>
        <w:t>aatsturing</w:t>
      </w:r>
      <w:bookmarkEnd w:id="59"/>
      <w:bookmarkEnd w:id="60"/>
      <w:bookmarkEnd w:id="61"/>
      <w:bookmarkEnd w:id="62"/>
      <w:bookmarkEnd w:id="63"/>
    </w:p>
    <w:p w14:paraId="3A32AF84" w14:textId="5F4C2AED" w:rsidR="005023C2" w:rsidRDefault="00646987" w:rsidP="00031ACD">
      <w:r>
        <w:t>IFC</w:t>
      </w:r>
      <w:r w:rsidR="00842DE9" w:rsidRPr="00842DE9">
        <w:t xml:space="preserve"> heeft de beschikking over een adequaat </w:t>
      </w:r>
      <w:r w:rsidR="00842DE9">
        <w:t xml:space="preserve">systeem van resultaatmeting. </w:t>
      </w:r>
      <w:r w:rsidR="006C1E5A">
        <w:t xml:space="preserve">Gezien de inzet op </w:t>
      </w:r>
      <w:r w:rsidR="008D4042">
        <w:t xml:space="preserve">economische </w:t>
      </w:r>
      <w:r w:rsidR="006C1E5A">
        <w:t xml:space="preserve">ontwikkeling </w:t>
      </w:r>
      <w:r w:rsidR="008D4042">
        <w:t xml:space="preserve">en </w:t>
      </w:r>
      <w:r w:rsidR="006C1E5A">
        <w:t>werkgelegenheid</w:t>
      </w:r>
      <w:r w:rsidR="00A97F27">
        <w:t xml:space="preserve"> </w:t>
      </w:r>
      <w:r w:rsidR="006C1E5A">
        <w:t xml:space="preserve">zijn dit </w:t>
      </w:r>
      <w:r w:rsidR="00842DE9">
        <w:t xml:space="preserve">de belangrijkste twee onderdelen waarop de ontwikkelingsimpact van </w:t>
      </w:r>
      <w:r>
        <w:t>IFC</w:t>
      </w:r>
      <w:r w:rsidR="00D841BD">
        <w:t xml:space="preserve"> </w:t>
      </w:r>
      <w:r w:rsidR="00842DE9">
        <w:t xml:space="preserve">kan worden gemeten. </w:t>
      </w:r>
    </w:p>
    <w:p w14:paraId="3A32AF85" w14:textId="77777777" w:rsidR="005023C2" w:rsidRDefault="005023C2" w:rsidP="00031ACD"/>
    <w:p w14:paraId="3A32AF86" w14:textId="12B6A3C1" w:rsidR="00031ACD" w:rsidRPr="00830CFB" w:rsidRDefault="006C1E5A" w:rsidP="00031ACD">
      <w:r>
        <w:t>D</w:t>
      </w:r>
      <w:r w:rsidR="00031ACD">
        <w:t xml:space="preserve">e afgelopen twee jaar heeft binnen IFC een verschuiving plaatsgevonden van het meten van de impact van </w:t>
      </w:r>
      <w:r w:rsidR="00031ACD" w:rsidRPr="00031ACD">
        <w:rPr>
          <w:i/>
        </w:rPr>
        <w:t xml:space="preserve">specifieke </w:t>
      </w:r>
      <w:r w:rsidR="00031ACD">
        <w:t>operaties naar aandacht voor hoe deze bijgedragen aan de ontwikkeling van specifieke (economische) sectoren</w:t>
      </w:r>
      <w:r w:rsidR="00830CFB">
        <w:t xml:space="preserve">, banen en economische groei. </w:t>
      </w:r>
      <w:r w:rsidR="00830CFB" w:rsidRPr="00830CFB">
        <w:t>Op het</w:t>
      </w:r>
      <w:r w:rsidR="003E0A8A">
        <w:t xml:space="preserve"> landenniveau vormen de nieuwe </w:t>
      </w:r>
      <w:r w:rsidR="00830CFB" w:rsidRPr="00E423AE">
        <w:rPr>
          <w:i/>
        </w:rPr>
        <w:t>Systematic Country Diagnostics</w:t>
      </w:r>
      <w:r w:rsidR="00830CFB">
        <w:t xml:space="preserve"> (SCDs) een </w:t>
      </w:r>
      <w:r w:rsidR="005023C2">
        <w:t xml:space="preserve">geschikt </w:t>
      </w:r>
      <w:r w:rsidR="00830CFB">
        <w:t xml:space="preserve">instrument om een inschatting te maken van </w:t>
      </w:r>
      <w:r>
        <w:t xml:space="preserve">de </w:t>
      </w:r>
      <w:r w:rsidR="00830CFB">
        <w:t xml:space="preserve">mogelijkheden en belemmeringen per land om de centrale WBG doelstellingen te bereiken. </w:t>
      </w:r>
    </w:p>
    <w:p w14:paraId="3A32AF87" w14:textId="77777777" w:rsidR="005023C2" w:rsidRDefault="005023C2" w:rsidP="00D108A8"/>
    <w:p w14:paraId="3A32AF88" w14:textId="1D888A3C" w:rsidR="00D108A8" w:rsidRDefault="006C1E5A" w:rsidP="00D108A8">
      <w:r>
        <w:t>Naas</w:t>
      </w:r>
      <w:r w:rsidR="00A654C7">
        <w:t>t</w:t>
      </w:r>
      <w:r>
        <w:t xml:space="preserve"> reguliere evaluaties gebruikt IFC </w:t>
      </w:r>
      <w:r w:rsidR="00A654C7">
        <w:t xml:space="preserve">de volgende instrumenten om haar prestaties te meten </w:t>
      </w:r>
      <w:r w:rsidR="00830CFB">
        <w:t>en sturen</w:t>
      </w:r>
      <w:r w:rsidR="00D108A8">
        <w:t>:</w:t>
      </w:r>
    </w:p>
    <w:p w14:paraId="3A32AF89" w14:textId="57DDD508" w:rsidR="005023C2" w:rsidRDefault="005023C2" w:rsidP="005023C2">
      <w:pPr>
        <w:pStyle w:val="ListParagraph"/>
        <w:numPr>
          <w:ilvl w:val="0"/>
          <w:numId w:val="49"/>
        </w:numPr>
      </w:pPr>
      <w:r>
        <w:t>het i</w:t>
      </w:r>
      <w:r w:rsidRPr="002837DB">
        <w:t xml:space="preserve">n 2005 </w:t>
      </w:r>
      <w:r>
        <w:t xml:space="preserve">geïntroduceerde </w:t>
      </w:r>
      <w:r w:rsidRPr="005023C2">
        <w:rPr>
          <w:i/>
        </w:rPr>
        <w:t xml:space="preserve">Development Outcome Tracking System </w:t>
      </w:r>
      <w:r w:rsidRPr="002837DB">
        <w:t xml:space="preserve">(DOTS) </w:t>
      </w:r>
      <w:r w:rsidR="00A654C7">
        <w:t xml:space="preserve">biedt permanent inzicht in </w:t>
      </w:r>
      <w:r>
        <w:t xml:space="preserve">de ontwikkelingsresultaten van alle actieve projecten. Dit systeem wordt zowel </w:t>
      </w:r>
      <w:r w:rsidR="00A654C7">
        <w:t>op</w:t>
      </w:r>
      <w:r>
        <w:t xml:space="preserve"> investeringsprojecten als op technische assistentie activiteiten</w:t>
      </w:r>
      <w:r w:rsidR="00A654C7">
        <w:t xml:space="preserve"> toegepast</w:t>
      </w:r>
      <w:r>
        <w:t xml:space="preserve">. </w:t>
      </w:r>
    </w:p>
    <w:p w14:paraId="3A32AF8A" w14:textId="1C1215FA" w:rsidR="005023C2" w:rsidRDefault="007F0A5C" w:rsidP="005023C2">
      <w:pPr>
        <w:pStyle w:val="ListParagraph"/>
        <w:numPr>
          <w:ilvl w:val="0"/>
          <w:numId w:val="49"/>
        </w:numPr>
      </w:pPr>
      <w:r>
        <w:rPr>
          <w:lang w:val="en-US"/>
        </w:rPr>
        <w:t xml:space="preserve">De </w:t>
      </w:r>
      <w:r w:rsidR="005023C2" w:rsidRPr="005023C2">
        <w:rPr>
          <w:i/>
          <w:lang w:val="en-US"/>
        </w:rPr>
        <w:t>IFC Development Goals</w:t>
      </w:r>
      <w:r w:rsidR="005023C2" w:rsidRPr="005023C2">
        <w:rPr>
          <w:lang w:val="en-US"/>
        </w:rPr>
        <w:t xml:space="preserve"> (IDGs). </w:t>
      </w:r>
      <w:r w:rsidR="005023C2">
        <w:t>Alle afdelingen moeten jaarlijks aangeven in welke mate ze het komend jaar van plan zijn bij te dragen aan de realisatie van ontwikkelingsdoelstellingen</w:t>
      </w:r>
      <w:r w:rsidR="00A654C7">
        <w:t xml:space="preserve"> gericht op </w:t>
      </w:r>
      <w:r w:rsidR="005023C2" w:rsidRPr="00C20672">
        <w:rPr>
          <w:i/>
        </w:rPr>
        <w:t>agribusiness</w:t>
      </w:r>
      <w:r w:rsidR="005023C2">
        <w:t>, gezondheid &amp; ontwikkeling en financiële dienste</w:t>
      </w:r>
      <w:r w:rsidR="00A654C7">
        <w:t>n. I</w:t>
      </w:r>
      <w:r w:rsidR="005023C2">
        <w:t xml:space="preserve">nfrastructuur en </w:t>
      </w:r>
      <w:r>
        <w:t>k</w:t>
      </w:r>
      <w:r w:rsidR="005023C2">
        <w:t>limaatverandering</w:t>
      </w:r>
      <w:r w:rsidR="00A654C7">
        <w:t xml:space="preserve"> worden hier binnenkort aan toegevoegd</w:t>
      </w:r>
      <w:r w:rsidR="005023C2">
        <w:t>;</w:t>
      </w:r>
    </w:p>
    <w:p w14:paraId="3A32AF8B" w14:textId="77777777" w:rsidR="005023C2" w:rsidRDefault="005023C2" w:rsidP="00D108A8"/>
    <w:p w14:paraId="3A32AF8C" w14:textId="2997B5F4" w:rsidR="00883093" w:rsidRDefault="006E158C" w:rsidP="00325DE4">
      <w:proofErr w:type="gramStart"/>
      <w:r>
        <w:t xml:space="preserve">Daarnaast heeft </w:t>
      </w:r>
      <w:r w:rsidR="00646987">
        <w:t>IFC</w:t>
      </w:r>
      <w:r>
        <w:t xml:space="preserve"> aangegeven dat de toekomstige resultaatmeting </w:t>
      </w:r>
      <w:r w:rsidR="00FE38C5">
        <w:t xml:space="preserve">meer gelijkgetrokken zal worden met die van de WBG </w:t>
      </w:r>
      <w:r w:rsidR="00FE38C5" w:rsidRPr="00E423AE">
        <w:rPr>
          <w:i/>
        </w:rPr>
        <w:t>Corporate Scorecard</w:t>
      </w:r>
      <w:r w:rsidR="00FE38C5">
        <w:t xml:space="preserve">. </w:t>
      </w:r>
      <w:proofErr w:type="gramEnd"/>
      <w:r w:rsidR="00FE38C5">
        <w:t>Deze scorecard zal in FY15 voor het eerst worden opgeleverd.</w:t>
      </w:r>
      <w:r w:rsidR="006961A6">
        <w:t xml:space="preserve"> </w:t>
      </w:r>
      <w:r w:rsidR="00E94B7E">
        <w:t xml:space="preserve">In de periode 2015 tot 2017 zal het evaluatiewerk van </w:t>
      </w:r>
      <w:r w:rsidR="00646987">
        <w:t>IFC</w:t>
      </w:r>
      <w:r w:rsidR="00E94B7E">
        <w:t xml:space="preserve"> zich concentreren op de impact die </w:t>
      </w:r>
      <w:r w:rsidR="00646987">
        <w:t>IFC</w:t>
      </w:r>
      <w:r w:rsidR="00E94B7E">
        <w:t xml:space="preserve"> heeft op het bereiken van meer banen en inclusieve economische groei en het behalen van de twee centrale doelstellingen van de </w:t>
      </w:r>
      <w:r w:rsidR="00A654C7">
        <w:t>WBG</w:t>
      </w:r>
      <w:r w:rsidR="00E94B7E">
        <w:t xml:space="preserve">. De evaluaties van </w:t>
      </w:r>
      <w:r w:rsidR="00646987">
        <w:t>IFC</w:t>
      </w:r>
      <w:r w:rsidR="00E94B7E">
        <w:t xml:space="preserve"> zullen meer onderscheid gaan maken tussen i) </w:t>
      </w:r>
      <w:r w:rsidR="00AF692E">
        <w:t xml:space="preserve">impact en ii) </w:t>
      </w:r>
      <w:r w:rsidR="005C257B">
        <w:t>analyses</w:t>
      </w:r>
      <w:r w:rsidR="00142573">
        <w:t xml:space="preserve"> die </w:t>
      </w:r>
      <w:r w:rsidR="00AF692E">
        <w:t xml:space="preserve">het </w:t>
      </w:r>
      <w:r w:rsidR="00142573">
        <w:t xml:space="preserve">ook </w:t>
      </w:r>
      <w:r w:rsidR="00AF692E">
        <w:t>mogeli</w:t>
      </w:r>
      <w:r w:rsidR="00142573">
        <w:t>jk mak</w:t>
      </w:r>
      <w:r w:rsidR="005C257B">
        <w:t>en</w:t>
      </w:r>
      <w:r w:rsidR="00142573">
        <w:t xml:space="preserve"> om beleid halverwege </w:t>
      </w:r>
      <w:r w:rsidR="00AF692E">
        <w:t>te kunnen bijsturen.</w:t>
      </w:r>
      <w:r w:rsidR="00B6771F">
        <w:t xml:space="preserve"> </w:t>
      </w:r>
    </w:p>
    <w:p w14:paraId="3A32AF8D" w14:textId="77777777" w:rsidR="00E62286" w:rsidRPr="003D064A" w:rsidRDefault="00E62286" w:rsidP="00E62286">
      <w:pPr>
        <w:rPr>
          <w:b/>
        </w:rPr>
      </w:pPr>
    </w:p>
    <w:p w14:paraId="3A32AF8E" w14:textId="77777777" w:rsidR="003412ED" w:rsidRPr="00193994" w:rsidRDefault="003412ED" w:rsidP="003412ED">
      <w:r w:rsidRPr="00193994">
        <w:t xml:space="preserve">Beoordeling: </w:t>
      </w:r>
      <w:r w:rsidR="00842DE9">
        <w:t>Voldoende = 3</w:t>
      </w:r>
    </w:p>
    <w:p w14:paraId="3A32AF8F" w14:textId="77777777" w:rsidR="00EA26EF" w:rsidRDefault="003412ED" w:rsidP="00B54564">
      <w:r w:rsidRPr="00193994">
        <w:t>Verwachting voor positieve verandering</w:t>
      </w:r>
      <w:r>
        <w:t>: neutraal</w:t>
      </w:r>
      <w:r w:rsidRPr="00193994">
        <w:t xml:space="preserve"> = </w:t>
      </w:r>
      <w:r w:rsidR="00F03073" w:rsidRPr="00193994">
        <w:sym w:font="Wingdings" w:char="F0E9"/>
      </w:r>
    </w:p>
    <w:p w14:paraId="3A32AF90" w14:textId="77777777" w:rsidR="00B54564" w:rsidRDefault="00B54564" w:rsidP="00B54564"/>
    <w:p w14:paraId="3A32AF91" w14:textId="77777777" w:rsidR="00ED2F32" w:rsidRPr="005B4830" w:rsidRDefault="00B54564" w:rsidP="005B4830">
      <w:pPr>
        <w:numPr>
          <w:ilvl w:val="1"/>
          <w:numId w:val="20"/>
        </w:numPr>
        <w:ind w:left="0" w:hanging="1162"/>
        <w:rPr>
          <w:b/>
        </w:rPr>
      </w:pPr>
      <w:r w:rsidRPr="00E33FD4">
        <w:rPr>
          <w:b/>
        </w:rPr>
        <w:t xml:space="preserve">Partnerschappen </w:t>
      </w:r>
    </w:p>
    <w:p w14:paraId="3A32AF92" w14:textId="26E405B2" w:rsidR="00EA003C" w:rsidRDefault="00646987" w:rsidP="0008046A">
      <w:r>
        <w:t>IFC</w:t>
      </w:r>
      <w:r w:rsidR="0008046A" w:rsidRPr="00163041">
        <w:t xml:space="preserve"> werkt op basis van partnerschappen met andere (multilaterale en bilaterale) ontwikkelingsbanken en internationale financiële instellingen, wereldwijd opererende bedrijven, financiële instellingen en donoren (zoals </w:t>
      </w:r>
      <w:r w:rsidR="003E0A8A">
        <w:t xml:space="preserve">de </w:t>
      </w:r>
      <w:r w:rsidR="0008046A" w:rsidRPr="00163041">
        <w:t xml:space="preserve">ILO, Rabobank en FMO). </w:t>
      </w:r>
      <w:r w:rsidR="0008046A">
        <w:t>De strategische samenwerking op hoofdkantoorniveau met andere multilaterale en bilaterale instellingen en andere relevante actoren is goed</w:t>
      </w:r>
      <w:r w:rsidR="00615DD7">
        <w:t xml:space="preserve">. </w:t>
      </w:r>
      <w:r w:rsidR="00D801C5">
        <w:t xml:space="preserve">Nederland ziet er op toe dat beleidsdocumenten op land- en project niveau goed worden afgestemd met de donorgemeenschap en andere spelers. </w:t>
      </w:r>
      <w:r>
        <w:t>IFC</w:t>
      </w:r>
      <w:r w:rsidR="00D801C5">
        <w:t xml:space="preserve"> zet hier ook actief op in. </w:t>
      </w:r>
    </w:p>
    <w:p w14:paraId="3A32AF93" w14:textId="77777777" w:rsidR="00D841BD" w:rsidRDefault="00D841BD" w:rsidP="0008046A"/>
    <w:p w14:paraId="3A32AF94" w14:textId="66FF6C7B" w:rsidR="0008046A" w:rsidRDefault="00646987" w:rsidP="0008046A">
      <w:r>
        <w:t>IFC</w:t>
      </w:r>
      <w:r w:rsidR="00E02D5F">
        <w:t xml:space="preserve"> werkt daarnaast nauw samen binnen de Wereldbankgroep om private sector mogelijkheden te incorporeren in de </w:t>
      </w:r>
      <w:r w:rsidR="00E02D5F" w:rsidRPr="00802F4E">
        <w:rPr>
          <w:i/>
        </w:rPr>
        <w:t>Systematic Country Diagnostics</w:t>
      </w:r>
      <w:r w:rsidR="00E02D5F">
        <w:t xml:space="preserve"> (SCDs). Bij het ontwikkelen van Wereldbankprioriteiten in </w:t>
      </w:r>
      <w:r w:rsidR="00E02D5F" w:rsidRPr="00802F4E">
        <w:rPr>
          <w:i/>
        </w:rPr>
        <w:t xml:space="preserve">Country </w:t>
      </w:r>
      <w:proofErr w:type="gramStart"/>
      <w:r w:rsidR="00E02D5F" w:rsidRPr="00802F4E">
        <w:rPr>
          <w:i/>
        </w:rPr>
        <w:t>Partnership</w:t>
      </w:r>
      <w:proofErr w:type="gramEnd"/>
      <w:r w:rsidR="00E02D5F" w:rsidRPr="00802F4E">
        <w:rPr>
          <w:i/>
        </w:rPr>
        <w:t xml:space="preserve"> Frameworks</w:t>
      </w:r>
      <w:r w:rsidR="00E02D5F">
        <w:t xml:space="preserve"> (CPFs)</w:t>
      </w:r>
      <w:r w:rsidR="00E65854">
        <w:t xml:space="preserve">, legt </w:t>
      </w:r>
      <w:r>
        <w:t>IFC</w:t>
      </w:r>
      <w:r w:rsidR="00E65854">
        <w:t xml:space="preserve"> de focus</w:t>
      </w:r>
      <w:r w:rsidR="00E02D5F">
        <w:t xml:space="preserve"> op de kritische ontwikkelingsbehoeften en op die </w:t>
      </w:r>
      <w:r w:rsidR="00E65854">
        <w:t xml:space="preserve">specifieke </w:t>
      </w:r>
      <w:r w:rsidR="00E02D5F">
        <w:t xml:space="preserve">gebieden waar </w:t>
      </w:r>
      <w:r>
        <w:t>IFC</w:t>
      </w:r>
      <w:r w:rsidR="00E02D5F">
        <w:t xml:space="preserve"> de grootste toegevoegde waarde heeft en de grootste impact kan hebben. </w:t>
      </w:r>
      <w:r w:rsidR="00E65854">
        <w:t>Ook bij de uitvoering van de plannen in de geselecteerde landen en regio’s werk</w:t>
      </w:r>
      <w:r w:rsidR="00802F4E">
        <w:t>en</w:t>
      </w:r>
      <w:r w:rsidR="00E65854">
        <w:t xml:space="preserve"> de Bank en </w:t>
      </w:r>
      <w:r>
        <w:t>IFC</w:t>
      </w:r>
      <w:r w:rsidR="00E65854">
        <w:t xml:space="preserve"> in toenemende mate samen om de gezamenlijke doelstellingen te bereiken. De nieuwe ‘</w:t>
      </w:r>
      <w:r w:rsidR="00E65854" w:rsidRPr="003E0A8A">
        <w:rPr>
          <w:i/>
        </w:rPr>
        <w:t>Global Partnerships Vice Presendential Unit</w:t>
      </w:r>
      <w:r w:rsidR="00E65854">
        <w:t xml:space="preserve">’ (VPU) </w:t>
      </w:r>
      <w:r w:rsidR="00802F4E">
        <w:t xml:space="preserve">speelt </w:t>
      </w:r>
      <w:r w:rsidR="00E65854">
        <w:t xml:space="preserve">hierbij een </w:t>
      </w:r>
      <w:r w:rsidR="00802F4E">
        <w:t>belangrijke rol</w:t>
      </w:r>
      <w:r w:rsidR="00E65854">
        <w:t xml:space="preserve">. De VPU is ingevoerd om te verzekeren dat private sector ontwikkeling wordt meegenomen in de SCDs, CPFs en binnen de </w:t>
      </w:r>
      <w:r w:rsidR="00802F4E" w:rsidRPr="00802F4E">
        <w:rPr>
          <w:i/>
        </w:rPr>
        <w:t xml:space="preserve">Global Practice </w:t>
      </w:r>
      <w:r w:rsidR="00802F4E" w:rsidRPr="00E52B6B">
        <w:rPr>
          <w:i/>
        </w:rPr>
        <w:t>Groups</w:t>
      </w:r>
      <w:r w:rsidR="00E65854">
        <w:t xml:space="preserve"> (GPSs</w:t>
      </w:r>
      <w:r w:rsidR="00802F4E">
        <w:t>)</w:t>
      </w:r>
      <w:r w:rsidR="00E65854">
        <w:t xml:space="preserve"> – zie ook de Wereldbankgroep </w:t>
      </w:r>
      <w:r w:rsidR="00E52B6B">
        <w:t xml:space="preserve">scorecard. </w:t>
      </w:r>
      <w:r w:rsidR="00E65854">
        <w:t>Nederland is te</w:t>
      </w:r>
      <w:r w:rsidR="003E0A8A">
        <w:t>vreden met deze ontwikkelingen</w:t>
      </w:r>
      <w:r w:rsidR="00E65854">
        <w:t xml:space="preserve"> </w:t>
      </w:r>
      <w:r w:rsidR="00802F4E">
        <w:t xml:space="preserve">en </w:t>
      </w:r>
      <w:r w:rsidR="00E65854">
        <w:t xml:space="preserve">blijft de Wereldbank en </w:t>
      </w:r>
      <w:r>
        <w:t>IFC</w:t>
      </w:r>
      <w:r w:rsidR="00E65854">
        <w:t xml:space="preserve"> stimuleren zoveel mogelijk synergie te behalen in hun </w:t>
      </w:r>
      <w:r w:rsidR="00615DD7">
        <w:t xml:space="preserve">activiteiten. </w:t>
      </w:r>
    </w:p>
    <w:p w14:paraId="3A32AF95" w14:textId="77777777" w:rsidR="00615DD7" w:rsidRDefault="00615DD7" w:rsidP="004E0056"/>
    <w:p w14:paraId="3A32AF96" w14:textId="3396F79B" w:rsidR="004E0056" w:rsidRDefault="004E0056" w:rsidP="004E0056">
      <w:r>
        <w:t xml:space="preserve">Door te werken met partners, zoals internationale financiële instellingen, donateurs, brancheorganisaties, NGO's en private-sector cliënten, is </w:t>
      </w:r>
      <w:r w:rsidR="00646987">
        <w:t>IFC</w:t>
      </w:r>
      <w:r>
        <w:t xml:space="preserve"> in de positie om </w:t>
      </w:r>
      <w:r w:rsidR="00802F4E">
        <w:t xml:space="preserve">extra </w:t>
      </w:r>
      <w:r>
        <w:t xml:space="preserve">investeringen </w:t>
      </w:r>
      <w:r w:rsidR="00802F4E">
        <w:t>aan te trekken, waarmee</w:t>
      </w:r>
      <w:r>
        <w:t xml:space="preserve"> de </w:t>
      </w:r>
      <w:r w:rsidR="00802F4E">
        <w:t xml:space="preserve">inzet van </w:t>
      </w:r>
      <w:r>
        <w:t xml:space="preserve">financiële middelen van de </w:t>
      </w:r>
      <w:r w:rsidR="00802F4E">
        <w:t>WBG wordt verveelvoudigd</w:t>
      </w:r>
      <w:r>
        <w:t xml:space="preserve">. </w:t>
      </w:r>
      <w:r w:rsidR="00802F4E">
        <w:t xml:space="preserve">Door </w:t>
      </w:r>
      <w:r>
        <w:t xml:space="preserve">het aanboren van </w:t>
      </w:r>
      <w:r w:rsidR="00802F4E">
        <w:t xml:space="preserve">deze </w:t>
      </w:r>
      <w:r>
        <w:t xml:space="preserve">private financiering, kan </w:t>
      </w:r>
      <w:r w:rsidR="00646987">
        <w:t>IFC</w:t>
      </w:r>
      <w:r>
        <w:t xml:space="preserve"> een ontwikkelingsimpact generen die verder gaat dan alleen de directe financiële middelen die door de </w:t>
      </w:r>
      <w:r w:rsidR="009F4E90">
        <w:t xml:space="preserve">WBG </w:t>
      </w:r>
      <w:r>
        <w:t xml:space="preserve">kunnen worden opgebracht. </w:t>
      </w:r>
    </w:p>
    <w:p w14:paraId="3A32AF9C" w14:textId="77777777" w:rsidR="004E0056" w:rsidRDefault="004E0056" w:rsidP="004E0056"/>
    <w:p w14:paraId="3A32AF9D" w14:textId="13860CAB" w:rsidR="00423FF8" w:rsidRDefault="00646987" w:rsidP="0008046A">
      <w:r>
        <w:t>IFC</w:t>
      </w:r>
      <w:r w:rsidR="0008046A">
        <w:t xml:space="preserve"> werk</w:t>
      </w:r>
      <w:r w:rsidR="009F4E90">
        <w:t>t</w:t>
      </w:r>
      <w:r w:rsidR="0008046A">
        <w:t xml:space="preserve"> goed samen </w:t>
      </w:r>
      <w:r w:rsidR="009F4E90">
        <w:t xml:space="preserve">met de ILO </w:t>
      </w:r>
      <w:r w:rsidR="0008046A">
        <w:t xml:space="preserve">in een samenwerkingsverband voor betere arbeidsomstandigheden, het </w:t>
      </w:r>
      <w:r w:rsidR="0008046A" w:rsidRPr="00AC3524">
        <w:rPr>
          <w:i/>
        </w:rPr>
        <w:t>Better Work Program</w:t>
      </w:r>
      <w:r w:rsidR="0008046A">
        <w:t xml:space="preserve">. Daarnaast werkt </w:t>
      </w:r>
      <w:r>
        <w:t>IFC</w:t>
      </w:r>
      <w:r w:rsidR="0008046A">
        <w:t xml:space="preserve"> nauw samen met de </w:t>
      </w:r>
      <w:r w:rsidR="0008046A" w:rsidRPr="00AC3524">
        <w:rPr>
          <w:i/>
        </w:rPr>
        <w:t>Global Environmental Facility</w:t>
      </w:r>
      <w:r w:rsidR="0008046A">
        <w:t xml:space="preserve"> (GEF)</w:t>
      </w:r>
      <w:r w:rsidR="009F4E90">
        <w:t>.</w:t>
      </w:r>
      <w:r w:rsidR="0008046A">
        <w:t xml:space="preserve"> De samenwerking bilaterale donoren </w:t>
      </w:r>
      <w:r w:rsidR="009F4E90">
        <w:t xml:space="preserve">komt vooral tot uitdrukking in de financiering </w:t>
      </w:r>
      <w:r w:rsidR="0008046A">
        <w:t>van IFC’s technische assistent</w:t>
      </w:r>
      <w:r w:rsidR="003E0A8A">
        <w:t xml:space="preserve">ieprogramma’s. </w:t>
      </w:r>
      <w:r w:rsidR="009F4E90">
        <w:t xml:space="preserve">Vanuit Nederland </w:t>
      </w:r>
      <w:r w:rsidR="003E0A8A">
        <w:t>draagt</w:t>
      </w:r>
      <w:r w:rsidR="00142DBB">
        <w:t xml:space="preserve"> </w:t>
      </w:r>
      <w:r w:rsidR="008930BC">
        <w:t>RVO</w:t>
      </w:r>
      <w:r w:rsidR="0008046A">
        <w:t xml:space="preserve"> </w:t>
      </w:r>
      <w:r w:rsidR="009F4E90">
        <w:t xml:space="preserve">in samenwerking met IFC </w:t>
      </w:r>
      <w:r w:rsidR="0008046A">
        <w:t>bij aan activiteiten gericht op versterking van het investerings</w:t>
      </w:r>
      <w:r w:rsidR="00423FF8">
        <w:t>klimaat in ontwikkelingslanden.</w:t>
      </w:r>
    </w:p>
    <w:p w14:paraId="3A32AF9E" w14:textId="77777777" w:rsidR="00423FF8" w:rsidRDefault="00423FF8" w:rsidP="0008046A"/>
    <w:p w14:paraId="3A32AF9F" w14:textId="77777777" w:rsidR="0008046A" w:rsidRDefault="0008046A" w:rsidP="0008046A">
      <w:r>
        <w:t>Beoordeling: voldoende = 3</w:t>
      </w:r>
    </w:p>
    <w:p w14:paraId="3A32AFA0" w14:textId="77777777" w:rsidR="00B54564" w:rsidRDefault="0008046A" w:rsidP="003412ED">
      <w:r w:rsidRPr="00193994">
        <w:t>Verwachting voor positieve verandering</w:t>
      </w:r>
      <w:r>
        <w:t xml:space="preserve">: waarschijnlijk = </w:t>
      </w:r>
      <w:r w:rsidRPr="00193994">
        <w:sym w:font="Wingdings" w:char="F0E9"/>
      </w:r>
    </w:p>
    <w:p w14:paraId="3A32AFA1" w14:textId="77777777" w:rsidR="00DE343C" w:rsidRPr="004D372F" w:rsidRDefault="004D372F" w:rsidP="004D372F">
      <w:pPr>
        <w:pStyle w:val="Heading2"/>
        <w:tabs>
          <w:tab w:val="left" w:pos="-1162"/>
          <w:tab w:val="left" w:pos="0"/>
          <w:tab w:val="num" w:pos="1160"/>
        </w:tabs>
        <w:spacing w:line="240" w:lineRule="auto"/>
        <w:ind w:hanging="1162"/>
      </w:pPr>
      <w:bookmarkStart w:id="64" w:name="_Toc410140903"/>
      <w:bookmarkStart w:id="65" w:name="_Toc422131311"/>
      <w:bookmarkStart w:id="66" w:name="_Toc422131855"/>
      <w:bookmarkStart w:id="67" w:name="_Toc422131888"/>
      <w:bookmarkStart w:id="68" w:name="_Toc422132115"/>
      <w:bookmarkStart w:id="69" w:name="_Toc422132169"/>
      <w:r w:rsidRPr="004D372F">
        <w:t>3.</w:t>
      </w:r>
      <w:r w:rsidR="00A74DEC">
        <w:t>4</w:t>
      </w:r>
      <w:r w:rsidRPr="004D372F">
        <w:t xml:space="preserve"> </w:t>
      </w:r>
      <w:r w:rsidRPr="004D372F">
        <w:tab/>
      </w:r>
      <w:r w:rsidR="00DE343C" w:rsidRPr="004D372F">
        <w:t>Effectiviteit bestuurs- en beheersorganen</w:t>
      </w:r>
      <w:bookmarkEnd w:id="64"/>
      <w:bookmarkEnd w:id="65"/>
      <w:bookmarkEnd w:id="66"/>
      <w:bookmarkEnd w:id="67"/>
      <w:bookmarkEnd w:id="68"/>
      <w:bookmarkEnd w:id="69"/>
      <w:r w:rsidR="00D85A93">
        <w:t xml:space="preserve"> </w:t>
      </w:r>
    </w:p>
    <w:p w14:paraId="3A32AFA2" w14:textId="7B0DBFCA" w:rsidR="00B15F5A" w:rsidRDefault="00325DE4" w:rsidP="00325DE4">
      <w:r>
        <w:t xml:space="preserve">Veldkantoren hebben </w:t>
      </w:r>
      <w:r w:rsidR="00142573">
        <w:t xml:space="preserve">door het proces van decentralisatie </w:t>
      </w:r>
      <w:r>
        <w:t xml:space="preserve">meer verantwoordelijkheid gekregen, zodat ze lokaal actiever kunnen zijn en sterkere banden met klanten en lokale overheden op kunnen bouwen. </w:t>
      </w:r>
      <w:r w:rsidR="00646987">
        <w:t>IFC</w:t>
      </w:r>
      <w:r>
        <w:t xml:space="preserve"> is in vergelijking met de Wereldbank verder in het decentralisatietraject. Een deel van de beslissingen kan door </w:t>
      </w:r>
      <w:r w:rsidR="009F4E90">
        <w:t xml:space="preserve">in de regio </w:t>
      </w:r>
      <w:r>
        <w:t>ge</w:t>
      </w:r>
      <w:r w:rsidR="009F4E90">
        <w:t>positioneerde</w:t>
      </w:r>
      <w:r>
        <w:t xml:space="preserve"> </w:t>
      </w:r>
      <w:r w:rsidR="00455451">
        <w:t>vicepresidenten</w:t>
      </w:r>
      <w:r>
        <w:t xml:space="preserve"> worden genomen.</w:t>
      </w:r>
      <w:r w:rsidR="006C54C7">
        <w:t xml:space="preserve"> In 2015 heeft een interne evaluatie uitgewezen dat zowel de cliënten van </w:t>
      </w:r>
      <w:r w:rsidR="00646987">
        <w:t>IFC</w:t>
      </w:r>
      <w:r w:rsidR="006C54C7">
        <w:t xml:space="preserve"> als het personeel tevreden zijn over de resultaten </w:t>
      </w:r>
      <w:r w:rsidR="00455451">
        <w:t xml:space="preserve">van het </w:t>
      </w:r>
      <w:r w:rsidR="006C54C7">
        <w:t>decentralisatie</w:t>
      </w:r>
      <w:r w:rsidR="00455451">
        <w:t>proces</w:t>
      </w:r>
      <w:r w:rsidR="006C54C7">
        <w:t xml:space="preserve">. </w:t>
      </w:r>
      <w:r w:rsidR="00791309" w:rsidRPr="00791309">
        <w:t xml:space="preserve">De nieuwe </w:t>
      </w:r>
      <w:r w:rsidR="00791309" w:rsidRPr="003E0A8A">
        <w:rPr>
          <w:i/>
        </w:rPr>
        <w:t>Global Practices</w:t>
      </w:r>
      <w:r w:rsidR="00791309" w:rsidRPr="00791309">
        <w:t xml:space="preserve"> (GPs) en </w:t>
      </w:r>
      <w:r w:rsidR="00791309" w:rsidRPr="003E0A8A">
        <w:rPr>
          <w:i/>
        </w:rPr>
        <w:t>Cross Cutting Solution areas</w:t>
      </w:r>
      <w:r w:rsidR="00791309" w:rsidRPr="00791309">
        <w:t xml:space="preserve"> (CCSAs) die sinds 1 juli 2014 zijn geïntroduceerd en die de basis vormden voor een alomvattende reorganisatie leiden tevens tot betere dienstverlening en lagere </w:t>
      </w:r>
      <w:r w:rsidR="00D841BD" w:rsidRPr="00791309">
        <w:t xml:space="preserve">transactiekosten. </w:t>
      </w:r>
    </w:p>
    <w:p w14:paraId="3A32AFA3" w14:textId="77777777" w:rsidR="00B15F5A" w:rsidRDefault="00B15F5A" w:rsidP="00325DE4"/>
    <w:p w14:paraId="3A32AFA4" w14:textId="3D7C39BB" w:rsidR="00D943C9" w:rsidRDefault="009F4E90" w:rsidP="00325DE4">
      <w:r>
        <w:t>H</w:t>
      </w:r>
      <w:r w:rsidR="00B15F5A">
        <w:t>et</w:t>
      </w:r>
      <w:r w:rsidR="006C54C7">
        <w:t xml:space="preserve"> veranderingsproces </w:t>
      </w:r>
      <w:r>
        <w:t xml:space="preserve">heeft </w:t>
      </w:r>
      <w:r w:rsidR="006C54C7">
        <w:t xml:space="preserve">ook </w:t>
      </w:r>
      <w:r>
        <w:t>tot nieuwe knelpunten</w:t>
      </w:r>
      <w:r w:rsidR="006C54C7">
        <w:t xml:space="preserve"> </w:t>
      </w:r>
      <w:r>
        <w:t>geleid</w:t>
      </w:r>
      <w:r w:rsidR="006C54C7">
        <w:t>. De opbouw van meer presentie in de regio</w:t>
      </w:r>
      <w:r>
        <w:t>’</w:t>
      </w:r>
      <w:r w:rsidR="006C54C7">
        <w:t xml:space="preserve">s </w:t>
      </w:r>
      <w:r>
        <w:t>kan leiden tot meer gefragmenteerd optreden</w:t>
      </w:r>
      <w:r w:rsidR="006C54C7">
        <w:t xml:space="preserve"> </w:t>
      </w:r>
      <w:r>
        <w:t xml:space="preserve">met het risico dat </w:t>
      </w:r>
      <w:r w:rsidR="00646987">
        <w:t>IFC</w:t>
      </w:r>
      <w:r w:rsidR="006E2AB9">
        <w:t xml:space="preserve"> </w:t>
      </w:r>
      <w:r>
        <w:t xml:space="preserve">soms </w:t>
      </w:r>
      <w:r w:rsidR="006E2AB9">
        <w:t xml:space="preserve">minder goed in staat </w:t>
      </w:r>
      <w:r>
        <w:t>zal zijn</w:t>
      </w:r>
      <w:r w:rsidR="006E2AB9">
        <w:t xml:space="preserve"> om kennis en expertise (kerncompetitie van </w:t>
      </w:r>
      <w:r w:rsidR="00646987">
        <w:t>IFC</w:t>
      </w:r>
      <w:r w:rsidR="006E2AB9">
        <w:t xml:space="preserve">) aan cliënten over te brengen. </w:t>
      </w:r>
      <w:r w:rsidR="00D943C9">
        <w:t xml:space="preserve">De </w:t>
      </w:r>
      <w:r w:rsidR="008A6B20">
        <w:t xml:space="preserve">verwachting </w:t>
      </w:r>
      <w:r w:rsidR="00D943C9">
        <w:t xml:space="preserve">is </w:t>
      </w:r>
      <w:r w:rsidR="00F50BD3">
        <w:t xml:space="preserve">wel </w:t>
      </w:r>
      <w:r w:rsidR="00D943C9">
        <w:t xml:space="preserve">dat </w:t>
      </w:r>
      <w:r>
        <w:t xml:space="preserve">door het decentralisatieproces </w:t>
      </w:r>
      <w:r w:rsidR="00D943C9">
        <w:t xml:space="preserve">de capaciteit van </w:t>
      </w:r>
      <w:r w:rsidR="00646987">
        <w:t>IFC</w:t>
      </w:r>
      <w:r w:rsidR="00D943C9">
        <w:t xml:space="preserve"> in </w:t>
      </w:r>
      <w:r>
        <w:t>het veld</w:t>
      </w:r>
      <w:r w:rsidR="00D943C9">
        <w:t xml:space="preserve"> vergroot zal worden en dat </w:t>
      </w:r>
      <w:r w:rsidR="00646987">
        <w:t>IFC</w:t>
      </w:r>
      <w:r w:rsidR="00D943C9">
        <w:t xml:space="preserve"> zich beter kan focussen op </w:t>
      </w:r>
      <w:r>
        <w:t>het werk in</w:t>
      </w:r>
      <w:r w:rsidR="00D943C9">
        <w:t xml:space="preserve"> </w:t>
      </w:r>
      <w:r>
        <w:t>f</w:t>
      </w:r>
      <w:r w:rsidR="00D943C9">
        <w:t xml:space="preserve">ragiele staten </w:t>
      </w:r>
      <w:r w:rsidR="003E0A8A">
        <w:t>en</w:t>
      </w:r>
      <w:r w:rsidR="00D943C9">
        <w:t xml:space="preserve"> </w:t>
      </w:r>
      <w:r>
        <w:t>c</w:t>
      </w:r>
      <w:r w:rsidR="00D943C9">
        <w:t xml:space="preserve">onflictgebieden. </w:t>
      </w:r>
    </w:p>
    <w:p w14:paraId="3A32AFA5" w14:textId="77777777" w:rsidR="00D841BD" w:rsidRDefault="00D841BD" w:rsidP="00325DE4"/>
    <w:p w14:paraId="3A32AFA6" w14:textId="43BAEA2D" w:rsidR="00325DE4" w:rsidRDefault="00D170EA" w:rsidP="00325DE4">
      <w:r>
        <w:t xml:space="preserve">De Raad van Bewindvoerders is enerzijds toezichthouder namens de aandeelhouders op het Management, </w:t>
      </w:r>
      <w:r w:rsidR="00325DE4">
        <w:t xml:space="preserve">en anderzijds in dienst van IFC en verantwoordelijk voor het goedkeuren van leningen en programma’s. De verhouding tussen het management en de Raad is bij </w:t>
      </w:r>
      <w:r w:rsidR="00646987">
        <w:t>IFC</w:t>
      </w:r>
      <w:r w:rsidR="00325DE4">
        <w:t xml:space="preserve"> beter dan bij de Wereldbank, waardoor de aansturing efficiënter is en de invloed groter. De Raad durft meer te delegeren en management is ontvankelijker voor sturing door de Raad. </w:t>
      </w:r>
    </w:p>
    <w:p w14:paraId="3A32AFA7" w14:textId="77777777" w:rsidR="00325DE4" w:rsidRDefault="00325DE4" w:rsidP="00325DE4"/>
    <w:p w14:paraId="3A32AFA8" w14:textId="30B407EE" w:rsidR="00325DE4" w:rsidRDefault="00325DE4" w:rsidP="00325DE4">
      <w:r>
        <w:t>Er zijn geen signalen dat (een onderdeel van) de organisatie onvoldoende functioneert. Wel reageert IFC soms defensief op evaluaties of kritiek op het functioneren van de organisatie. Dit betekent echter niet dat de aanbevelingen niet worden opgevolgd. Zo heeft de interne evaluatie over IFC</w:t>
      </w:r>
      <w:r w:rsidR="003E0A8A">
        <w:t>’</w:t>
      </w:r>
      <w:r>
        <w:t xml:space="preserve">s </w:t>
      </w:r>
      <w:r w:rsidRPr="003E0A8A">
        <w:rPr>
          <w:i/>
        </w:rPr>
        <w:t>Poverty Focus</w:t>
      </w:r>
      <w:r>
        <w:t xml:space="preserve"> geleid tot </w:t>
      </w:r>
      <w:r w:rsidR="00662DB7">
        <w:t>concrete maatregelen voor verbetering</w:t>
      </w:r>
      <w:r>
        <w:t xml:space="preserve">. </w:t>
      </w:r>
      <w:r w:rsidR="00423FF8">
        <w:t xml:space="preserve">Ook reageert </w:t>
      </w:r>
      <w:r w:rsidR="00646987">
        <w:t>IFC</w:t>
      </w:r>
      <w:r w:rsidR="00423FF8">
        <w:t xml:space="preserve"> </w:t>
      </w:r>
      <w:r w:rsidR="00183A54">
        <w:t>pro</w:t>
      </w:r>
      <w:r w:rsidR="00423FF8">
        <w:t xml:space="preserve">actief op kritiek van NGO’s en kent zij een voortdurende dialoog met het maatschappelijk </w:t>
      </w:r>
      <w:r w:rsidR="002F566A">
        <w:t xml:space="preserve">middenveld. </w:t>
      </w:r>
    </w:p>
    <w:p w14:paraId="3A32AFA9" w14:textId="77777777" w:rsidR="00D841BD" w:rsidRDefault="00D841BD" w:rsidP="00325DE4"/>
    <w:p w14:paraId="3A32AFAA" w14:textId="77777777" w:rsidR="00325DE4" w:rsidRDefault="00325DE4" w:rsidP="00325DE4">
      <w:r>
        <w:t>Beoordeling: voldoende = 3</w:t>
      </w:r>
    </w:p>
    <w:p w14:paraId="3A32AFAB" w14:textId="77777777" w:rsidR="00D85A93" w:rsidRDefault="00325DE4" w:rsidP="00423FF8">
      <w:r>
        <w:t>Verwachting voor positieve veran</w:t>
      </w:r>
      <w:r w:rsidR="00423FF8">
        <w:t xml:space="preserve">dering: waarschijnlijk = </w:t>
      </w:r>
      <w:r w:rsidR="00423FF8" w:rsidRPr="00423FF8">
        <w:sym w:font="Wingdings" w:char="F0E8"/>
      </w:r>
    </w:p>
    <w:p w14:paraId="3A32AFAC" w14:textId="77777777" w:rsidR="003A32D7" w:rsidRDefault="00E276B2" w:rsidP="003A32D7">
      <w:pPr>
        <w:pStyle w:val="Heading2"/>
        <w:tabs>
          <w:tab w:val="left" w:pos="-1162"/>
          <w:tab w:val="left" w:pos="0"/>
          <w:tab w:val="num" w:pos="1160"/>
        </w:tabs>
        <w:spacing w:line="240" w:lineRule="auto"/>
        <w:ind w:hanging="1162"/>
        <w:rPr>
          <w:b w:val="0"/>
        </w:rPr>
      </w:pPr>
      <w:bookmarkStart w:id="70" w:name="_Toc422131312"/>
      <w:bookmarkStart w:id="71" w:name="_Toc422131856"/>
      <w:bookmarkStart w:id="72" w:name="_Toc422131889"/>
      <w:bookmarkStart w:id="73" w:name="_Toc422132116"/>
      <w:bookmarkStart w:id="74" w:name="_Toc422132170"/>
      <w:r>
        <w:t>3.</w:t>
      </w:r>
      <w:r w:rsidR="00A74DEC">
        <w:t>5</w:t>
      </w:r>
      <w:r>
        <w:tab/>
      </w:r>
      <w:r w:rsidR="003A32D7" w:rsidRPr="004D372F">
        <w:t>Beleidsevaluatie</w:t>
      </w:r>
      <w:bookmarkEnd w:id="70"/>
      <w:bookmarkEnd w:id="71"/>
      <w:bookmarkEnd w:id="72"/>
      <w:bookmarkEnd w:id="73"/>
      <w:bookmarkEnd w:id="74"/>
    </w:p>
    <w:p w14:paraId="3A32AFAD" w14:textId="48103452" w:rsidR="004A4C12" w:rsidRDefault="00C20672" w:rsidP="004A4C12">
      <w:r>
        <w:t xml:space="preserve">De </w:t>
      </w:r>
      <w:r w:rsidR="004A4C12" w:rsidRPr="00ED62E8">
        <w:rPr>
          <w:rFonts w:cs="Arial"/>
          <w:i/>
        </w:rPr>
        <w:t>Independent Evaluation Group</w:t>
      </w:r>
      <w:r w:rsidR="004A4C12">
        <w:t xml:space="preserve"> (IEG)</w:t>
      </w:r>
      <w:r w:rsidR="00183A54">
        <w:t xml:space="preserve">, de onafhankelijke evaluatiedienst van de WBG </w:t>
      </w:r>
      <w:r w:rsidR="004A4C12">
        <w:t xml:space="preserve">voert </w:t>
      </w:r>
      <w:r w:rsidR="00183A54">
        <w:t xml:space="preserve">evaluaties uit </w:t>
      </w:r>
      <w:r w:rsidR="004A4C12">
        <w:t xml:space="preserve">gericht op de gehele Wereldbankgroep, </w:t>
      </w:r>
      <w:r w:rsidR="00183A54">
        <w:t xml:space="preserve">en </w:t>
      </w:r>
      <w:r w:rsidR="004A4C12">
        <w:t xml:space="preserve">is </w:t>
      </w:r>
      <w:r w:rsidR="00183A54">
        <w:t xml:space="preserve">internationaal </w:t>
      </w:r>
      <w:r w:rsidR="004A4C12">
        <w:t xml:space="preserve">toonaangevend. </w:t>
      </w:r>
      <w:r w:rsidR="00183A54">
        <w:t>Voor evaluaties gericht op het beleid of activiteiten van het IFC worden de b</w:t>
      </w:r>
      <w:r w:rsidR="004A4C12">
        <w:t>evindingen en aanbevelingen in de Raad van Bewindvoerders besproken</w:t>
      </w:r>
      <w:r w:rsidR="00183A54">
        <w:t>. De a</w:t>
      </w:r>
      <w:r w:rsidR="004A4C12">
        <w:t xml:space="preserve">anbevelingen </w:t>
      </w:r>
      <w:r w:rsidR="00183A54">
        <w:t xml:space="preserve">van IEG </w:t>
      </w:r>
      <w:r w:rsidR="004A4C12">
        <w:t>worden doorgaans goed opgepakt door het management.</w:t>
      </w:r>
      <w:r w:rsidR="00D571AD">
        <w:t xml:space="preserve"> </w:t>
      </w:r>
    </w:p>
    <w:p w14:paraId="3A32AFAE" w14:textId="77777777" w:rsidR="00D571AD" w:rsidRDefault="00D571AD" w:rsidP="004A4C12"/>
    <w:p w14:paraId="3A32AFAF" w14:textId="106913B2" w:rsidR="00BE3E33" w:rsidRPr="00CF29E7" w:rsidRDefault="003B3022" w:rsidP="004A4C12">
      <w:r>
        <w:t>E</w:t>
      </w:r>
      <w:r w:rsidR="00D571AD">
        <w:t xml:space="preserve">r </w:t>
      </w:r>
      <w:r>
        <w:t xml:space="preserve">heeft nog </w:t>
      </w:r>
      <w:r w:rsidR="00D571AD">
        <w:t xml:space="preserve">geen alomvattende IEG evaluatie </w:t>
      </w:r>
      <w:r>
        <w:t xml:space="preserve">plaatsgevonden </w:t>
      </w:r>
      <w:r w:rsidR="00D571AD">
        <w:t xml:space="preserve">van de volledige inzet van </w:t>
      </w:r>
      <w:r w:rsidR="00646987">
        <w:t>IFC</w:t>
      </w:r>
      <w:r w:rsidR="00D571AD">
        <w:t xml:space="preserve"> </w:t>
      </w:r>
      <w:r>
        <w:t xml:space="preserve">gericht </w:t>
      </w:r>
      <w:r w:rsidR="00D571AD">
        <w:t xml:space="preserve">op de private sector. </w:t>
      </w:r>
      <w:r>
        <w:t>E</w:t>
      </w:r>
      <w:r w:rsidR="00D571AD">
        <w:t xml:space="preserve">valuaties </w:t>
      </w:r>
      <w:r>
        <w:t xml:space="preserve">op deelterreinen </w:t>
      </w:r>
      <w:r w:rsidR="00D571AD">
        <w:t xml:space="preserve">laten wisselende uitkomsten zien. Op het terrein van het investeringsklimaat heeft </w:t>
      </w:r>
      <w:r w:rsidR="00646987">
        <w:t>IFC</w:t>
      </w:r>
      <w:r w:rsidR="00D571AD">
        <w:t xml:space="preserve"> </w:t>
      </w:r>
      <w:r>
        <w:t>laten zien</w:t>
      </w:r>
      <w:r w:rsidR="00D571AD">
        <w:t xml:space="preserve"> het overheidsbeleid in ontwikkelingslanden aanzienlijk te kunnen ver</w:t>
      </w:r>
      <w:r>
        <w:t>sterke</w:t>
      </w:r>
      <w:r w:rsidR="00D571AD">
        <w:t xml:space="preserve">n. </w:t>
      </w:r>
      <w:r w:rsidR="00646987">
        <w:t>IFC</w:t>
      </w:r>
      <w:r w:rsidR="00D571AD">
        <w:t xml:space="preserve"> heeft </w:t>
      </w:r>
      <w:proofErr w:type="gramStart"/>
      <w:r w:rsidR="00D571AD">
        <w:t>met name</w:t>
      </w:r>
      <w:proofErr w:type="gramEnd"/>
      <w:r w:rsidR="00D571AD">
        <w:t xml:space="preserve"> met projecten op het terrein van ICT/Telecommunicatie zeer goede resultaten behaald in IDA</w:t>
      </w:r>
      <w:r>
        <w:t>-landen</w:t>
      </w:r>
      <w:r w:rsidR="00D571AD">
        <w:t xml:space="preserve"> en </w:t>
      </w:r>
      <w:r>
        <w:t>in f</w:t>
      </w:r>
      <w:r w:rsidR="00D571AD">
        <w:t xml:space="preserve">ragiele </w:t>
      </w:r>
      <w:r w:rsidR="00142DBB">
        <w:t xml:space="preserve">staten en </w:t>
      </w:r>
      <w:r>
        <w:t>c</w:t>
      </w:r>
      <w:r w:rsidR="00142DBB">
        <w:t>onflictgebieden</w:t>
      </w:r>
      <w:r w:rsidR="00D571AD">
        <w:t>.</w:t>
      </w:r>
    </w:p>
    <w:p w14:paraId="3A32AFB0" w14:textId="77777777" w:rsidR="008A6B20" w:rsidRDefault="008A6B20" w:rsidP="008A6B20">
      <w:pPr>
        <w:ind w:left="720"/>
      </w:pPr>
    </w:p>
    <w:p w14:paraId="3A32AFB1" w14:textId="77777777" w:rsidR="004A4C12" w:rsidRDefault="004A4C12" w:rsidP="003A32D7">
      <w:r>
        <w:t>Beoordeling: goed = 4</w:t>
      </w:r>
    </w:p>
    <w:p w14:paraId="3A32AFB2" w14:textId="77777777" w:rsidR="00DE343C" w:rsidRDefault="004D372F" w:rsidP="004D372F">
      <w:pPr>
        <w:pStyle w:val="Heading2"/>
        <w:tabs>
          <w:tab w:val="left" w:pos="-1162"/>
          <w:tab w:val="left" w:pos="0"/>
          <w:tab w:val="num" w:pos="1160"/>
        </w:tabs>
        <w:spacing w:line="240" w:lineRule="auto"/>
        <w:ind w:hanging="1162"/>
      </w:pPr>
      <w:bookmarkStart w:id="75" w:name="_Toc422131313"/>
      <w:bookmarkStart w:id="76" w:name="_Toc422131857"/>
      <w:bookmarkStart w:id="77" w:name="_Toc422131890"/>
      <w:bookmarkStart w:id="78" w:name="_Toc422132117"/>
      <w:bookmarkStart w:id="79" w:name="_Toc422132171"/>
      <w:r w:rsidRPr="004D372F">
        <w:t>3.</w:t>
      </w:r>
      <w:r w:rsidR="00A74DEC">
        <w:t>6</w:t>
      </w:r>
      <w:r>
        <w:tab/>
      </w:r>
      <w:r w:rsidR="005B4830">
        <w:t>Personeelsbeleid</w:t>
      </w:r>
      <w:bookmarkEnd w:id="75"/>
      <w:bookmarkEnd w:id="76"/>
      <w:bookmarkEnd w:id="77"/>
      <w:bookmarkEnd w:id="78"/>
      <w:bookmarkEnd w:id="79"/>
    </w:p>
    <w:p w14:paraId="3A32AFB3" w14:textId="7D477904" w:rsidR="00325DE4" w:rsidRPr="00325DE4" w:rsidRDefault="00646987" w:rsidP="00325DE4">
      <w:r>
        <w:t>IFC</w:t>
      </w:r>
      <w:r w:rsidR="00325DE4" w:rsidRPr="00325DE4">
        <w:t xml:space="preserve"> heeft een loopbaanbeleid met voldoende ruimte voor persoonlijke ontwikkeling en training van staf. Jaarlijks vindt een evaluatie plaats van de personeelsinzet. </w:t>
      </w:r>
      <w:r w:rsidR="003B3022">
        <w:t>De inzet van IFC is om r</w:t>
      </w:r>
      <w:r w:rsidR="00325DE4" w:rsidRPr="00325DE4">
        <w:t>otaties tussen en naar strategische functies te ondersteunen. Ook wordt rotatie van staf</w:t>
      </w:r>
      <w:r w:rsidR="003B3022">
        <w:t xml:space="preserve"> </w:t>
      </w:r>
      <w:r w:rsidR="00325DE4" w:rsidRPr="00325DE4">
        <w:t>in het kader van het decentralisatieproces do</w:t>
      </w:r>
      <w:r w:rsidR="00490C39">
        <w:t xml:space="preserve">or de organisatie gestimuleerd. Hierdoor kan </w:t>
      </w:r>
      <w:r>
        <w:t>IFC</w:t>
      </w:r>
      <w:r w:rsidR="00490C39">
        <w:t xml:space="preserve"> sneller reageren op externe </w:t>
      </w:r>
      <w:r w:rsidR="00CF29E7">
        <w:t xml:space="preserve">veranderingen en </w:t>
      </w:r>
      <w:r w:rsidR="003B3022">
        <w:t xml:space="preserve">wordt </w:t>
      </w:r>
      <w:r w:rsidR="00CF29E7">
        <w:t xml:space="preserve">de overdracht van kennis vergroot. </w:t>
      </w:r>
      <w:r w:rsidR="006C314A">
        <w:t xml:space="preserve">IFC </w:t>
      </w:r>
      <w:r w:rsidR="003B3022">
        <w:t xml:space="preserve">werkt nu aan </w:t>
      </w:r>
      <w:r w:rsidR="000863C6">
        <w:t xml:space="preserve">verbeteringen in het personeelsbeleid om het aantrekkelijker te maken om ook in </w:t>
      </w:r>
      <w:r w:rsidR="00142DBB">
        <w:t>f</w:t>
      </w:r>
      <w:r w:rsidR="000863C6">
        <w:t xml:space="preserve">ragiele staten te werken. </w:t>
      </w:r>
    </w:p>
    <w:p w14:paraId="3A32AFB4" w14:textId="77777777" w:rsidR="00325DE4" w:rsidRPr="00325DE4" w:rsidRDefault="00325DE4" w:rsidP="00325DE4"/>
    <w:p w14:paraId="3A32AFB5" w14:textId="635D05CA" w:rsidR="00325DE4" w:rsidRDefault="00325DE4" w:rsidP="00325DE4">
      <w:r w:rsidRPr="00325DE4">
        <w:t>De organisatie kent een gezonde in</w:t>
      </w:r>
      <w:r w:rsidR="003B3022">
        <w:t>-</w:t>
      </w:r>
      <w:r w:rsidRPr="00325DE4">
        <w:t xml:space="preserve"> en uitstroom van personeel. Er vindt </w:t>
      </w:r>
      <w:proofErr w:type="gramStart"/>
      <w:r w:rsidRPr="00325DE4">
        <w:t>met name</w:t>
      </w:r>
      <w:proofErr w:type="gramEnd"/>
      <w:r w:rsidRPr="00325DE4">
        <w:t xml:space="preserve"> een wisselwerking plaats met de private sector. Het salarissysteem is hetzelfde als voor de </w:t>
      </w:r>
      <w:r w:rsidR="0009608A">
        <w:t>andere onderdelen van de</w:t>
      </w:r>
      <w:r w:rsidR="0009608A" w:rsidRPr="00325DE4">
        <w:t xml:space="preserve"> </w:t>
      </w:r>
      <w:r w:rsidR="0009608A">
        <w:t>WBG</w:t>
      </w:r>
      <w:r w:rsidRPr="00325DE4">
        <w:t>. Nederland en enkele andere donoren hebben kritiek op dit systeem, omdat de huidige method</w:t>
      </w:r>
      <w:r w:rsidR="0009608A">
        <w:t>iek</w:t>
      </w:r>
      <w:r w:rsidRPr="00325DE4">
        <w:t xml:space="preserve"> leidt tot hoge </w:t>
      </w:r>
      <w:r w:rsidR="00DE7F32" w:rsidRPr="00325DE4">
        <w:t>salarisniveaus</w:t>
      </w:r>
      <w:r w:rsidRPr="00325DE4">
        <w:t xml:space="preserve">. </w:t>
      </w:r>
      <w:r w:rsidR="00646987">
        <w:t>IFC</w:t>
      </w:r>
      <w:r w:rsidR="00A95511">
        <w:t xml:space="preserve"> geeft aan dat </w:t>
      </w:r>
      <w:r w:rsidR="0009608A">
        <w:t xml:space="preserve">gezien haar focus binnen de WBG en om goed gekwalificeerd personeel aan te kunnen trekken, ook </w:t>
      </w:r>
      <w:r w:rsidR="00A95511">
        <w:t xml:space="preserve">moet </w:t>
      </w:r>
      <w:r w:rsidR="0009608A">
        <w:t xml:space="preserve">kunnen </w:t>
      </w:r>
      <w:r w:rsidR="00A95511">
        <w:t>concur</w:t>
      </w:r>
      <w:r w:rsidR="008A6B20">
        <w:t xml:space="preserve">reren met de private sector. </w:t>
      </w:r>
      <w:r w:rsidR="00A95511">
        <w:t xml:space="preserve">IFC personeel wordt geworven op basis </w:t>
      </w:r>
      <w:r w:rsidR="008A6B20">
        <w:t xml:space="preserve">van </w:t>
      </w:r>
      <w:r w:rsidR="00455451">
        <w:t>salarisniveaus</w:t>
      </w:r>
      <w:r w:rsidR="0009608A">
        <w:t xml:space="preserve"> </w:t>
      </w:r>
      <w:r w:rsidR="008A6B20">
        <w:t>in</w:t>
      </w:r>
      <w:r w:rsidR="00A95511">
        <w:t xml:space="preserve"> de VS, die internationaal competitief zijn. </w:t>
      </w:r>
      <w:r w:rsidRPr="00325DE4">
        <w:t>IFC kent een bonussysteem voor teams en voor individuen. Een deel van de bonussen wordt bij bewezen resultaten uitgekeerd, dit kan enkele jaren na het sluiten van het contract zijn.</w:t>
      </w:r>
      <w:r w:rsidR="00B34E8E">
        <w:t xml:space="preserve"> </w:t>
      </w:r>
    </w:p>
    <w:p w14:paraId="3A32AFB6" w14:textId="77777777" w:rsidR="00DE7F32" w:rsidRDefault="00DE7F32" w:rsidP="00325DE4"/>
    <w:p w14:paraId="3A32AFB7" w14:textId="41708D86" w:rsidR="00DE7F32" w:rsidRDefault="00DE7F32" w:rsidP="00325DE4">
      <w:r>
        <w:t xml:space="preserve">Het personeel van </w:t>
      </w:r>
      <w:r w:rsidR="00646987">
        <w:t>IFC</w:t>
      </w:r>
      <w:r>
        <w:t xml:space="preserve"> komt uit meer dan 140 landen. Meer dan de helft van het personeel (59%) is geplaatst in kantoren buiten de Verenigde Staten</w:t>
      </w:r>
      <w:r w:rsidR="0009608A">
        <w:t>, en d</w:t>
      </w:r>
      <w:r>
        <w:t xml:space="preserve">it </w:t>
      </w:r>
      <w:r w:rsidR="0009608A">
        <w:t>aandeel zal verder groeien</w:t>
      </w:r>
      <w:r>
        <w:t xml:space="preserve">. Dit reflecteert de toenemende decentralisatie van de organisatie. Het merendeel van het IFC-personeel, 63% in totaal, komt uit landen die geen IDA-donoren zijn. </w:t>
      </w:r>
      <w:r w:rsidR="00646987">
        <w:t>IFC</w:t>
      </w:r>
      <w:r>
        <w:t xml:space="preserve"> claimt hiermee een breder perspectief te kunnen </w:t>
      </w:r>
      <w:r w:rsidR="0009608A">
        <w:t>b</w:t>
      </w:r>
      <w:r>
        <w:t xml:space="preserve">ieden en een focus te kunnen houden op </w:t>
      </w:r>
      <w:r w:rsidR="00137865">
        <w:t xml:space="preserve">die regio’s </w:t>
      </w:r>
      <w:r>
        <w:t xml:space="preserve">waar private sector ontwikkeling de grootste impact kan hebben. </w:t>
      </w:r>
    </w:p>
    <w:p w14:paraId="3A32AFB8" w14:textId="77777777" w:rsidR="00DE7F32" w:rsidRDefault="00DE7F32" w:rsidP="00325DE4"/>
    <w:p w14:paraId="3A32AFB9" w14:textId="17B4C5CB" w:rsidR="00DE7F32" w:rsidRDefault="00DE7F32" w:rsidP="00325DE4">
      <w:r>
        <w:t xml:space="preserve">De gender-balans is goed. In 2014 was 53% (2.068) van het personeel van </w:t>
      </w:r>
      <w:r w:rsidR="00646987">
        <w:t>IFC</w:t>
      </w:r>
      <w:r>
        <w:t xml:space="preserve"> vrouw en 47% (1.811) man. Wanneer gekeken wordt naar </w:t>
      </w:r>
      <w:r w:rsidR="00137865">
        <w:t>de</w:t>
      </w:r>
      <w:r>
        <w:t xml:space="preserve"> hogere</w:t>
      </w:r>
      <w:r w:rsidR="00137865">
        <w:t xml:space="preserve"> </w:t>
      </w:r>
      <w:r w:rsidR="00455451">
        <w:t>schaalniveaus</w:t>
      </w:r>
      <w:r w:rsidR="00137865">
        <w:t>,</w:t>
      </w:r>
      <w:r>
        <w:t xml:space="preserve"> </w:t>
      </w:r>
      <w:r w:rsidR="00137865">
        <w:t>is de verhouding iets minder gunstig</w:t>
      </w:r>
      <w:r>
        <w:t>. In 2014 was daar 43% (1.105) vrouw en 57% (1.459) man.</w:t>
      </w:r>
    </w:p>
    <w:p w14:paraId="3A32AFBA" w14:textId="77777777" w:rsidR="00325DE4" w:rsidRPr="00325DE4" w:rsidRDefault="00325DE4" w:rsidP="00325DE4"/>
    <w:p w14:paraId="3A32AFBB" w14:textId="77777777" w:rsidR="00325DE4" w:rsidRPr="00325DE4" w:rsidRDefault="00325DE4" w:rsidP="00325DE4">
      <w:r w:rsidRPr="00325DE4">
        <w:t>Beoordeling: voldoende = 3</w:t>
      </w:r>
    </w:p>
    <w:p w14:paraId="3A32AFBC" w14:textId="77777777" w:rsidR="00325DE4" w:rsidRPr="00325DE4" w:rsidRDefault="00325DE4" w:rsidP="00325DE4">
      <w:r w:rsidRPr="00325DE4">
        <w:t>Verwachting voor positieve</w:t>
      </w:r>
      <w:r w:rsidR="006B3971">
        <w:t xml:space="preserve"> verandering: neutraal = </w:t>
      </w:r>
      <w:r w:rsidR="006B3971" w:rsidRPr="00193994">
        <w:sym w:font="Wingdings" w:char="F0E8"/>
      </w:r>
    </w:p>
    <w:p w14:paraId="3A32AFBD" w14:textId="77777777" w:rsidR="00C47BEC" w:rsidRDefault="00C47BEC" w:rsidP="00326699">
      <w:pPr>
        <w:rPr>
          <w:b/>
        </w:rPr>
      </w:pPr>
    </w:p>
    <w:p w14:paraId="3A32AFBE" w14:textId="77777777" w:rsidR="00DE343C" w:rsidRPr="004D372F" w:rsidRDefault="00326699" w:rsidP="004D372F">
      <w:pPr>
        <w:pStyle w:val="Heading2"/>
        <w:tabs>
          <w:tab w:val="left" w:pos="-1162"/>
          <w:tab w:val="left" w:pos="0"/>
          <w:tab w:val="num" w:pos="1160"/>
        </w:tabs>
        <w:spacing w:line="240" w:lineRule="auto"/>
        <w:ind w:hanging="1162"/>
      </w:pPr>
      <w:bookmarkStart w:id="80" w:name="_Toc422131314"/>
      <w:bookmarkStart w:id="81" w:name="_Toc422131858"/>
      <w:bookmarkStart w:id="82" w:name="_Toc422131891"/>
      <w:bookmarkStart w:id="83" w:name="_Toc422132118"/>
      <w:bookmarkStart w:id="84" w:name="_Toc422132172"/>
      <w:r>
        <w:t>3.</w:t>
      </w:r>
      <w:r w:rsidR="00A74DEC">
        <w:t>7</w:t>
      </w:r>
      <w:r w:rsidR="004D372F" w:rsidRPr="004D372F">
        <w:t xml:space="preserve"> </w:t>
      </w:r>
      <w:r w:rsidR="004D372F">
        <w:tab/>
      </w:r>
      <w:r w:rsidR="005B4830">
        <w:t>Financieel beheer</w:t>
      </w:r>
      <w:bookmarkEnd w:id="80"/>
      <w:bookmarkEnd w:id="81"/>
      <w:bookmarkEnd w:id="82"/>
      <w:bookmarkEnd w:id="83"/>
      <w:bookmarkEnd w:id="84"/>
    </w:p>
    <w:p w14:paraId="3A32AFBF" w14:textId="6A845250" w:rsidR="00325DE4" w:rsidRDefault="00325DE4" w:rsidP="00325DE4">
      <w:pPr>
        <w:pStyle w:val="Default"/>
        <w:rPr>
          <w:rFonts w:ascii="Verdana" w:hAnsi="Verdana"/>
          <w:sz w:val="18"/>
          <w:szCs w:val="18"/>
        </w:rPr>
      </w:pPr>
      <w:r w:rsidRPr="00420FB3">
        <w:rPr>
          <w:rFonts w:ascii="Verdana" w:hAnsi="Verdana"/>
          <w:sz w:val="18"/>
          <w:szCs w:val="18"/>
        </w:rPr>
        <w:t>De financiële positie</w:t>
      </w:r>
      <w:r>
        <w:rPr>
          <w:rFonts w:ascii="Verdana" w:hAnsi="Verdana"/>
          <w:sz w:val="18"/>
          <w:szCs w:val="18"/>
        </w:rPr>
        <w:t xml:space="preserve"> van </w:t>
      </w:r>
      <w:r w:rsidR="00646987">
        <w:rPr>
          <w:rFonts w:ascii="Verdana" w:hAnsi="Verdana"/>
          <w:sz w:val="18"/>
          <w:szCs w:val="18"/>
        </w:rPr>
        <w:t>IFC</w:t>
      </w:r>
      <w:r>
        <w:rPr>
          <w:rFonts w:ascii="Verdana" w:hAnsi="Verdana"/>
          <w:sz w:val="18"/>
          <w:szCs w:val="18"/>
        </w:rPr>
        <w:t xml:space="preserve"> is goed. Dit komt onder meer tot uiting </w:t>
      </w:r>
      <w:r w:rsidR="00944567">
        <w:rPr>
          <w:rFonts w:ascii="Verdana" w:hAnsi="Verdana"/>
          <w:sz w:val="18"/>
          <w:szCs w:val="18"/>
        </w:rPr>
        <w:t xml:space="preserve">in de AAA-rating, die het al heeft sinds 1989 toen dit systeem werd ingevoerd. </w:t>
      </w:r>
      <w:r w:rsidR="00646987">
        <w:rPr>
          <w:rFonts w:ascii="Verdana" w:hAnsi="Verdana"/>
          <w:sz w:val="18"/>
          <w:szCs w:val="18"/>
        </w:rPr>
        <w:t>IFC</w:t>
      </w:r>
      <w:r w:rsidRPr="00FA2F4A">
        <w:rPr>
          <w:rFonts w:ascii="Verdana" w:hAnsi="Verdana"/>
          <w:sz w:val="18"/>
          <w:szCs w:val="18"/>
        </w:rPr>
        <w:t xml:space="preserve"> </w:t>
      </w:r>
      <w:r>
        <w:rPr>
          <w:rFonts w:ascii="Verdana" w:hAnsi="Verdana"/>
          <w:sz w:val="18"/>
          <w:szCs w:val="18"/>
        </w:rPr>
        <w:t>maakt</w:t>
      </w:r>
      <w:r w:rsidR="00137865">
        <w:rPr>
          <w:rFonts w:ascii="Verdana" w:hAnsi="Verdana"/>
          <w:sz w:val="18"/>
          <w:szCs w:val="18"/>
        </w:rPr>
        <w:t>e</w:t>
      </w:r>
      <w:r w:rsidRPr="00FA2F4A">
        <w:rPr>
          <w:rFonts w:ascii="Verdana" w:hAnsi="Verdana"/>
          <w:sz w:val="18"/>
          <w:szCs w:val="18"/>
        </w:rPr>
        <w:t xml:space="preserve"> sinds de oprichting elk jaar </w:t>
      </w:r>
      <w:r>
        <w:rPr>
          <w:rFonts w:ascii="Verdana" w:hAnsi="Verdana"/>
          <w:sz w:val="18"/>
          <w:szCs w:val="18"/>
        </w:rPr>
        <w:t xml:space="preserve">winst, </w:t>
      </w:r>
      <w:r w:rsidRPr="00FA2F4A">
        <w:rPr>
          <w:rFonts w:ascii="Verdana" w:hAnsi="Verdana"/>
          <w:sz w:val="18"/>
          <w:szCs w:val="18"/>
        </w:rPr>
        <w:t xml:space="preserve">met uitzondering van het </w:t>
      </w:r>
      <w:r w:rsidR="00423FF8">
        <w:rPr>
          <w:rFonts w:ascii="Verdana" w:hAnsi="Verdana"/>
          <w:sz w:val="18"/>
          <w:szCs w:val="18"/>
        </w:rPr>
        <w:t xml:space="preserve">crisisjaar 2009. </w:t>
      </w:r>
      <w:r w:rsidR="00137865">
        <w:rPr>
          <w:rFonts w:ascii="Verdana" w:hAnsi="Verdana"/>
          <w:sz w:val="18"/>
          <w:szCs w:val="18"/>
        </w:rPr>
        <w:t>Ook h</w:t>
      </w:r>
      <w:r w:rsidR="004B21CA">
        <w:rPr>
          <w:rFonts w:ascii="Verdana" w:hAnsi="Verdana"/>
          <w:sz w:val="18"/>
          <w:szCs w:val="18"/>
        </w:rPr>
        <w:t xml:space="preserve">et </w:t>
      </w:r>
      <w:r w:rsidR="00137865">
        <w:rPr>
          <w:rFonts w:ascii="Verdana" w:hAnsi="Verdana"/>
          <w:sz w:val="18"/>
          <w:szCs w:val="18"/>
        </w:rPr>
        <w:t xml:space="preserve">afgelopen </w:t>
      </w:r>
      <w:r w:rsidR="004B21CA">
        <w:rPr>
          <w:rFonts w:ascii="Verdana" w:hAnsi="Verdana"/>
          <w:sz w:val="18"/>
          <w:szCs w:val="18"/>
        </w:rPr>
        <w:t xml:space="preserve">financiële jaar </w:t>
      </w:r>
      <w:r w:rsidR="00137865">
        <w:rPr>
          <w:rFonts w:ascii="Verdana" w:hAnsi="Verdana"/>
          <w:sz w:val="18"/>
          <w:szCs w:val="18"/>
        </w:rPr>
        <w:t>(</w:t>
      </w:r>
      <w:r w:rsidR="004B21CA">
        <w:rPr>
          <w:rFonts w:ascii="Verdana" w:hAnsi="Verdana"/>
          <w:sz w:val="18"/>
          <w:szCs w:val="18"/>
        </w:rPr>
        <w:t>2014</w:t>
      </w:r>
      <w:r w:rsidR="00137865">
        <w:rPr>
          <w:rFonts w:ascii="Verdana" w:hAnsi="Verdana"/>
          <w:sz w:val="18"/>
          <w:szCs w:val="18"/>
        </w:rPr>
        <w:t>) was gunstig voor IFC</w:t>
      </w:r>
      <w:r w:rsidR="00791309">
        <w:rPr>
          <w:rFonts w:ascii="Verdana" w:hAnsi="Verdana"/>
          <w:sz w:val="18"/>
          <w:szCs w:val="18"/>
        </w:rPr>
        <w:t>.</w:t>
      </w:r>
      <w:r w:rsidR="003E0A8A">
        <w:rPr>
          <w:rFonts w:ascii="Verdana" w:hAnsi="Verdana"/>
          <w:sz w:val="18"/>
          <w:szCs w:val="18"/>
        </w:rPr>
        <w:t xml:space="preserve"> Twee</w:t>
      </w:r>
      <w:r w:rsidR="004B21CA">
        <w:rPr>
          <w:rFonts w:ascii="Verdana" w:hAnsi="Verdana"/>
          <w:sz w:val="18"/>
          <w:szCs w:val="18"/>
        </w:rPr>
        <w:t xml:space="preserve">derde van het werk werd uitgevoerd in fragiele </w:t>
      </w:r>
      <w:r w:rsidR="00137865">
        <w:rPr>
          <w:rFonts w:ascii="Verdana" w:hAnsi="Verdana"/>
          <w:sz w:val="18"/>
          <w:szCs w:val="18"/>
        </w:rPr>
        <w:t xml:space="preserve">staten </w:t>
      </w:r>
      <w:r w:rsidR="004B21CA">
        <w:rPr>
          <w:rFonts w:ascii="Verdana" w:hAnsi="Verdana"/>
          <w:sz w:val="18"/>
          <w:szCs w:val="18"/>
        </w:rPr>
        <w:t xml:space="preserve">en door conflict geraakte landen. </w:t>
      </w:r>
      <w:r w:rsidR="00423FF8">
        <w:rPr>
          <w:rFonts w:ascii="Verdana" w:hAnsi="Verdana"/>
          <w:sz w:val="18"/>
          <w:szCs w:val="18"/>
        </w:rPr>
        <w:t>In 2014</w:t>
      </w:r>
      <w:r w:rsidRPr="00FA2F4A">
        <w:rPr>
          <w:rFonts w:ascii="Verdana" w:hAnsi="Verdana"/>
          <w:sz w:val="18"/>
          <w:szCs w:val="18"/>
        </w:rPr>
        <w:t xml:space="preserve"> bedroeg de wins</w:t>
      </w:r>
      <w:r w:rsidR="004B21CA">
        <w:rPr>
          <w:rFonts w:ascii="Verdana" w:hAnsi="Verdana"/>
          <w:sz w:val="18"/>
          <w:szCs w:val="18"/>
        </w:rPr>
        <w:t xml:space="preserve">t </w:t>
      </w:r>
      <w:r w:rsidR="000F07B8">
        <w:rPr>
          <w:rFonts w:ascii="Verdana" w:hAnsi="Verdana"/>
          <w:sz w:val="18"/>
          <w:szCs w:val="18"/>
        </w:rPr>
        <w:t xml:space="preserve">USD </w:t>
      </w:r>
      <w:r w:rsidR="004B21CA">
        <w:rPr>
          <w:rFonts w:ascii="Verdana" w:hAnsi="Verdana"/>
          <w:sz w:val="18"/>
          <w:szCs w:val="18"/>
        </w:rPr>
        <w:t>1,48</w:t>
      </w:r>
      <w:r w:rsidRPr="00FA2F4A">
        <w:rPr>
          <w:rFonts w:ascii="Verdana" w:hAnsi="Verdana"/>
          <w:sz w:val="18"/>
          <w:szCs w:val="18"/>
        </w:rPr>
        <w:t xml:space="preserve"> miljard. </w:t>
      </w:r>
      <w:r>
        <w:rPr>
          <w:rFonts w:ascii="Verdana" w:hAnsi="Verdana"/>
          <w:sz w:val="18"/>
          <w:szCs w:val="18"/>
        </w:rPr>
        <w:t xml:space="preserve">Winst wordt niet uitgekeerd aan aandeelhouders, maar blijft binnen de WBG. </w:t>
      </w:r>
      <w:r w:rsidRPr="00FA2F4A">
        <w:rPr>
          <w:rFonts w:ascii="Verdana" w:hAnsi="Verdana"/>
          <w:sz w:val="18"/>
          <w:szCs w:val="18"/>
        </w:rPr>
        <w:t xml:space="preserve">Een deel van de winst vloeit naar IDA, een deel </w:t>
      </w:r>
      <w:r>
        <w:rPr>
          <w:rFonts w:ascii="Verdana" w:hAnsi="Verdana"/>
          <w:sz w:val="18"/>
          <w:szCs w:val="18"/>
        </w:rPr>
        <w:t>naar IFC</w:t>
      </w:r>
      <w:r w:rsidR="00A524CC">
        <w:rPr>
          <w:rFonts w:ascii="Verdana" w:hAnsi="Verdana"/>
          <w:sz w:val="18"/>
          <w:szCs w:val="18"/>
        </w:rPr>
        <w:t>’</w:t>
      </w:r>
      <w:r>
        <w:rPr>
          <w:rFonts w:ascii="Verdana" w:hAnsi="Verdana"/>
          <w:sz w:val="18"/>
          <w:szCs w:val="18"/>
        </w:rPr>
        <w:t xml:space="preserve">s </w:t>
      </w:r>
      <w:r w:rsidR="00A524CC" w:rsidRPr="003E0A8A">
        <w:rPr>
          <w:rFonts w:ascii="Verdana" w:hAnsi="Verdana"/>
          <w:i/>
          <w:sz w:val="18"/>
          <w:szCs w:val="18"/>
        </w:rPr>
        <w:t>advisory service</w:t>
      </w:r>
      <w:r>
        <w:rPr>
          <w:rFonts w:ascii="Verdana" w:hAnsi="Verdana"/>
          <w:sz w:val="18"/>
          <w:szCs w:val="18"/>
        </w:rPr>
        <w:t xml:space="preserve"> activiteiten en een deel wordt gereserveerd voor </w:t>
      </w:r>
      <w:r w:rsidR="00455451" w:rsidRPr="003E0A8A">
        <w:rPr>
          <w:rFonts w:ascii="Verdana" w:hAnsi="Verdana"/>
          <w:i/>
          <w:sz w:val="18"/>
          <w:szCs w:val="18"/>
        </w:rPr>
        <w:t>investment</w:t>
      </w:r>
      <w:r w:rsidR="00A524CC" w:rsidRPr="003E0A8A">
        <w:rPr>
          <w:rFonts w:ascii="Verdana" w:hAnsi="Verdana"/>
          <w:i/>
          <w:sz w:val="18"/>
          <w:szCs w:val="18"/>
        </w:rPr>
        <w:t xml:space="preserve"> services</w:t>
      </w:r>
      <w:r>
        <w:rPr>
          <w:rFonts w:ascii="Verdana" w:hAnsi="Verdana"/>
          <w:sz w:val="18"/>
          <w:szCs w:val="18"/>
        </w:rPr>
        <w:t xml:space="preserve">. Dit laatste is van belang om de groei van dit bedrijfsonderdeel te kunnen financieren aangezien het uitgeven van extra aandelen </w:t>
      </w:r>
      <w:r w:rsidR="00450505">
        <w:rPr>
          <w:rFonts w:ascii="Verdana" w:hAnsi="Verdana"/>
          <w:sz w:val="18"/>
          <w:szCs w:val="18"/>
        </w:rPr>
        <w:t xml:space="preserve">op onvoldoende steun kan rekenen onder aandeelhouders. </w:t>
      </w:r>
      <w:r w:rsidR="00862EBD" w:rsidRPr="003E0A8A">
        <w:rPr>
          <w:rFonts w:ascii="Verdana" w:hAnsi="Verdana"/>
          <w:i/>
          <w:sz w:val="18"/>
          <w:szCs w:val="18"/>
        </w:rPr>
        <w:t>A</w:t>
      </w:r>
      <w:r w:rsidR="00A524CC" w:rsidRPr="003E0A8A">
        <w:rPr>
          <w:rFonts w:ascii="Verdana" w:hAnsi="Verdana"/>
          <w:i/>
          <w:sz w:val="18"/>
          <w:szCs w:val="18"/>
        </w:rPr>
        <w:t>dvisory service</w:t>
      </w:r>
      <w:r w:rsidR="00862EBD" w:rsidRPr="003E0A8A">
        <w:rPr>
          <w:rFonts w:ascii="Verdana" w:hAnsi="Verdana"/>
          <w:i/>
          <w:sz w:val="18"/>
          <w:szCs w:val="18"/>
        </w:rPr>
        <w:t xml:space="preserve"> </w:t>
      </w:r>
      <w:r w:rsidR="00862EBD">
        <w:rPr>
          <w:rFonts w:ascii="Verdana" w:hAnsi="Verdana"/>
          <w:sz w:val="18"/>
          <w:szCs w:val="18"/>
        </w:rPr>
        <w:t xml:space="preserve">activiteiten worden voorts gefinancierd door </w:t>
      </w:r>
      <w:r w:rsidR="00862EBD" w:rsidRPr="003E0A8A">
        <w:rPr>
          <w:rFonts w:ascii="Verdana" w:hAnsi="Verdana"/>
          <w:i/>
          <w:sz w:val="18"/>
          <w:szCs w:val="18"/>
        </w:rPr>
        <w:t>donor-partnerships</w:t>
      </w:r>
      <w:r w:rsidR="00862EBD">
        <w:rPr>
          <w:rFonts w:ascii="Verdana" w:hAnsi="Verdana"/>
          <w:sz w:val="18"/>
          <w:szCs w:val="18"/>
        </w:rPr>
        <w:t xml:space="preserve"> en door contributies van cliënten, </w:t>
      </w:r>
      <w:proofErr w:type="gramStart"/>
      <w:r w:rsidR="00862EBD">
        <w:rPr>
          <w:rFonts w:ascii="Verdana" w:hAnsi="Verdana"/>
          <w:sz w:val="18"/>
          <w:szCs w:val="18"/>
        </w:rPr>
        <w:t>alsmede</w:t>
      </w:r>
      <w:proofErr w:type="gramEnd"/>
      <w:r w:rsidR="00862EBD">
        <w:rPr>
          <w:rFonts w:ascii="Verdana" w:hAnsi="Verdana"/>
          <w:sz w:val="18"/>
          <w:szCs w:val="18"/>
        </w:rPr>
        <w:t xml:space="preserve"> uit de zogenaamde administratiekosten voor </w:t>
      </w:r>
      <w:r w:rsidR="00862EBD" w:rsidRPr="003E0A8A">
        <w:rPr>
          <w:rFonts w:ascii="Verdana" w:hAnsi="Verdana"/>
          <w:i/>
          <w:sz w:val="18"/>
          <w:szCs w:val="18"/>
        </w:rPr>
        <w:t>Trust Funds</w:t>
      </w:r>
      <w:r w:rsidR="00862EBD">
        <w:rPr>
          <w:rFonts w:ascii="Verdana" w:hAnsi="Verdana"/>
          <w:sz w:val="18"/>
          <w:szCs w:val="18"/>
        </w:rPr>
        <w:t xml:space="preserve"> die door donoren worden betaald. </w:t>
      </w:r>
    </w:p>
    <w:p w14:paraId="3A32AFC0" w14:textId="77777777" w:rsidR="00FC3A68" w:rsidRDefault="00FC3A68" w:rsidP="00325DE4">
      <w:pPr>
        <w:pStyle w:val="Default"/>
        <w:rPr>
          <w:rFonts w:ascii="Verdana" w:hAnsi="Verdana"/>
          <w:sz w:val="18"/>
          <w:szCs w:val="18"/>
        </w:rPr>
      </w:pPr>
    </w:p>
    <w:p w14:paraId="3A32AFC1" w14:textId="5B82A9A8" w:rsidR="00791309" w:rsidRDefault="00791309" w:rsidP="00325DE4">
      <w:pPr>
        <w:pStyle w:val="Default"/>
        <w:rPr>
          <w:rFonts w:ascii="Verdana" w:hAnsi="Verdana"/>
          <w:sz w:val="18"/>
          <w:szCs w:val="18"/>
        </w:rPr>
      </w:pPr>
      <w:r>
        <w:rPr>
          <w:rFonts w:ascii="Verdana" w:hAnsi="Verdana"/>
          <w:sz w:val="18"/>
          <w:szCs w:val="18"/>
        </w:rPr>
        <w:t xml:space="preserve">De financiële positie van </w:t>
      </w:r>
      <w:r w:rsidR="00646987">
        <w:rPr>
          <w:rFonts w:ascii="Verdana" w:hAnsi="Verdana"/>
          <w:sz w:val="18"/>
          <w:szCs w:val="18"/>
        </w:rPr>
        <w:t>IFC</w:t>
      </w:r>
      <w:r>
        <w:rPr>
          <w:rFonts w:ascii="Verdana" w:hAnsi="Verdana"/>
          <w:sz w:val="18"/>
          <w:szCs w:val="18"/>
        </w:rPr>
        <w:t xml:space="preserve"> komt</w:t>
      </w:r>
      <w:r w:rsidR="00EC3DB7">
        <w:rPr>
          <w:rFonts w:ascii="Verdana" w:hAnsi="Verdana"/>
          <w:sz w:val="18"/>
          <w:szCs w:val="18"/>
        </w:rPr>
        <w:t xml:space="preserve"> </w:t>
      </w:r>
      <w:r w:rsidR="00137865">
        <w:rPr>
          <w:rFonts w:ascii="Verdana" w:hAnsi="Verdana"/>
          <w:sz w:val="18"/>
          <w:szCs w:val="18"/>
        </w:rPr>
        <w:t>door recente ontwikkelingen</w:t>
      </w:r>
      <w:r w:rsidR="00137865" w:rsidDel="00137865">
        <w:rPr>
          <w:rFonts w:ascii="Verdana" w:hAnsi="Verdana"/>
          <w:sz w:val="18"/>
          <w:szCs w:val="18"/>
        </w:rPr>
        <w:t xml:space="preserve"> </w:t>
      </w:r>
      <w:r w:rsidR="00EC3DB7">
        <w:rPr>
          <w:rFonts w:ascii="Verdana" w:hAnsi="Verdana"/>
          <w:sz w:val="18"/>
          <w:szCs w:val="18"/>
        </w:rPr>
        <w:t>wel enigszins onder druk te staan</w:t>
      </w:r>
      <w:r w:rsidR="00137865">
        <w:rPr>
          <w:rFonts w:ascii="Verdana" w:hAnsi="Verdana"/>
          <w:sz w:val="18"/>
          <w:szCs w:val="18"/>
        </w:rPr>
        <w:t>. D</w:t>
      </w:r>
      <w:r>
        <w:rPr>
          <w:rFonts w:ascii="Verdana" w:hAnsi="Verdana"/>
          <w:sz w:val="18"/>
          <w:szCs w:val="18"/>
        </w:rPr>
        <w:t xml:space="preserve">e wijziging in het monetaire beleid van de Verenigde Staten </w:t>
      </w:r>
      <w:r w:rsidR="00567A8B">
        <w:rPr>
          <w:rFonts w:ascii="Verdana" w:hAnsi="Verdana"/>
          <w:sz w:val="18"/>
          <w:szCs w:val="18"/>
        </w:rPr>
        <w:t>heeft</w:t>
      </w:r>
      <w:r w:rsidR="00137865">
        <w:rPr>
          <w:rFonts w:ascii="Verdana" w:hAnsi="Verdana"/>
          <w:sz w:val="18"/>
          <w:szCs w:val="18"/>
        </w:rPr>
        <w:t xml:space="preserve"> gevolgen voor de economische groei in ontwikkelingslanden. De </w:t>
      </w:r>
      <w:r w:rsidR="00567A8B">
        <w:rPr>
          <w:rFonts w:ascii="Verdana" w:hAnsi="Verdana"/>
          <w:sz w:val="18"/>
          <w:szCs w:val="18"/>
        </w:rPr>
        <w:t xml:space="preserve">hogere grondstofprijzen en </w:t>
      </w:r>
      <w:r w:rsidR="00137865">
        <w:rPr>
          <w:rFonts w:ascii="Verdana" w:hAnsi="Verdana"/>
          <w:sz w:val="18"/>
          <w:szCs w:val="18"/>
        </w:rPr>
        <w:t>kapitaalinstroom z</w:t>
      </w:r>
      <w:r w:rsidR="00EC3DB7">
        <w:rPr>
          <w:rFonts w:ascii="Verdana" w:hAnsi="Verdana"/>
          <w:sz w:val="18"/>
          <w:szCs w:val="18"/>
        </w:rPr>
        <w:t>ijn niet voldoende om hoge</w:t>
      </w:r>
      <w:r w:rsidR="00567A8B">
        <w:rPr>
          <w:rFonts w:ascii="Verdana" w:hAnsi="Verdana"/>
          <w:sz w:val="18"/>
          <w:szCs w:val="18"/>
        </w:rPr>
        <w:t>re</w:t>
      </w:r>
      <w:r w:rsidR="00EC3DB7">
        <w:rPr>
          <w:rFonts w:ascii="Verdana" w:hAnsi="Verdana"/>
          <w:sz w:val="18"/>
          <w:szCs w:val="18"/>
        </w:rPr>
        <w:t xml:space="preserve"> groei in ontwikkelingslanden te bewerkstelligen. De vraag naar financiering</w:t>
      </w:r>
      <w:r w:rsidR="008507AD">
        <w:rPr>
          <w:rFonts w:ascii="Verdana" w:hAnsi="Verdana"/>
          <w:sz w:val="18"/>
          <w:szCs w:val="18"/>
        </w:rPr>
        <w:t xml:space="preserve"> </w:t>
      </w:r>
      <w:r w:rsidR="00EC3DB7">
        <w:rPr>
          <w:rFonts w:ascii="Verdana" w:hAnsi="Verdana"/>
          <w:sz w:val="18"/>
          <w:szCs w:val="18"/>
        </w:rPr>
        <w:t>zal het aanbod blijven overstijgen</w:t>
      </w:r>
      <w:r w:rsidR="00567A8B">
        <w:rPr>
          <w:rFonts w:ascii="Verdana" w:hAnsi="Verdana"/>
          <w:sz w:val="18"/>
          <w:szCs w:val="18"/>
        </w:rPr>
        <w:t>, en d</w:t>
      </w:r>
      <w:r w:rsidR="00EC3DB7">
        <w:rPr>
          <w:rFonts w:ascii="Verdana" w:hAnsi="Verdana"/>
          <w:sz w:val="18"/>
          <w:szCs w:val="18"/>
        </w:rPr>
        <w:t>e verwachting is dat de vraag naar IFC financiering groot zal blijven. Dit onderstreept het belang van de ‘</w:t>
      </w:r>
      <w:r w:rsidR="00EC3DB7" w:rsidRPr="003E0A8A">
        <w:rPr>
          <w:rFonts w:ascii="Verdana" w:hAnsi="Verdana"/>
          <w:i/>
          <w:sz w:val="18"/>
          <w:szCs w:val="18"/>
        </w:rPr>
        <w:t>holistic porfolio approach</w:t>
      </w:r>
      <w:r w:rsidR="00EC3DB7">
        <w:rPr>
          <w:rFonts w:ascii="Verdana" w:hAnsi="Verdana"/>
          <w:sz w:val="18"/>
          <w:szCs w:val="18"/>
        </w:rPr>
        <w:t>’ waarin financiële en niet-financiële risico’s worden geïntegreerd op zowel transactie- als concernniv</w:t>
      </w:r>
      <w:r w:rsidR="005F6AB0">
        <w:rPr>
          <w:rFonts w:ascii="Verdana" w:hAnsi="Verdana"/>
          <w:sz w:val="18"/>
          <w:szCs w:val="18"/>
        </w:rPr>
        <w:t>eau.</w:t>
      </w:r>
    </w:p>
    <w:p w14:paraId="3A32AFC2" w14:textId="77777777" w:rsidR="00791309" w:rsidRDefault="00791309" w:rsidP="00325DE4">
      <w:pPr>
        <w:pStyle w:val="Default"/>
        <w:rPr>
          <w:rFonts w:ascii="Verdana" w:hAnsi="Verdana"/>
          <w:sz w:val="18"/>
          <w:szCs w:val="18"/>
        </w:rPr>
      </w:pPr>
    </w:p>
    <w:p w14:paraId="3A32AFC3" w14:textId="60736B46" w:rsidR="00FC3A68" w:rsidRDefault="00FC3A68" w:rsidP="00325DE4">
      <w:pPr>
        <w:pStyle w:val="Default"/>
        <w:rPr>
          <w:rFonts w:ascii="Verdana" w:hAnsi="Verdana"/>
          <w:sz w:val="18"/>
          <w:szCs w:val="18"/>
        </w:rPr>
      </w:pPr>
      <w:r>
        <w:rPr>
          <w:rFonts w:ascii="Verdana" w:hAnsi="Verdana"/>
          <w:sz w:val="18"/>
          <w:szCs w:val="18"/>
        </w:rPr>
        <w:t xml:space="preserve">Met het oog op een succesvolle uitvoering van de Wereldbankstrategie en het toekomstige vermogen om kapitaal aan te wenden waar dit het meest nodig is, dient </w:t>
      </w:r>
      <w:r w:rsidR="00646987">
        <w:rPr>
          <w:rFonts w:ascii="Verdana" w:hAnsi="Verdana"/>
          <w:sz w:val="18"/>
          <w:szCs w:val="18"/>
        </w:rPr>
        <w:t>IFC</w:t>
      </w:r>
      <w:r>
        <w:rPr>
          <w:rFonts w:ascii="Verdana" w:hAnsi="Verdana"/>
          <w:sz w:val="18"/>
          <w:szCs w:val="18"/>
        </w:rPr>
        <w:t xml:space="preserve"> financieel sterk te blijven</w:t>
      </w:r>
      <w:r w:rsidR="00567A8B">
        <w:rPr>
          <w:rFonts w:ascii="Verdana" w:hAnsi="Verdana"/>
          <w:sz w:val="18"/>
          <w:szCs w:val="18"/>
        </w:rPr>
        <w:t xml:space="preserve">. Dit wordt bereikt </w:t>
      </w:r>
      <w:r>
        <w:rPr>
          <w:rFonts w:ascii="Verdana" w:hAnsi="Verdana"/>
          <w:sz w:val="18"/>
          <w:szCs w:val="18"/>
        </w:rPr>
        <w:t xml:space="preserve">door het genereren van voldoende rendement op </w:t>
      </w:r>
      <w:r w:rsidR="00A524CC">
        <w:rPr>
          <w:rFonts w:ascii="Verdana" w:hAnsi="Verdana"/>
          <w:sz w:val="18"/>
          <w:szCs w:val="18"/>
        </w:rPr>
        <w:t>haar</w:t>
      </w:r>
      <w:r>
        <w:rPr>
          <w:rFonts w:ascii="Verdana" w:hAnsi="Verdana"/>
          <w:sz w:val="18"/>
          <w:szCs w:val="18"/>
        </w:rPr>
        <w:t xml:space="preserve"> investeringen en door het efficiënt behe</w:t>
      </w:r>
      <w:r w:rsidR="00567A8B">
        <w:rPr>
          <w:rFonts w:ascii="Verdana" w:hAnsi="Verdana"/>
          <w:sz w:val="18"/>
          <w:szCs w:val="18"/>
        </w:rPr>
        <w:t>e</w:t>
      </w:r>
      <w:r>
        <w:rPr>
          <w:rFonts w:ascii="Verdana" w:hAnsi="Verdana"/>
          <w:sz w:val="18"/>
          <w:szCs w:val="18"/>
        </w:rPr>
        <w:t xml:space="preserve">r van financiële middelen. Daarnaast is kapitaaltoereikendheid een cruciaal element van de financiële duurzaamheid van </w:t>
      </w:r>
      <w:r w:rsidR="00646987">
        <w:rPr>
          <w:rFonts w:ascii="Verdana" w:hAnsi="Verdana"/>
          <w:sz w:val="18"/>
          <w:szCs w:val="18"/>
        </w:rPr>
        <w:t>IFC</w:t>
      </w:r>
      <w:r w:rsidR="00567A8B">
        <w:rPr>
          <w:rFonts w:ascii="Verdana" w:hAnsi="Verdana"/>
          <w:sz w:val="18"/>
          <w:szCs w:val="18"/>
        </w:rPr>
        <w:t xml:space="preserve"> en voor het</w:t>
      </w:r>
      <w:r>
        <w:rPr>
          <w:rFonts w:ascii="Verdana" w:hAnsi="Verdana"/>
          <w:sz w:val="18"/>
          <w:szCs w:val="18"/>
        </w:rPr>
        <w:t xml:space="preserve"> behoud van de AAA-rating. </w:t>
      </w:r>
    </w:p>
    <w:p w14:paraId="3A32AFC4" w14:textId="77777777" w:rsidR="00944567" w:rsidRDefault="00944567" w:rsidP="00325DE4">
      <w:pPr>
        <w:pStyle w:val="Default"/>
        <w:rPr>
          <w:rFonts w:ascii="Verdana" w:hAnsi="Verdana"/>
          <w:sz w:val="18"/>
          <w:szCs w:val="18"/>
        </w:rPr>
      </w:pPr>
    </w:p>
    <w:p w14:paraId="3A32AFC5" w14:textId="77777777" w:rsidR="00325DE4" w:rsidRDefault="00325DE4" w:rsidP="00325DE4">
      <w:r>
        <w:t xml:space="preserve">De interne auditfunctie is kwalitatief en </w:t>
      </w:r>
      <w:proofErr w:type="gramStart"/>
      <w:r>
        <w:t>kwantitatief</w:t>
      </w:r>
      <w:proofErr w:type="gramEnd"/>
      <w:r>
        <w:t xml:space="preserve"> voldoende toegerust. De rapportages voldoen aan de in het (raam)contract gespecificeerde eisen. Er is bovendien een duidelijke samenhang tussen inhoudelijke en financiële rapportages. </w:t>
      </w:r>
      <w:bookmarkStart w:id="85" w:name="_Toc301857807"/>
    </w:p>
    <w:p w14:paraId="3A32AFC6" w14:textId="77777777" w:rsidR="00325DE4" w:rsidRDefault="00325DE4" w:rsidP="00325DE4"/>
    <w:p w14:paraId="3A32AFC7" w14:textId="77777777" w:rsidR="00325DE4" w:rsidRDefault="00325DE4" w:rsidP="00DE343C">
      <w:r w:rsidRPr="00F0677E">
        <w:t>Beoordeling: goed = 4</w:t>
      </w:r>
      <w:bookmarkEnd w:id="85"/>
    </w:p>
    <w:p w14:paraId="3A32AFC8" w14:textId="77777777" w:rsidR="00DE343C" w:rsidRDefault="00DE343C" w:rsidP="00DE343C">
      <w:pPr>
        <w:rPr>
          <w:b/>
        </w:rPr>
      </w:pPr>
    </w:p>
    <w:p w14:paraId="3A32AFC9" w14:textId="77777777" w:rsidR="00DE343C" w:rsidRPr="004D372F" w:rsidRDefault="000A22CF" w:rsidP="004D372F">
      <w:pPr>
        <w:pStyle w:val="Heading2"/>
        <w:tabs>
          <w:tab w:val="left" w:pos="-1162"/>
          <w:tab w:val="left" w:pos="0"/>
          <w:tab w:val="num" w:pos="1160"/>
        </w:tabs>
        <w:spacing w:line="240" w:lineRule="auto"/>
        <w:ind w:hanging="1162"/>
      </w:pPr>
      <w:bookmarkStart w:id="86" w:name="_Toc422131315"/>
      <w:bookmarkStart w:id="87" w:name="_Toc422131859"/>
      <w:bookmarkStart w:id="88" w:name="_Toc422131892"/>
      <w:bookmarkStart w:id="89" w:name="_Toc422132119"/>
      <w:bookmarkStart w:id="90" w:name="_Toc422132173"/>
      <w:r>
        <w:t>3.</w:t>
      </w:r>
      <w:r w:rsidR="00A74DEC">
        <w:t>8</w:t>
      </w:r>
      <w:r w:rsidR="004D372F" w:rsidRPr="004D372F">
        <w:t xml:space="preserve"> </w:t>
      </w:r>
      <w:r w:rsidR="004D372F">
        <w:tab/>
      </w:r>
      <w:r w:rsidR="00DE343C" w:rsidRPr="004D372F">
        <w:t>Corruptiebestrijding in de interne organisatie</w:t>
      </w:r>
      <w:bookmarkEnd w:id="86"/>
      <w:bookmarkEnd w:id="87"/>
      <w:bookmarkEnd w:id="88"/>
      <w:bookmarkEnd w:id="89"/>
      <w:bookmarkEnd w:id="90"/>
    </w:p>
    <w:p w14:paraId="3A32AFCA" w14:textId="27297109" w:rsidR="00471145" w:rsidRDefault="00471145" w:rsidP="00471145">
      <w:r>
        <w:t>IFC</w:t>
      </w:r>
      <w:r w:rsidR="003E0A8A">
        <w:t>’</w:t>
      </w:r>
      <w:r>
        <w:t>s anti</w:t>
      </w:r>
      <w:r w:rsidR="003E0A8A">
        <w:t>-</w:t>
      </w:r>
      <w:r>
        <w:t>corruptiebeleid is naar behoren. Het beleid is zowel gericht op corruptiebestrijding onder cliënten als</w:t>
      </w:r>
      <w:r w:rsidR="00567A8B">
        <w:t xml:space="preserve"> binnen </w:t>
      </w:r>
      <w:r>
        <w:t xml:space="preserve">de organisatie. Met het beleid wil </w:t>
      </w:r>
      <w:r w:rsidR="00646987">
        <w:t>IFC</w:t>
      </w:r>
      <w:r>
        <w:t xml:space="preserve"> een voorbeeldfunctie vervullen. In geval van corruptie of fraude kunnen sancties worden opgelegd. </w:t>
      </w:r>
    </w:p>
    <w:p w14:paraId="3A32AFCB" w14:textId="77777777" w:rsidR="00471145" w:rsidRDefault="00471145" w:rsidP="00471145"/>
    <w:p w14:paraId="3A32AFCC" w14:textId="03FCEA29" w:rsidR="00471145" w:rsidRDefault="00646987" w:rsidP="00471145">
      <w:r>
        <w:t>IFC</w:t>
      </w:r>
      <w:r w:rsidR="00471145">
        <w:t xml:space="preserve"> kent een sanctiebeleid voor bedrijven en individuen die zich hebben ingelaten met corruptie of andere onaanvaardbare zaken. Bij het meldpunt van de </w:t>
      </w:r>
      <w:r w:rsidR="00471145" w:rsidRPr="003E0A8A">
        <w:rPr>
          <w:i/>
        </w:rPr>
        <w:t xml:space="preserve">Integrity Vice Presidency </w:t>
      </w:r>
      <w:r w:rsidR="00471145">
        <w:t xml:space="preserve">(INT, voor de gehele Wereldbankgroep) kunnen anoniem klachten over mogelijke fraude of corruptie worden ingediend. INT onderzoekt deze klachten </w:t>
      </w:r>
      <w:r w:rsidR="00567A8B">
        <w:t xml:space="preserve">en </w:t>
      </w:r>
      <w:r w:rsidR="00471145">
        <w:t xml:space="preserve">een onafhankelijke commissie beslist over het opleggen van sancties. De sancties moeten door </w:t>
      </w:r>
      <w:r>
        <w:t>IFC</w:t>
      </w:r>
      <w:r w:rsidR="00471145">
        <w:t xml:space="preserve"> worden opgevolgd. INT publiceert jaarlijks een rapport over de activiteiten over het afgelopen fiscale jaar en verzorgt trainingen aan de staf over corruptiebes</w:t>
      </w:r>
      <w:r w:rsidR="00D71885">
        <w:t>trijding. Over het boekjaar 2014</w:t>
      </w:r>
      <w:r w:rsidR="00471145">
        <w:t xml:space="preserve"> werden voor de gehel</w:t>
      </w:r>
      <w:r w:rsidR="00D71885">
        <w:t>e Wereldbankgroep 355</w:t>
      </w:r>
      <w:r w:rsidR="00471145">
        <w:t xml:space="preserve"> kl</w:t>
      </w:r>
      <w:r w:rsidR="002204BB">
        <w:t>achten onderzocht</w:t>
      </w:r>
      <w:r w:rsidR="00471145">
        <w:t xml:space="preserve">, </w:t>
      </w:r>
      <w:r w:rsidR="002204BB">
        <w:t xml:space="preserve">waarvan er 40 tot </w:t>
      </w:r>
      <w:r w:rsidR="008C4662">
        <w:t xml:space="preserve">een </w:t>
      </w:r>
      <w:r w:rsidR="002204BB">
        <w:t xml:space="preserve">volledig </w:t>
      </w:r>
      <w:r w:rsidR="00D71885">
        <w:t>onde</w:t>
      </w:r>
      <w:r w:rsidR="002204BB">
        <w:t xml:space="preserve">rzoek leidden. Hiervan hadden 6 (2,5%) klachten betrekking op </w:t>
      </w:r>
      <w:r>
        <w:t>IFC</w:t>
      </w:r>
      <w:r w:rsidR="00D71885">
        <w:t xml:space="preserve"> </w:t>
      </w:r>
      <w:r w:rsidR="00471145">
        <w:t xml:space="preserve">Functionarissen hebben duidelijke richtlijnen hoe met corruptie om te gaan. </w:t>
      </w:r>
    </w:p>
    <w:p w14:paraId="3A32AFCD" w14:textId="77777777" w:rsidR="00471145" w:rsidRDefault="00471145" w:rsidP="00471145"/>
    <w:p w14:paraId="3A32AFCE" w14:textId="470E6EA7" w:rsidR="00471145" w:rsidRDefault="00471145" w:rsidP="00471145">
      <w:r>
        <w:t xml:space="preserve">De Wereldbank heeft </w:t>
      </w:r>
      <w:r w:rsidR="00132760">
        <w:t>in 2013</w:t>
      </w:r>
      <w:r>
        <w:t xml:space="preserve"> een ‘</w:t>
      </w:r>
      <w:r w:rsidRPr="003E0A8A">
        <w:rPr>
          <w:i/>
        </w:rPr>
        <w:t>Integrity app</w:t>
      </w:r>
      <w:r>
        <w:t>’ gelanceerd. Met deze app is het mogelijk voor gebruikers om fraude of corruptie te rapporteren. Daarnaast biedt de app</w:t>
      </w:r>
      <w:r w:rsidR="00567A8B">
        <w:t>licatie</w:t>
      </w:r>
      <w:r>
        <w:t xml:space="preserve"> snelle toegang tot informatie over door de Wereldbank gefinancierde projecten, gebaseerd op locatie, type activiteit of zoekopdracht. </w:t>
      </w:r>
    </w:p>
    <w:p w14:paraId="3A32AFCF" w14:textId="77777777" w:rsidR="00B15F5A" w:rsidRDefault="00B15F5A" w:rsidP="00471145"/>
    <w:p w14:paraId="3A32AFD0" w14:textId="018E6AB4" w:rsidR="00C47BEC" w:rsidRDefault="00B15F5A" w:rsidP="00471145">
      <w:r>
        <w:t xml:space="preserve">In 2014 heeft </w:t>
      </w:r>
      <w:r w:rsidR="00646987">
        <w:t>IFC</w:t>
      </w:r>
      <w:r>
        <w:t xml:space="preserve">, voortbouwend op </w:t>
      </w:r>
      <w:r w:rsidR="006A4E0B">
        <w:t>opgedane</w:t>
      </w:r>
      <w:r w:rsidR="00567A8B">
        <w:t xml:space="preserve"> ervaringen</w:t>
      </w:r>
      <w:r>
        <w:t xml:space="preserve">, een </w:t>
      </w:r>
      <w:proofErr w:type="gramStart"/>
      <w:r w:rsidR="006A4E0B">
        <w:t xml:space="preserve">aangescherpt </w:t>
      </w:r>
      <w:r>
        <w:t xml:space="preserve"> </w:t>
      </w:r>
      <w:proofErr w:type="gramEnd"/>
      <w:r>
        <w:t xml:space="preserve">integriteits- en </w:t>
      </w:r>
      <w:r w:rsidRPr="008507AD">
        <w:rPr>
          <w:i/>
        </w:rPr>
        <w:t xml:space="preserve">due diligence </w:t>
      </w:r>
      <w:r w:rsidRPr="006A4E0B">
        <w:t>proces</w:t>
      </w:r>
      <w:r>
        <w:t xml:space="preserve"> uitgerold </w:t>
      </w:r>
      <w:r w:rsidR="006A4E0B">
        <w:t>met</w:t>
      </w:r>
      <w:r>
        <w:t xml:space="preserve"> </w:t>
      </w:r>
      <w:r w:rsidR="006A4E0B">
        <w:t>als</w:t>
      </w:r>
      <w:r>
        <w:t xml:space="preserve"> doel om integriteitsrisico’s eerder te identificeren. Dit beleid houdt in dat alle integriteitskwesties voorgelegd worden aan een sp</w:t>
      </w:r>
      <w:r w:rsidR="003E0A8A">
        <w:t>ecial risicomanagement team. Da</w:t>
      </w:r>
      <w:r>
        <w:t xml:space="preserve">arnaast is de bepaling opgenomen dat alle projecten door een ‘tweede paar ogen’ worden bekeken </w:t>
      </w:r>
      <w:proofErr w:type="gramStart"/>
      <w:r>
        <w:t xml:space="preserve">om  </w:t>
      </w:r>
      <w:proofErr w:type="gramEnd"/>
      <w:r>
        <w:t xml:space="preserve">te </w:t>
      </w:r>
      <w:r w:rsidR="006A4E0B">
        <w:t>garanderen dat</w:t>
      </w:r>
      <w:r>
        <w:t xml:space="preserve"> </w:t>
      </w:r>
      <w:r w:rsidR="006A4E0B">
        <w:t>ze</w:t>
      </w:r>
      <w:r>
        <w:t xml:space="preserve"> voldoe</w:t>
      </w:r>
      <w:r w:rsidR="003E0A8A">
        <w:t>n aan de nieuwe integriteitsprocedures (</w:t>
      </w:r>
      <w:r w:rsidR="003E0A8A" w:rsidRPr="003E0A8A">
        <w:rPr>
          <w:i/>
        </w:rPr>
        <w:t>due diligence</w:t>
      </w:r>
      <w:r w:rsidR="003E0A8A">
        <w:t>).</w:t>
      </w:r>
      <w:r>
        <w:t xml:space="preserve"> </w:t>
      </w:r>
      <w:r w:rsidR="00C47BEC">
        <w:t xml:space="preserve">Sinds de invoering van deze nieuwe werkwijze is meer dan 80% van het operationele personeel van </w:t>
      </w:r>
      <w:r w:rsidR="00646987">
        <w:t>IFC</w:t>
      </w:r>
      <w:r w:rsidR="00C47BEC">
        <w:t xml:space="preserve"> getraind</w:t>
      </w:r>
      <w:r w:rsidR="006A4E0B">
        <w:t>. T</w:t>
      </w:r>
      <w:r w:rsidR="00C47BEC">
        <w:t xml:space="preserve">wee senior medewerkers van het risicomanagement team </w:t>
      </w:r>
      <w:r w:rsidR="006A4E0B">
        <w:t>zijn in het</w:t>
      </w:r>
      <w:r w:rsidR="00C47BEC">
        <w:t xml:space="preserve"> veld</w:t>
      </w:r>
      <w:r w:rsidR="006A4E0B">
        <w:t xml:space="preserve"> gestationeerd</w:t>
      </w:r>
      <w:r w:rsidR="00C47BEC">
        <w:t xml:space="preserve">. </w:t>
      </w:r>
    </w:p>
    <w:p w14:paraId="3A32AFD1" w14:textId="588F13AD" w:rsidR="00471145" w:rsidRDefault="00B15F5A" w:rsidP="00471145">
      <w:r>
        <w:br/>
      </w:r>
      <w:r w:rsidR="00471145">
        <w:t xml:space="preserve">Beoordeling: </w:t>
      </w:r>
      <w:r w:rsidR="00137EFF">
        <w:t>G</w:t>
      </w:r>
      <w:r w:rsidR="00471145">
        <w:t>oed = 4</w:t>
      </w:r>
    </w:p>
    <w:p w14:paraId="3A32AFD2" w14:textId="77777777" w:rsidR="000A22CF" w:rsidRDefault="000A22CF" w:rsidP="000A22CF"/>
    <w:p w14:paraId="3A32AFD3" w14:textId="77777777" w:rsidR="004D372F" w:rsidRPr="004D372F" w:rsidRDefault="004D372F" w:rsidP="004D372F"/>
    <w:p w14:paraId="3A32AFD4" w14:textId="77777777" w:rsidR="00754666" w:rsidRDefault="00754666" w:rsidP="00CA52E3">
      <w:pPr>
        <w:pStyle w:val="Heading2"/>
        <w:tabs>
          <w:tab w:val="left" w:pos="-1162"/>
          <w:tab w:val="left" w:pos="0"/>
          <w:tab w:val="num" w:pos="1160"/>
        </w:tabs>
        <w:spacing w:line="240" w:lineRule="auto"/>
      </w:pPr>
    </w:p>
    <w:p w14:paraId="3A32AFD5" w14:textId="77777777" w:rsidR="00754666" w:rsidRDefault="00754666" w:rsidP="00754666"/>
    <w:p w14:paraId="3A32AFD6" w14:textId="77777777" w:rsidR="00326699" w:rsidRPr="00193994" w:rsidRDefault="00326699" w:rsidP="00892002">
      <w:pPr>
        <w:pStyle w:val="Heading2"/>
        <w:tabs>
          <w:tab w:val="left" w:pos="-1162"/>
          <w:tab w:val="left" w:pos="0"/>
          <w:tab w:val="num" w:pos="1160"/>
        </w:tabs>
        <w:spacing w:line="240" w:lineRule="auto"/>
        <w:ind w:hanging="1162"/>
      </w:pPr>
    </w:p>
    <w:p w14:paraId="3A32AFD7" w14:textId="77777777" w:rsidR="009534EF" w:rsidRDefault="003E7BF8" w:rsidP="004D372F">
      <w:pPr>
        <w:pStyle w:val="Heading1"/>
        <w:tabs>
          <w:tab w:val="num" w:pos="0"/>
        </w:tabs>
        <w:spacing w:after="240" w:line="240" w:lineRule="auto"/>
        <w:ind w:hanging="1162"/>
      </w:pPr>
      <w:bookmarkStart w:id="91" w:name="_Toc348364679"/>
      <w:bookmarkStart w:id="92" w:name="_Toc422131316"/>
      <w:bookmarkStart w:id="93" w:name="_Toc422131860"/>
      <w:bookmarkStart w:id="94" w:name="_Toc422131893"/>
      <w:bookmarkStart w:id="95" w:name="_Toc422132120"/>
      <w:bookmarkStart w:id="96" w:name="_Toc422132174"/>
      <w:r>
        <w:t>4</w:t>
      </w:r>
      <w:r w:rsidR="004D372F">
        <w:t xml:space="preserve"> </w:t>
      </w:r>
      <w:r w:rsidR="004D372F">
        <w:tab/>
      </w:r>
      <w:r w:rsidR="009534EF">
        <w:t xml:space="preserve">Beleidsrelevantie </w:t>
      </w:r>
      <w:r w:rsidR="00756754">
        <w:t xml:space="preserve">en resultaten </w:t>
      </w:r>
      <w:r w:rsidR="009534EF">
        <w:t>van de organisatie</w:t>
      </w:r>
      <w:bookmarkEnd w:id="91"/>
      <w:bookmarkEnd w:id="92"/>
      <w:bookmarkEnd w:id="93"/>
      <w:bookmarkEnd w:id="94"/>
      <w:bookmarkEnd w:id="95"/>
      <w:bookmarkEnd w:id="96"/>
    </w:p>
    <w:p w14:paraId="3A32AFD8" w14:textId="77777777" w:rsidR="0027051F" w:rsidRDefault="0027051F" w:rsidP="0027051F">
      <w:pPr>
        <w:pStyle w:val="Heading2"/>
        <w:tabs>
          <w:tab w:val="left" w:pos="-1162"/>
          <w:tab w:val="left" w:pos="0"/>
        </w:tabs>
        <w:spacing w:line="240" w:lineRule="auto"/>
        <w:rPr>
          <w:rFonts w:cs="Times New Roman"/>
          <w:b w:val="0"/>
          <w:iCs w:val="0"/>
          <w:kern w:val="0"/>
          <w:szCs w:val="24"/>
        </w:rPr>
      </w:pPr>
    </w:p>
    <w:p w14:paraId="3A32AFD9" w14:textId="77777777" w:rsidR="0027051F" w:rsidRPr="004D372F" w:rsidRDefault="0027051F" w:rsidP="0008255C">
      <w:pPr>
        <w:pStyle w:val="Heading2"/>
        <w:tabs>
          <w:tab w:val="left" w:pos="-1162"/>
          <w:tab w:val="left" w:pos="0"/>
        </w:tabs>
        <w:spacing w:line="240" w:lineRule="auto"/>
        <w:ind w:hanging="1134"/>
      </w:pPr>
      <w:bookmarkStart w:id="97" w:name="_Toc422131317"/>
      <w:bookmarkStart w:id="98" w:name="_Toc422131861"/>
      <w:bookmarkStart w:id="99" w:name="_Toc422131894"/>
      <w:bookmarkStart w:id="100" w:name="_Toc422132121"/>
      <w:bookmarkStart w:id="101" w:name="_Toc422132175"/>
      <w:r>
        <w:t xml:space="preserve">4.1 </w:t>
      </w:r>
      <w:r w:rsidR="0008255C">
        <w:tab/>
      </w:r>
      <w:r>
        <w:t>Relevantie voor Nederlandse BHOS-prioriteiten</w:t>
      </w:r>
      <w:bookmarkEnd w:id="97"/>
      <w:bookmarkEnd w:id="98"/>
      <w:bookmarkEnd w:id="99"/>
      <w:bookmarkEnd w:id="100"/>
      <w:bookmarkEnd w:id="101"/>
    </w:p>
    <w:p w14:paraId="3A32AFDA" w14:textId="77777777" w:rsidR="0027051F" w:rsidRDefault="0027051F" w:rsidP="0027051F">
      <w:pPr>
        <w:ind w:left="227"/>
      </w:pPr>
    </w:p>
    <w:p w14:paraId="3A32AFDB" w14:textId="77777777" w:rsidR="0027051F" w:rsidRDefault="0027051F" w:rsidP="00681B2D">
      <w:pPr>
        <w:numPr>
          <w:ilvl w:val="0"/>
          <w:numId w:val="29"/>
        </w:numPr>
        <w:ind w:left="360"/>
      </w:pPr>
      <w:r>
        <w:t>Voedselzekerheid</w:t>
      </w:r>
    </w:p>
    <w:p w14:paraId="3A32AFDC" w14:textId="3B7993DF" w:rsidR="00A10447" w:rsidRDefault="00A10447" w:rsidP="00A10447">
      <w:r>
        <w:t>Relevant</w:t>
      </w:r>
      <w:r w:rsidR="00D27CC2">
        <w:t>.</w:t>
      </w:r>
      <w:r w:rsidR="005B4830">
        <w:t xml:space="preserve"> </w:t>
      </w:r>
      <w:r w:rsidR="00293B95">
        <w:t xml:space="preserve">Landbouw is een prioriteit voor </w:t>
      </w:r>
      <w:r w:rsidR="00646987">
        <w:t>IFC</w:t>
      </w:r>
      <w:r w:rsidR="006A4E0B">
        <w:t xml:space="preserve">, met als </w:t>
      </w:r>
      <w:r w:rsidR="00293B95">
        <w:t xml:space="preserve">insteek </w:t>
      </w:r>
      <w:r w:rsidR="006A4E0B">
        <w:t>dat</w:t>
      </w:r>
      <w:r w:rsidR="00293B95">
        <w:t xml:space="preserve"> samenwerking met de private sector </w:t>
      </w:r>
      <w:r w:rsidR="006A4E0B">
        <w:t xml:space="preserve">nodig is </w:t>
      </w:r>
      <w:r w:rsidR="00293B95">
        <w:t xml:space="preserve">om </w:t>
      </w:r>
      <w:r w:rsidR="005F6AB0">
        <w:t>betaalbaar</w:t>
      </w:r>
      <w:r w:rsidR="00293B95">
        <w:t xml:space="preserve"> voedsel te kunnen produceren en </w:t>
      </w:r>
      <w:r w:rsidR="006A4E0B">
        <w:t>voor iedereen toegankelijk te maken</w:t>
      </w:r>
      <w:r w:rsidR="00293B95">
        <w:t xml:space="preserve">. </w:t>
      </w:r>
      <w:r w:rsidR="00646987">
        <w:t>IFC</w:t>
      </w:r>
      <w:r w:rsidR="00D27CC2" w:rsidRPr="00D27CC2">
        <w:t xml:space="preserve"> </w:t>
      </w:r>
      <w:r w:rsidR="006A4E0B">
        <w:t xml:space="preserve">concentreert op </w:t>
      </w:r>
      <w:r w:rsidR="00D27CC2" w:rsidRPr="00D27CC2">
        <w:t xml:space="preserve">de ondersteuning van kleine boeren via onder meer financiële tussenpersonen. Door de instelling van een private tak van het </w:t>
      </w:r>
      <w:r w:rsidR="00D27CC2" w:rsidRPr="008C4662">
        <w:rPr>
          <w:i/>
        </w:rPr>
        <w:t>Global Agriculture and Food Security Programme</w:t>
      </w:r>
      <w:r w:rsidR="00D27CC2" w:rsidRPr="00D27CC2">
        <w:t xml:space="preserve"> (GAFSP) bij IFC heeft de organisatie een belangrijke rol gekregen bij de uitvoering van dit G20/G8-initiatief. De Nederlandse bijdrage loopt ook via IFC.</w:t>
      </w:r>
      <w:r w:rsidR="00D27CC2">
        <w:t xml:space="preserve"> </w:t>
      </w:r>
    </w:p>
    <w:p w14:paraId="3A32AFDD" w14:textId="77777777" w:rsidR="005F6AB0" w:rsidRDefault="005F6AB0" w:rsidP="00A10447"/>
    <w:p w14:paraId="3A32AFDE" w14:textId="77777777" w:rsidR="002E05CA" w:rsidRDefault="0027051F" w:rsidP="00681B2D">
      <w:pPr>
        <w:numPr>
          <w:ilvl w:val="0"/>
          <w:numId w:val="29"/>
        </w:numPr>
        <w:ind w:left="360"/>
      </w:pPr>
      <w:r>
        <w:t>Water</w:t>
      </w:r>
    </w:p>
    <w:p w14:paraId="3A32AFDF" w14:textId="751DA2E5" w:rsidR="00A10447" w:rsidRDefault="00A10447" w:rsidP="00A10447">
      <w:r w:rsidRPr="00A10447">
        <w:t>Relevant. IFC werkt samen met de private sector aan het terugdringen van het waterverbrui</w:t>
      </w:r>
      <w:r w:rsidR="00C20672">
        <w:t>k in onder andere</w:t>
      </w:r>
      <w:r w:rsidRPr="00A10447">
        <w:t xml:space="preserve"> de textielsector in Bang</w:t>
      </w:r>
      <w:r w:rsidR="008A6B20">
        <w:t>ladesh. Verder werkt IFC met Nederlandse</w:t>
      </w:r>
      <w:r w:rsidRPr="00A10447">
        <w:t xml:space="preserve"> financiering in het kader van de </w:t>
      </w:r>
      <w:r w:rsidRPr="008A6B20">
        <w:rPr>
          <w:i/>
        </w:rPr>
        <w:t>Sustainable Business Advisory</w:t>
      </w:r>
      <w:r w:rsidRPr="00A10447">
        <w:t xml:space="preserve"> aan de </w:t>
      </w:r>
      <w:r w:rsidRPr="008507AD">
        <w:rPr>
          <w:i/>
        </w:rPr>
        <w:t>nexus</w:t>
      </w:r>
      <w:r w:rsidRPr="00A10447">
        <w:t xml:space="preserve"> water-energie-landbouw-grondstoffen. Relaties met IFC zullen in het kader van het </w:t>
      </w:r>
      <w:r w:rsidR="008A6B20">
        <w:t>partnerschap op het terrein van water tussen Nederland en de W</w:t>
      </w:r>
      <w:r w:rsidR="006A4E0B">
        <w:t>BG</w:t>
      </w:r>
      <w:r w:rsidR="008A6B20">
        <w:t xml:space="preserve"> no</w:t>
      </w:r>
      <w:r w:rsidR="00D71885">
        <w:t xml:space="preserve">g </w:t>
      </w:r>
      <w:r w:rsidR="006A4E0B">
        <w:t>verder ver</w:t>
      </w:r>
      <w:r w:rsidRPr="00A10447">
        <w:t>sterk</w:t>
      </w:r>
      <w:r w:rsidR="006A4E0B">
        <w:t>t</w:t>
      </w:r>
      <w:r w:rsidRPr="00A10447">
        <w:t xml:space="preserve"> worden</w:t>
      </w:r>
      <w:r w:rsidR="006B3971">
        <w:t>.</w:t>
      </w:r>
    </w:p>
    <w:p w14:paraId="3A32AFE0" w14:textId="77777777" w:rsidR="00A10447" w:rsidRDefault="00A10447" w:rsidP="00A10447"/>
    <w:p w14:paraId="3A32AFE1" w14:textId="77777777" w:rsidR="002E05CA" w:rsidRDefault="0027051F" w:rsidP="00681B2D">
      <w:pPr>
        <w:numPr>
          <w:ilvl w:val="0"/>
          <w:numId w:val="29"/>
        </w:numPr>
        <w:ind w:left="360"/>
      </w:pPr>
      <w:r>
        <w:t>Veiligheid en Rechtsorde</w:t>
      </w:r>
      <w:r w:rsidR="00A71761">
        <w:t xml:space="preserve"> </w:t>
      </w:r>
    </w:p>
    <w:p w14:paraId="3A32AFE2" w14:textId="42764B5C" w:rsidR="00A10447" w:rsidRDefault="00A10447" w:rsidP="00A10447">
      <w:r>
        <w:t xml:space="preserve">Relevant. </w:t>
      </w:r>
      <w:r w:rsidRPr="00A10447">
        <w:t xml:space="preserve">Het </w:t>
      </w:r>
      <w:r w:rsidR="006A4E0B">
        <w:t xml:space="preserve">door Nederland ondersteunde </w:t>
      </w:r>
      <w:r w:rsidRPr="008A6B20">
        <w:rPr>
          <w:i/>
        </w:rPr>
        <w:t>Conflict Affected States in Africa</w:t>
      </w:r>
      <w:r w:rsidRPr="00A10447">
        <w:t xml:space="preserve"> (CASA) programma </w:t>
      </w:r>
      <w:r w:rsidR="006A4E0B">
        <w:t>is</w:t>
      </w:r>
      <w:r w:rsidR="006A4E0B" w:rsidRPr="00A10447">
        <w:t xml:space="preserve"> </w:t>
      </w:r>
      <w:r w:rsidRPr="00A10447">
        <w:t>in 2014 een tw</w:t>
      </w:r>
      <w:r w:rsidR="008A6B20">
        <w:t>eede fase ingegaan</w:t>
      </w:r>
      <w:r w:rsidR="006A4E0B">
        <w:t xml:space="preserve">. </w:t>
      </w:r>
      <w:r w:rsidR="00463D1E">
        <w:t>Dit programma</w:t>
      </w:r>
      <w:r w:rsidRPr="00A10447">
        <w:t xml:space="preserve"> </w:t>
      </w:r>
      <w:r w:rsidR="00463D1E">
        <w:t>maakt op</w:t>
      </w:r>
      <w:r w:rsidRPr="00A10447">
        <w:t xml:space="preserve"> innovatie</w:t>
      </w:r>
      <w:r w:rsidR="00463D1E">
        <w:t xml:space="preserve">ve wijze gebruik van </w:t>
      </w:r>
      <w:r w:rsidRPr="00A10447">
        <w:t xml:space="preserve">conflict analyses </w:t>
      </w:r>
      <w:r w:rsidR="00463D1E">
        <w:t xml:space="preserve">in </w:t>
      </w:r>
      <w:r w:rsidRPr="00A10447">
        <w:t xml:space="preserve">projectontwikkeling en evaluatie. De Wereldbank en IFC gaan meer inzetten op fragiele staten als </w:t>
      </w:r>
      <w:r w:rsidRPr="008507AD">
        <w:rPr>
          <w:i/>
        </w:rPr>
        <w:t>Cross Cutting Solution Area</w:t>
      </w:r>
      <w:r w:rsidR="00C20672">
        <w:t xml:space="preserve"> onder andere</w:t>
      </w:r>
      <w:r w:rsidRPr="00A10447">
        <w:t xml:space="preserve"> via het </w:t>
      </w:r>
      <w:r w:rsidRPr="008507AD">
        <w:rPr>
          <w:i/>
        </w:rPr>
        <w:t>Fragility, Conflict &amp; Violence</w:t>
      </w:r>
      <w:r w:rsidRPr="00A10447">
        <w:t xml:space="preserve"> kantoor in Nairobi. IFC is voornemens de</w:t>
      </w:r>
      <w:r w:rsidR="00463D1E">
        <w:t>ze benadering</w:t>
      </w:r>
      <w:r w:rsidRPr="00A10447">
        <w:t xml:space="preserve"> ook bij andere programma’s toe te </w:t>
      </w:r>
      <w:r w:rsidR="00463D1E">
        <w:t xml:space="preserve">gaan </w:t>
      </w:r>
      <w:r w:rsidRPr="00A10447">
        <w:t>passen.</w:t>
      </w:r>
    </w:p>
    <w:p w14:paraId="3A32AFE3" w14:textId="77777777" w:rsidR="00A10447" w:rsidRDefault="00A10447" w:rsidP="00A10447">
      <w:pPr>
        <w:ind w:left="360"/>
      </w:pPr>
    </w:p>
    <w:p w14:paraId="3A32AFE4" w14:textId="77777777" w:rsidR="0027051F" w:rsidRDefault="0027051F" w:rsidP="00681B2D">
      <w:pPr>
        <w:numPr>
          <w:ilvl w:val="0"/>
          <w:numId w:val="29"/>
        </w:numPr>
        <w:ind w:left="360"/>
      </w:pPr>
      <w:r>
        <w:t>Seksuele en Reproductieve Gezondheid en Rechten (SRGR), inclusief hiv/aids</w:t>
      </w:r>
    </w:p>
    <w:p w14:paraId="3A32AFE5" w14:textId="77777777" w:rsidR="00A10447" w:rsidRDefault="00A10447" w:rsidP="00A10447">
      <w:r>
        <w:t xml:space="preserve">Niet relevant. </w:t>
      </w:r>
    </w:p>
    <w:p w14:paraId="3A32AFE6" w14:textId="77777777" w:rsidR="00A10447" w:rsidRDefault="00A10447" w:rsidP="00A10447">
      <w:pPr>
        <w:ind w:left="360"/>
      </w:pPr>
    </w:p>
    <w:p w14:paraId="3A32AFE7" w14:textId="77777777" w:rsidR="0027051F" w:rsidRDefault="0027051F" w:rsidP="00681B2D">
      <w:pPr>
        <w:numPr>
          <w:ilvl w:val="0"/>
          <w:numId w:val="29"/>
        </w:numPr>
        <w:ind w:left="360"/>
      </w:pPr>
      <w:r w:rsidRPr="008624F0">
        <w:t>Gender</w:t>
      </w:r>
      <w:r>
        <w:t>gelijkheid</w:t>
      </w:r>
      <w:r w:rsidR="002803F3">
        <w:t xml:space="preserve"> </w:t>
      </w:r>
    </w:p>
    <w:p w14:paraId="3A32AFE8" w14:textId="15B22D1E" w:rsidR="00A10447" w:rsidRDefault="00A10447" w:rsidP="00A10447">
      <w:r>
        <w:t xml:space="preserve">Relevant. </w:t>
      </w:r>
      <w:r w:rsidRPr="00A10447">
        <w:t>De huidige genderstrategie van de Wereldbank deelt de uitgangspunten van het Nederlandse genderbeleid en richt zich op econ</w:t>
      </w:r>
      <w:r>
        <w:t xml:space="preserve">omische </w:t>
      </w:r>
      <w:r w:rsidRPr="008507AD">
        <w:rPr>
          <w:i/>
        </w:rPr>
        <w:t>empowerment</w:t>
      </w:r>
      <w:r>
        <w:t xml:space="preserve"> van vrouwen, </w:t>
      </w:r>
      <w:r w:rsidRPr="00A10447">
        <w:t>met oog voor de noodzaak van een geïntegreerde benadering van knelpunten (bijv</w:t>
      </w:r>
      <w:r w:rsidR="002204BB">
        <w:t>oorbeeld</w:t>
      </w:r>
      <w:r w:rsidR="00463D1E">
        <w:t xml:space="preserve"> aanpak</w:t>
      </w:r>
      <w:r w:rsidRPr="00A10447">
        <w:t xml:space="preserve"> geweld tegen vrouwen, reproductieve </w:t>
      </w:r>
      <w:r w:rsidR="00455451" w:rsidRPr="00A10447">
        <w:t>gezondheidszorg).</w:t>
      </w:r>
      <w:r w:rsidRPr="00A10447">
        <w:t xml:space="preserve"> Het </w:t>
      </w:r>
      <w:r w:rsidRPr="008507AD">
        <w:rPr>
          <w:i/>
        </w:rPr>
        <w:t>World Development Report</w:t>
      </w:r>
      <w:r w:rsidRPr="00A10447">
        <w:t xml:space="preserve"> 2012 over gender en ontwikkeling heeft</w:t>
      </w:r>
      <w:r>
        <w:t xml:space="preserve"> het onderwerp bij de Bank hoog </w:t>
      </w:r>
      <w:r w:rsidRPr="00A10447">
        <w:t xml:space="preserve">op de agenda gezet. Vooral de omvang van de financiering door de </w:t>
      </w:r>
      <w:r w:rsidR="00463D1E">
        <w:t>WBG en IFC</w:t>
      </w:r>
      <w:r w:rsidRPr="00A10447">
        <w:t xml:space="preserve"> en de expliciete voor bevordering van gendergelijkheid maken de Wereldbank</w:t>
      </w:r>
      <w:r>
        <w:t>/IFC</w:t>
      </w:r>
      <w:r w:rsidRPr="00A10447">
        <w:t xml:space="preserve"> een belangrijke speler </w:t>
      </w:r>
      <w:r w:rsidR="00463D1E">
        <w:t>dit terrein</w:t>
      </w:r>
      <w:r w:rsidRPr="00A10447">
        <w:t xml:space="preserve">. De huidige genderstrategie richt zich vooral op </w:t>
      </w:r>
      <w:r w:rsidRPr="008507AD">
        <w:rPr>
          <w:i/>
        </w:rPr>
        <w:t>mainstreaming</w:t>
      </w:r>
      <w:r w:rsidRPr="00A10447">
        <w:t xml:space="preserve"> van genderanalyses in pro</w:t>
      </w:r>
      <w:r w:rsidR="008A6B20">
        <w:t xml:space="preserve">jectformulering, uitvoering en monitoring &amp; evaluatie. </w:t>
      </w:r>
      <w:r w:rsidR="00EC3DB7">
        <w:t xml:space="preserve">Nederland </w:t>
      </w:r>
      <w:r w:rsidR="00463D1E">
        <w:t xml:space="preserve">draagt voor de periode </w:t>
      </w:r>
      <w:r w:rsidR="00463D1E" w:rsidRPr="00EC3DB7">
        <w:t xml:space="preserve">2015-2019 </w:t>
      </w:r>
      <w:r w:rsidR="00EC3DB7" w:rsidRPr="00EC3DB7">
        <w:t>EUR 5 m</w:t>
      </w:r>
      <w:r w:rsidR="00463D1E">
        <w:t>iljoen</w:t>
      </w:r>
      <w:r w:rsidR="00EC3DB7" w:rsidRPr="00EC3DB7">
        <w:t xml:space="preserve"> </w:t>
      </w:r>
      <w:r w:rsidR="00EC3DB7">
        <w:t xml:space="preserve">bij </w:t>
      </w:r>
      <w:r w:rsidR="00EC3DB7" w:rsidRPr="00EC3DB7">
        <w:t xml:space="preserve">aan </w:t>
      </w:r>
      <w:r w:rsidR="00463D1E">
        <w:t>de</w:t>
      </w:r>
      <w:r w:rsidR="00EC3DB7" w:rsidRPr="008507AD">
        <w:rPr>
          <w:i/>
        </w:rPr>
        <w:t xml:space="preserve"> Umbrella Facility for Gender Equality</w:t>
      </w:r>
      <w:r w:rsidR="00EC3DB7" w:rsidRPr="00EC3DB7">
        <w:t xml:space="preserve">, waarin een groot aantal bestaande </w:t>
      </w:r>
      <w:r w:rsidR="00EC3DB7" w:rsidRPr="008507AD">
        <w:rPr>
          <w:i/>
        </w:rPr>
        <w:t>Trust Fund</w:t>
      </w:r>
      <w:r w:rsidR="002204BB" w:rsidRPr="008507AD">
        <w:rPr>
          <w:i/>
        </w:rPr>
        <w:t>s</w:t>
      </w:r>
      <w:r w:rsidR="00EC3DB7" w:rsidRPr="00EC3DB7">
        <w:t xml:space="preserve"> is samengevoegd.</w:t>
      </w:r>
      <w:r w:rsidR="00EC3DB7">
        <w:t xml:space="preserve"> Daarnaast is Nederland lid geworden van de </w:t>
      </w:r>
      <w:r w:rsidR="00EC3DB7" w:rsidRPr="008507AD">
        <w:rPr>
          <w:i/>
        </w:rPr>
        <w:t>Gender Advisory Council</w:t>
      </w:r>
      <w:r w:rsidR="00EC3DB7">
        <w:t xml:space="preserve">. </w:t>
      </w:r>
      <w:r w:rsidRPr="00A10447">
        <w:t>In 2015 zal de Wereldbankgroep een nieuwe genderstrategie ontwikkelen, met meer nadruk op te behalen inhoudelijke resultaten</w:t>
      </w:r>
      <w:r w:rsidR="002204BB">
        <w:t>.</w:t>
      </w:r>
    </w:p>
    <w:p w14:paraId="3A32AFE9" w14:textId="77777777" w:rsidR="00A10447" w:rsidRDefault="00A10447" w:rsidP="00A10447"/>
    <w:p w14:paraId="3A32AFEA" w14:textId="77777777" w:rsidR="0027051F" w:rsidRDefault="0027051F" w:rsidP="00681B2D">
      <w:pPr>
        <w:numPr>
          <w:ilvl w:val="0"/>
          <w:numId w:val="29"/>
        </w:numPr>
        <w:ind w:left="360"/>
      </w:pPr>
      <w:r>
        <w:t>Klimaat</w:t>
      </w:r>
    </w:p>
    <w:p w14:paraId="3A32AFEB" w14:textId="62300AC2" w:rsidR="00C7606F" w:rsidRDefault="004B21CA" w:rsidP="00C7606F">
      <w:r>
        <w:t>Relevant.</w:t>
      </w:r>
      <w:r w:rsidR="005B4830">
        <w:t xml:space="preserve"> </w:t>
      </w:r>
      <w:r w:rsidR="00646987">
        <w:t>IFC</w:t>
      </w:r>
      <w:r w:rsidR="00C7606F">
        <w:t xml:space="preserve"> geeft hoge prioriteit aan de aanpak van klimaatverandering met eigen middelen. In 2013 verstrekte IFC voor USD 2,3 miljard aan klimaatrelevante financierin</w:t>
      </w:r>
      <w:r w:rsidR="00C20672">
        <w:t xml:space="preserve">g. Daarnaast treedt IFC op als </w:t>
      </w:r>
      <w:r w:rsidR="00C7606F">
        <w:rPr>
          <w:i/>
          <w:iCs/>
        </w:rPr>
        <w:t xml:space="preserve">implementing agency </w:t>
      </w:r>
      <w:r w:rsidR="002204BB">
        <w:t xml:space="preserve">van het </w:t>
      </w:r>
      <w:r w:rsidR="00C7606F">
        <w:t xml:space="preserve">GEF en de </w:t>
      </w:r>
      <w:r w:rsidR="00463D1E">
        <w:t xml:space="preserve">bestaande </w:t>
      </w:r>
      <w:r w:rsidR="00463D1E" w:rsidRPr="008507AD">
        <w:rPr>
          <w:i/>
        </w:rPr>
        <w:t>Climate Investment Funds</w:t>
      </w:r>
      <w:r w:rsidR="00463D1E">
        <w:t xml:space="preserve"> (</w:t>
      </w:r>
      <w:r w:rsidR="00C7606F">
        <w:t>CIFs</w:t>
      </w:r>
      <w:r w:rsidR="00463D1E">
        <w:t>)</w:t>
      </w:r>
      <w:r w:rsidR="00C7606F">
        <w:t xml:space="preserve">, en naar verwachting </w:t>
      </w:r>
      <w:r w:rsidR="005F6AB0">
        <w:t>binnenkort</w:t>
      </w:r>
      <w:r w:rsidR="00C7606F">
        <w:t xml:space="preserve"> ook van </w:t>
      </w:r>
      <w:r w:rsidR="002204BB">
        <w:t xml:space="preserve">het </w:t>
      </w:r>
      <w:r w:rsidR="002204BB" w:rsidRPr="008507AD">
        <w:rPr>
          <w:i/>
        </w:rPr>
        <w:t>Green Climate Fund</w:t>
      </w:r>
      <w:r w:rsidR="002204BB">
        <w:t xml:space="preserve"> (</w:t>
      </w:r>
      <w:r w:rsidR="00C7606F">
        <w:t>GCF</w:t>
      </w:r>
      <w:r w:rsidR="002204BB">
        <w:t>)</w:t>
      </w:r>
      <w:r w:rsidR="00C7606F">
        <w:t xml:space="preserve">. Daarmee is </w:t>
      </w:r>
      <w:r w:rsidR="00646987">
        <w:t>IFC</w:t>
      </w:r>
      <w:r w:rsidR="00C7606F">
        <w:t xml:space="preserve"> instrumenteel voor de Nederlandse klimaatfinancieringsagenda, zowel voor publieke middelen als (potentieel) voor het katalyseren van private middelen. Ten</w:t>
      </w:r>
      <w:r w:rsidR="00455451">
        <w:t xml:space="preserve"> </w:t>
      </w:r>
      <w:r w:rsidR="00C7606F">
        <w:t>slotte draagt Ned</w:t>
      </w:r>
      <w:r w:rsidR="005F6AB0">
        <w:t xml:space="preserve">erland bij aan financiering </w:t>
      </w:r>
      <w:r w:rsidR="00C7606F">
        <w:t xml:space="preserve">op het gebied van klimaat en duurzame energie via </w:t>
      </w:r>
      <w:r w:rsidR="00C7606F">
        <w:rPr>
          <w:i/>
        </w:rPr>
        <w:t xml:space="preserve">trust funds </w:t>
      </w:r>
      <w:r w:rsidR="00C7606F">
        <w:t xml:space="preserve">bij IFC. </w:t>
      </w:r>
      <w:r w:rsidR="00586923">
        <w:t xml:space="preserve">In </w:t>
      </w:r>
      <w:r w:rsidR="00C7606F">
        <w:t xml:space="preserve">2014 </w:t>
      </w:r>
      <w:r w:rsidR="00586923">
        <w:t xml:space="preserve">had IFC </w:t>
      </w:r>
      <w:r w:rsidR="00463D1E">
        <w:t>vijf</w:t>
      </w:r>
      <w:r w:rsidR="00C7606F">
        <w:t xml:space="preserve"> </w:t>
      </w:r>
      <w:r w:rsidR="00586923">
        <w:rPr>
          <w:i/>
        </w:rPr>
        <w:t>tr</w:t>
      </w:r>
      <w:r w:rsidR="00C7606F">
        <w:rPr>
          <w:i/>
        </w:rPr>
        <w:t xml:space="preserve">ust funds </w:t>
      </w:r>
      <w:r w:rsidR="00586923" w:rsidRPr="008507AD">
        <w:t xml:space="preserve">in beheer </w:t>
      </w:r>
      <w:r w:rsidR="00C7606F">
        <w:t xml:space="preserve">op het gebied van klimaat en water, voor een </w:t>
      </w:r>
      <w:r w:rsidR="005F6AB0">
        <w:t>totaal</w:t>
      </w:r>
      <w:r w:rsidR="00C7606F">
        <w:t xml:space="preserve"> gecommitteerd bedrag van USD 25 m</w:t>
      </w:r>
      <w:r w:rsidR="000F07B8">
        <w:t>iljoen</w:t>
      </w:r>
      <w:r w:rsidR="00C7606F">
        <w:t xml:space="preserve">. </w:t>
      </w:r>
    </w:p>
    <w:p w14:paraId="3A32AFEC" w14:textId="77777777" w:rsidR="004B21CA" w:rsidRDefault="004B21CA" w:rsidP="004B21CA"/>
    <w:p w14:paraId="3A32AFED" w14:textId="77777777" w:rsidR="0027051F" w:rsidRDefault="0027051F" w:rsidP="00681B2D">
      <w:pPr>
        <w:numPr>
          <w:ilvl w:val="0"/>
          <w:numId w:val="29"/>
        </w:numPr>
        <w:ind w:left="360"/>
      </w:pPr>
      <w:r w:rsidRPr="00D17A1D">
        <w:rPr>
          <w:i/>
        </w:rPr>
        <w:t>Private Sector Development</w:t>
      </w:r>
    </w:p>
    <w:p w14:paraId="3A32AFEE" w14:textId="6FB3DF70" w:rsidR="00A10447" w:rsidRDefault="00A10447" w:rsidP="00A10447">
      <w:r>
        <w:t xml:space="preserve">Relevant. IFC is </w:t>
      </w:r>
      <w:r w:rsidR="00586923">
        <w:t xml:space="preserve">er </w:t>
      </w:r>
      <w:r>
        <w:t>door en voor de private sector.</w:t>
      </w:r>
      <w:r w:rsidRPr="00A10447">
        <w:t xml:space="preserve"> IFC is een belangrijke uitvoerder van door N</w:t>
      </w:r>
      <w:r w:rsidR="00586923">
        <w:t>ederland</w:t>
      </w:r>
      <w:r w:rsidRPr="00A10447">
        <w:t xml:space="preserve"> gefinancierde activiteiten op PSD terrein, zoals </w:t>
      </w:r>
      <w:r w:rsidR="00586923">
        <w:t xml:space="preserve">het </w:t>
      </w:r>
      <w:r w:rsidRPr="005F6AB0">
        <w:rPr>
          <w:i/>
        </w:rPr>
        <w:t>Conflict Affe</w:t>
      </w:r>
      <w:r w:rsidR="00615EE2" w:rsidRPr="005F6AB0">
        <w:rPr>
          <w:i/>
        </w:rPr>
        <w:t>cted States in Africa</w:t>
      </w:r>
      <w:r w:rsidR="00615EE2">
        <w:t xml:space="preserve"> program </w:t>
      </w:r>
      <w:r w:rsidRPr="00A10447">
        <w:t xml:space="preserve">(verbetering ondernemingsklimaat en aanmoedigen van ondernemerschap in fragiele staten). </w:t>
      </w:r>
      <w:r w:rsidR="00586923">
        <w:t xml:space="preserve">Nederland </w:t>
      </w:r>
      <w:r w:rsidRPr="00A10447">
        <w:t xml:space="preserve">onderhoudt </w:t>
      </w:r>
      <w:r w:rsidR="00586923">
        <w:t>e</w:t>
      </w:r>
      <w:r w:rsidRPr="00A10447">
        <w:t xml:space="preserve">en intensieve dialoog </w:t>
      </w:r>
      <w:r w:rsidR="00586923">
        <w:t xml:space="preserve">met IFC </w:t>
      </w:r>
      <w:r w:rsidRPr="00A10447">
        <w:t>t</w:t>
      </w:r>
      <w:r w:rsidR="002204BB">
        <w:t xml:space="preserve">en aanzien van </w:t>
      </w:r>
      <w:r w:rsidRPr="00A10447">
        <w:t>private</w:t>
      </w:r>
      <w:r w:rsidR="00615EE2">
        <w:t>-</w:t>
      </w:r>
      <w:r w:rsidRPr="00A10447">
        <w:t>sectorontwikkeling</w:t>
      </w:r>
      <w:r w:rsidR="002204BB">
        <w:t>.</w:t>
      </w:r>
    </w:p>
    <w:p w14:paraId="3A32AFEF" w14:textId="77777777" w:rsidR="00A10447" w:rsidRDefault="00A10447" w:rsidP="00A10447"/>
    <w:p w14:paraId="3A32AFF0" w14:textId="77777777" w:rsidR="00615EE2" w:rsidRDefault="0027051F" w:rsidP="00615EE2">
      <w:pPr>
        <w:numPr>
          <w:ilvl w:val="0"/>
          <w:numId w:val="29"/>
        </w:numPr>
        <w:ind w:left="360"/>
      </w:pPr>
      <w:r>
        <w:t>Humanitaire hulp</w:t>
      </w:r>
    </w:p>
    <w:p w14:paraId="3A32AFF1" w14:textId="77777777" w:rsidR="00A10447" w:rsidRDefault="00A10447" w:rsidP="00615EE2">
      <w:r>
        <w:t xml:space="preserve">Niet relevant. </w:t>
      </w:r>
    </w:p>
    <w:p w14:paraId="3A32AFF2" w14:textId="77777777" w:rsidR="00EA615D" w:rsidRPr="008624F0" w:rsidRDefault="00EA615D" w:rsidP="002C45B0"/>
    <w:p w14:paraId="3A32AFF3" w14:textId="77777777" w:rsidR="008624F0" w:rsidRDefault="005749A5" w:rsidP="008624F0">
      <w:pPr>
        <w:pStyle w:val="Heading2"/>
        <w:tabs>
          <w:tab w:val="left" w:pos="-1162"/>
          <w:tab w:val="left" w:pos="0"/>
          <w:tab w:val="num" w:pos="1160"/>
        </w:tabs>
        <w:spacing w:line="240" w:lineRule="auto"/>
        <w:ind w:hanging="1162"/>
      </w:pPr>
      <w:bookmarkStart w:id="102" w:name="_Toc410140912"/>
      <w:bookmarkStart w:id="103" w:name="_Toc422131318"/>
      <w:bookmarkStart w:id="104" w:name="_Toc422131862"/>
      <w:bookmarkStart w:id="105" w:name="_Toc422131895"/>
      <w:bookmarkStart w:id="106" w:name="_Toc422132122"/>
      <w:bookmarkStart w:id="107" w:name="_Toc422132176"/>
      <w:r>
        <w:t>4</w:t>
      </w:r>
      <w:r w:rsidR="003331DA">
        <w:t>.</w:t>
      </w:r>
      <w:r w:rsidR="00195B13">
        <w:t>2</w:t>
      </w:r>
      <w:r w:rsidR="008624F0">
        <w:tab/>
      </w:r>
      <w:r w:rsidR="005B4830">
        <w:t>Extra</w:t>
      </w:r>
      <w:r w:rsidR="008624F0">
        <w:t xml:space="preserve"> relevantie</w:t>
      </w:r>
      <w:bookmarkEnd w:id="102"/>
      <w:bookmarkEnd w:id="103"/>
      <w:bookmarkEnd w:id="104"/>
      <w:bookmarkEnd w:id="105"/>
      <w:bookmarkEnd w:id="106"/>
      <w:bookmarkEnd w:id="107"/>
      <w:r w:rsidR="0057402A">
        <w:t xml:space="preserve"> </w:t>
      </w:r>
    </w:p>
    <w:p w14:paraId="3A32AFF4" w14:textId="7F6843B8" w:rsidR="00615EE2" w:rsidRDefault="00B946A4" w:rsidP="00615EE2">
      <w:pPr>
        <w:outlineLvl w:val="0"/>
        <w:rPr>
          <w:rFonts w:eastAsia="Arial Unicode MS"/>
          <w:color w:val="000000"/>
          <w:szCs w:val="18"/>
          <w:u w:color="000000"/>
        </w:rPr>
      </w:pPr>
      <w:r>
        <w:rPr>
          <w:rFonts w:eastAsia="Arial Unicode MS"/>
          <w:color w:val="000000"/>
          <w:szCs w:val="18"/>
          <w:u w:color="000000"/>
        </w:rPr>
        <w:t xml:space="preserve">De brede inzet van Nederland via </w:t>
      </w:r>
      <w:r w:rsidR="00615EE2">
        <w:rPr>
          <w:rFonts w:eastAsia="Arial Unicode MS"/>
          <w:color w:val="000000"/>
          <w:szCs w:val="18"/>
          <w:u w:color="000000"/>
        </w:rPr>
        <w:t xml:space="preserve">de </w:t>
      </w:r>
      <w:r w:rsidR="00586923">
        <w:rPr>
          <w:rFonts w:eastAsia="Arial Unicode MS"/>
          <w:color w:val="000000"/>
          <w:szCs w:val="18"/>
          <w:u w:color="000000"/>
        </w:rPr>
        <w:t>WBG</w:t>
      </w:r>
      <w:r w:rsidR="00615EE2">
        <w:rPr>
          <w:rFonts w:eastAsia="Arial Unicode MS"/>
          <w:color w:val="000000"/>
          <w:szCs w:val="18"/>
          <w:u w:color="000000"/>
        </w:rPr>
        <w:t xml:space="preserve"> sluit nauw aan op de Nederlandse agenda voor hulp en handel. Het Nederlandse beleid richt zich op drie soorten bilaterale relaties met landen: hulp-, overgangs- en handelsrelaties. De </w:t>
      </w:r>
      <w:r w:rsidR="00586923">
        <w:rPr>
          <w:rFonts w:eastAsia="Arial Unicode MS"/>
          <w:color w:val="000000"/>
          <w:szCs w:val="18"/>
          <w:u w:color="000000"/>
        </w:rPr>
        <w:t>WBG</w:t>
      </w:r>
      <w:r w:rsidR="00615EE2">
        <w:rPr>
          <w:rFonts w:eastAsia="Arial Unicode MS"/>
          <w:color w:val="000000"/>
          <w:szCs w:val="18"/>
          <w:u w:color="000000"/>
        </w:rPr>
        <w:t xml:space="preserve"> werkt volgens hetzelfde principe. De klantlanden van de WBG gradueren idealiter van het IDA-loket (zachte leningen) naar IBRD (leningen met iets gunstiger voorwaarden dan de markt). </w:t>
      </w:r>
      <w:r w:rsidR="00646987">
        <w:rPr>
          <w:rFonts w:eastAsia="Arial Unicode MS"/>
          <w:color w:val="000000"/>
          <w:szCs w:val="18"/>
          <w:u w:color="000000"/>
        </w:rPr>
        <w:t>IFC</w:t>
      </w:r>
      <w:r w:rsidR="00615EE2">
        <w:rPr>
          <w:rFonts w:eastAsia="Arial Unicode MS"/>
          <w:color w:val="000000"/>
          <w:szCs w:val="18"/>
          <w:u w:color="000000"/>
        </w:rPr>
        <w:t xml:space="preserve"> en MIGA dragen met diverse financiële instrumenten bij aan de ontwikkelingsrelevante versterking van de private sector.</w:t>
      </w:r>
    </w:p>
    <w:p w14:paraId="3A32AFF5" w14:textId="77777777" w:rsidR="00615EE2" w:rsidRDefault="00615EE2" w:rsidP="00615EE2">
      <w:pPr>
        <w:outlineLvl w:val="0"/>
        <w:rPr>
          <w:rFonts w:eastAsia="Arial Unicode MS"/>
          <w:color w:val="000000"/>
          <w:szCs w:val="18"/>
          <w:u w:color="000000"/>
        </w:rPr>
      </w:pPr>
    </w:p>
    <w:p w14:paraId="3A32AFF6" w14:textId="5EF6B87C" w:rsidR="00615EE2" w:rsidRDefault="00646987" w:rsidP="00615EE2">
      <w:r>
        <w:t>IFC</w:t>
      </w:r>
      <w:r w:rsidR="00615EE2">
        <w:t xml:space="preserve"> levert met haar activiteiten een belangrijke bijdrage aan het versterken van de private sector in ontwikkelingslanden, dat een belangrijke voorwaarde is voor het bereiken van de doelstel</w:t>
      </w:r>
      <w:r w:rsidR="00B946A4">
        <w:t xml:space="preserve">lingen van de </w:t>
      </w:r>
      <w:r w:rsidR="00586923">
        <w:t>WBG</w:t>
      </w:r>
      <w:r w:rsidR="004475EA">
        <w:t xml:space="preserve">. </w:t>
      </w:r>
      <w:r w:rsidR="00B946A4">
        <w:t xml:space="preserve">Dankzij </w:t>
      </w:r>
      <w:proofErr w:type="gramStart"/>
      <w:r w:rsidR="00B946A4">
        <w:t>het</w:t>
      </w:r>
      <w:proofErr w:type="gramEnd"/>
      <w:r w:rsidR="00B946A4">
        <w:t xml:space="preserve"> “multiplier”-effect worden met investeringen belangrijke ontwikkelingswinsten gerealiseerd. </w:t>
      </w:r>
      <w:r w:rsidR="00586923">
        <w:t>O</w:t>
      </w:r>
      <w:r w:rsidR="00615EE2">
        <w:t xml:space="preserve">p de financiële sector gerichte activiteiten </w:t>
      </w:r>
      <w:r w:rsidR="00586923">
        <w:t>dragen hier substantieel aan bij</w:t>
      </w:r>
      <w:r w:rsidR="00B946A4">
        <w:t xml:space="preserve">. </w:t>
      </w:r>
      <w:r w:rsidR="00586923">
        <w:t>Door effectief</w:t>
      </w:r>
      <w:r w:rsidR="00615EE2">
        <w:t xml:space="preserve"> risicomanagement kan </w:t>
      </w:r>
      <w:r>
        <w:t>IFC</w:t>
      </w:r>
      <w:r w:rsidR="00615EE2">
        <w:t xml:space="preserve"> het ontwikkelingseffect van haar operaties blijven vergroten.</w:t>
      </w:r>
    </w:p>
    <w:p w14:paraId="3A32AFF7" w14:textId="77777777" w:rsidR="00B946A4" w:rsidRDefault="00B946A4" w:rsidP="00615EE2"/>
    <w:p w14:paraId="3A32AFF8" w14:textId="412EDAEF" w:rsidR="00B946A4" w:rsidRDefault="00B946A4" w:rsidP="00615EE2">
      <w:r>
        <w:t xml:space="preserve">In de aanloop naar de nieuwe post-2015 agenda en de </w:t>
      </w:r>
      <w:r w:rsidRPr="00B946A4">
        <w:rPr>
          <w:i/>
        </w:rPr>
        <w:t>financing for development</w:t>
      </w:r>
      <w:r>
        <w:t xml:space="preserve"> agenda wordt de rol van de private-sector als belangrijke bron van financiering voor ontwikkeling, naast ODA, steeds prominenter.</w:t>
      </w:r>
      <w:r w:rsidR="004475EA">
        <w:t xml:space="preserve"> De activiteiten van </w:t>
      </w:r>
      <w:r w:rsidR="00646987">
        <w:t>IFC</w:t>
      </w:r>
      <w:r w:rsidR="004475EA">
        <w:t xml:space="preserve"> sluiten zeer goed aan op de Nederlandse </w:t>
      </w:r>
      <w:r w:rsidR="008A6B20">
        <w:t>inzet</w:t>
      </w:r>
      <w:r w:rsidR="004475EA">
        <w:t xml:space="preserve"> voor de </w:t>
      </w:r>
      <w:r w:rsidR="004475EA" w:rsidRPr="004475EA">
        <w:rPr>
          <w:i/>
        </w:rPr>
        <w:t xml:space="preserve">financing for development </w:t>
      </w:r>
      <w:r w:rsidR="004475EA">
        <w:t xml:space="preserve">agenda waarbij het ‘leveragen’ van de private sector als een van de speerpunten is </w:t>
      </w:r>
      <w:r w:rsidR="008A6B20">
        <w:t xml:space="preserve">geformuleerd. </w:t>
      </w:r>
      <w:r w:rsidRPr="00B946A4">
        <w:t xml:space="preserve">Als 's werelds grootste multilaterale organisatie gericht op de ontwikkeling van de particuliere sector, is </w:t>
      </w:r>
      <w:r w:rsidR="00646987">
        <w:t>IFC</w:t>
      </w:r>
      <w:r w:rsidRPr="00B946A4">
        <w:t xml:space="preserve"> goed gepositioneerd om een sleutelrol te spelen</w:t>
      </w:r>
      <w:r>
        <w:t xml:space="preserve"> in het betrekken van de private sector bij het behalen van ontwikkelingsdoelstellingen. </w:t>
      </w:r>
    </w:p>
    <w:p w14:paraId="3A32AFF9" w14:textId="77777777" w:rsidR="00B946A4" w:rsidRDefault="00B946A4" w:rsidP="00615EE2"/>
    <w:p w14:paraId="3A32AFFD" w14:textId="0482AED4" w:rsidR="00097B3F" w:rsidRDefault="005B4830" w:rsidP="00097B3F">
      <w:pPr>
        <w:pStyle w:val="Heading1"/>
        <w:tabs>
          <w:tab w:val="num" w:pos="0"/>
        </w:tabs>
        <w:spacing w:after="240" w:line="240" w:lineRule="auto"/>
        <w:ind w:hanging="1162"/>
      </w:pPr>
      <w:r>
        <w:t>5</w:t>
      </w:r>
      <w:r>
        <w:tab/>
      </w:r>
      <w:bookmarkStart w:id="108" w:name="_Toc410397639"/>
      <w:bookmarkStart w:id="109" w:name="_Toc422131319"/>
      <w:bookmarkStart w:id="110" w:name="_Toc422131863"/>
      <w:bookmarkStart w:id="111" w:name="_Toc422131896"/>
      <w:bookmarkStart w:id="112" w:name="_Toc422132123"/>
      <w:bookmarkStart w:id="113" w:name="_Toc422132177"/>
      <w:r w:rsidR="00097B3F" w:rsidRPr="004D372F">
        <w:t>Conclusie</w:t>
      </w:r>
      <w:bookmarkEnd w:id="108"/>
      <w:bookmarkEnd w:id="109"/>
      <w:bookmarkEnd w:id="110"/>
      <w:bookmarkEnd w:id="111"/>
      <w:bookmarkEnd w:id="112"/>
      <w:bookmarkEnd w:id="113"/>
    </w:p>
    <w:p w14:paraId="36D678EF" w14:textId="14701F6C" w:rsidR="000740FA" w:rsidRDefault="000740FA" w:rsidP="000740FA">
      <w:r>
        <w:t xml:space="preserve">IFC is 's werelds grootste multilaterale organisatie gericht op de ontwikkeling van de particuliere sector. </w:t>
      </w:r>
      <w:r w:rsidR="00AB553C" w:rsidRPr="00AB553C">
        <w:t xml:space="preserve">De </w:t>
      </w:r>
      <w:r w:rsidR="00AB553C">
        <w:t xml:space="preserve">private </w:t>
      </w:r>
      <w:r w:rsidR="00AB553C" w:rsidRPr="00AB553C">
        <w:t>sector is een cruciale aanjager van economische groei en de meest effectieve manier om armoede te bestrijden door toegang tot meer én betere banen. IFC is goed gepositioneerd om de WBG strategie te helpen uitvoeren door het bevorderen van de private sector in ontwikkelingslanden.</w:t>
      </w:r>
      <w:r w:rsidR="00AB553C">
        <w:t xml:space="preserve"> </w:t>
      </w:r>
      <w:r w:rsidR="00AB553C" w:rsidRPr="00AB553C">
        <w:t>IFC heeft de beschikking over een adequaat systeem van resultaatmeting.</w:t>
      </w:r>
      <w:r w:rsidR="00AB553C">
        <w:t xml:space="preserve"> </w:t>
      </w:r>
      <w:r w:rsidR="00AB553C" w:rsidRPr="00AB553C">
        <w:t xml:space="preserve">De interne auditfunctie is kwalitatief en </w:t>
      </w:r>
      <w:proofErr w:type="gramStart"/>
      <w:r w:rsidR="00AB553C">
        <w:t>kwantitatief</w:t>
      </w:r>
      <w:proofErr w:type="gramEnd"/>
      <w:r w:rsidR="00AB553C" w:rsidRPr="00AB553C">
        <w:t xml:space="preserve"> voldoende toegerust.</w:t>
      </w:r>
      <w:r w:rsidR="00AB553C">
        <w:t xml:space="preserve"> </w:t>
      </w:r>
      <w:r w:rsidR="00AB553C" w:rsidRPr="00AB553C">
        <w:t xml:space="preserve">De activiteiten van IFC sluiten zeer goed aan op de Nederlandse inzet voor de financing for development agenda waarbij het ‘leveragen’ van de private sector als een van de speerpunten is geformuleerd. </w:t>
      </w:r>
    </w:p>
    <w:p w14:paraId="3A32AFFE" w14:textId="77777777" w:rsidR="00097B3F" w:rsidRPr="004D372F" w:rsidRDefault="00097B3F" w:rsidP="00097B3F"/>
    <w:p w14:paraId="3A32AFFF" w14:textId="77777777" w:rsidR="00097B3F" w:rsidRDefault="00097B3F" w:rsidP="00097B3F">
      <w:pPr>
        <w:pStyle w:val="Heading2"/>
        <w:tabs>
          <w:tab w:val="left" w:pos="-1162"/>
          <w:tab w:val="left" w:pos="0"/>
          <w:tab w:val="num" w:pos="1160"/>
        </w:tabs>
        <w:spacing w:line="240" w:lineRule="auto"/>
        <w:ind w:hanging="1162"/>
      </w:pPr>
      <w:bookmarkStart w:id="114" w:name="_Toc410397640"/>
      <w:bookmarkStart w:id="115" w:name="_Toc422131320"/>
      <w:bookmarkStart w:id="116" w:name="_Toc422131864"/>
      <w:bookmarkStart w:id="117" w:name="_Toc422131897"/>
      <w:bookmarkStart w:id="118" w:name="_Toc422132124"/>
      <w:bookmarkStart w:id="119" w:name="_Toc422132178"/>
      <w:r>
        <w:t xml:space="preserve">5.1 </w:t>
      </w:r>
      <w:r>
        <w:tab/>
        <w:t>Institutionele aspecten en functioneren</w:t>
      </w:r>
      <w:bookmarkEnd w:id="114"/>
      <w:bookmarkEnd w:id="115"/>
      <w:bookmarkEnd w:id="116"/>
      <w:bookmarkEnd w:id="117"/>
      <w:bookmarkEnd w:id="118"/>
      <w:bookmarkEnd w:id="119"/>
    </w:p>
    <w:p w14:paraId="3A32B000" w14:textId="77777777" w:rsidR="00097B3F" w:rsidRDefault="00097B3F" w:rsidP="00097B3F"/>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
        <w:gridCol w:w="5349"/>
        <w:gridCol w:w="841"/>
        <w:gridCol w:w="852"/>
      </w:tblGrid>
      <w:tr w:rsidR="00097B3F" w14:paraId="3A32B005" w14:textId="77777777">
        <w:tc>
          <w:tcPr>
            <w:tcW w:w="359" w:type="dxa"/>
            <w:shd w:val="clear" w:color="auto" w:fill="auto"/>
          </w:tcPr>
          <w:p w14:paraId="3A32B001" w14:textId="77777777" w:rsidR="00097B3F" w:rsidRDefault="00097B3F" w:rsidP="000605A3"/>
        </w:tc>
        <w:tc>
          <w:tcPr>
            <w:tcW w:w="5349" w:type="dxa"/>
            <w:shd w:val="clear" w:color="auto" w:fill="auto"/>
          </w:tcPr>
          <w:p w14:paraId="3A32B002" w14:textId="77777777" w:rsidR="00097B3F" w:rsidRDefault="00097B3F" w:rsidP="000605A3"/>
        </w:tc>
        <w:tc>
          <w:tcPr>
            <w:tcW w:w="841" w:type="dxa"/>
            <w:shd w:val="clear" w:color="auto" w:fill="auto"/>
          </w:tcPr>
          <w:p w14:paraId="3A32B003" w14:textId="77777777" w:rsidR="00097B3F" w:rsidRDefault="00097B3F" w:rsidP="000605A3">
            <w:r>
              <w:t>Score</w:t>
            </w:r>
          </w:p>
        </w:tc>
        <w:tc>
          <w:tcPr>
            <w:tcW w:w="852" w:type="dxa"/>
            <w:shd w:val="clear" w:color="auto" w:fill="auto"/>
          </w:tcPr>
          <w:p w14:paraId="3A32B004" w14:textId="77777777" w:rsidR="00097B3F" w:rsidRDefault="00097B3F" w:rsidP="000605A3">
            <w:r>
              <w:t>Verw.</w:t>
            </w:r>
          </w:p>
        </w:tc>
      </w:tr>
      <w:tr w:rsidR="00097B3F" w14:paraId="3A32B007" w14:textId="77777777">
        <w:tc>
          <w:tcPr>
            <w:tcW w:w="7401" w:type="dxa"/>
            <w:gridSpan w:val="4"/>
            <w:shd w:val="clear" w:color="auto" w:fill="auto"/>
          </w:tcPr>
          <w:p w14:paraId="3A32B006" w14:textId="77777777" w:rsidR="00097B3F" w:rsidRPr="008F1B70" w:rsidRDefault="00097B3F" w:rsidP="000605A3">
            <w:pPr>
              <w:rPr>
                <w:b/>
              </w:rPr>
            </w:pPr>
            <w:r w:rsidRPr="008F1B70">
              <w:rPr>
                <w:b/>
              </w:rPr>
              <w:t xml:space="preserve">3 Institutionele aspecten </w:t>
            </w:r>
            <w:r>
              <w:rPr>
                <w:b/>
              </w:rPr>
              <w:t xml:space="preserve">en functioneren </w:t>
            </w:r>
          </w:p>
        </w:tc>
      </w:tr>
      <w:tr w:rsidR="00097B3F" w14:paraId="3A32B00C" w14:textId="77777777">
        <w:tc>
          <w:tcPr>
            <w:tcW w:w="359" w:type="dxa"/>
            <w:shd w:val="clear" w:color="auto" w:fill="auto"/>
          </w:tcPr>
          <w:p w14:paraId="3A32B008" w14:textId="77777777" w:rsidR="00097B3F" w:rsidRPr="008F1B70" w:rsidRDefault="00097B3F" w:rsidP="000605A3">
            <w:pPr>
              <w:rPr>
                <w:b/>
              </w:rPr>
            </w:pPr>
          </w:p>
        </w:tc>
        <w:tc>
          <w:tcPr>
            <w:tcW w:w="5349" w:type="dxa"/>
            <w:shd w:val="clear" w:color="auto" w:fill="auto"/>
          </w:tcPr>
          <w:p w14:paraId="3A32B009" w14:textId="77777777" w:rsidR="00097B3F" w:rsidRPr="00C26035" w:rsidRDefault="00097B3F" w:rsidP="000605A3">
            <w:r>
              <w:t>Strategie en f</w:t>
            </w:r>
            <w:r w:rsidRPr="00C26035">
              <w:t xml:space="preserve">ocus </w:t>
            </w:r>
          </w:p>
        </w:tc>
        <w:tc>
          <w:tcPr>
            <w:tcW w:w="841" w:type="dxa"/>
            <w:shd w:val="clear" w:color="auto" w:fill="auto"/>
            <w:vAlign w:val="center"/>
          </w:tcPr>
          <w:p w14:paraId="3A32B00A" w14:textId="77777777" w:rsidR="00097B3F" w:rsidRDefault="00C47BEC" w:rsidP="000605A3">
            <w:pPr>
              <w:jc w:val="center"/>
            </w:pPr>
            <w:r>
              <w:t>3</w:t>
            </w:r>
          </w:p>
        </w:tc>
        <w:tc>
          <w:tcPr>
            <w:tcW w:w="852" w:type="dxa"/>
            <w:shd w:val="clear" w:color="auto" w:fill="auto"/>
            <w:vAlign w:val="center"/>
          </w:tcPr>
          <w:p w14:paraId="3A32B00B" w14:textId="77777777" w:rsidR="00097B3F" w:rsidRDefault="00C47BEC" w:rsidP="000605A3">
            <w:pPr>
              <w:jc w:val="center"/>
            </w:pPr>
            <w:r w:rsidRPr="00193994">
              <w:sym w:font="Wingdings" w:char="F0E8"/>
            </w:r>
          </w:p>
        </w:tc>
      </w:tr>
      <w:tr w:rsidR="00097B3F" w14:paraId="3A32B011" w14:textId="77777777">
        <w:tc>
          <w:tcPr>
            <w:tcW w:w="359" w:type="dxa"/>
            <w:shd w:val="clear" w:color="auto" w:fill="auto"/>
          </w:tcPr>
          <w:p w14:paraId="3A32B00D" w14:textId="77777777" w:rsidR="00097B3F" w:rsidRPr="008F1B70" w:rsidRDefault="00097B3F" w:rsidP="000605A3">
            <w:pPr>
              <w:rPr>
                <w:b/>
              </w:rPr>
            </w:pPr>
          </w:p>
        </w:tc>
        <w:tc>
          <w:tcPr>
            <w:tcW w:w="5349" w:type="dxa"/>
            <w:shd w:val="clear" w:color="auto" w:fill="auto"/>
          </w:tcPr>
          <w:p w14:paraId="3A32B00E" w14:textId="77777777" w:rsidR="00097B3F" w:rsidRDefault="00097B3F" w:rsidP="000605A3">
            <w:r>
              <w:t xml:space="preserve">RBM en RBB </w:t>
            </w:r>
          </w:p>
        </w:tc>
        <w:tc>
          <w:tcPr>
            <w:tcW w:w="841" w:type="dxa"/>
            <w:shd w:val="clear" w:color="auto" w:fill="auto"/>
            <w:vAlign w:val="center"/>
          </w:tcPr>
          <w:p w14:paraId="3A32B00F" w14:textId="77777777" w:rsidR="00097B3F" w:rsidRDefault="00C47BEC" w:rsidP="000605A3">
            <w:pPr>
              <w:jc w:val="center"/>
            </w:pPr>
            <w:r>
              <w:t>3</w:t>
            </w:r>
          </w:p>
        </w:tc>
        <w:tc>
          <w:tcPr>
            <w:tcW w:w="852" w:type="dxa"/>
            <w:shd w:val="clear" w:color="auto" w:fill="auto"/>
            <w:vAlign w:val="center"/>
          </w:tcPr>
          <w:p w14:paraId="3A32B010" w14:textId="77777777" w:rsidR="00097B3F" w:rsidRDefault="00125ECE" w:rsidP="000605A3">
            <w:pPr>
              <w:jc w:val="center"/>
            </w:pPr>
            <w:r w:rsidRPr="00193994">
              <w:sym w:font="Wingdings" w:char="F0E9"/>
            </w:r>
          </w:p>
        </w:tc>
      </w:tr>
      <w:tr w:rsidR="00097B3F" w14:paraId="3A32B016" w14:textId="77777777">
        <w:tc>
          <w:tcPr>
            <w:tcW w:w="359" w:type="dxa"/>
            <w:shd w:val="clear" w:color="auto" w:fill="auto"/>
          </w:tcPr>
          <w:p w14:paraId="3A32B012" w14:textId="77777777" w:rsidR="00097B3F" w:rsidRPr="008F1B70" w:rsidRDefault="00097B3F" w:rsidP="000605A3">
            <w:pPr>
              <w:rPr>
                <w:b/>
              </w:rPr>
            </w:pPr>
          </w:p>
        </w:tc>
        <w:tc>
          <w:tcPr>
            <w:tcW w:w="5349" w:type="dxa"/>
            <w:shd w:val="clear" w:color="auto" w:fill="auto"/>
          </w:tcPr>
          <w:p w14:paraId="3A32B013" w14:textId="77777777" w:rsidR="00097B3F" w:rsidRDefault="00097B3F" w:rsidP="000605A3">
            <w:r>
              <w:t>Partnerschappen</w:t>
            </w:r>
          </w:p>
        </w:tc>
        <w:tc>
          <w:tcPr>
            <w:tcW w:w="841" w:type="dxa"/>
            <w:shd w:val="clear" w:color="auto" w:fill="auto"/>
            <w:vAlign w:val="center"/>
          </w:tcPr>
          <w:p w14:paraId="3A32B014" w14:textId="77777777" w:rsidR="00097B3F" w:rsidRDefault="00C47BEC" w:rsidP="000605A3">
            <w:pPr>
              <w:jc w:val="center"/>
            </w:pPr>
            <w:r>
              <w:t>3</w:t>
            </w:r>
          </w:p>
        </w:tc>
        <w:tc>
          <w:tcPr>
            <w:tcW w:w="852" w:type="dxa"/>
            <w:shd w:val="clear" w:color="auto" w:fill="auto"/>
            <w:vAlign w:val="center"/>
          </w:tcPr>
          <w:p w14:paraId="3A32B015" w14:textId="77777777" w:rsidR="00097B3F" w:rsidRDefault="00C47BEC" w:rsidP="000605A3">
            <w:pPr>
              <w:jc w:val="center"/>
            </w:pPr>
            <w:r w:rsidRPr="00193994">
              <w:sym w:font="Wingdings" w:char="F0E9"/>
            </w:r>
          </w:p>
        </w:tc>
      </w:tr>
      <w:tr w:rsidR="00097B3F" w14:paraId="3A32B01B" w14:textId="77777777">
        <w:tc>
          <w:tcPr>
            <w:tcW w:w="359" w:type="dxa"/>
            <w:shd w:val="clear" w:color="auto" w:fill="auto"/>
          </w:tcPr>
          <w:p w14:paraId="3A32B017" w14:textId="77777777" w:rsidR="00097B3F" w:rsidRPr="008F1B70" w:rsidRDefault="00097B3F" w:rsidP="000605A3">
            <w:pPr>
              <w:rPr>
                <w:b/>
              </w:rPr>
            </w:pPr>
          </w:p>
        </w:tc>
        <w:tc>
          <w:tcPr>
            <w:tcW w:w="5349" w:type="dxa"/>
            <w:shd w:val="clear" w:color="auto" w:fill="auto"/>
          </w:tcPr>
          <w:p w14:paraId="3A32B018" w14:textId="77777777" w:rsidR="00097B3F" w:rsidRPr="00C26035" w:rsidRDefault="00097B3F" w:rsidP="000605A3">
            <w:r w:rsidRPr="00C26035">
              <w:t>Effectiviteit bestuurs- en beheersorganen</w:t>
            </w:r>
          </w:p>
        </w:tc>
        <w:tc>
          <w:tcPr>
            <w:tcW w:w="841" w:type="dxa"/>
            <w:shd w:val="clear" w:color="auto" w:fill="auto"/>
            <w:vAlign w:val="center"/>
          </w:tcPr>
          <w:p w14:paraId="3A32B019" w14:textId="77777777" w:rsidR="00097B3F" w:rsidRDefault="00C47BEC" w:rsidP="000605A3">
            <w:pPr>
              <w:jc w:val="center"/>
            </w:pPr>
            <w:r>
              <w:t>3</w:t>
            </w:r>
          </w:p>
        </w:tc>
        <w:tc>
          <w:tcPr>
            <w:tcW w:w="852" w:type="dxa"/>
            <w:shd w:val="clear" w:color="auto" w:fill="auto"/>
            <w:vAlign w:val="center"/>
          </w:tcPr>
          <w:p w14:paraId="3A32B01A" w14:textId="77777777" w:rsidR="00097B3F" w:rsidRDefault="00C47BEC" w:rsidP="000605A3">
            <w:pPr>
              <w:jc w:val="center"/>
            </w:pPr>
            <w:r w:rsidRPr="00193994">
              <w:sym w:font="Wingdings" w:char="F0E8"/>
            </w:r>
          </w:p>
        </w:tc>
      </w:tr>
      <w:tr w:rsidR="00097B3F" w14:paraId="3A32B020" w14:textId="77777777">
        <w:tc>
          <w:tcPr>
            <w:tcW w:w="359" w:type="dxa"/>
            <w:shd w:val="clear" w:color="auto" w:fill="auto"/>
          </w:tcPr>
          <w:p w14:paraId="3A32B01C" w14:textId="77777777" w:rsidR="00097B3F" w:rsidRPr="008F1B70" w:rsidRDefault="00097B3F" w:rsidP="000605A3">
            <w:pPr>
              <w:rPr>
                <w:b/>
              </w:rPr>
            </w:pPr>
          </w:p>
        </w:tc>
        <w:tc>
          <w:tcPr>
            <w:tcW w:w="5349" w:type="dxa"/>
            <w:shd w:val="clear" w:color="auto" w:fill="auto"/>
          </w:tcPr>
          <w:p w14:paraId="3A32B01D" w14:textId="77777777" w:rsidR="00097B3F" w:rsidRPr="00C26035" w:rsidRDefault="00097B3F" w:rsidP="000605A3">
            <w:r>
              <w:t>Beleidsevaluatie</w:t>
            </w:r>
          </w:p>
        </w:tc>
        <w:tc>
          <w:tcPr>
            <w:tcW w:w="841" w:type="dxa"/>
            <w:shd w:val="clear" w:color="auto" w:fill="auto"/>
            <w:vAlign w:val="center"/>
          </w:tcPr>
          <w:p w14:paraId="3A32B01E" w14:textId="77777777" w:rsidR="00097B3F" w:rsidRDefault="00C47BEC" w:rsidP="000605A3">
            <w:pPr>
              <w:jc w:val="center"/>
            </w:pPr>
            <w:r>
              <w:t>4</w:t>
            </w:r>
          </w:p>
        </w:tc>
        <w:tc>
          <w:tcPr>
            <w:tcW w:w="852" w:type="dxa"/>
            <w:shd w:val="clear" w:color="auto" w:fill="auto"/>
            <w:vAlign w:val="center"/>
          </w:tcPr>
          <w:p w14:paraId="3A32B01F" w14:textId="77777777" w:rsidR="00097B3F" w:rsidRDefault="00097B3F" w:rsidP="000605A3">
            <w:pPr>
              <w:jc w:val="center"/>
            </w:pPr>
          </w:p>
        </w:tc>
      </w:tr>
      <w:tr w:rsidR="00097B3F" w14:paraId="3A32B025" w14:textId="77777777">
        <w:tc>
          <w:tcPr>
            <w:tcW w:w="359" w:type="dxa"/>
            <w:shd w:val="clear" w:color="auto" w:fill="auto"/>
          </w:tcPr>
          <w:p w14:paraId="3A32B021" w14:textId="77777777" w:rsidR="00097B3F" w:rsidRPr="008F1B70" w:rsidRDefault="00097B3F" w:rsidP="000605A3">
            <w:pPr>
              <w:rPr>
                <w:b/>
              </w:rPr>
            </w:pPr>
          </w:p>
        </w:tc>
        <w:tc>
          <w:tcPr>
            <w:tcW w:w="5349" w:type="dxa"/>
            <w:shd w:val="clear" w:color="auto" w:fill="auto"/>
          </w:tcPr>
          <w:p w14:paraId="3A32B022" w14:textId="77777777" w:rsidR="00097B3F" w:rsidRPr="00C26035" w:rsidRDefault="00097B3F" w:rsidP="000605A3">
            <w:r w:rsidRPr="00C26035">
              <w:t>Human Resource Management</w:t>
            </w:r>
          </w:p>
        </w:tc>
        <w:tc>
          <w:tcPr>
            <w:tcW w:w="841" w:type="dxa"/>
            <w:shd w:val="clear" w:color="auto" w:fill="auto"/>
            <w:vAlign w:val="center"/>
          </w:tcPr>
          <w:p w14:paraId="3A32B023" w14:textId="77777777" w:rsidR="00097B3F" w:rsidRDefault="00C47BEC" w:rsidP="000605A3">
            <w:pPr>
              <w:jc w:val="center"/>
            </w:pPr>
            <w:r>
              <w:t>3</w:t>
            </w:r>
          </w:p>
        </w:tc>
        <w:tc>
          <w:tcPr>
            <w:tcW w:w="852" w:type="dxa"/>
            <w:shd w:val="clear" w:color="auto" w:fill="auto"/>
            <w:vAlign w:val="center"/>
          </w:tcPr>
          <w:p w14:paraId="3A32B024" w14:textId="77777777" w:rsidR="00097B3F" w:rsidRDefault="00C47BEC" w:rsidP="000605A3">
            <w:pPr>
              <w:jc w:val="center"/>
            </w:pPr>
            <w:r w:rsidRPr="00193994">
              <w:sym w:font="Wingdings" w:char="F0E8"/>
            </w:r>
          </w:p>
        </w:tc>
      </w:tr>
      <w:tr w:rsidR="00097B3F" w14:paraId="3A32B02A" w14:textId="77777777">
        <w:tc>
          <w:tcPr>
            <w:tcW w:w="359" w:type="dxa"/>
            <w:shd w:val="clear" w:color="auto" w:fill="auto"/>
          </w:tcPr>
          <w:p w14:paraId="3A32B026" w14:textId="77777777" w:rsidR="00097B3F" w:rsidRPr="008F1B70" w:rsidRDefault="00097B3F" w:rsidP="000605A3">
            <w:pPr>
              <w:rPr>
                <w:b/>
              </w:rPr>
            </w:pPr>
          </w:p>
        </w:tc>
        <w:tc>
          <w:tcPr>
            <w:tcW w:w="5349" w:type="dxa"/>
            <w:shd w:val="clear" w:color="auto" w:fill="auto"/>
          </w:tcPr>
          <w:p w14:paraId="3A32B027" w14:textId="77777777" w:rsidR="00097B3F" w:rsidRPr="00445FEE" w:rsidRDefault="00097B3F" w:rsidP="000605A3">
            <w:r w:rsidRPr="00445FEE">
              <w:t>Financiële positie, beheer en ontwikkelingen</w:t>
            </w:r>
          </w:p>
        </w:tc>
        <w:tc>
          <w:tcPr>
            <w:tcW w:w="841" w:type="dxa"/>
            <w:shd w:val="clear" w:color="auto" w:fill="auto"/>
            <w:vAlign w:val="center"/>
          </w:tcPr>
          <w:p w14:paraId="3A32B028" w14:textId="77777777" w:rsidR="00097B3F" w:rsidRDefault="00C47BEC" w:rsidP="000605A3">
            <w:pPr>
              <w:jc w:val="center"/>
            </w:pPr>
            <w:r>
              <w:t>4</w:t>
            </w:r>
          </w:p>
        </w:tc>
        <w:tc>
          <w:tcPr>
            <w:tcW w:w="852" w:type="dxa"/>
            <w:shd w:val="clear" w:color="auto" w:fill="auto"/>
            <w:vAlign w:val="center"/>
          </w:tcPr>
          <w:p w14:paraId="3A32B029" w14:textId="77777777" w:rsidR="00097B3F" w:rsidRDefault="00097B3F" w:rsidP="000605A3">
            <w:pPr>
              <w:jc w:val="center"/>
            </w:pPr>
          </w:p>
        </w:tc>
      </w:tr>
      <w:tr w:rsidR="00097B3F" w14:paraId="3A32B02F" w14:textId="77777777">
        <w:tc>
          <w:tcPr>
            <w:tcW w:w="359" w:type="dxa"/>
            <w:shd w:val="clear" w:color="auto" w:fill="auto"/>
          </w:tcPr>
          <w:p w14:paraId="3A32B02B" w14:textId="77777777" w:rsidR="00097B3F" w:rsidRPr="008F1B70" w:rsidRDefault="00097B3F" w:rsidP="000605A3">
            <w:pPr>
              <w:rPr>
                <w:b/>
              </w:rPr>
            </w:pPr>
          </w:p>
        </w:tc>
        <w:tc>
          <w:tcPr>
            <w:tcW w:w="5349" w:type="dxa"/>
            <w:shd w:val="clear" w:color="auto" w:fill="auto"/>
          </w:tcPr>
          <w:p w14:paraId="3A32B02C" w14:textId="77777777" w:rsidR="00097B3F" w:rsidRPr="00445FEE" w:rsidRDefault="00097B3F" w:rsidP="000605A3">
            <w:r w:rsidRPr="00445FEE">
              <w:t>Corruptiebestrijding in de interne organisatie</w:t>
            </w:r>
          </w:p>
        </w:tc>
        <w:tc>
          <w:tcPr>
            <w:tcW w:w="841" w:type="dxa"/>
            <w:shd w:val="clear" w:color="auto" w:fill="auto"/>
            <w:vAlign w:val="center"/>
          </w:tcPr>
          <w:p w14:paraId="3A32B02D" w14:textId="77777777" w:rsidR="00097B3F" w:rsidRDefault="00C47BEC" w:rsidP="000605A3">
            <w:pPr>
              <w:jc w:val="center"/>
            </w:pPr>
            <w:r>
              <w:t>4</w:t>
            </w:r>
          </w:p>
        </w:tc>
        <w:tc>
          <w:tcPr>
            <w:tcW w:w="852" w:type="dxa"/>
            <w:shd w:val="clear" w:color="auto" w:fill="auto"/>
            <w:vAlign w:val="center"/>
          </w:tcPr>
          <w:p w14:paraId="3A32B02E" w14:textId="77777777" w:rsidR="00097B3F" w:rsidRDefault="00097B3F" w:rsidP="000605A3">
            <w:pPr>
              <w:jc w:val="center"/>
            </w:pPr>
          </w:p>
        </w:tc>
      </w:tr>
    </w:tbl>
    <w:p w14:paraId="3A32B030" w14:textId="77777777" w:rsidR="00097B3F" w:rsidRPr="00164384" w:rsidRDefault="00097B3F" w:rsidP="00097B3F"/>
    <w:p w14:paraId="3A32B031" w14:textId="77777777" w:rsidR="00097B3F" w:rsidRDefault="00097B3F" w:rsidP="00097B3F">
      <w:pPr>
        <w:pStyle w:val="Heading2"/>
        <w:tabs>
          <w:tab w:val="left" w:pos="-1162"/>
          <w:tab w:val="left" w:pos="0"/>
          <w:tab w:val="num" w:pos="1160"/>
        </w:tabs>
        <w:spacing w:line="240" w:lineRule="auto"/>
        <w:ind w:hanging="1162"/>
      </w:pPr>
      <w:bookmarkStart w:id="120" w:name="_Toc410397641"/>
      <w:bookmarkStart w:id="121" w:name="_Toc422131321"/>
      <w:bookmarkStart w:id="122" w:name="_Toc422131865"/>
      <w:bookmarkStart w:id="123" w:name="_Toc422131898"/>
      <w:bookmarkStart w:id="124" w:name="_Toc422132125"/>
      <w:bookmarkStart w:id="125" w:name="_Toc422132179"/>
      <w:r>
        <w:t xml:space="preserve">5.2 </w:t>
      </w:r>
      <w:r>
        <w:tab/>
        <w:t>Beleidsrelevantie</w:t>
      </w:r>
      <w:bookmarkEnd w:id="120"/>
      <w:bookmarkEnd w:id="121"/>
      <w:bookmarkEnd w:id="122"/>
      <w:bookmarkEnd w:id="123"/>
      <w:bookmarkEnd w:id="124"/>
      <w:bookmarkEnd w:id="125"/>
    </w:p>
    <w:p w14:paraId="3A32B032" w14:textId="77777777" w:rsidR="00097B3F" w:rsidRDefault="00097B3F" w:rsidP="00097B3F"/>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6411"/>
        <w:gridCol w:w="841"/>
      </w:tblGrid>
      <w:tr w:rsidR="00097B3F" w14:paraId="3A32B036" w14:textId="77777777">
        <w:tc>
          <w:tcPr>
            <w:tcW w:w="360" w:type="dxa"/>
            <w:shd w:val="clear" w:color="auto" w:fill="auto"/>
          </w:tcPr>
          <w:p w14:paraId="3A32B033" w14:textId="77777777" w:rsidR="00097B3F" w:rsidRDefault="00097B3F" w:rsidP="000605A3"/>
        </w:tc>
        <w:tc>
          <w:tcPr>
            <w:tcW w:w="6411" w:type="dxa"/>
            <w:shd w:val="clear" w:color="auto" w:fill="auto"/>
          </w:tcPr>
          <w:p w14:paraId="3A32B034" w14:textId="77777777" w:rsidR="00097B3F" w:rsidRDefault="00097B3F" w:rsidP="000605A3"/>
        </w:tc>
        <w:tc>
          <w:tcPr>
            <w:tcW w:w="841" w:type="dxa"/>
            <w:shd w:val="clear" w:color="auto" w:fill="auto"/>
          </w:tcPr>
          <w:p w14:paraId="3A32B035" w14:textId="77777777" w:rsidR="00097B3F" w:rsidRDefault="00097B3F" w:rsidP="000605A3">
            <w:r>
              <w:t>Score</w:t>
            </w:r>
          </w:p>
        </w:tc>
      </w:tr>
      <w:tr w:rsidR="00097B3F" w14:paraId="3A32B038" w14:textId="77777777">
        <w:tc>
          <w:tcPr>
            <w:tcW w:w="7612" w:type="dxa"/>
            <w:gridSpan w:val="3"/>
            <w:shd w:val="clear" w:color="auto" w:fill="auto"/>
          </w:tcPr>
          <w:p w14:paraId="3A32B037" w14:textId="77777777" w:rsidR="00097B3F" w:rsidRDefault="005B4830" w:rsidP="000605A3">
            <w:r>
              <w:rPr>
                <w:b/>
              </w:rPr>
              <w:t>4</w:t>
            </w:r>
            <w:r w:rsidR="00097B3F">
              <w:rPr>
                <w:b/>
              </w:rPr>
              <w:t>.1 Relevantie voor Nederlandse BHOS-prioriteiten</w:t>
            </w:r>
          </w:p>
        </w:tc>
      </w:tr>
      <w:tr w:rsidR="00097B3F" w14:paraId="3A32B03C" w14:textId="77777777">
        <w:tc>
          <w:tcPr>
            <w:tcW w:w="360" w:type="dxa"/>
            <w:shd w:val="clear" w:color="auto" w:fill="auto"/>
          </w:tcPr>
          <w:p w14:paraId="3A32B039" w14:textId="77777777" w:rsidR="00097B3F" w:rsidRDefault="00097B3F" w:rsidP="000605A3"/>
        </w:tc>
        <w:tc>
          <w:tcPr>
            <w:tcW w:w="6411" w:type="dxa"/>
            <w:shd w:val="clear" w:color="auto" w:fill="auto"/>
          </w:tcPr>
          <w:p w14:paraId="3A32B03A" w14:textId="77777777" w:rsidR="00097B3F" w:rsidRPr="00445FEE" w:rsidRDefault="00097B3F" w:rsidP="000605A3">
            <w:r>
              <w:t>V</w:t>
            </w:r>
            <w:r w:rsidRPr="00445FEE">
              <w:t>oedselzekerheid</w:t>
            </w:r>
          </w:p>
        </w:tc>
        <w:tc>
          <w:tcPr>
            <w:tcW w:w="841" w:type="dxa"/>
            <w:shd w:val="clear" w:color="auto" w:fill="auto"/>
          </w:tcPr>
          <w:p w14:paraId="3A32B03B" w14:textId="77777777" w:rsidR="00097B3F" w:rsidRDefault="00A71761" w:rsidP="00C20672">
            <w:pPr>
              <w:jc w:val="center"/>
            </w:pPr>
            <w:r>
              <w:t>+</w:t>
            </w:r>
          </w:p>
        </w:tc>
      </w:tr>
      <w:tr w:rsidR="00097B3F" w14:paraId="3A32B040" w14:textId="77777777">
        <w:tc>
          <w:tcPr>
            <w:tcW w:w="360" w:type="dxa"/>
            <w:shd w:val="clear" w:color="auto" w:fill="auto"/>
          </w:tcPr>
          <w:p w14:paraId="3A32B03D" w14:textId="77777777" w:rsidR="00097B3F" w:rsidRDefault="00097B3F" w:rsidP="000605A3"/>
        </w:tc>
        <w:tc>
          <w:tcPr>
            <w:tcW w:w="6411" w:type="dxa"/>
            <w:shd w:val="clear" w:color="auto" w:fill="auto"/>
          </w:tcPr>
          <w:p w14:paraId="3A32B03E" w14:textId="77777777" w:rsidR="00097B3F" w:rsidRPr="00445FEE" w:rsidRDefault="00097B3F" w:rsidP="000605A3">
            <w:r>
              <w:t>W</w:t>
            </w:r>
            <w:r w:rsidRPr="00445FEE">
              <w:t>ater</w:t>
            </w:r>
          </w:p>
        </w:tc>
        <w:tc>
          <w:tcPr>
            <w:tcW w:w="841" w:type="dxa"/>
            <w:shd w:val="clear" w:color="auto" w:fill="auto"/>
          </w:tcPr>
          <w:p w14:paraId="3A32B03F" w14:textId="77777777" w:rsidR="00097B3F" w:rsidRDefault="00A71761" w:rsidP="00C20672">
            <w:pPr>
              <w:jc w:val="center"/>
            </w:pPr>
            <w:r>
              <w:t>+</w:t>
            </w:r>
          </w:p>
        </w:tc>
      </w:tr>
      <w:tr w:rsidR="00097B3F" w14:paraId="3A32B044" w14:textId="77777777">
        <w:tc>
          <w:tcPr>
            <w:tcW w:w="360" w:type="dxa"/>
            <w:shd w:val="clear" w:color="auto" w:fill="auto"/>
          </w:tcPr>
          <w:p w14:paraId="3A32B041" w14:textId="77777777" w:rsidR="00097B3F" w:rsidRDefault="00097B3F" w:rsidP="000605A3"/>
        </w:tc>
        <w:tc>
          <w:tcPr>
            <w:tcW w:w="6411" w:type="dxa"/>
            <w:shd w:val="clear" w:color="auto" w:fill="auto"/>
          </w:tcPr>
          <w:p w14:paraId="3A32B042" w14:textId="77777777" w:rsidR="00097B3F" w:rsidRPr="00445FEE" w:rsidRDefault="00097B3F" w:rsidP="000605A3">
            <w:r>
              <w:t>V</w:t>
            </w:r>
            <w:r w:rsidRPr="00445FEE">
              <w:t>eiligheid en rechtsorde</w:t>
            </w:r>
          </w:p>
        </w:tc>
        <w:tc>
          <w:tcPr>
            <w:tcW w:w="841" w:type="dxa"/>
            <w:shd w:val="clear" w:color="auto" w:fill="auto"/>
          </w:tcPr>
          <w:p w14:paraId="3A32B043" w14:textId="77777777" w:rsidR="00097B3F" w:rsidRDefault="00A71761" w:rsidP="00C20672">
            <w:pPr>
              <w:jc w:val="center"/>
            </w:pPr>
            <w:r>
              <w:t>+</w:t>
            </w:r>
          </w:p>
        </w:tc>
      </w:tr>
      <w:tr w:rsidR="00097B3F" w14:paraId="3A32B048" w14:textId="77777777">
        <w:tc>
          <w:tcPr>
            <w:tcW w:w="360" w:type="dxa"/>
            <w:shd w:val="clear" w:color="auto" w:fill="auto"/>
          </w:tcPr>
          <w:p w14:paraId="3A32B045" w14:textId="77777777" w:rsidR="00097B3F" w:rsidRDefault="00097B3F" w:rsidP="000605A3"/>
        </w:tc>
        <w:tc>
          <w:tcPr>
            <w:tcW w:w="6411" w:type="dxa"/>
            <w:shd w:val="clear" w:color="auto" w:fill="auto"/>
          </w:tcPr>
          <w:p w14:paraId="3A32B046" w14:textId="77777777" w:rsidR="00097B3F" w:rsidRPr="00445FEE" w:rsidRDefault="00097B3F" w:rsidP="000605A3">
            <w:r>
              <w:t>SRGR, inclusief hiv/aids</w:t>
            </w:r>
          </w:p>
        </w:tc>
        <w:tc>
          <w:tcPr>
            <w:tcW w:w="841" w:type="dxa"/>
            <w:shd w:val="clear" w:color="auto" w:fill="auto"/>
          </w:tcPr>
          <w:p w14:paraId="3A32B047" w14:textId="77777777" w:rsidR="00097B3F" w:rsidRDefault="00A71761" w:rsidP="00C20672">
            <w:pPr>
              <w:jc w:val="center"/>
            </w:pPr>
            <w:r>
              <w:t>-</w:t>
            </w:r>
          </w:p>
        </w:tc>
      </w:tr>
      <w:tr w:rsidR="00097B3F" w14:paraId="3A32B04C" w14:textId="77777777">
        <w:tc>
          <w:tcPr>
            <w:tcW w:w="360" w:type="dxa"/>
            <w:shd w:val="clear" w:color="auto" w:fill="auto"/>
          </w:tcPr>
          <w:p w14:paraId="3A32B049" w14:textId="77777777" w:rsidR="00097B3F" w:rsidRDefault="00097B3F" w:rsidP="000605A3"/>
        </w:tc>
        <w:tc>
          <w:tcPr>
            <w:tcW w:w="6411" w:type="dxa"/>
            <w:shd w:val="clear" w:color="auto" w:fill="auto"/>
          </w:tcPr>
          <w:p w14:paraId="3A32B04A" w14:textId="77777777" w:rsidR="00097B3F" w:rsidRDefault="00097B3F" w:rsidP="000605A3">
            <w:r>
              <w:t>Gendergelijkheid</w:t>
            </w:r>
          </w:p>
        </w:tc>
        <w:tc>
          <w:tcPr>
            <w:tcW w:w="841" w:type="dxa"/>
            <w:shd w:val="clear" w:color="auto" w:fill="auto"/>
          </w:tcPr>
          <w:p w14:paraId="3A32B04B" w14:textId="77777777" w:rsidR="00097B3F" w:rsidRDefault="00A71761" w:rsidP="00C20672">
            <w:pPr>
              <w:jc w:val="center"/>
            </w:pPr>
            <w:r>
              <w:t>+</w:t>
            </w:r>
          </w:p>
        </w:tc>
      </w:tr>
      <w:tr w:rsidR="00097B3F" w14:paraId="3A32B050" w14:textId="77777777">
        <w:tc>
          <w:tcPr>
            <w:tcW w:w="360" w:type="dxa"/>
            <w:shd w:val="clear" w:color="auto" w:fill="auto"/>
          </w:tcPr>
          <w:p w14:paraId="3A32B04D" w14:textId="77777777" w:rsidR="00097B3F" w:rsidRDefault="00097B3F" w:rsidP="000605A3"/>
        </w:tc>
        <w:tc>
          <w:tcPr>
            <w:tcW w:w="6411" w:type="dxa"/>
            <w:shd w:val="clear" w:color="auto" w:fill="auto"/>
          </w:tcPr>
          <w:p w14:paraId="3A32B04E" w14:textId="77777777" w:rsidR="00097B3F" w:rsidRDefault="00097B3F" w:rsidP="000605A3">
            <w:r>
              <w:t>Klimaat</w:t>
            </w:r>
          </w:p>
        </w:tc>
        <w:tc>
          <w:tcPr>
            <w:tcW w:w="841" w:type="dxa"/>
            <w:shd w:val="clear" w:color="auto" w:fill="auto"/>
          </w:tcPr>
          <w:p w14:paraId="3A32B04F" w14:textId="77777777" w:rsidR="00097B3F" w:rsidRDefault="00A71761" w:rsidP="00C20672">
            <w:pPr>
              <w:jc w:val="center"/>
            </w:pPr>
            <w:r>
              <w:t>+</w:t>
            </w:r>
          </w:p>
        </w:tc>
      </w:tr>
      <w:tr w:rsidR="00097B3F" w:rsidRPr="00E876A6" w14:paraId="3A32B054" w14:textId="77777777">
        <w:tc>
          <w:tcPr>
            <w:tcW w:w="360" w:type="dxa"/>
            <w:shd w:val="clear" w:color="auto" w:fill="auto"/>
          </w:tcPr>
          <w:p w14:paraId="3A32B051" w14:textId="77777777" w:rsidR="00097B3F" w:rsidRDefault="00097B3F" w:rsidP="000605A3"/>
        </w:tc>
        <w:tc>
          <w:tcPr>
            <w:tcW w:w="6411" w:type="dxa"/>
            <w:shd w:val="clear" w:color="auto" w:fill="auto"/>
          </w:tcPr>
          <w:p w14:paraId="3A32B052" w14:textId="77777777" w:rsidR="00097B3F" w:rsidRPr="00E876A6" w:rsidRDefault="00097B3F" w:rsidP="000605A3">
            <w:pPr>
              <w:rPr>
                <w:lang w:val="en-GB"/>
              </w:rPr>
            </w:pPr>
            <w:r w:rsidRPr="00E876A6">
              <w:rPr>
                <w:i/>
                <w:lang w:val="en-GB"/>
              </w:rPr>
              <w:t>Private Sector Development</w:t>
            </w:r>
            <w:r w:rsidRPr="00E876A6">
              <w:rPr>
                <w:lang w:val="en-GB"/>
              </w:rPr>
              <w:t xml:space="preserve"> (inclusief IMVO)</w:t>
            </w:r>
          </w:p>
        </w:tc>
        <w:tc>
          <w:tcPr>
            <w:tcW w:w="841" w:type="dxa"/>
            <w:shd w:val="clear" w:color="auto" w:fill="auto"/>
          </w:tcPr>
          <w:p w14:paraId="3A32B053" w14:textId="77777777" w:rsidR="00097B3F" w:rsidRPr="00E876A6" w:rsidRDefault="00A71761" w:rsidP="00C20672">
            <w:pPr>
              <w:jc w:val="center"/>
              <w:rPr>
                <w:lang w:val="en-GB"/>
              </w:rPr>
            </w:pPr>
            <w:r>
              <w:rPr>
                <w:lang w:val="en-GB"/>
              </w:rPr>
              <w:t>+</w:t>
            </w:r>
          </w:p>
        </w:tc>
      </w:tr>
      <w:tr w:rsidR="00097B3F" w14:paraId="3A32B058" w14:textId="77777777">
        <w:tc>
          <w:tcPr>
            <w:tcW w:w="360" w:type="dxa"/>
            <w:shd w:val="clear" w:color="auto" w:fill="auto"/>
          </w:tcPr>
          <w:p w14:paraId="3A32B055" w14:textId="77777777" w:rsidR="00097B3F" w:rsidRPr="00E876A6" w:rsidRDefault="00097B3F" w:rsidP="000605A3">
            <w:pPr>
              <w:rPr>
                <w:lang w:val="en-GB"/>
              </w:rPr>
            </w:pPr>
          </w:p>
        </w:tc>
        <w:tc>
          <w:tcPr>
            <w:tcW w:w="6411" w:type="dxa"/>
            <w:shd w:val="clear" w:color="auto" w:fill="auto"/>
          </w:tcPr>
          <w:p w14:paraId="3A32B056" w14:textId="77777777" w:rsidR="00097B3F" w:rsidRDefault="00097B3F" w:rsidP="000605A3">
            <w:r>
              <w:t>Humanitaire hulp</w:t>
            </w:r>
          </w:p>
        </w:tc>
        <w:tc>
          <w:tcPr>
            <w:tcW w:w="841" w:type="dxa"/>
            <w:shd w:val="clear" w:color="auto" w:fill="auto"/>
          </w:tcPr>
          <w:p w14:paraId="3A32B057" w14:textId="77777777" w:rsidR="00097B3F" w:rsidRDefault="00A71761" w:rsidP="00C20672">
            <w:pPr>
              <w:jc w:val="center"/>
            </w:pPr>
            <w:r>
              <w:t>-</w:t>
            </w:r>
          </w:p>
        </w:tc>
      </w:tr>
    </w:tbl>
    <w:p w14:paraId="3A32B059" w14:textId="77777777" w:rsidR="00097B3F" w:rsidRDefault="00097B3F" w:rsidP="00097B3F"/>
    <w:p w14:paraId="3A32B05A" w14:textId="77777777" w:rsidR="00746658" w:rsidRPr="00D745A7" w:rsidRDefault="00746658" w:rsidP="00097B3F"/>
    <w:sectPr w:rsidR="00746658" w:rsidRPr="00D745A7" w:rsidSect="00EE1B9E">
      <w:type w:val="continuous"/>
      <w:pgSz w:w="11906" w:h="16838" w:code="9"/>
      <w:pgMar w:top="2518" w:right="958" w:bottom="1077" w:left="3221" w:header="199"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89F27A" w14:textId="77777777" w:rsidR="000740FA" w:rsidRDefault="000740FA">
      <w:r>
        <w:separator/>
      </w:r>
    </w:p>
    <w:p w14:paraId="4C28130D" w14:textId="77777777" w:rsidR="000740FA" w:rsidRDefault="000740FA"/>
    <w:p w14:paraId="386FC6AB" w14:textId="77777777" w:rsidR="000740FA" w:rsidRDefault="000740FA"/>
  </w:endnote>
  <w:endnote w:type="continuationSeparator" w:id="0">
    <w:p w14:paraId="3DAD530E" w14:textId="77777777" w:rsidR="000740FA" w:rsidRDefault="000740FA">
      <w:r>
        <w:continuationSeparator/>
      </w:r>
    </w:p>
    <w:p w14:paraId="3D58211E" w14:textId="77777777" w:rsidR="000740FA" w:rsidRDefault="000740FA"/>
    <w:p w14:paraId="78FB5E5A" w14:textId="77777777" w:rsidR="000740FA" w:rsidRDefault="000740FA"/>
  </w:endnote>
  <w:endnote w:type="continuationNotice" w:id="1">
    <w:p w14:paraId="141BF8C6" w14:textId="77777777" w:rsidR="000740FA" w:rsidRDefault="000740F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0740FA" w:rsidRPr="00785F18" w14:paraId="3A32B077" w14:textId="77777777">
      <w:trPr>
        <w:trHeight w:hRule="exact" w:val="240"/>
      </w:trPr>
      <w:tc>
        <w:tcPr>
          <w:tcW w:w="7752" w:type="dxa"/>
          <w:gridSpan w:val="3"/>
          <w:shd w:val="clear" w:color="auto" w:fill="auto"/>
        </w:tcPr>
        <w:p w14:paraId="3A32B076" w14:textId="77777777" w:rsidR="000740FA" w:rsidRPr="00785F18" w:rsidRDefault="000740FA">
          <w:pPr>
            <w:spacing w:line="240" w:lineRule="auto"/>
          </w:pPr>
        </w:p>
      </w:tc>
    </w:tr>
    <w:tr w:rsidR="000740FA" w:rsidRPr="00785F18" w14:paraId="3A32B07A" w14:textId="77777777">
      <w:trPr>
        <w:gridAfter w:val="1"/>
        <w:wAfter w:w="99" w:type="dxa"/>
        <w:trHeight w:hRule="exact" w:val="240"/>
      </w:trPr>
      <w:tc>
        <w:tcPr>
          <w:tcW w:w="6260" w:type="dxa"/>
          <w:shd w:val="clear" w:color="auto" w:fill="auto"/>
        </w:tcPr>
        <w:p w14:paraId="3A32B078" w14:textId="161CB6E5" w:rsidR="000740FA" w:rsidRPr="00785F18" w:rsidRDefault="005E7033" w:rsidP="003B518B">
          <w:pPr>
            <w:pStyle w:val="Huisstijl-Paginanummering"/>
            <w:rPr>
              <w:rStyle w:val="Huisstijl-Rubricering"/>
              <w:noProof w:val="0"/>
            </w:rPr>
          </w:pPr>
          <w:fldSimple w:instr=" DOCPROPERTY  L_PAGE  \* MERGEFORMAT ">
            <w:r w:rsidR="000740FA">
              <w:t>Pagina</w:t>
            </w:r>
          </w:fldSimple>
          <w:r w:rsidR="000740FA" w:rsidRPr="00785F18">
            <w:t xml:space="preserve"> </w:t>
          </w:r>
          <w:r w:rsidR="000740FA">
            <w:fldChar w:fldCharType="begin"/>
          </w:r>
          <w:r w:rsidR="000740FA">
            <w:instrText xml:space="preserve"> PAGE   \* MERGEFORMAT </w:instrText>
          </w:r>
          <w:r w:rsidR="000740FA">
            <w:fldChar w:fldCharType="separate"/>
          </w:r>
          <w:r w:rsidR="000740FA">
            <w:t>18</w:t>
          </w:r>
          <w:r w:rsidR="000740FA">
            <w:fldChar w:fldCharType="end"/>
          </w:r>
          <w:r w:rsidR="000740FA" w:rsidRPr="00785F18">
            <w:t xml:space="preserve"> </w:t>
          </w:r>
          <w:fldSimple w:instr=" DOCPROPERTY  L_PAGEOF  \* MERGEFORMAT ">
            <w:r w:rsidR="000740FA">
              <w:t>van</w:t>
            </w:r>
          </w:fldSimple>
          <w:r w:rsidR="000740FA" w:rsidRPr="00785F18">
            <w:t xml:space="preserve"> </w:t>
          </w:r>
          <w:fldSimple w:instr=" NUMPAGES   \* MERGEFORMAT ">
            <w:r w:rsidR="000740FA">
              <w:t>18</w:t>
            </w:r>
          </w:fldSimple>
        </w:p>
      </w:tc>
      <w:tc>
        <w:tcPr>
          <w:tcW w:w="1392" w:type="dxa"/>
        </w:tcPr>
        <w:p w14:paraId="3A32B079" w14:textId="77777777" w:rsidR="000740FA" w:rsidRPr="00785F18" w:rsidRDefault="000740FA" w:rsidP="003B518B">
          <w:pPr>
            <w:pStyle w:val="Huisstijl-Paginanummering"/>
            <w:jc w:val="right"/>
          </w:pPr>
        </w:p>
      </w:tc>
    </w:tr>
  </w:tbl>
  <w:p w14:paraId="3A32B07B" w14:textId="77777777" w:rsidR="000740FA" w:rsidRPr="00785F18" w:rsidRDefault="000740FA" w:rsidP="003B518B">
    <w:pPr>
      <w:spacing w:line="240"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260"/>
      <w:gridCol w:w="1392"/>
    </w:tblGrid>
    <w:tr w:rsidR="000740FA" w:rsidRPr="00785F18" w14:paraId="3A32B07E" w14:textId="77777777">
      <w:trPr>
        <w:trHeight w:hRule="exact" w:val="240"/>
      </w:trPr>
      <w:tc>
        <w:tcPr>
          <w:tcW w:w="6260" w:type="dxa"/>
          <w:shd w:val="clear" w:color="auto" w:fill="auto"/>
        </w:tcPr>
        <w:p w14:paraId="3A32B07C" w14:textId="77777777" w:rsidR="000740FA" w:rsidRPr="00785F18" w:rsidRDefault="000740FA" w:rsidP="003B518B">
          <w:pPr>
            <w:rPr>
              <w:rStyle w:val="Huisstijl-Rubricering"/>
            </w:rPr>
          </w:pPr>
        </w:p>
      </w:tc>
      <w:tc>
        <w:tcPr>
          <w:tcW w:w="1392" w:type="dxa"/>
        </w:tcPr>
        <w:p w14:paraId="3A32B07D" w14:textId="77777777" w:rsidR="000740FA" w:rsidRPr="00785F18" w:rsidRDefault="005E7033" w:rsidP="003B518B">
          <w:pPr>
            <w:pStyle w:val="Huisstijl-Paginanummering"/>
            <w:jc w:val="right"/>
          </w:pPr>
          <w:fldSimple w:instr=" DOCPROPERTY  L_PAGE  \* MERGEFORMAT ">
            <w:r w:rsidR="000740FA">
              <w:t>Pagina</w:t>
            </w:r>
          </w:fldSimple>
          <w:r w:rsidR="000740FA" w:rsidRPr="00785F18">
            <w:t xml:space="preserve"> </w:t>
          </w:r>
          <w:r w:rsidR="000740FA" w:rsidRPr="00A908F9">
            <w:rPr>
              <w:rStyle w:val="PageNumber"/>
              <w:noProof w:val="0"/>
              <w:szCs w:val="13"/>
            </w:rPr>
            <w:fldChar w:fldCharType="begin"/>
          </w:r>
          <w:r w:rsidR="000740FA" w:rsidRPr="00A908F9">
            <w:rPr>
              <w:rStyle w:val="PageNumber"/>
              <w:noProof w:val="0"/>
              <w:szCs w:val="13"/>
            </w:rPr>
            <w:instrText xml:space="preserve"> PAGE </w:instrText>
          </w:r>
          <w:r w:rsidR="000740FA" w:rsidRPr="00A908F9">
            <w:rPr>
              <w:rStyle w:val="PageNumber"/>
              <w:noProof w:val="0"/>
              <w:szCs w:val="13"/>
            </w:rPr>
            <w:fldChar w:fldCharType="separate"/>
          </w:r>
          <w:r w:rsidR="00F8779B">
            <w:rPr>
              <w:rStyle w:val="PageNumber"/>
              <w:szCs w:val="13"/>
            </w:rPr>
            <w:t>2</w:t>
          </w:r>
          <w:r w:rsidR="000740FA" w:rsidRPr="00A908F9">
            <w:rPr>
              <w:rStyle w:val="PageNumber"/>
              <w:noProof w:val="0"/>
              <w:szCs w:val="13"/>
            </w:rPr>
            <w:fldChar w:fldCharType="end"/>
          </w:r>
          <w:r w:rsidR="000740FA" w:rsidRPr="00785F18">
            <w:t xml:space="preserve"> </w:t>
          </w:r>
          <w:fldSimple w:instr=" DOCPROPERTY  L_PAGEOF  \* MERGEFORMAT ">
            <w:r w:rsidR="000740FA">
              <w:t>van</w:t>
            </w:r>
          </w:fldSimple>
          <w:r w:rsidR="000740FA" w:rsidRPr="00785F18">
            <w:t xml:space="preserve"> </w:t>
          </w:r>
          <w:fldSimple w:instr=" NUMPAGES   \* MERGEFORMAT ">
            <w:r w:rsidR="00F8779B">
              <w:t>3</w:t>
            </w:r>
          </w:fldSimple>
        </w:p>
      </w:tc>
    </w:tr>
  </w:tbl>
  <w:p w14:paraId="3A32B07F" w14:textId="77777777" w:rsidR="000740FA" w:rsidRPr="00785F18" w:rsidRDefault="000740FA" w:rsidP="003B518B">
    <w:pPr>
      <w:spacing w:line="240" w:lineRule="auto"/>
      <w:rPr>
        <w:sz w:val="2"/>
        <w:szCs w:val="2"/>
      </w:rPr>
    </w:pPr>
  </w:p>
  <w:p w14:paraId="3A32B080" w14:textId="77777777" w:rsidR="000740FA" w:rsidRPr="00785F18" w:rsidRDefault="000740FA" w:rsidP="003B518B">
    <w:pPr>
      <w:spacing w:line="240"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260"/>
      <w:gridCol w:w="1392"/>
    </w:tblGrid>
    <w:tr w:rsidR="000740FA" w:rsidRPr="00785F18" w14:paraId="3A32B093" w14:textId="77777777">
      <w:trPr>
        <w:trHeight w:hRule="exact" w:val="240"/>
      </w:trPr>
      <w:tc>
        <w:tcPr>
          <w:tcW w:w="6260" w:type="dxa"/>
          <w:shd w:val="clear" w:color="auto" w:fill="auto"/>
        </w:tcPr>
        <w:p w14:paraId="3A32B091" w14:textId="77777777" w:rsidR="000740FA" w:rsidRPr="00785F18" w:rsidRDefault="000740FA" w:rsidP="00B06D4B">
          <w:pPr>
            <w:rPr>
              <w:rStyle w:val="Huisstijl-Rubricering"/>
            </w:rPr>
          </w:pPr>
        </w:p>
      </w:tc>
      <w:tc>
        <w:tcPr>
          <w:tcW w:w="1392" w:type="dxa"/>
        </w:tcPr>
        <w:p w14:paraId="3A32B092" w14:textId="77777777" w:rsidR="000740FA" w:rsidRPr="00785F18" w:rsidRDefault="005E7033" w:rsidP="00B06D4B">
          <w:pPr>
            <w:pStyle w:val="Huisstijl-Paginanummering"/>
            <w:jc w:val="right"/>
          </w:pPr>
          <w:fldSimple w:instr=" DOCPROPERTY  L_PAGE  \* MERGEFORMAT ">
            <w:r w:rsidR="000740FA">
              <w:t>Pagina</w:t>
            </w:r>
          </w:fldSimple>
          <w:r w:rsidR="000740FA" w:rsidRPr="00785F18">
            <w:t xml:space="preserve"> </w:t>
          </w:r>
          <w:r w:rsidR="000740FA" w:rsidRPr="00A908F9">
            <w:rPr>
              <w:rStyle w:val="PageNumber"/>
              <w:noProof w:val="0"/>
              <w:szCs w:val="13"/>
            </w:rPr>
            <w:fldChar w:fldCharType="begin"/>
          </w:r>
          <w:r w:rsidR="000740FA" w:rsidRPr="00A908F9">
            <w:rPr>
              <w:rStyle w:val="PageNumber"/>
              <w:noProof w:val="0"/>
              <w:szCs w:val="13"/>
            </w:rPr>
            <w:instrText xml:space="preserve"> PAGE </w:instrText>
          </w:r>
          <w:r w:rsidR="000740FA" w:rsidRPr="00A908F9">
            <w:rPr>
              <w:rStyle w:val="PageNumber"/>
              <w:noProof w:val="0"/>
              <w:szCs w:val="13"/>
            </w:rPr>
            <w:fldChar w:fldCharType="separate"/>
          </w:r>
          <w:r w:rsidR="00F8779B">
            <w:rPr>
              <w:rStyle w:val="PageNumber"/>
              <w:szCs w:val="13"/>
            </w:rPr>
            <w:t>1</w:t>
          </w:r>
          <w:r w:rsidR="000740FA" w:rsidRPr="00A908F9">
            <w:rPr>
              <w:rStyle w:val="PageNumber"/>
              <w:noProof w:val="0"/>
              <w:szCs w:val="13"/>
            </w:rPr>
            <w:fldChar w:fldCharType="end"/>
          </w:r>
          <w:r w:rsidR="000740FA" w:rsidRPr="00785F18">
            <w:t xml:space="preserve"> </w:t>
          </w:r>
          <w:fldSimple w:instr=" DOCPROPERTY  L_PAGEOF  \* MERGEFORMAT ">
            <w:r w:rsidR="000740FA">
              <w:t>van</w:t>
            </w:r>
          </w:fldSimple>
          <w:r w:rsidR="000740FA" w:rsidRPr="00785F18">
            <w:t xml:space="preserve"> </w:t>
          </w:r>
          <w:fldSimple w:instr=" NUMPAGES   \* MERGEFORMAT ">
            <w:r w:rsidR="00F8779B">
              <w:t>3</w:t>
            </w:r>
          </w:fldSimple>
        </w:p>
      </w:tc>
    </w:tr>
  </w:tbl>
  <w:p w14:paraId="3A32B094" w14:textId="77777777" w:rsidR="000740FA" w:rsidRPr="00785F18" w:rsidRDefault="000740FA" w:rsidP="00101F98">
    <w:pPr>
      <w:spacing w:line="240" w:lineRule="auto"/>
      <w:rPr>
        <w:sz w:val="2"/>
        <w:szCs w:val="2"/>
      </w:rPr>
    </w:pPr>
  </w:p>
  <w:p w14:paraId="3A32B095" w14:textId="77777777" w:rsidR="000740FA" w:rsidRPr="00785F18" w:rsidRDefault="000740FA" w:rsidP="0039744C">
    <w:pPr>
      <w:spacing w:line="240"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AD28C5" w14:textId="77777777" w:rsidR="000740FA" w:rsidRPr="00B35331" w:rsidRDefault="000740FA" w:rsidP="00B35331">
      <w:pPr>
        <w:pStyle w:val="Footer"/>
      </w:pPr>
    </w:p>
  </w:footnote>
  <w:footnote w:type="continuationSeparator" w:id="0">
    <w:p w14:paraId="7FFC9A23" w14:textId="77777777" w:rsidR="000740FA" w:rsidRDefault="000740FA">
      <w:r>
        <w:continuationSeparator/>
      </w:r>
    </w:p>
    <w:p w14:paraId="18B23DBC" w14:textId="77777777" w:rsidR="000740FA" w:rsidRDefault="000740FA"/>
    <w:p w14:paraId="08F719DC" w14:textId="77777777" w:rsidR="000740FA" w:rsidRDefault="000740FA"/>
  </w:footnote>
  <w:footnote w:type="continuationNotice" w:id="1">
    <w:p w14:paraId="61B4ED67" w14:textId="77777777" w:rsidR="000740FA" w:rsidRDefault="000740FA">
      <w:pPr>
        <w:spacing w:line="240" w:lineRule="auto"/>
      </w:pPr>
    </w:p>
  </w:footnote>
  <w:footnote w:id="2">
    <w:p w14:paraId="3A32B09C" w14:textId="77777777" w:rsidR="000740FA" w:rsidRDefault="000740FA" w:rsidP="005150FC">
      <w:pPr>
        <w:pStyle w:val="FootnoteText"/>
      </w:pPr>
      <w:r>
        <w:rPr>
          <w:rStyle w:val="FootnoteReference"/>
        </w:rPr>
        <w:footnoteRef/>
      </w:r>
      <w:r>
        <w:t xml:space="preserve"> </w:t>
      </w:r>
      <w:r>
        <w:tab/>
        <w:t xml:space="preserve">Binnen MOPAN evalueert Nederland samen met 18 gelijkgezinde landen het functioneren van VN organisaties en Internationale Financiële Instellingen. Vanaf 2015 worden, per keer, in een tweejaarlijkse cyclus, ongeveer 13 organisaties doorgelicht op organisatorisch functioneren en ontwikkelingseffectiviteit. </w:t>
      </w:r>
    </w:p>
  </w:footnote>
  <w:footnote w:id="3">
    <w:p w14:paraId="3A32B09E" w14:textId="77777777" w:rsidR="000740FA" w:rsidRDefault="000740FA">
      <w:pPr>
        <w:pStyle w:val="FootnoteText"/>
      </w:pPr>
      <w:r>
        <w:rPr>
          <w:rStyle w:val="FootnoteReference"/>
        </w:rPr>
        <w:footnoteRef/>
      </w:r>
      <w:r>
        <w:t xml:space="preserve"> Berekend over 5 en 10 jarig gemiddelde.</w:t>
      </w:r>
    </w:p>
  </w:footnote>
  <w:footnote w:id="4">
    <w:p w14:paraId="06F6D587" w14:textId="77777777" w:rsidR="000740FA" w:rsidRDefault="000740FA" w:rsidP="00B6771F">
      <w:pPr>
        <w:pStyle w:val="FootnoteText"/>
      </w:pPr>
      <w:r>
        <w:rPr>
          <w:rStyle w:val="FootnoteReference"/>
        </w:rPr>
        <w:footnoteRef/>
      </w:r>
      <w:r>
        <w:t xml:space="preserve"> </w:t>
      </w:r>
      <w:r w:rsidRPr="002F0EB8">
        <w:t>Kiesgroeplanden zijn naast Nederland; Armenië, Bosnië-Herzegovina, Bulgarije, Cy</w:t>
      </w:r>
      <w:r>
        <w:t xml:space="preserve">prus, Georgië, Kroatië, Israël, </w:t>
      </w:r>
      <w:r w:rsidRPr="002F0EB8">
        <w:t>Macedonië, Moldavië, Montenegro, Oekraïne en Roemenië.</w:t>
      </w:r>
    </w:p>
  </w:footnote>
  <w:footnote w:id="5">
    <w:p w14:paraId="1EE7763B" w14:textId="52C4E2B7" w:rsidR="000740FA" w:rsidRPr="00031ACD" w:rsidRDefault="000740FA" w:rsidP="0082726D">
      <w:pPr>
        <w:pStyle w:val="FootnoteText"/>
      </w:pPr>
      <w:r>
        <w:rPr>
          <w:rStyle w:val="FootnoteReference"/>
        </w:rPr>
        <w:footnoteRef/>
      </w:r>
      <w:r w:rsidRPr="008E2EE1">
        <w:t xml:space="preserve"> </w:t>
      </w:r>
      <w:r>
        <w:t>De</w:t>
      </w:r>
      <w:r w:rsidRPr="008E2EE1">
        <w:t xml:space="preserve"> </w:t>
      </w:r>
      <w:r w:rsidRPr="003D064A">
        <w:rPr>
          <w:i/>
        </w:rPr>
        <w:t>Independent Evaluation Group</w:t>
      </w:r>
      <w:r w:rsidRPr="008E2EE1">
        <w:t xml:space="preserve"> (IEG)</w:t>
      </w:r>
      <w:r>
        <w:t xml:space="preserve"> is </w:t>
      </w:r>
      <w:r w:rsidRPr="008E2EE1">
        <w:t>de interne en onafhankelijke</w:t>
      </w:r>
      <w:r>
        <w:t xml:space="preserve"> </w:t>
      </w:r>
      <w:r w:rsidRPr="00031ACD">
        <w:t>evaluatiedienst van de Wereldbank.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2B06F" w14:textId="77777777" w:rsidR="000740FA" w:rsidRPr="00785F18" w:rsidRDefault="000740FA">
    <w:pPr>
      <w:pStyle w:val="Header"/>
    </w:pPr>
  </w:p>
  <w:p w14:paraId="3A32B070" w14:textId="77777777" w:rsidR="000740FA" w:rsidRPr="00785F18" w:rsidRDefault="000740FA"/>
  <w:p w14:paraId="3A32B071" w14:textId="77777777" w:rsidR="000740FA" w:rsidRPr="00785F18" w:rsidRDefault="000740F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2B072" w14:textId="77777777" w:rsidR="000740FA" w:rsidRPr="00785F18" w:rsidRDefault="000740FA" w:rsidP="000C0FB6">
    <w:pPr>
      <w:pStyle w:val="Header"/>
      <w:rPr>
        <w:rStyle w:val="Huisstijl-Koptekst"/>
      </w:rPr>
    </w:pPr>
  </w:p>
  <w:tbl>
    <w:tblPr>
      <w:tblW w:w="7520" w:type="dxa"/>
      <w:tblLayout w:type="fixed"/>
      <w:tblCellMar>
        <w:left w:w="0" w:type="dxa"/>
        <w:right w:w="0" w:type="dxa"/>
      </w:tblCellMar>
      <w:tblLook w:val="0000" w:firstRow="0" w:lastRow="0" w:firstColumn="0" w:lastColumn="0" w:noHBand="0" w:noVBand="0"/>
    </w:tblPr>
    <w:tblGrid>
      <w:gridCol w:w="7520"/>
    </w:tblGrid>
    <w:tr w:rsidR="000740FA" w:rsidRPr="008517DE" w14:paraId="3A32B074" w14:textId="77777777">
      <w:trPr>
        <w:trHeight w:val="400"/>
      </w:trPr>
      <w:tc>
        <w:tcPr>
          <w:tcW w:w="7520" w:type="dxa"/>
          <w:shd w:val="clear" w:color="auto" w:fill="auto"/>
        </w:tcPr>
        <w:p w14:paraId="3A32B073" w14:textId="34715218" w:rsidR="000740FA" w:rsidRPr="008517DE" w:rsidRDefault="000740FA" w:rsidP="003E0A8A">
          <w:pPr>
            <w:adjustRightInd w:val="0"/>
            <w:spacing w:line="180" w:lineRule="exact"/>
            <w:rPr>
              <w:sz w:val="13"/>
              <w:lang w:val="en-GB"/>
            </w:rPr>
          </w:pPr>
          <w:r>
            <w:rPr>
              <w:rStyle w:val="Huisstijl-Koptekst"/>
            </w:rPr>
            <w:fldChar w:fldCharType="begin"/>
          </w:r>
          <w:r>
            <w:rPr>
              <w:rStyle w:val="Huisstijl-Koptekst"/>
            </w:rPr>
            <w:instrText xml:space="preserve"> Titel </w:instrText>
          </w:r>
          <w:r>
            <w:rPr>
              <w:rStyle w:val="Huisstijl-Koptekst"/>
            </w:rPr>
            <w:fldChar w:fldCharType="separate"/>
          </w:r>
          <w:r w:rsidRPr="005F6AB0">
            <w:rPr>
              <w:lang w:val="en-US"/>
            </w:rPr>
            <w:t>Scorecard</w:t>
          </w:r>
          <w:r>
            <w:rPr>
              <w:rStyle w:val="Huisstijl-Koptekst"/>
            </w:rPr>
            <w:fldChar w:fldCharType="end"/>
          </w:r>
          <w:r w:rsidRPr="008517DE">
            <w:rPr>
              <w:rStyle w:val="Huisstijl-Koptekst"/>
              <w:lang w:val="en-GB"/>
            </w:rPr>
            <w:t xml:space="preserve"> | </w:t>
          </w:r>
          <w:r>
            <w:rPr>
              <w:rStyle w:val="Huisstijl-Koptekst"/>
            </w:rPr>
            <w:t>IFC</w:t>
          </w:r>
        </w:p>
      </w:tc>
    </w:tr>
  </w:tbl>
  <w:p w14:paraId="3A32B075" w14:textId="77777777" w:rsidR="000740FA" w:rsidRPr="008517DE" w:rsidRDefault="000740FA" w:rsidP="000D7BB7">
    <w:pPr>
      <w:pStyle w:val="Header"/>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2B081" w14:textId="77777777" w:rsidR="000740FA" w:rsidRPr="00785F18" w:rsidRDefault="000740FA" w:rsidP="006E263E">
    <w:r>
      <w:rPr>
        <w:noProof/>
      </w:rPr>
      <mc:AlternateContent>
        <mc:Choice Requires="wps">
          <w:drawing>
            <wp:anchor distT="0" distB="0" distL="114300" distR="114300" simplePos="0" relativeHeight="251658240" behindDoc="0" locked="0" layoutInCell="1" allowOverlap="1" wp14:anchorId="3A32B09A" wp14:editId="3A32B09B">
              <wp:simplePos x="0" y="0"/>
              <wp:positionH relativeFrom="column">
                <wp:posOffset>1386840</wp:posOffset>
              </wp:positionH>
              <wp:positionV relativeFrom="page">
                <wp:posOffset>-87630</wp:posOffset>
              </wp:positionV>
              <wp:extent cx="4025900" cy="1746250"/>
              <wp:effectExtent l="0" t="0" r="0" b="635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0740FA" w14:paraId="3A32B0C4" w14:textId="77777777">
                            <w:trPr>
                              <w:trHeight w:val="2636"/>
                            </w:trPr>
                            <w:tc>
                              <w:tcPr>
                                <w:tcW w:w="737" w:type="dxa"/>
                                <w:shd w:val="clear" w:color="auto" w:fill="auto"/>
                              </w:tcPr>
                              <w:p w14:paraId="3A32B0C2" w14:textId="77777777" w:rsidR="000740FA" w:rsidRDefault="000740FA" w:rsidP="006E263E">
                                <w:pPr>
                                  <w:spacing w:line="240" w:lineRule="auto"/>
                                </w:pPr>
                                <w:r>
                                  <w:rPr>
                                    <w:noProof/>
                                  </w:rPr>
                                  <w:drawing>
                                    <wp:inline distT="0" distB="0" distL="0" distR="0" wp14:anchorId="3A32B0C6" wp14:editId="3A32B0C7">
                                      <wp:extent cx="466725" cy="1581150"/>
                                      <wp:effectExtent l="19050" t="0" r="9525" b="0"/>
                                      <wp:docPr id="4" name="Afbeelding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srcRect/>
                                              <a:stretch>
                                                <a:fillRect/>
                                              </a:stretch>
                                            </pic:blipFill>
                                            <pic:spPr bwMode="auto">
                                              <a:xfrm>
                                                <a:off x="0" y="0"/>
                                                <a:ext cx="466725" cy="1581150"/>
                                              </a:xfrm>
                                              <a:prstGeom prst="rect">
                                                <a:avLst/>
                                              </a:prstGeom>
                                              <a:noFill/>
                                              <a:ln w="9525">
                                                <a:noFill/>
                                                <a:miter lim="800000"/>
                                                <a:headEnd/>
                                                <a:tailEnd/>
                                              </a:ln>
                                            </pic:spPr>
                                          </pic:pic>
                                        </a:graphicData>
                                      </a:graphic>
                                    </wp:inline>
                                  </w:drawing>
                                </w:r>
                              </w:p>
                            </w:tc>
                            <w:tc>
                              <w:tcPr>
                                <w:tcW w:w="5383" w:type="dxa"/>
                                <w:shd w:val="clear" w:color="auto" w:fill="auto"/>
                              </w:tcPr>
                              <w:p w14:paraId="3A32B0C3" w14:textId="77777777" w:rsidR="000740FA" w:rsidRDefault="000740FA" w:rsidP="006E263E">
                                <w:pPr>
                                  <w:spacing w:line="240" w:lineRule="auto"/>
                                </w:pPr>
                                <w:r>
                                  <w:rPr>
                                    <w:noProof/>
                                  </w:rPr>
                                  <w:drawing>
                                    <wp:inline distT="0" distB="0" distL="0" distR="0" wp14:anchorId="3A32B0C8" wp14:editId="3A32B0C9">
                                      <wp:extent cx="2447925" cy="1657350"/>
                                      <wp:effectExtent l="19050" t="0" r="9525" b="0"/>
                                      <wp:docPr id="5" name="Afbeelding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srcRect/>
                                              <a:stretch>
                                                <a:fillRect/>
                                              </a:stretch>
                                            </pic:blipFill>
                                            <pic:spPr bwMode="auto">
                                              <a:xfrm>
                                                <a:off x="0" y="0"/>
                                                <a:ext cx="2447925" cy="1657350"/>
                                              </a:xfrm>
                                              <a:prstGeom prst="rect">
                                                <a:avLst/>
                                              </a:prstGeom>
                                              <a:noFill/>
                                              <a:ln w="9525">
                                                <a:noFill/>
                                                <a:miter lim="800000"/>
                                                <a:headEnd/>
                                                <a:tailEnd/>
                                              </a:ln>
                                            </pic:spPr>
                                          </pic:pic>
                                        </a:graphicData>
                                      </a:graphic>
                                    </wp:inline>
                                  </w:drawing>
                                </w:r>
                              </w:p>
                            </w:tc>
                          </w:tr>
                        </w:tbl>
                        <w:p w14:paraId="3A32B0C5" w14:textId="77777777" w:rsidR="000740FA" w:rsidRDefault="000740FA" w:rsidP="006E26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0740FA" w14:paraId="3A32B0C4" w14:textId="77777777">
                      <w:trPr>
                        <w:trHeight w:val="2636"/>
                      </w:trPr>
                      <w:tc>
                        <w:tcPr>
                          <w:tcW w:w="737" w:type="dxa"/>
                          <w:shd w:val="clear" w:color="auto" w:fill="auto"/>
                        </w:tcPr>
                        <w:p w14:paraId="3A32B0C2" w14:textId="77777777" w:rsidR="000740FA" w:rsidRDefault="000740FA" w:rsidP="006E263E">
                          <w:pPr>
                            <w:spacing w:line="240" w:lineRule="auto"/>
                          </w:pPr>
                          <w:r>
                            <w:rPr>
                              <w:noProof/>
                            </w:rPr>
                            <w:drawing>
                              <wp:inline distT="0" distB="0" distL="0" distR="0" wp14:anchorId="3A32B0C6" wp14:editId="3A32B0C7">
                                <wp:extent cx="466725" cy="1581150"/>
                                <wp:effectExtent l="19050" t="0" r="9525" b="0"/>
                                <wp:docPr id="4" name="Afbeelding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srcRect/>
                                        <a:stretch>
                                          <a:fillRect/>
                                        </a:stretch>
                                      </pic:blipFill>
                                      <pic:spPr bwMode="auto">
                                        <a:xfrm>
                                          <a:off x="0" y="0"/>
                                          <a:ext cx="466725" cy="1581150"/>
                                        </a:xfrm>
                                        <a:prstGeom prst="rect">
                                          <a:avLst/>
                                        </a:prstGeom>
                                        <a:noFill/>
                                        <a:ln w="9525">
                                          <a:noFill/>
                                          <a:miter lim="800000"/>
                                          <a:headEnd/>
                                          <a:tailEnd/>
                                        </a:ln>
                                      </pic:spPr>
                                    </pic:pic>
                                  </a:graphicData>
                                </a:graphic>
                              </wp:inline>
                            </w:drawing>
                          </w:r>
                        </w:p>
                      </w:tc>
                      <w:tc>
                        <w:tcPr>
                          <w:tcW w:w="5383" w:type="dxa"/>
                          <w:shd w:val="clear" w:color="auto" w:fill="auto"/>
                        </w:tcPr>
                        <w:p w14:paraId="3A32B0C3" w14:textId="77777777" w:rsidR="000740FA" w:rsidRDefault="000740FA" w:rsidP="006E263E">
                          <w:pPr>
                            <w:spacing w:line="240" w:lineRule="auto"/>
                          </w:pPr>
                          <w:r>
                            <w:rPr>
                              <w:noProof/>
                            </w:rPr>
                            <w:drawing>
                              <wp:inline distT="0" distB="0" distL="0" distR="0" wp14:anchorId="3A32B0C8" wp14:editId="3A32B0C9">
                                <wp:extent cx="2447925" cy="1657350"/>
                                <wp:effectExtent l="19050" t="0" r="9525" b="0"/>
                                <wp:docPr id="5" name="Afbeelding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srcRect/>
                                        <a:stretch>
                                          <a:fillRect/>
                                        </a:stretch>
                                      </pic:blipFill>
                                      <pic:spPr bwMode="auto">
                                        <a:xfrm>
                                          <a:off x="0" y="0"/>
                                          <a:ext cx="2447925" cy="1657350"/>
                                        </a:xfrm>
                                        <a:prstGeom prst="rect">
                                          <a:avLst/>
                                        </a:prstGeom>
                                        <a:noFill/>
                                        <a:ln w="9525">
                                          <a:noFill/>
                                          <a:miter lim="800000"/>
                                          <a:headEnd/>
                                          <a:tailEnd/>
                                        </a:ln>
                                      </pic:spPr>
                                    </pic:pic>
                                  </a:graphicData>
                                </a:graphic>
                              </wp:inline>
                            </w:drawing>
                          </w:r>
                        </w:p>
                      </w:tc>
                    </w:tr>
                  </w:tbl>
                  <w:p w14:paraId="3A32B0C5" w14:textId="77777777" w:rsidR="000740FA" w:rsidRDefault="000740FA" w:rsidP="006E263E"/>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0740FA" w:rsidRPr="00785F18" w14:paraId="3A32B083" w14:textId="77777777">
      <w:trPr>
        <w:cantSplit/>
        <w:trHeight w:hRule="exact" w:val="3340"/>
      </w:trPr>
      <w:tc>
        <w:tcPr>
          <w:tcW w:w="5640" w:type="dxa"/>
          <w:shd w:val="clear" w:color="auto" w:fill="auto"/>
        </w:tcPr>
        <w:p w14:paraId="3A32B082" w14:textId="77777777" w:rsidR="000740FA" w:rsidRPr="00785F18" w:rsidRDefault="000740FA" w:rsidP="00094B45">
          <w:pPr>
            <w:ind w:left="240" w:hanging="240"/>
          </w:pPr>
        </w:p>
      </w:tc>
    </w:tr>
    <w:tr w:rsidR="000740FA" w:rsidRPr="005023C2" w14:paraId="3A32B089" w14:textId="77777777">
      <w:trPr>
        <w:cantSplit/>
        <w:trHeight w:hRule="exact" w:val="1440"/>
      </w:trPr>
      <w:tc>
        <w:tcPr>
          <w:tcW w:w="5640" w:type="dxa"/>
          <w:shd w:val="clear" w:color="auto" w:fill="auto"/>
        </w:tcPr>
        <w:p w14:paraId="3A32B084" w14:textId="77777777" w:rsidR="000740FA" w:rsidRPr="00785F18" w:rsidRDefault="000740FA" w:rsidP="000C0FB6">
          <w:pPr>
            <w:rPr>
              <w:rStyle w:val="Huisstijl-Rubricering"/>
            </w:rPr>
          </w:pPr>
        </w:p>
        <w:p w14:paraId="3A32B085" w14:textId="77777777" w:rsidR="000740FA" w:rsidRPr="00785F18" w:rsidRDefault="000740FA" w:rsidP="000C0FB6">
          <w:pPr>
            <w:spacing w:line="180" w:lineRule="atLeast"/>
            <w:rPr>
              <w:rStyle w:val="Huisstijl-Rubricering"/>
            </w:rPr>
          </w:pPr>
        </w:p>
        <w:p w14:paraId="3A32B086" w14:textId="77777777" w:rsidR="000740FA" w:rsidRPr="005F6AB0" w:rsidRDefault="000740FA" w:rsidP="00B36546">
          <w:pPr>
            <w:pStyle w:val="Title"/>
            <w:rPr>
              <w:lang w:val="en-US"/>
            </w:rPr>
          </w:pPr>
          <w:bookmarkStart w:id="5" w:name="titel"/>
          <w:r w:rsidRPr="005F6AB0">
            <w:rPr>
              <w:lang w:val="en-US"/>
            </w:rPr>
            <w:t>Scorecard</w:t>
          </w:r>
          <w:bookmarkEnd w:id="5"/>
          <w:r w:rsidRPr="005F6AB0">
            <w:rPr>
              <w:lang w:val="en-US"/>
            </w:rPr>
            <w:t xml:space="preserve">  </w:t>
          </w:r>
          <w:r>
            <w:rPr>
              <w:rStyle w:val="SubtitleChar"/>
            </w:rPr>
            <w:t xml:space="preserve"> </w:t>
          </w:r>
          <w:r w:rsidRPr="005F6AB0">
            <w:rPr>
              <w:rStyle w:val="SubtitleChar"/>
              <w:lang w:val="en-US"/>
            </w:rPr>
            <w:t>IFC</w:t>
          </w:r>
        </w:p>
        <w:p w14:paraId="3A32B087" w14:textId="77777777" w:rsidR="000740FA" w:rsidRPr="00B36546" w:rsidRDefault="000740FA" w:rsidP="00B36546">
          <w:pPr>
            <w:rPr>
              <w:lang w:val="en-GB"/>
            </w:rPr>
          </w:pPr>
        </w:p>
        <w:p w14:paraId="3A32B088" w14:textId="77777777" w:rsidR="000740FA" w:rsidRPr="00B36546" w:rsidRDefault="000740FA" w:rsidP="00B36546">
          <w:pPr>
            <w:tabs>
              <w:tab w:val="left" w:pos="3281"/>
            </w:tabs>
            <w:rPr>
              <w:lang w:val="en-GB"/>
            </w:rPr>
          </w:pPr>
          <w:r w:rsidRPr="00B36546">
            <w:rPr>
              <w:lang w:val="en-GB"/>
            </w:rPr>
            <w:tab/>
          </w:r>
        </w:p>
      </w:tc>
    </w:tr>
    <w:tr w:rsidR="000740FA" w:rsidRPr="005023C2" w14:paraId="3A32B08B" w14:textId="77777777">
      <w:trPr>
        <w:cantSplit/>
        <w:trHeight w:hRule="exact" w:val="240"/>
      </w:trPr>
      <w:tc>
        <w:tcPr>
          <w:tcW w:w="5640" w:type="dxa"/>
          <w:shd w:val="clear" w:color="auto" w:fill="auto"/>
        </w:tcPr>
        <w:p w14:paraId="3A32B08A" w14:textId="77777777" w:rsidR="000740FA" w:rsidRPr="00B36546" w:rsidRDefault="000740FA" w:rsidP="00B60860">
          <w:pPr>
            <w:rPr>
              <w:lang w:val="en-GB"/>
            </w:rPr>
          </w:pPr>
        </w:p>
      </w:tc>
    </w:tr>
    <w:tr w:rsidR="000740FA" w:rsidRPr="005023C2" w14:paraId="3A32B08D" w14:textId="77777777">
      <w:trPr>
        <w:cantSplit/>
        <w:trHeight w:hRule="exact" w:val="480"/>
      </w:trPr>
      <w:tc>
        <w:tcPr>
          <w:tcW w:w="5640" w:type="dxa"/>
          <w:shd w:val="clear" w:color="auto" w:fill="auto"/>
        </w:tcPr>
        <w:p w14:paraId="3A32B08C" w14:textId="77777777" w:rsidR="000740FA" w:rsidRPr="00B36546" w:rsidRDefault="000740FA" w:rsidP="00EF0ED5">
          <w:pPr>
            <w:rPr>
              <w:lang w:val="en-GB"/>
            </w:rPr>
          </w:pPr>
        </w:p>
      </w:tc>
    </w:tr>
  </w:tbl>
  <w:p w14:paraId="3A32B08E" w14:textId="77777777" w:rsidR="000740FA" w:rsidRPr="00B36546" w:rsidRDefault="000740FA">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19 juni 2015</w:t>
    </w:r>
  </w:p>
  <w:p w14:paraId="3A32B08F" w14:textId="77777777" w:rsidR="000740FA" w:rsidRPr="00B36546" w:rsidRDefault="000740FA">
    <w:pPr>
      <w:rPr>
        <w:lang w:val="en-GB"/>
      </w:rPr>
    </w:pPr>
  </w:p>
  <w:p w14:paraId="3A32B090" w14:textId="77777777" w:rsidR="000740FA" w:rsidRPr="00785F18" w:rsidRDefault="000740FA" w:rsidP="0006027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2B096" w14:textId="77777777" w:rsidR="000740FA" w:rsidRPr="00785F18" w:rsidRDefault="000740FA" w:rsidP="00E51959">
    <w:pPr>
      <w:pStyle w:val="Header"/>
      <w:rPr>
        <w:rStyle w:val="Huisstijl-Koptekst"/>
      </w:rPr>
    </w:pPr>
  </w:p>
  <w:tbl>
    <w:tblPr>
      <w:tblW w:w="7520" w:type="dxa"/>
      <w:tblLayout w:type="fixed"/>
      <w:tblCellMar>
        <w:left w:w="0" w:type="dxa"/>
        <w:right w:w="0" w:type="dxa"/>
      </w:tblCellMar>
      <w:tblLook w:val="0000" w:firstRow="0" w:lastRow="0" w:firstColumn="0" w:lastColumn="0" w:noHBand="0" w:noVBand="0"/>
    </w:tblPr>
    <w:tblGrid>
      <w:gridCol w:w="7520"/>
    </w:tblGrid>
    <w:tr w:rsidR="000740FA" w:rsidRPr="008517DE" w14:paraId="3A32B098" w14:textId="77777777">
      <w:trPr>
        <w:trHeight w:val="400"/>
      </w:trPr>
      <w:tc>
        <w:tcPr>
          <w:tcW w:w="7520" w:type="dxa"/>
          <w:shd w:val="clear" w:color="auto" w:fill="auto"/>
        </w:tcPr>
        <w:p w14:paraId="3A32B097" w14:textId="12FF4E56" w:rsidR="000740FA" w:rsidRPr="008517DE" w:rsidRDefault="005E7033" w:rsidP="00B06D4B">
          <w:pPr>
            <w:adjustRightInd w:val="0"/>
            <w:spacing w:line="180" w:lineRule="exact"/>
            <w:rPr>
              <w:sz w:val="13"/>
              <w:lang w:val="en-GB"/>
            </w:rPr>
          </w:pPr>
          <w:fldSimple w:instr=" REF  titel  \* MERGEFORMAT ">
            <w:r w:rsidR="000740FA" w:rsidRPr="003D064A">
              <w:rPr>
                <w:rStyle w:val="Huisstijl-Koptekst"/>
                <w:sz w:val="18"/>
                <w:szCs w:val="18"/>
                <w:lang w:val="en-GB"/>
              </w:rPr>
              <w:t>Scorecard</w:t>
            </w:r>
          </w:fldSimple>
          <w:r w:rsidR="000740FA" w:rsidRPr="007B163C">
            <w:rPr>
              <w:rStyle w:val="Huisstijl-Koptekst"/>
              <w:lang w:val="en-GB"/>
            </w:rPr>
            <w:t xml:space="preserve"> | </w:t>
          </w:r>
          <w:r w:rsidR="000740FA">
            <w:rPr>
              <w:rStyle w:val="Huisstijl-Koptekst"/>
              <w:lang w:val="en-GB"/>
            </w:rPr>
            <w:t>Organisatie</w:t>
          </w:r>
          <w:r w:rsidR="000740FA" w:rsidRPr="008517DE">
            <w:rPr>
              <w:sz w:val="13"/>
              <w:lang w:val="en-GB"/>
            </w:rPr>
            <w:t xml:space="preserve"> </w:t>
          </w:r>
        </w:p>
      </w:tc>
    </w:tr>
  </w:tbl>
  <w:p w14:paraId="3A32B099" w14:textId="77777777" w:rsidR="000740FA" w:rsidRPr="008517DE" w:rsidRDefault="000740FA" w:rsidP="00E51959">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nsid w:val="038125C0"/>
    <w:multiLevelType w:val="hybridMultilevel"/>
    <w:tmpl w:val="C17064F0"/>
    <w:lvl w:ilvl="0" w:tplc="0950C352">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03BB5F57"/>
    <w:multiLevelType w:val="multilevel"/>
    <w:tmpl w:val="5AEEDE88"/>
    <w:numStyleLink w:val="StyleBulleted"/>
  </w:abstractNum>
  <w:abstractNum w:abstractNumId="3">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4">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0D551B5A"/>
    <w:multiLevelType w:val="hybridMultilevel"/>
    <w:tmpl w:val="EACACA1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7">
    <w:nsid w:val="13100EB3"/>
    <w:multiLevelType w:val="hybridMultilevel"/>
    <w:tmpl w:val="D514DF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1623655D"/>
    <w:multiLevelType w:val="multilevel"/>
    <w:tmpl w:val="5AEEDE88"/>
    <w:numStyleLink w:val="StyleBulleted"/>
  </w:abstractNum>
  <w:abstractNum w:abstractNumId="9">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178A42C2"/>
    <w:multiLevelType w:val="multilevel"/>
    <w:tmpl w:val="9EC80DE4"/>
    <w:lvl w:ilvl="0">
      <w:numFmt w:val="bullet"/>
      <w:lvlText w:val="-"/>
      <w:lvlJc w:val="left"/>
      <w:pPr>
        <w:tabs>
          <w:tab w:val="num" w:pos="227"/>
        </w:tabs>
        <w:ind w:left="227" w:hanging="227"/>
      </w:pPr>
      <w:rPr>
        <w:rFonts w:ascii="Verdana" w:eastAsia="Times New Roman" w:hAnsi="Verdana" w:cs="Times New Roman"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11">
    <w:nsid w:val="1A5A20BC"/>
    <w:multiLevelType w:val="multilevel"/>
    <w:tmpl w:val="5AEEDE88"/>
    <w:numStyleLink w:val="StyleBulleted"/>
  </w:abstractNum>
  <w:abstractNum w:abstractNumId="12">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4">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nsid w:val="1FFC30E3"/>
    <w:multiLevelType w:val="hybridMultilevel"/>
    <w:tmpl w:val="7E503F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22F82FF2"/>
    <w:multiLevelType w:val="multilevel"/>
    <w:tmpl w:val="5AEEDE88"/>
    <w:numStyleLink w:val="StyleBulleted"/>
  </w:abstractNum>
  <w:abstractNum w:abstractNumId="17">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2B0926F3"/>
    <w:multiLevelType w:val="hybridMultilevel"/>
    <w:tmpl w:val="BF3CFB44"/>
    <w:lvl w:ilvl="0" w:tplc="04130001">
      <w:start w:val="1"/>
      <w:numFmt w:val="bullet"/>
      <w:lvlText w:val=""/>
      <w:lvlJc w:val="left"/>
      <w:pPr>
        <w:ind w:left="945" w:hanging="360"/>
      </w:pPr>
      <w:rPr>
        <w:rFonts w:ascii="Symbol" w:hAnsi="Symbol" w:hint="default"/>
      </w:rPr>
    </w:lvl>
    <w:lvl w:ilvl="1" w:tplc="04130003" w:tentative="1">
      <w:start w:val="1"/>
      <w:numFmt w:val="bullet"/>
      <w:lvlText w:val="o"/>
      <w:lvlJc w:val="left"/>
      <w:pPr>
        <w:ind w:left="1665" w:hanging="360"/>
      </w:pPr>
      <w:rPr>
        <w:rFonts w:ascii="Courier New" w:hAnsi="Courier New" w:cs="Courier New" w:hint="default"/>
      </w:rPr>
    </w:lvl>
    <w:lvl w:ilvl="2" w:tplc="04130005" w:tentative="1">
      <w:start w:val="1"/>
      <w:numFmt w:val="bullet"/>
      <w:lvlText w:val=""/>
      <w:lvlJc w:val="left"/>
      <w:pPr>
        <w:ind w:left="2385" w:hanging="360"/>
      </w:pPr>
      <w:rPr>
        <w:rFonts w:ascii="Wingdings" w:hAnsi="Wingdings" w:hint="default"/>
      </w:rPr>
    </w:lvl>
    <w:lvl w:ilvl="3" w:tplc="04130001" w:tentative="1">
      <w:start w:val="1"/>
      <w:numFmt w:val="bullet"/>
      <w:lvlText w:val=""/>
      <w:lvlJc w:val="left"/>
      <w:pPr>
        <w:ind w:left="3105" w:hanging="360"/>
      </w:pPr>
      <w:rPr>
        <w:rFonts w:ascii="Symbol" w:hAnsi="Symbol" w:hint="default"/>
      </w:rPr>
    </w:lvl>
    <w:lvl w:ilvl="4" w:tplc="04130003" w:tentative="1">
      <w:start w:val="1"/>
      <w:numFmt w:val="bullet"/>
      <w:lvlText w:val="o"/>
      <w:lvlJc w:val="left"/>
      <w:pPr>
        <w:ind w:left="3825" w:hanging="360"/>
      </w:pPr>
      <w:rPr>
        <w:rFonts w:ascii="Courier New" w:hAnsi="Courier New" w:cs="Courier New" w:hint="default"/>
      </w:rPr>
    </w:lvl>
    <w:lvl w:ilvl="5" w:tplc="04130005" w:tentative="1">
      <w:start w:val="1"/>
      <w:numFmt w:val="bullet"/>
      <w:lvlText w:val=""/>
      <w:lvlJc w:val="left"/>
      <w:pPr>
        <w:ind w:left="4545" w:hanging="360"/>
      </w:pPr>
      <w:rPr>
        <w:rFonts w:ascii="Wingdings" w:hAnsi="Wingdings" w:hint="default"/>
      </w:rPr>
    </w:lvl>
    <w:lvl w:ilvl="6" w:tplc="04130001" w:tentative="1">
      <w:start w:val="1"/>
      <w:numFmt w:val="bullet"/>
      <w:lvlText w:val=""/>
      <w:lvlJc w:val="left"/>
      <w:pPr>
        <w:ind w:left="5265" w:hanging="360"/>
      </w:pPr>
      <w:rPr>
        <w:rFonts w:ascii="Symbol" w:hAnsi="Symbol" w:hint="default"/>
      </w:rPr>
    </w:lvl>
    <w:lvl w:ilvl="7" w:tplc="04130003" w:tentative="1">
      <w:start w:val="1"/>
      <w:numFmt w:val="bullet"/>
      <w:lvlText w:val="o"/>
      <w:lvlJc w:val="left"/>
      <w:pPr>
        <w:ind w:left="5985" w:hanging="360"/>
      </w:pPr>
      <w:rPr>
        <w:rFonts w:ascii="Courier New" w:hAnsi="Courier New" w:cs="Courier New" w:hint="default"/>
      </w:rPr>
    </w:lvl>
    <w:lvl w:ilvl="8" w:tplc="04130005" w:tentative="1">
      <w:start w:val="1"/>
      <w:numFmt w:val="bullet"/>
      <w:lvlText w:val=""/>
      <w:lvlJc w:val="left"/>
      <w:pPr>
        <w:ind w:left="6705" w:hanging="360"/>
      </w:pPr>
      <w:rPr>
        <w:rFonts w:ascii="Wingdings" w:hAnsi="Wingdings" w:hint="default"/>
      </w:rPr>
    </w:lvl>
  </w:abstractNum>
  <w:abstractNum w:abstractNumId="19">
    <w:nsid w:val="314B3604"/>
    <w:multiLevelType w:val="hybridMultilevel"/>
    <w:tmpl w:val="F1EA509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1">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2">
    <w:nsid w:val="373A5FA0"/>
    <w:multiLevelType w:val="hybridMultilevel"/>
    <w:tmpl w:val="1834062C"/>
    <w:lvl w:ilvl="0" w:tplc="CD8C06B2">
      <w:start w:val="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387F1B6E"/>
    <w:multiLevelType w:val="hybridMultilevel"/>
    <w:tmpl w:val="D4600014"/>
    <w:lvl w:ilvl="0" w:tplc="3BBE7208">
      <w:start w:val="1"/>
      <w:numFmt w:val="decimal"/>
      <w:lvlText w:val="%1.)"/>
      <w:lvlJc w:val="left"/>
      <w:pPr>
        <w:ind w:left="720" w:hanging="360"/>
      </w:pPr>
      <w:rPr>
        <w:rFonts w:ascii="Verdana" w:eastAsia="Times New Roman" w:hAnsi="Verdana" w:cs="Times New Roman"/>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6">
    <w:nsid w:val="408335F4"/>
    <w:multiLevelType w:val="multilevel"/>
    <w:tmpl w:val="5AEEDE88"/>
    <w:numStyleLink w:val="StyleBulleted"/>
  </w:abstractNum>
  <w:abstractNum w:abstractNumId="27">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8">
    <w:nsid w:val="52E433A2"/>
    <w:multiLevelType w:val="hybridMultilevel"/>
    <w:tmpl w:val="AFFAA1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5D750EE7"/>
    <w:multiLevelType w:val="multilevel"/>
    <w:tmpl w:val="5AEEDE88"/>
    <w:numStyleLink w:val="StyleBulleted"/>
  </w:abstractNum>
  <w:abstractNum w:abstractNumId="30">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31">
    <w:nsid w:val="63404D5D"/>
    <w:multiLevelType w:val="multilevel"/>
    <w:tmpl w:val="5AEEDE88"/>
    <w:numStyleLink w:val="StyleBulleted"/>
  </w:abstractNum>
  <w:abstractNum w:abstractNumId="32">
    <w:nsid w:val="63A20AAC"/>
    <w:multiLevelType w:val="multilevel"/>
    <w:tmpl w:val="5AEEDE88"/>
    <w:numStyleLink w:val="StyleBulleted"/>
  </w:abstractNum>
  <w:abstractNum w:abstractNumId="33">
    <w:nsid w:val="641004AC"/>
    <w:multiLevelType w:val="hybridMultilevel"/>
    <w:tmpl w:val="C4C8CA3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35">
    <w:nsid w:val="685F607F"/>
    <w:multiLevelType w:val="hybridMultilevel"/>
    <w:tmpl w:val="ED1A91D8"/>
    <w:lvl w:ilvl="0" w:tplc="F56250E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nsid w:val="68DC7EF3"/>
    <w:multiLevelType w:val="hybridMultilevel"/>
    <w:tmpl w:val="EBA24812"/>
    <w:lvl w:ilvl="0" w:tplc="ECDA17DC">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8">
    <w:nsid w:val="6D193965"/>
    <w:multiLevelType w:val="multilevel"/>
    <w:tmpl w:val="5AEEDE88"/>
    <w:numStyleLink w:val="StyleBulleted"/>
  </w:abstractNum>
  <w:abstractNum w:abstractNumId="39">
    <w:nsid w:val="6E324EA3"/>
    <w:multiLevelType w:val="hybridMultilevel"/>
    <w:tmpl w:val="EBC8E7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nsid w:val="6E4B127A"/>
    <w:multiLevelType w:val="hybridMultilevel"/>
    <w:tmpl w:val="2D28D956"/>
    <w:lvl w:ilvl="0" w:tplc="32F66F70">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nsid w:val="6F1B2CBC"/>
    <w:multiLevelType w:val="multilevel"/>
    <w:tmpl w:val="5AEEDE88"/>
    <w:numStyleLink w:val="StyleBulleted"/>
  </w:abstractNum>
  <w:abstractNum w:abstractNumId="42">
    <w:nsid w:val="737656D5"/>
    <w:multiLevelType w:val="hybridMultilevel"/>
    <w:tmpl w:val="17020EC6"/>
    <w:lvl w:ilvl="0" w:tplc="EC1C800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nsid w:val="762829F2"/>
    <w:multiLevelType w:val="hybridMultilevel"/>
    <w:tmpl w:val="925C81E8"/>
    <w:lvl w:ilvl="0" w:tplc="32F66F70">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4">
    <w:nsid w:val="76E6319D"/>
    <w:multiLevelType w:val="hybridMultilevel"/>
    <w:tmpl w:val="FD46EBA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46">
    <w:nsid w:val="77DC0687"/>
    <w:multiLevelType w:val="hybridMultilevel"/>
    <w:tmpl w:val="8FF4E9E2"/>
    <w:lvl w:ilvl="0" w:tplc="3EDE411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nsid w:val="7E084C3A"/>
    <w:multiLevelType w:val="hybridMultilevel"/>
    <w:tmpl w:val="8A869E6A"/>
    <w:lvl w:ilvl="0" w:tplc="A4060418">
      <w:start w:val="2"/>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0"/>
  </w:num>
  <w:num w:numId="2">
    <w:abstractNumId w:val="34"/>
  </w:num>
  <w:num w:numId="3">
    <w:abstractNumId w:val="25"/>
  </w:num>
  <w:num w:numId="4">
    <w:abstractNumId w:val="0"/>
  </w:num>
  <w:num w:numId="5">
    <w:abstractNumId w:val="37"/>
  </w:num>
  <w:num w:numId="6">
    <w:abstractNumId w:val="3"/>
  </w:num>
  <w:num w:numId="7">
    <w:abstractNumId w:val="14"/>
  </w:num>
  <w:num w:numId="8">
    <w:abstractNumId w:val="41"/>
  </w:num>
  <w:num w:numId="9">
    <w:abstractNumId w:val="32"/>
  </w:num>
  <w:num w:numId="10">
    <w:abstractNumId w:val="16"/>
  </w:num>
  <w:num w:numId="11">
    <w:abstractNumId w:val="8"/>
  </w:num>
  <w:num w:numId="12">
    <w:abstractNumId w:val="38"/>
  </w:num>
  <w:num w:numId="13">
    <w:abstractNumId w:val="21"/>
  </w:num>
  <w:num w:numId="14">
    <w:abstractNumId w:val="2"/>
  </w:num>
  <w:num w:numId="15">
    <w:abstractNumId w:val="11"/>
  </w:num>
  <w:num w:numId="16">
    <w:abstractNumId w:val="31"/>
  </w:num>
  <w:num w:numId="17">
    <w:abstractNumId w:val="26"/>
  </w:num>
  <w:num w:numId="18">
    <w:abstractNumId w:val="29"/>
  </w:num>
  <w:num w:numId="19">
    <w:abstractNumId w:val="20"/>
  </w:num>
  <w:num w:numId="20">
    <w:abstractNumId w:val="45"/>
  </w:num>
  <w:num w:numId="21">
    <w:abstractNumId w:val="6"/>
  </w:num>
  <w:num w:numId="22">
    <w:abstractNumId w:val="27"/>
  </w:num>
  <w:num w:numId="23">
    <w:abstractNumId w:val="47"/>
  </w:num>
  <w:num w:numId="24">
    <w:abstractNumId w:val="17"/>
  </w:num>
  <w:num w:numId="25">
    <w:abstractNumId w:val="17"/>
  </w:num>
  <w:num w:numId="26">
    <w:abstractNumId w:val="13"/>
  </w:num>
  <w:num w:numId="27">
    <w:abstractNumId w:val="12"/>
  </w:num>
  <w:num w:numId="28">
    <w:abstractNumId w:val="9"/>
  </w:num>
  <w:num w:numId="29">
    <w:abstractNumId w:val="7"/>
  </w:num>
  <w:num w:numId="30">
    <w:abstractNumId w:val="4"/>
  </w:num>
  <w:num w:numId="31">
    <w:abstractNumId w:val="24"/>
  </w:num>
  <w:num w:numId="32">
    <w:abstractNumId w:val="39"/>
  </w:num>
  <w:num w:numId="33">
    <w:abstractNumId w:val="33"/>
  </w:num>
  <w:num w:numId="34">
    <w:abstractNumId w:val="23"/>
  </w:num>
  <w:num w:numId="35">
    <w:abstractNumId w:val="28"/>
  </w:num>
  <w:num w:numId="36">
    <w:abstractNumId w:val="15"/>
  </w:num>
  <w:num w:numId="37">
    <w:abstractNumId w:val="22"/>
  </w:num>
  <w:num w:numId="38">
    <w:abstractNumId w:val="42"/>
  </w:num>
  <w:num w:numId="39">
    <w:abstractNumId w:val="35"/>
  </w:num>
  <w:num w:numId="40">
    <w:abstractNumId w:val="46"/>
  </w:num>
  <w:num w:numId="41">
    <w:abstractNumId w:val="18"/>
  </w:num>
  <w:num w:numId="42">
    <w:abstractNumId w:val="5"/>
  </w:num>
  <w:num w:numId="43">
    <w:abstractNumId w:val="19"/>
  </w:num>
  <w:num w:numId="44">
    <w:abstractNumId w:val="1"/>
  </w:num>
  <w:num w:numId="45">
    <w:abstractNumId w:val="43"/>
  </w:num>
  <w:num w:numId="46">
    <w:abstractNumId w:val="44"/>
  </w:num>
  <w:num w:numId="47">
    <w:abstractNumId w:val="40"/>
  </w:num>
  <w:num w:numId="48">
    <w:abstractNumId w:val="10"/>
  </w:num>
  <w:num w:numId="49">
    <w:abstractNumId w:val="48"/>
  </w:num>
  <w:num w:numId="50">
    <w:abstractNumId w:val="3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32769"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F18"/>
    <w:rsid w:val="0000367D"/>
    <w:rsid w:val="0000392E"/>
    <w:rsid w:val="00003A32"/>
    <w:rsid w:val="00005884"/>
    <w:rsid w:val="00006E47"/>
    <w:rsid w:val="0001095C"/>
    <w:rsid w:val="000114F8"/>
    <w:rsid w:val="00011A3E"/>
    <w:rsid w:val="00013196"/>
    <w:rsid w:val="000136B9"/>
    <w:rsid w:val="00020189"/>
    <w:rsid w:val="00020EE4"/>
    <w:rsid w:val="000227EB"/>
    <w:rsid w:val="000234D6"/>
    <w:rsid w:val="0002628D"/>
    <w:rsid w:val="00026447"/>
    <w:rsid w:val="0002695C"/>
    <w:rsid w:val="00027838"/>
    <w:rsid w:val="000304C1"/>
    <w:rsid w:val="00031268"/>
    <w:rsid w:val="00031ACD"/>
    <w:rsid w:val="00033419"/>
    <w:rsid w:val="00033426"/>
    <w:rsid w:val="00033950"/>
    <w:rsid w:val="00033E8D"/>
    <w:rsid w:val="00034A84"/>
    <w:rsid w:val="00035E67"/>
    <w:rsid w:val="0004192F"/>
    <w:rsid w:val="000422E7"/>
    <w:rsid w:val="00044809"/>
    <w:rsid w:val="00045A4F"/>
    <w:rsid w:val="00046866"/>
    <w:rsid w:val="00047318"/>
    <w:rsid w:val="0005061F"/>
    <w:rsid w:val="00050ABD"/>
    <w:rsid w:val="00050B6A"/>
    <w:rsid w:val="00051416"/>
    <w:rsid w:val="00054007"/>
    <w:rsid w:val="000559DE"/>
    <w:rsid w:val="00057B03"/>
    <w:rsid w:val="0006027D"/>
    <w:rsid w:val="000605A3"/>
    <w:rsid w:val="00064059"/>
    <w:rsid w:val="00066F2B"/>
    <w:rsid w:val="000705D1"/>
    <w:rsid w:val="00071F28"/>
    <w:rsid w:val="000740FA"/>
    <w:rsid w:val="00076FCC"/>
    <w:rsid w:val="00077900"/>
    <w:rsid w:val="00077D70"/>
    <w:rsid w:val="0008046A"/>
    <w:rsid w:val="00080AE8"/>
    <w:rsid w:val="00081825"/>
    <w:rsid w:val="0008255C"/>
    <w:rsid w:val="00082BB1"/>
    <w:rsid w:val="000842B5"/>
    <w:rsid w:val="000842F4"/>
    <w:rsid w:val="00085F22"/>
    <w:rsid w:val="000863C6"/>
    <w:rsid w:val="0008640E"/>
    <w:rsid w:val="0008784B"/>
    <w:rsid w:val="00087FA0"/>
    <w:rsid w:val="000903DE"/>
    <w:rsid w:val="00090808"/>
    <w:rsid w:val="00090B31"/>
    <w:rsid w:val="0009114D"/>
    <w:rsid w:val="000912C6"/>
    <w:rsid w:val="00093522"/>
    <w:rsid w:val="00094518"/>
    <w:rsid w:val="00094A14"/>
    <w:rsid w:val="00094B45"/>
    <w:rsid w:val="0009608A"/>
    <w:rsid w:val="00096680"/>
    <w:rsid w:val="00097301"/>
    <w:rsid w:val="00097B3F"/>
    <w:rsid w:val="000A01F6"/>
    <w:rsid w:val="000A0BB1"/>
    <w:rsid w:val="000A153B"/>
    <w:rsid w:val="000A22CF"/>
    <w:rsid w:val="000A27FF"/>
    <w:rsid w:val="000A2DF7"/>
    <w:rsid w:val="000A32F1"/>
    <w:rsid w:val="000A381C"/>
    <w:rsid w:val="000A3AF6"/>
    <w:rsid w:val="000A7D6C"/>
    <w:rsid w:val="000B1945"/>
    <w:rsid w:val="000B2A0F"/>
    <w:rsid w:val="000B477F"/>
    <w:rsid w:val="000B64F8"/>
    <w:rsid w:val="000B7281"/>
    <w:rsid w:val="000B73BA"/>
    <w:rsid w:val="000C05BF"/>
    <w:rsid w:val="000C0757"/>
    <w:rsid w:val="000C07A1"/>
    <w:rsid w:val="000C082E"/>
    <w:rsid w:val="000C0FB6"/>
    <w:rsid w:val="000C3F40"/>
    <w:rsid w:val="000C43A2"/>
    <w:rsid w:val="000C4679"/>
    <w:rsid w:val="000C521E"/>
    <w:rsid w:val="000C575D"/>
    <w:rsid w:val="000C5E4F"/>
    <w:rsid w:val="000C6EED"/>
    <w:rsid w:val="000D2C16"/>
    <w:rsid w:val="000D3986"/>
    <w:rsid w:val="000D7BB7"/>
    <w:rsid w:val="000E15AA"/>
    <w:rsid w:val="000E16E9"/>
    <w:rsid w:val="000F03D7"/>
    <w:rsid w:val="000F07B8"/>
    <w:rsid w:val="000F1533"/>
    <w:rsid w:val="000F1A72"/>
    <w:rsid w:val="000F2632"/>
    <w:rsid w:val="000F46A7"/>
    <w:rsid w:val="000F4B53"/>
    <w:rsid w:val="000F6168"/>
    <w:rsid w:val="00100CCB"/>
    <w:rsid w:val="00101F98"/>
    <w:rsid w:val="00102DFB"/>
    <w:rsid w:val="001031E7"/>
    <w:rsid w:val="001069BA"/>
    <w:rsid w:val="00116E2A"/>
    <w:rsid w:val="001210BF"/>
    <w:rsid w:val="00121AD6"/>
    <w:rsid w:val="00122BDB"/>
    <w:rsid w:val="00123082"/>
    <w:rsid w:val="00123704"/>
    <w:rsid w:val="00124B64"/>
    <w:rsid w:val="00125028"/>
    <w:rsid w:val="00125154"/>
    <w:rsid w:val="00125A07"/>
    <w:rsid w:val="00125ECE"/>
    <w:rsid w:val="001270C7"/>
    <w:rsid w:val="00130DA2"/>
    <w:rsid w:val="00132760"/>
    <w:rsid w:val="00134D07"/>
    <w:rsid w:val="00136130"/>
    <w:rsid w:val="00136D94"/>
    <w:rsid w:val="00137865"/>
    <w:rsid w:val="00137EFF"/>
    <w:rsid w:val="00142259"/>
    <w:rsid w:val="00142573"/>
    <w:rsid w:val="00142628"/>
    <w:rsid w:val="001429A1"/>
    <w:rsid w:val="00142BCD"/>
    <w:rsid w:val="00142DBB"/>
    <w:rsid w:val="00144379"/>
    <w:rsid w:val="0014786A"/>
    <w:rsid w:val="00151378"/>
    <w:rsid w:val="001516A4"/>
    <w:rsid w:val="00154AD8"/>
    <w:rsid w:val="00154DDE"/>
    <w:rsid w:val="0016292A"/>
    <w:rsid w:val="00163990"/>
    <w:rsid w:val="00163F42"/>
    <w:rsid w:val="00163F5B"/>
    <w:rsid w:val="00163FA2"/>
    <w:rsid w:val="00164384"/>
    <w:rsid w:val="00164D75"/>
    <w:rsid w:val="00165BCE"/>
    <w:rsid w:val="00166242"/>
    <w:rsid w:val="00167586"/>
    <w:rsid w:val="00167F79"/>
    <w:rsid w:val="00171AFC"/>
    <w:rsid w:val="00171DA4"/>
    <w:rsid w:val="00171F09"/>
    <w:rsid w:val="00172EC7"/>
    <w:rsid w:val="001739A0"/>
    <w:rsid w:val="001802CA"/>
    <w:rsid w:val="00181629"/>
    <w:rsid w:val="00181A35"/>
    <w:rsid w:val="00182C7C"/>
    <w:rsid w:val="00183A54"/>
    <w:rsid w:val="00183CBA"/>
    <w:rsid w:val="00183FB1"/>
    <w:rsid w:val="00185576"/>
    <w:rsid w:val="00185951"/>
    <w:rsid w:val="00191587"/>
    <w:rsid w:val="00192687"/>
    <w:rsid w:val="0019336F"/>
    <w:rsid w:val="00193994"/>
    <w:rsid w:val="00194809"/>
    <w:rsid w:val="001952F9"/>
    <w:rsid w:val="00195B13"/>
    <w:rsid w:val="001A2505"/>
    <w:rsid w:val="001A4CE3"/>
    <w:rsid w:val="001A5422"/>
    <w:rsid w:val="001A669E"/>
    <w:rsid w:val="001B0189"/>
    <w:rsid w:val="001B01D9"/>
    <w:rsid w:val="001B5DC5"/>
    <w:rsid w:val="001B793F"/>
    <w:rsid w:val="001B7D7E"/>
    <w:rsid w:val="001C1594"/>
    <w:rsid w:val="001C1AF8"/>
    <w:rsid w:val="001C3DBE"/>
    <w:rsid w:val="001C3DE6"/>
    <w:rsid w:val="001C47F8"/>
    <w:rsid w:val="001C6550"/>
    <w:rsid w:val="001C793E"/>
    <w:rsid w:val="001D0371"/>
    <w:rsid w:val="001D0FB6"/>
    <w:rsid w:val="001D288C"/>
    <w:rsid w:val="001D41B8"/>
    <w:rsid w:val="001D5178"/>
    <w:rsid w:val="001D7F60"/>
    <w:rsid w:val="001E0654"/>
    <w:rsid w:val="001E1E35"/>
    <w:rsid w:val="001E34C6"/>
    <w:rsid w:val="001E513D"/>
    <w:rsid w:val="001E5581"/>
    <w:rsid w:val="001E73BA"/>
    <w:rsid w:val="001F0250"/>
    <w:rsid w:val="001F0D75"/>
    <w:rsid w:val="001F2538"/>
    <w:rsid w:val="001F3AD3"/>
    <w:rsid w:val="001F4D72"/>
    <w:rsid w:val="001F562C"/>
    <w:rsid w:val="001F583B"/>
    <w:rsid w:val="001F6340"/>
    <w:rsid w:val="00210629"/>
    <w:rsid w:val="00211122"/>
    <w:rsid w:val="002121BE"/>
    <w:rsid w:val="002124A7"/>
    <w:rsid w:val="0021384A"/>
    <w:rsid w:val="00216302"/>
    <w:rsid w:val="002165AB"/>
    <w:rsid w:val="00216ADD"/>
    <w:rsid w:val="00216B15"/>
    <w:rsid w:val="002204BB"/>
    <w:rsid w:val="00221006"/>
    <w:rsid w:val="002212B1"/>
    <w:rsid w:val="00221806"/>
    <w:rsid w:val="002222A2"/>
    <w:rsid w:val="0022295F"/>
    <w:rsid w:val="00223E42"/>
    <w:rsid w:val="00234DF4"/>
    <w:rsid w:val="00234F48"/>
    <w:rsid w:val="00235525"/>
    <w:rsid w:val="00235E60"/>
    <w:rsid w:val="002372F4"/>
    <w:rsid w:val="002377DD"/>
    <w:rsid w:val="0024163C"/>
    <w:rsid w:val="00242356"/>
    <w:rsid w:val="002428E3"/>
    <w:rsid w:val="00243C6F"/>
    <w:rsid w:val="00247458"/>
    <w:rsid w:val="00247937"/>
    <w:rsid w:val="00254103"/>
    <w:rsid w:val="002579E2"/>
    <w:rsid w:val="00260BAF"/>
    <w:rsid w:val="00261703"/>
    <w:rsid w:val="002633CA"/>
    <w:rsid w:val="002644F5"/>
    <w:rsid w:val="00264CB9"/>
    <w:rsid w:val="002650F7"/>
    <w:rsid w:val="00266018"/>
    <w:rsid w:val="00267BA5"/>
    <w:rsid w:val="0027051F"/>
    <w:rsid w:val="00272A62"/>
    <w:rsid w:val="002731C3"/>
    <w:rsid w:val="002733CD"/>
    <w:rsid w:val="0027471C"/>
    <w:rsid w:val="00275A4D"/>
    <w:rsid w:val="002803F3"/>
    <w:rsid w:val="00280CF7"/>
    <w:rsid w:val="00280F74"/>
    <w:rsid w:val="00281846"/>
    <w:rsid w:val="002844DB"/>
    <w:rsid w:val="00286998"/>
    <w:rsid w:val="002874CC"/>
    <w:rsid w:val="00287BB9"/>
    <w:rsid w:val="00290320"/>
    <w:rsid w:val="00290657"/>
    <w:rsid w:val="002912E8"/>
    <w:rsid w:val="00292912"/>
    <w:rsid w:val="00293B95"/>
    <w:rsid w:val="00293D0B"/>
    <w:rsid w:val="002957DE"/>
    <w:rsid w:val="00296115"/>
    <w:rsid w:val="00297320"/>
    <w:rsid w:val="002A149F"/>
    <w:rsid w:val="002A1CB5"/>
    <w:rsid w:val="002A5261"/>
    <w:rsid w:val="002A6BFA"/>
    <w:rsid w:val="002B0F2F"/>
    <w:rsid w:val="002B153C"/>
    <w:rsid w:val="002B2F27"/>
    <w:rsid w:val="002B76D0"/>
    <w:rsid w:val="002C2320"/>
    <w:rsid w:val="002C45B0"/>
    <w:rsid w:val="002C5258"/>
    <w:rsid w:val="002C6064"/>
    <w:rsid w:val="002C6A05"/>
    <w:rsid w:val="002C7285"/>
    <w:rsid w:val="002C7362"/>
    <w:rsid w:val="002C75D9"/>
    <w:rsid w:val="002C77AF"/>
    <w:rsid w:val="002D1801"/>
    <w:rsid w:val="002D21F8"/>
    <w:rsid w:val="002D3129"/>
    <w:rsid w:val="002D317B"/>
    <w:rsid w:val="002D5906"/>
    <w:rsid w:val="002D6BF5"/>
    <w:rsid w:val="002D70F3"/>
    <w:rsid w:val="002E05CA"/>
    <w:rsid w:val="002E0F69"/>
    <w:rsid w:val="002E14DF"/>
    <w:rsid w:val="002E14E1"/>
    <w:rsid w:val="002E184D"/>
    <w:rsid w:val="002E1FAD"/>
    <w:rsid w:val="002E44D1"/>
    <w:rsid w:val="002E572E"/>
    <w:rsid w:val="002E7941"/>
    <w:rsid w:val="002F0EB8"/>
    <w:rsid w:val="002F291B"/>
    <w:rsid w:val="002F35DC"/>
    <w:rsid w:val="002F566A"/>
    <w:rsid w:val="002F56DD"/>
    <w:rsid w:val="002F5E6C"/>
    <w:rsid w:val="002F686D"/>
    <w:rsid w:val="002F6CE5"/>
    <w:rsid w:val="002F7070"/>
    <w:rsid w:val="002F7E99"/>
    <w:rsid w:val="0030018C"/>
    <w:rsid w:val="0030201A"/>
    <w:rsid w:val="00302C0A"/>
    <w:rsid w:val="00303724"/>
    <w:rsid w:val="003051CC"/>
    <w:rsid w:val="00306B7E"/>
    <w:rsid w:val="00307981"/>
    <w:rsid w:val="00310C62"/>
    <w:rsid w:val="00311D97"/>
    <w:rsid w:val="00312597"/>
    <w:rsid w:val="003139A4"/>
    <w:rsid w:val="003141DF"/>
    <w:rsid w:val="00322564"/>
    <w:rsid w:val="00325DE4"/>
    <w:rsid w:val="00326699"/>
    <w:rsid w:val="0033173E"/>
    <w:rsid w:val="00331B8E"/>
    <w:rsid w:val="0033207E"/>
    <w:rsid w:val="0033288B"/>
    <w:rsid w:val="00333036"/>
    <w:rsid w:val="003331DA"/>
    <w:rsid w:val="00334334"/>
    <w:rsid w:val="00335F89"/>
    <w:rsid w:val="003412ED"/>
    <w:rsid w:val="00341585"/>
    <w:rsid w:val="00342938"/>
    <w:rsid w:val="00343F24"/>
    <w:rsid w:val="003477DF"/>
    <w:rsid w:val="00350DC8"/>
    <w:rsid w:val="00353D56"/>
    <w:rsid w:val="003554B8"/>
    <w:rsid w:val="00355575"/>
    <w:rsid w:val="003555BF"/>
    <w:rsid w:val="0036223B"/>
    <w:rsid w:val="0036252A"/>
    <w:rsid w:val="003646BF"/>
    <w:rsid w:val="00364D9D"/>
    <w:rsid w:val="003668AB"/>
    <w:rsid w:val="00371603"/>
    <w:rsid w:val="003735B9"/>
    <w:rsid w:val="003737A8"/>
    <w:rsid w:val="0037461E"/>
    <w:rsid w:val="00374748"/>
    <w:rsid w:val="00383906"/>
    <w:rsid w:val="00383DA1"/>
    <w:rsid w:val="00384D86"/>
    <w:rsid w:val="00387E90"/>
    <w:rsid w:val="003912B4"/>
    <w:rsid w:val="0039160C"/>
    <w:rsid w:val="0039182E"/>
    <w:rsid w:val="00392007"/>
    <w:rsid w:val="0039660F"/>
    <w:rsid w:val="0039741E"/>
    <w:rsid w:val="0039744C"/>
    <w:rsid w:val="00397C46"/>
    <w:rsid w:val="003A06C8"/>
    <w:rsid w:val="003A0D7C"/>
    <w:rsid w:val="003A1E73"/>
    <w:rsid w:val="003A2BB7"/>
    <w:rsid w:val="003A32D7"/>
    <w:rsid w:val="003A65E8"/>
    <w:rsid w:val="003A74F5"/>
    <w:rsid w:val="003A7CA6"/>
    <w:rsid w:val="003B1A86"/>
    <w:rsid w:val="003B3022"/>
    <w:rsid w:val="003B40BE"/>
    <w:rsid w:val="003B4CB4"/>
    <w:rsid w:val="003B5189"/>
    <w:rsid w:val="003B518B"/>
    <w:rsid w:val="003B5593"/>
    <w:rsid w:val="003B58E3"/>
    <w:rsid w:val="003B7612"/>
    <w:rsid w:val="003B7EE7"/>
    <w:rsid w:val="003C18C0"/>
    <w:rsid w:val="003C6ADC"/>
    <w:rsid w:val="003C7467"/>
    <w:rsid w:val="003D064A"/>
    <w:rsid w:val="003D244F"/>
    <w:rsid w:val="003D39EC"/>
    <w:rsid w:val="003D3E27"/>
    <w:rsid w:val="003D5452"/>
    <w:rsid w:val="003D6943"/>
    <w:rsid w:val="003D78F6"/>
    <w:rsid w:val="003E0A8A"/>
    <w:rsid w:val="003E0D8B"/>
    <w:rsid w:val="003E2CF1"/>
    <w:rsid w:val="003E3DD5"/>
    <w:rsid w:val="003E55D6"/>
    <w:rsid w:val="003E6FCE"/>
    <w:rsid w:val="003E713E"/>
    <w:rsid w:val="003E7BF8"/>
    <w:rsid w:val="003E7ECF"/>
    <w:rsid w:val="003F0010"/>
    <w:rsid w:val="003F0833"/>
    <w:rsid w:val="003F0B8C"/>
    <w:rsid w:val="003F1ECD"/>
    <w:rsid w:val="003F350F"/>
    <w:rsid w:val="003F44B7"/>
    <w:rsid w:val="003F75A0"/>
    <w:rsid w:val="00400F1C"/>
    <w:rsid w:val="0040306E"/>
    <w:rsid w:val="00404B4E"/>
    <w:rsid w:val="00406AF7"/>
    <w:rsid w:val="00407432"/>
    <w:rsid w:val="004075F2"/>
    <w:rsid w:val="00410DE8"/>
    <w:rsid w:val="00411100"/>
    <w:rsid w:val="004111DA"/>
    <w:rsid w:val="00413D48"/>
    <w:rsid w:val="00414009"/>
    <w:rsid w:val="00415B83"/>
    <w:rsid w:val="00420C20"/>
    <w:rsid w:val="004213B0"/>
    <w:rsid w:val="00422FEE"/>
    <w:rsid w:val="00423FF8"/>
    <w:rsid w:val="0042405F"/>
    <w:rsid w:val="00427B0A"/>
    <w:rsid w:val="00430CBE"/>
    <w:rsid w:val="00431598"/>
    <w:rsid w:val="004374FA"/>
    <w:rsid w:val="00441AC2"/>
    <w:rsid w:val="004425A0"/>
    <w:rsid w:val="00444592"/>
    <w:rsid w:val="00445FEE"/>
    <w:rsid w:val="0044678E"/>
    <w:rsid w:val="004469C1"/>
    <w:rsid w:val="004475EA"/>
    <w:rsid w:val="00447E60"/>
    <w:rsid w:val="00450505"/>
    <w:rsid w:val="0045061E"/>
    <w:rsid w:val="004510AC"/>
    <w:rsid w:val="004520E4"/>
    <w:rsid w:val="004528F1"/>
    <w:rsid w:val="00452BCD"/>
    <w:rsid w:val="00453A1E"/>
    <w:rsid w:val="00454EC1"/>
    <w:rsid w:val="00455451"/>
    <w:rsid w:val="00456A79"/>
    <w:rsid w:val="00456B63"/>
    <w:rsid w:val="0046002C"/>
    <w:rsid w:val="00460E7F"/>
    <w:rsid w:val="0046218D"/>
    <w:rsid w:val="00463D1E"/>
    <w:rsid w:val="00463FDE"/>
    <w:rsid w:val="0046457D"/>
    <w:rsid w:val="004655AB"/>
    <w:rsid w:val="004659CD"/>
    <w:rsid w:val="0046613E"/>
    <w:rsid w:val="00467D2E"/>
    <w:rsid w:val="00470830"/>
    <w:rsid w:val="00471145"/>
    <w:rsid w:val="004726E9"/>
    <w:rsid w:val="00473B74"/>
    <w:rsid w:val="00476808"/>
    <w:rsid w:val="00476C91"/>
    <w:rsid w:val="0048181B"/>
    <w:rsid w:val="00483F0B"/>
    <w:rsid w:val="00484913"/>
    <w:rsid w:val="00486000"/>
    <w:rsid w:val="004867E2"/>
    <w:rsid w:val="00487527"/>
    <w:rsid w:val="00490C39"/>
    <w:rsid w:val="00492A5E"/>
    <w:rsid w:val="004956ED"/>
    <w:rsid w:val="004A2EC5"/>
    <w:rsid w:val="004A4C12"/>
    <w:rsid w:val="004A5672"/>
    <w:rsid w:val="004A5F55"/>
    <w:rsid w:val="004A7BAF"/>
    <w:rsid w:val="004B02EC"/>
    <w:rsid w:val="004B21CA"/>
    <w:rsid w:val="004B30C6"/>
    <w:rsid w:val="004B5465"/>
    <w:rsid w:val="004B68F5"/>
    <w:rsid w:val="004B7506"/>
    <w:rsid w:val="004C1744"/>
    <w:rsid w:val="004C4242"/>
    <w:rsid w:val="004C5589"/>
    <w:rsid w:val="004C6647"/>
    <w:rsid w:val="004C7FE0"/>
    <w:rsid w:val="004D07B2"/>
    <w:rsid w:val="004D106D"/>
    <w:rsid w:val="004D1C3B"/>
    <w:rsid w:val="004D2E94"/>
    <w:rsid w:val="004D2ECB"/>
    <w:rsid w:val="004D372F"/>
    <w:rsid w:val="004D403F"/>
    <w:rsid w:val="004D4757"/>
    <w:rsid w:val="004D5643"/>
    <w:rsid w:val="004D6440"/>
    <w:rsid w:val="004E0056"/>
    <w:rsid w:val="004E022E"/>
    <w:rsid w:val="004E0468"/>
    <w:rsid w:val="004E13BE"/>
    <w:rsid w:val="004E271E"/>
    <w:rsid w:val="004E32F0"/>
    <w:rsid w:val="004E4EE9"/>
    <w:rsid w:val="004E60C0"/>
    <w:rsid w:val="004E7715"/>
    <w:rsid w:val="004F0C10"/>
    <w:rsid w:val="004F252B"/>
    <w:rsid w:val="004F391C"/>
    <w:rsid w:val="004F4285"/>
    <w:rsid w:val="004F5098"/>
    <w:rsid w:val="004F680B"/>
    <w:rsid w:val="004F6950"/>
    <w:rsid w:val="005023C2"/>
    <w:rsid w:val="00502AF4"/>
    <w:rsid w:val="00504EC6"/>
    <w:rsid w:val="005059B4"/>
    <w:rsid w:val="00505E80"/>
    <w:rsid w:val="00507B8D"/>
    <w:rsid w:val="00510633"/>
    <w:rsid w:val="00512A53"/>
    <w:rsid w:val="00513024"/>
    <w:rsid w:val="00514729"/>
    <w:rsid w:val="005150FC"/>
    <w:rsid w:val="00516022"/>
    <w:rsid w:val="005166D1"/>
    <w:rsid w:val="00521CEE"/>
    <w:rsid w:val="00523F8B"/>
    <w:rsid w:val="00524D65"/>
    <w:rsid w:val="00526E66"/>
    <w:rsid w:val="00526EC4"/>
    <w:rsid w:val="00530233"/>
    <w:rsid w:val="00532172"/>
    <w:rsid w:val="00532596"/>
    <w:rsid w:val="00534880"/>
    <w:rsid w:val="0053789D"/>
    <w:rsid w:val="005415F2"/>
    <w:rsid w:val="00541753"/>
    <w:rsid w:val="005445AE"/>
    <w:rsid w:val="005452CC"/>
    <w:rsid w:val="005466EF"/>
    <w:rsid w:val="005469CE"/>
    <w:rsid w:val="005477C5"/>
    <w:rsid w:val="00547CB3"/>
    <w:rsid w:val="005505A1"/>
    <w:rsid w:val="005506A2"/>
    <w:rsid w:val="00552266"/>
    <w:rsid w:val="005530A7"/>
    <w:rsid w:val="005546E2"/>
    <w:rsid w:val="00554727"/>
    <w:rsid w:val="005553AD"/>
    <w:rsid w:val="005557A8"/>
    <w:rsid w:val="00556D2C"/>
    <w:rsid w:val="0055776D"/>
    <w:rsid w:val="00560348"/>
    <w:rsid w:val="005624A7"/>
    <w:rsid w:val="00562D1A"/>
    <w:rsid w:val="0056454C"/>
    <w:rsid w:val="005652E2"/>
    <w:rsid w:val="00567A8B"/>
    <w:rsid w:val="00573041"/>
    <w:rsid w:val="0057402A"/>
    <w:rsid w:val="005749A5"/>
    <w:rsid w:val="00584568"/>
    <w:rsid w:val="00586923"/>
    <w:rsid w:val="00586B90"/>
    <w:rsid w:val="005903FB"/>
    <w:rsid w:val="00593255"/>
    <w:rsid w:val="005936CB"/>
    <w:rsid w:val="00593B69"/>
    <w:rsid w:val="005943F9"/>
    <w:rsid w:val="0059530B"/>
    <w:rsid w:val="0059680A"/>
    <w:rsid w:val="00597477"/>
    <w:rsid w:val="00597AFB"/>
    <w:rsid w:val="005A03A3"/>
    <w:rsid w:val="005A1D89"/>
    <w:rsid w:val="005A463A"/>
    <w:rsid w:val="005A6ADB"/>
    <w:rsid w:val="005A79E3"/>
    <w:rsid w:val="005B0ADD"/>
    <w:rsid w:val="005B36E0"/>
    <w:rsid w:val="005B4830"/>
    <w:rsid w:val="005B4F97"/>
    <w:rsid w:val="005B6A16"/>
    <w:rsid w:val="005B77E3"/>
    <w:rsid w:val="005C164B"/>
    <w:rsid w:val="005C1A3A"/>
    <w:rsid w:val="005C22DD"/>
    <w:rsid w:val="005C257B"/>
    <w:rsid w:val="005C3FE0"/>
    <w:rsid w:val="005C400C"/>
    <w:rsid w:val="005C4A83"/>
    <w:rsid w:val="005C7308"/>
    <w:rsid w:val="005C740C"/>
    <w:rsid w:val="005C79BA"/>
    <w:rsid w:val="005D0300"/>
    <w:rsid w:val="005D1F8B"/>
    <w:rsid w:val="005D3322"/>
    <w:rsid w:val="005D6886"/>
    <w:rsid w:val="005E25D4"/>
    <w:rsid w:val="005E6236"/>
    <w:rsid w:val="005E7033"/>
    <w:rsid w:val="005F0E31"/>
    <w:rsid w:val="005F23DB"/>
    <w:rsid w:val="005F2F08"/>
    <w:rsid w:val="005F3C85"/>
    <w:rsid w:val="005F431D"/>
    <w:rsid w:val="005F4FE7"/>
    <w:rsid w:val="005F55C9"/>
    <w:rsid w:val="005F6AB0"/>
    <w:rsid w:val="00600777"/>
    <w:rsid w:val="00602145"/>
    <w:rsid w:val="00604859"/>
    <w:rsid w:val="006048F4"/>
    <w:rsid w:val="00604F46"/>
    <w:rsid w:val="006064E1"/>
    <w:rsid w:val="0060660A"/>
    <w:rsid w:val="00610AAA"/>
    <w:rsid w:val="006118FC"/>
    <w:rsid w:val="00611B74"/>
    <w:rsid w:val="00611CB0"/>
    <w:rsid w:val="00611F09"/>
    <w:rsid w:val="00612294"/>
    <w:rsid w:val="006123B1"/>
    <w:rsid w:val="00613D07"/>
    <w:rsid w:val="006144B7"/>
    <w:rsid w:val="0061509D"/>
    <w:rsid w:val="006154C6"/>
    <w:rsid w:val="00615DAA"/>
    <w:rsid w:val="00615DD7"/>
    <w:rsid w:val="00615EE2"/>
    <w:rsid w:val="00617313"/>
    <w:rsid w:val="00617A44"/>
    <w:rsid w:val="00624E47"/>
    <w:rsid w:val="00625CD0"/>
    <w:rsid w:val="00625EB1"/>
    <w:rsid w:val="006271BD"/>
    <w:rsid w:val="006316B8"/>
    <w:rsid w:val="00631889"/>
    <w:rsid w:val="00632896"/>
    <w:rsid w:val="006329A1"/>
    <w:rsid w:val="00633D2B"/>
    <w:rsid w:val="00634A3C"/>
    <w:rsid w:val="00635DE3"/>
    <w:rsid w:val="00636AFD"/>
    <w:rsid w:val="006424CD"/>
    <w:rsid w:val="006438A8"/>
    <w:rsid w:val="00645EC4"/>
    <w:rsid w:val="00646987"/>
    <w:rsid w:val="006469F6"/>
    <w:rsid w:val="00646E47"/>
    <w:rsid w:val="00651441"/>
    <w:rsid w:val="006522A0"/>
    <w:rsid w:val="0065281C"/>
    <w:rsid w:val="00654E0C"/>
    <w:rsid w:val="006565D2"/>
    <w:rsid w:val="006569DB"/>
    <w:rsid w:val="00656C96"/>
    <w:rsid w:val="00657247"/>
    <w:rsid w:val="006614C4"/>
    <w:rsid w:val="00661591"/>
    <w:rsid w:val="00662125"/>
    <w:rsid w:val="00662DB7"/>
    <w:rsid w:val="00663E9A"/>
    <w:rsid w:val="006657B9"/>
    <w:rsid w:val="0066632F"/>
    <w:rsid w:val="006665E1"/>
    <w:rsid w:val="00667BAB"/>
    <w:rsid w:val="0067057E"/>
    <w:rsid w:val="00670DD3"/>
    <w:rsid w:val="006711DA"/>
    <w:rsid w:val="0067329B"/>
    <w:rsid w:val="0068182A"/>
    <w:rsid w:val="00681B2D"/>
    <w:rsid w:val="00684C81"/>
    <w:rsid w:val="0069047B"/>
    <w:rsid w:val="00690DCA"/>
    <w:rsid w:val="00691046"/>
    <w:rsid w:val="00692E7B"/>
    <w:rsid w:val="0069317D"/>
    <w:rsid w:val="006945F0"/>
    <w:rsid w:val="006956A1"/>
    <w:rsid w:val="006961A6"/>
    <w:rsid w:val="0069702B"/>
    <w:rsid w:val="006A3182"/>
    <w:rsid w:val="006A43B5"/>
    <w:rsid w:val="006A4DB5"/>
    <w:rsid w:val="006A4E0B"/>
    <w:rsid w:val="006A52D6"/>
    <w:rsid w:val="006A6FA2"/>
    <w:rsid w:val="006A73B3"/>
    <w:rsid w:val="006A78DD"/>
    <w:rsid w:val="006B021E"/>
    <w:rsid w:val="006B03AF"/>
    <w:rsid w:val="006B0D67"/>
    <w:rsid w:val="006B2292"/>
    <w:rsid w:val="006B329D"/>
    <w:rsid w:val="006B3971"/>
    <w:rsid w:val="006B3A5E"/>
    <w:rsid w:val="006C1E5A"/>
    <w:rsid w:val="006C1EB0"/>
    <w:rsid w:val="006C22D4"/>
    <w:rsid w:val="006C2535"/>
    <w:rsid w:val="006C27FA"/>
    <w:rsid w:val="006C30D2"/>
    <w:rsid w:val="006C314A"/>
    <w:rsid w:val="006C3A41"/>
    <w:rsid w:val="006C5413"/>
    <w:rsid w:val="006C54C7"/>
    <w:rsid w:val="006C65A1"/>
    <w:rsid w:val="006C6C62"/>
    <w:rsid w:val="006D017E"/>
    <w:rsid w:val="006D08AF"/>
    <w:rsid w:val="006D3256"/>
    <w:rsid w:val="006D460C"/>
    <w:rsid w:val="006D4B0D"/>
    <w:rsid w:val="006D5DC2"/>
    <w:rsid w:val="006D60B4"/>
    <w:rsid w:val="006D75E1"/>
    <w:rsid w:val="006E158C"/>
    <w:rsid w:val="006E263E"/>
    <w:rsid w:val="006E2AB9"/>
    <w:rsid w:val="006E3546"/>
    <w:rsid w:val="006E38C3"/>
    <w:rsid w:val="006E4D97"/>
    <w:rsid w:val="006E7216"/>
    <w:rsid w:val="006F0F93"/>
    <w:rsid w:val="006F17B6"/>
    <w:rsid w:val="006F35FA"/>
    <w:rsid w:val="007005A1"/>
    <w:rsid w:val="00702617"/>
    <w:rsid w:val="00703AEF"/>
    <w:rsid w:val="00704CCA"/>
    <w:rsid w:val="0070543F"/>
    <w:rsid w:val="00705BC0"/>
    <w:rsid w:val="00705C87"/>
    <w:rsid w:val="00707E10"/>
    <w:rsid w:val="00707EA6"/>
    <w:rsid w:val="00710978"/>
    <w:rsid w:val="00713044"/>
    <w:rsid w:val="00713F74"/>
    <w:rsid w:val="007146F0"/>
    <w:rsid w:val="00715237"/>
    <w:rsid w:val="00715F39"/>
    <w:rsid w:val="00716F76"/>
    <w:rsid w:val="00720573"/>
    <w:rsid w:val="0072120E"/>
    <w:rsid w:val="0072127B"/>
    <w:rsid w:val="00722F4B"/>
    <w:rsid w:val="007230FA"/>
    <w:rsid w:val="00724101"/>
    <w:rsid w:val="007254A5"/>
    <w:rsid w:val="00725748"/>
    <w:rsid w:val="00730D14"/>
    <w:rsid w:val="00734374"/>
    <w:rsid w:val="00735496"/>
    <w:rsid w:val="007356FE"/>
    <w:rsid w:val="00736D0D"/>
    <w:rsid w:val="0073720D"/>
    <w:rsid w:val="007402E0"/>
    <w:rsid w:val="007418AE"/>
    <w:rsid w:val="00742AB9"/>
    <w:rsid w:val="00743337"/>
    <w:rsid w:val="00746658"/>
    <w:rsid w:val="00750A91"/>
    <w:rsid w:val="00751CF9"/>
    <w:rsid w:val="0075240B"/>
    <w:rsid w:val="0075368B"/>
    <w:rsid w:val="00754176"/>
    <w:rsid w:val="00754666"/>
    <w:rsid w:val="00754FBF"/>
    <w:rsid w:val="00756754"/>
    <w:rsid w:val="00757005"/>
    <w:rsid w:val="0076016D"/>
    <w:rsid w:val="007606CE"/>
    <w:rsid w:val="0077029E"/>
    <w:rsid w:val="0077048E"/>
    <w:rsid w:val="00770864"/>
    <w:rsid w:val="007724AB"/>
    <w:rsid w:val="00774B22"/>
    <w:rsid w:val="00775344"/>
    <w:rsid w:val="00775D8A"/>
    <w:rsid w:val="007777DF"/>
    <w:rsid w:val="00781CED"/>
    <w:rsid w:val="007831C7"/>
    <w:rsid w:val="00783559"/>
    <w:rsid w:val="00783B2B"/>
    <w:rsid w:val="0078554C"/>
    <w:rsid w:val="00785F18"/>
    <w:rsid w:val="00786645"/>
    <w:rsid w:val="00786698"/>
    <w:rsid w:val="0079029D"/>
    <w:rsid w:val="00791309"/>
    <w:rsid w:val="007A0058"/>
    <w:rsid w:val="007A3BEE"/>
    <w:rsid w:val="007A4105"/>
    <w:rsid w:val="007A474C"/>
    <w:rsid w:val="007B0280"/>
    <w:rsid w:val="007B163C"/>
    <w:rsid w:val="007B2BC2"/>
    <w:rsid w:val="007B4CBB"/>
    <w:rsid w:val="007B54BC"/>
    <w:rsid w:val="007B6E9D"/>
    <w:rsid w:val="007C0CE8"/>
    <w:rsid w:val="007C406E"/>
    <w:rsid w:val="007C66A9"/>
    <w:rsid w:val="007C7F09"/>
    <w:rsid w:val="007D08AB"/>
    <w:rsid w:val="007D25B4"/>
    <w:rsid w:val="007D2C22"/>
    <w:rsid w:val="007D5658"/>
    <w:rsid w:val="007D6565"/>
    <w:rsid w:val="007E1149"/>
    <w:rsid w:val="007E2C0D"/>
    <w:rsid w:val="007E33F7"/>
    <w:rsid w:val="007E435C"/>
    <w:rsid w:val="007E695A"/>
    <w:rsid w:val="007E6BE6"/>
    <w:rsid w:val="007F0A5C"/>
    <w:rsid w:val="007F100C"/>
    <w:rsid w:val="007F428E"/>
    <w:rsid w:val="007F74ED"/>
    <w:rsid w:val="0080096E"/>
    <w:rsid w:val="00802F4E"/>
    <w:rsid w:val="008050E6"/>
    <w:rsid w:val="00807805"/>
    <w:rsid w:val="008078F1"/>
    <w:rsid w:val="00810CFA"/>
    <w:rsid w:val="00811392"/>
    <w:rsid w:val="00812028"/>
    <w:rsid w:val="00814D03"/>
    <w:rsid w:val="0081537D"/>
    <w:rsid w:val="00816074"/>
    <w:rsid w:val="00820F4D"/>
    <w:rsid w:val="00824629"/>
    <w:rsid w:val="0082726D"/>
    <w:rsid w:val="00830CFB"/>
    <w:rsid w:val="00831296"/>
    <w:rsid w:val="0083178B"/>
    <w:rsid w:val="00833695"/>
    <w:rsid w:val="00834F99"/>
    <w:rsid w:val="0083532A"/>
    <w:rsid w:val="008364EF"/>
    <w:rsid w:val="0083788B"/>
    <w:rsid w:val="00837C66"/>
    <w:rsid w:val="008407B5"/>
    <w:rsid w:val="00841598"/>
    <w:rsid w:val="00842A21"/>
    <w:rsid w:val="00842CD8"/>
    <w:rsid w:val="00842DE9"/>
    <w:rsid w:val="008507AD"/>
    <w:rsid w:val="008517DE"/>
    <w:rsid w:val="00851BC3"/>
    <w:rsid w:val="008520D8"/>
    <w:rsid w:val="008525B2"/>
    <w:rsid w:val="008530B2"/>
    <w:rsid w:val="008553C7"/>
    <w:rsid w:val="00855B31"/>
    <w:rsid w:val="00857770"/>
    <w:rsid w:val="00857FEB"/>
    <w:rsid w:val="00860B95"/>
    <w:rsid w:val="008616E0"/>
    <w:rsid w:val="00862050"/>
    <w:rsid w:val="008624AD"/>
    <w:rsid w:val="008624F0"/>
    <w:rsid w:val="00862EBD"/>
    <w:rsid w:val="008646B0"/>
    <w:rsid w:val="00864B45"/>
    <w:rsid w:val="008666D2"/>
    <w:rsid w:val="00871803"/>
    <w:rsid w:val="00871B05"/>
    <w:rsid w:val="008720EB"/>
    <w:rsid w:val="008735BA"/>
    <w:rsid w:val="00873E5C"/>
    <w:rsid w:val="008753FC"/>
    <w:rsid w:val="008777AA"/>
    <w:rsid w:val="008802A6"/>
    <w:rsid w:val="00880A18"/>
    <w:rsid w:val="008812FB"/>
    <w:rsid w:val="00882814"/>
    <w:rsid w:val="00883093"/>
    <w:rsid w:val="00886E97"/>
    <w:rsid w:val="00891692"/>
    <w:rsid w:val="00892002"/>
    <w:rsid w:val="008922F2"/>
    <w:rsid w:val="008930BC"/>
    <w:rsid w:val="008934AE"/>
    <w:rsid w:val="008934E6"/>
    <w:rsid w:val="008A3DA1"/>
    <w:rsid w:val="008A46A9"/>
    <w:rsid w:val="008A5A3F"/>
    <w:rsid w:val="008A6B20"/>
    <w:rsid w:val="008A702B"/>
    <w:rsid w:val="008A7174"/>
    <w:rsid w:val="008A74DC"/>
    <w:rsid w:val="008B1BE5"/>
    <w:rsid w:val="008B378C"/>
    <w:rsid w:val="008B3929"/>
    <w:rsid w:val="008B3C2F"/>
    <w:rsid w:val="008B4118"/>
    <w:rsid w:val="008B4208"/>
    <w:rsid w:val="008B45D6"/>
    <w:rsid w:val="008B4CB3"/>
    <w:rsid w:val="008B54B2"/>
    <w:rsid w:val="008B731A"/>
    <w:rsid w:val="008C2425"/>
    <w:rsid w:val="008C2444"/>
    <w:rsid w:val="008C3F57"/>
    <w:rsid w:val="008C4662"/>
    <w:rsid w:val="008C46FD"/>
    <w:rsid w:val="008C5B1C"/>
    <w:rsid w:val="008C67AF"/>
    <w:rsid w:val="008C78FD"/>
    <w:rsid w:val="008D0EBE"/>
    <w:rsid w:val="008D2355"/>
    <w:rsid w:val="008D3CEA"/>
    <w:rsid w:val="008D4042"/>
    <w:rsid w:val="008D5B01"/>
    <w:rsid w:val="008E22BC"/>
    <w:rsid w:val="008E2EE1"/>
    <w:rsid w:val="008E35B0"/>
    <w:rsid w:val="008E35E2"/>
    <w:rsid w:val="008E5F59"/>
    <w:rsid w:val="008E7AC3"/>
    <w:rsid w:val="008F0C84"/>
    <w:rsid w:val="008F1B70"/>
    <w:rsid w:val="008F2143"/>
    <w:rsid w:val="008F2E77"/>
    <w:rsid w:val="008F4A8D"/>
    <w:rsid w:val="00901121"/>
    <w:rsid w:val="00901DEF"/>
    <w:rsid w:val="00902FF2"/>
    <w:rsid w:val="00905B6D"/>
    <w:rsid w:val="0090647C"/>
    <w:rsid w:val="0090651A"/>
    <w:rsid w:val="009070D2"/>
    <w:rsid w:val="00910642"/>
    <w:rsid w:val="009160BB"/>
    <w:rsid w:val="009166AD"/>
    <w:rsid w:val="00917821"/>
    <w:rsid w:val="00917BAC"/>
    <w:rsid w:val="00921A22"/>
    <w:rsid w:val="00922DA0"/>
    <w:rsid w:val="009311C8"/>
    <w:rsid w:val="00933376"/>
    <w:rsid w:val="009336FC"/>
    <w:rsid w:val="00937CE6"/>
    <w:rsid w:val="00940C5F"/>
    <w:rsid w:val="00942355"/>
    <w:rsid w:val="00943F25"/>
    <w:rsid w:val="00944567"/>
    <w:rsid w:val="00944F01"/>
    <w:rsid w:val="00946D29"/>
    <w:rsid w:val="0095050D"/>
    <w:rsid w:val="009513C2"/>
    <w:rsid w:val="0095259F"/>
    <w:rsid w:val="009534EF"/>
    <w:rsid w:val="0095352B"/>
    <w:rsid w:val="00955A7F"/>
    <w:rsid w:val="00955A9C"/>
    <w:rsid w:val="0095748C"/>
    <w:rsid w:val="0096143B"/>
    <w:rsid w:val="00961C28"/>
    <w:rsid w:val="00961FA7"/>
    <w:rsid w:val="009627A5"/>
    <w:rsid w:val="00962C56"/>
    <w:rsid w:val="00963D78"/>
    <w:rsid w:val="00964BBF"/>
    <w:rsid w:val="00964F30"/>
    <w:rsid w:val="009668DE"/>
    <w:rsid w:val="00967346"/>
    <w:rsid w:val="009711D9"/>
    <w:rsid w:val="009718F9"/>
    <w:rsid w:val="00975112"/>
    <w:rsid w:val="00975202"/>
    <w:rsid w:val="009753D7"/>
    <w:rsid w:val="00976064"/>
    <w:rsid w:val="00977002"/>
    <w:rsid w:val="009774C4"/>
    <w:rsid w:val="009811DF"/>
    <w:rsid w:val="009826E7"/>
    <w:rsid w:val="00982B90"/>
    <w:rsid w:val="00982E82"/>
    <w:rsid w:val="00983333"/>
    <w:rsid w:val="00983A7C"/>
    <w:rsid w:val="00984D7B"/>
    <w:rsid w:val="00991B5F"/>
    <w:rsid w:val="00991C2E"/>
    <w:rsid w:val="00997999"/>
    <w:rsid w:val="009A0FF6"/>
    <w:rsid w:val="009A15FA"/>
    <w:rsid w:val="009A342B"/>
    <w:rsid w:val="009A3B71"/>
    <w:rsid w:val="009A3CA0"/>
    <w:rsid w:val="009A542C"/>
    <w:rsid w:val="009A61BC"/>
    <w:rsid w:val="009A6527"/>
    <w:rsid w:val="009A676D"/>
    <w:rsid w:val="009A678A"/>
    <w:rsid w:val="009A727A"/>
    <w:rsid w:val="009B1466"/>
    <w:rsid w:val="009B222D"/>
    <w:rsid w:val="009B24B7"/>
    <w:rsid w:val="009B41E7"/>
    <w:rsid w:val="009B424D"/>
    <w:rsid w:val="009B57FB"/>
    <w:rsid w:val="009B7709"/>
    <w:rsid w:val="009C1AC6"/>
    <w:rsid w:val="009C1C75"/>
    <w:rsid w:val="009C37AE"/>
    <w:rsid w:val="009C3E30"/>
    <w:rsid w:val="009C42BC"/>
    <w:rsid w:val="009C4AAC"/>
    <w:rsid w:val="009C4F04"/>
    <w:rsid w:val="009C692B"/>
    <w:rsid w:val="009D277F"/>
    <w:rsid w:val="009D46EC"/>
    <w:rsid w:val="009D7120"/>
    <w:rsid w:val="009D7DFA"/>
    <w:rsid w:val="009E042D"/>
    <w:rsid w:val="009E1B8B"/>
    <w:rsid w:val="009E3037"/>
    <w:rsid w:val="009E37E6"/>
    <w:rsid w:val="009E584D"/>
    <w:rsid w:val="009E6427"/>
    <w:rsid w:val="009E71C1"/>
    <w:rsid w:val="009F3851"/>
    <w:rsid w:val="009F4E90"/>
    <w:rsid w:val="00A02202"/>
    <w:rsid w:val="00A02980"/>
    <w:rsid w:val="00A043B4"/>
    <w:rsid w:val="00A06827"/>
    <w:rsid w:val="00A07737"/>
    <w:rsid w:val="00A07D00"/>
    <w:rsid w:val="00A10447"/>
    <w:rsid w:val="00A10614"/>
    <w:rsid w:val="00A10E98"/>
    <w:rsid w:val="00A12458"/>
    <w:rsid w:val="00A140D0"/>
    <w:rsid w:val="00A149C1"/>
    <w:rsid w:val="00A14A93"/>
    <w:rsid w:val="00A167EA"/>
    <w:rsid w:val="00A2172A"/>
    <w:rsid w:val="00A21B3B"/>
    <w:rsid w:val="00A2455B"/>
    <w:rsid w:val="00A245B7"/>
    <w:rsid w:val="00A24915"/>
    <w:rsid w:val="00A25B4A"/>
    <w:rsid w:val="00A27328"/>
    <w:rsid w:val="00A2757D"/>
    <w:rsid w:val="00A277F9"/>
    <w:rsid w:val="00A30E68"/>
    <w:rsid w:val="00A31885"/>
    <w:rsid w:val="00A32899"/>
    <w:rsid w:val="00A34AA0"/>
    <w:rsid w:val="00A35B30"/>
    <w:rsid w:val="00A373C4"/>
    <w:rsid w:val="00A37B8E"/>
    <w:rsid w:val="00A41EFC"/>
    <w:rsid w:val="00A4371E"/>
    <w:rsid w:val="00A47733"/>
    <w:rsid w:val="00A511CD"/>
    <w:rsid w:val="00A51B50"/>
    <w:rsid w:val="00A524CC"/>
    <w:rsid w:val="00A56946"/>
    <w:rsid w:val="00A578D8"/>
    <w:rsid w:val="00A61759"/>
    <w:rsid w:val="00A64A23"/>
    <w:rsid w:val="00A654C7"/>
    <w:rsid w:val="00A65FF9"/>
    <w:rsid w:val="00A70E93"/>
    <w:rsid w:val="00A71761"/>
    <w:rsid w:val="00A74DEC"/>
    <w:rsid w:val="00A76D10"/>
    <w:rsid w:val="00A76DC7"/>
    <w:rsid w:val="00A77D7A"/>
    <w:rsid w:val="00A806B2"/>
    <w:rsid w:val="00A84B60"/>
    <w:rsid w:val="00A84E68"/>
    <w:rsid w:val="00A84F62"/>
    <w:rsid w:val="00A8507D"/>
    <w:rsid w:val="00A8630D"/>
    <w:rsid w:val="00A875AE"/>
    <w:rsid w:val="00A87B6C"/>
    <w:rsid w:val="00A908F9"/>
    <w:rsid w:val="00A91B1B"/>
    <w:rsid w:val="00A9351D"/>
    <w:rsid w:val="00A94A09"/>
    <w:rsid w:val="00A95511"/>
    <w:rsid w:val="00A967EE"/>
    <w:rsid w:val="00A97F27"/>
    <w:rsid w:val="00AA2659"/>
    <w:rsid w:val="00AA4277"/>
    <w:rsid w:val="00AA4D58"/>
    <w:rsid w:val="00AA5B94"/>
    <w:rsid w:val="00AA6265"/>
    <w:rsid w:val="00AB4880"/>
    <w:rsid w:val="00AB553C"/>
    <w:rsid w:val="00AB5963"/>
    <w:rsid w:val="00AB684B"/>
    <w:rsid w:val="00AB762B"/>
    <w:rsid w:val="00AB78E0"/>
    <w:rsid w:val="00AC0810"/>
    <w:rsid w:val="00AC0B3D"/>
    <w:rsid w:val="00AC1ED1"/>
    <w:rsid w:val="00AC211D"/>
    <w:rsid w:val="00AC3701"/>
    <w:rsid w:val="00AC430B"/>
    <w:rsid w:val="00AC49D8"/>
    <w:rsid w:val="00AC523C"/>
    <w:rsid w:val="00AC567F"/>
    <w:rsid w:val="00AD0CCB"/>
    <w:rsid w:val="00AD24CE"/>
    <w:rsid w:val="00AD279E"/>
    <w:rsid w:val="00AD2B89"/>
    <w:rsid w:val="00AD3A3C"/>
    <w:rsid w:val="00AD5C2E"/>
    <w:rsid w:val="00AD6F15"/>
    <w:rsid w:val="00AE11B7"/>
    <w:rsid w:val="00AE1D85"/>
    <w:rsid w:val="00AE3AC1"/>
    <w:rsid w:val="00AE4E07"/>
    <w:rsid w:val="00AE5230"/>
    <w:rsid w:val="00AE5901"/>
    <w:rsid w:val="00AE77B6"/>
    <w:rsid w:val="00AF0612"/>
    <w:rsid w:val="00AF0888"/>
    <w:rsid w:val="00AF2170"/>
    <w:rsid w:val="00AF2BE2"/>
    <w:rsid w:val="00AF36B0"/>
    <w:rsid w:val="00AF612D"/>
    <w:rsid w:val="00AF692E"/>
    <w:rsid w:val="00AF7F47"/>
    <w:rsid w:val="00B00A55"/>
    <w:rsid w:val="00B00F22"/>
    <w:rsid w:val="00B06444"/>
    <w:rsid w:val="00B0686B"/>
    <w:rsid w:val="00B06C4D"/>
    <w:rsid w:val="00B06D4B"/>
    <w:rsid w:val="00B15F5A"/>
    <w:rsid w:val="00B201ED"/>
    <w:rsid w:val="00B214B2"/>
    <w:rsid w:val="00B24584"/>
    <w:rsid w:val="00B24C4A"/>
    <w:rsid w:val="00B257CC"/>
    <w:rsid w:val="00B25CD9"/>
    <w:rsid w:val="00B26CCF"/>
    <w:rsid w:val="00B30004"/>
    <w:rsid w:val="00B30353"/>
    <w:rsid w:val="00B316B9"/>
    <w:rsid w:val="00B34C1E"/>
    <w:rsid w:val="00B34E8E"/>
    <w:rsid w:val="00B35331"/>
    <w:rsid w:val="00B36546"/>
    <w:rsid w:val="00B37179"/>
    <w:rsid w:val="00B424BA"/>
    <w:rsid w:val="00B464BB"/>
    <w:rsid w:val="00B51544"/>
    <w:rsid w:val="00B51C3B"/>
    <w:rsid w:val="00B531DD"/>
    <w:rsid w:val="00B54564"/>
    <w:rsid w:val="00B55390"/>
    <w:rsid w:val="00B56A07"/>
    <w:rsid w:val="00B56D45"/>
    <w:rsid w:val="00B572E8"/>
    <w:rsid w:val="00B603B4"/>
    <w:rsid w:val="00B60860"/>
    <w:rsid w:val="00B645D2"/>
    <w:rsid w:val="00B64DD3"/>
    <w:rsid w:val="00B6771F"/>
    <w:rsid w:val="00B67E6B"/>
    <w:rsid w:val="00B717B0"/>
    <w:rsid w:val="00B71DC2"/>
    <w:rsid w:val="00B73546"/>
    <w:rsid w:val="00B74DD5"/>
    <w:rsid w:val="00B74F88"/>
    <w:rsid w:val="00B757A6"/>
    <w:rsid w:val="00B76565"/>
    <w:rsid w:val="00B76A6E"/>
    <w:rsid w:val="00B823A0"/>
    <w:rsid w:val="00B84A83"/>
    <w:rsid w:val="00B879C7"/>
    <w:rsid w:val="00B90D3F"/>
    <w:rsid w:val="00B93893"/>
    <w:rsid w:val="00B946A4"/>
    <w:rsid w:val="00B95E58"/>
    <w:rsid w:val="00B95FC2"/>
    <w:rsid w:val="00B979F2"/>
    <w:rsid w:val="00B97DCD"/>
    <w:rsid w:val="00BA06AC"/>
    <w:rsid w:val="00BA1B1C"/>
    <w:rsid w:val="00BA2CB0"/>
    <w:rsid w:val="00BA537F"/>
    <w:rsid w:val="00BA5E9E"/>
    <w:rsid w:val="00BA770E"/>
    <w:rsid w:val="00BA7A60"/>
    <w:rsid w:val="00BA7EDA"/>
    <w:rsid w:val="00BB11E1"/>
    <w:rsid w:val="00BB1594"/>
    <w:rsid w:val="00BB1670"/>
    <w:rsid w:val="00BB2BC0"/>
    <w:rsid w:val="00BB6DA1"/>
    <w:rsid w:val="00BB7ABD"/>
    <w:rsid w:val="00BB7EB7"/>
    <w:rsid w:val="00BC02E9"/>
    <w:rsid w:val="00BC0A80"/>
    <w:rsid w:val="00BC12A3"/>
    <w:rsid w:val="00BC3B53"/>
    <w:rsid w:val="00BC4A98"/>
    <w:rsid w:val="00BC4D64"/>
    <w:rsid w:val="00BC56F5"/>
    <w:rsid w:val="00BC7D8C"/>
    <w:rsid w:val="00BD0F12"/>
    <w:rsid w:val="00BD4929"/>
    <w:rsid w:val="00BD6098"/>
    <w:rsid w:val="00BD7AE6"/>
    <w:rsid w:val="00BE0B32"/>
    <w:rsid w:val="00BE0C96"/>
    <w:rsid w:val="00BE2497"/>
    <w:rsid w:val="00BE3E33"/>
    <w:rsid w:val="00BE458E"/>
    <w:rsid w:val="00BE5564"/>
    <w:rsid w:val="00BF0759"/>
    <w:rsid w:val="00BF1365"/>
    <w:rsid w:val="00BF2B59"/>
    <w:rsid w:val="00BF2C4F"/>
    <w:rsid w:val="00BF37A3"/>
    <w:rsid w:val="00BF3D01"/>
    <w:rsid w:val="00BF5B51"/>
    <w:rsid w:val="00C00B67"/>
    <w:rsid w:val="00C01061"/>
    <w:rsid w:val="00C010DC"/>
    <w:rsid w:val="00C10869"/>
    <w:rsid w:val="00C117E2"/>
    <w:rsid w:val="00C12C00"/>
    <w:rsid w:val="00C12E90"/>
    <w:rsid w:val="00C1320B"/>
    <w:rsid w:val="00C14CC1"/>
    <w:rsid w:val="00C20672"/>
    <w:rsid w:val="00C206F1"/>
    <w:rsid w:val="00C26035"/>
    <w:rsid w:val="00C26079"/>
    <w:rsid w:val="00C27206"/>
    <w:rsid w:val="00C30AC1"/>
    <w:rsid w:val="00C3189F"/>
    <w:rsid w:val="00C3256E"/>
    <w:rsid w:val="00C33340"/>
    <w:rsid w:val="00C35A91"/>
    <w:rsid w:val="00C371A6"/>
    <w:rsid w:val="00C40C60"/>
    <w:rsid w:val="00C458C9"/>
    <w:rsid w:val="00C46B84"/>
    <w:rsid w:val="00C47BEC"/>
    <w:rsid w:val="00C50ECF"/>
    <w:rsid w:val="00C52281"/>
    <w:rsid w:val="00C52E42"/>
    <w:rsid w:val="00C53426"/>
    <w:rsid w:val="00C54FEA"/>
    <w:rsid w:val="00C55E5A"/>
    <w:rsid w:val="00C56BE8"/>
    <w:rsid w:val="00C60E49"/>
    <w:rsid w:val="00C62A0B"/>
    <w:rsid w:val="00C63108"/>
    <w:rsid w:val="00C6537C"/>
    <w:rsid w:val="00C666E4"/>
    <w:rsid w:val="00C7606F"/>
    <w:rsid w:val="00C812F7"/>
    <w:rsid w:val="00C82AA2"/>
    <w:rsid w:val="00C833B6"/>
    <w:rsid w:val="00C83CAE"/>
    <w:rsid w:val="00C85838"/>
    <w:rsid w:val="00C876B7"/>
    <w:rsid w:val="00C90846"/>
    <w:rsid w:val="00C91B2C"/>
    <w:rsid w:val="00C93B39"/>
    <w:rsid w:val="00C95961"/>
    <w:rsid w:val="00CA0A69"/>
    <w:rsid w:val="00CA0E76"/>
    <w:rsid w:val="00CA473C"/>
    <w:rsid w:val="00CA47D3"/>
    <w:rsid w:val="00CA52E3"/>
    <w:rsid w:val="00CA53DE"/>
    <w:rsid w:val="00CA58C3"/>
    <w:rsid w:val="00CA5BC9"/>
    <w:rsid w:val="00CA6A55"/>
    <w:rsid w:val="00CA6DEF"/>
    <w:rsid w:val="00CB1BBD"/>
    <w:rsid w:val="00CB3777"/>
    <w:rsid w:val="00CB5A73"/>
    <w:rsid w:val="00CC0BB4"/>
    <w:rsid w:val="00CC12DF"/>
    <w:rsid w:val="00CC4D8D"/>
    <w:rsid w:val="00CC63E0"/>
    <w:rsid w:val="00CC6FDD"/>
    <w:rsid w:val="00CD1689"/>
    <w:rsid w:val="00CD2492"/>
    <w:rsid w:val="00CD47BA"/>
    <w:rsid w:val="00CD5427"/>
    <w:rsid w:val="00CD604A"/>
    <w:rsid w:val="00CD6791"/>
    <w:rsid w:val="00CE15C4"/>
    <w:rsid w:val="00CE2E6A"/>
    <w:rsid w:val="00CE2EA9"/>
    <w:rsid w:val="00CE6D64"/>
    <w:rsid w:val="00CE74D9"/>
    <w:rsid w:val="00CF053F"/>
    <w:rsid w:val="00CF0A55"/>
    <w:rsid w:val="00CF29E7"/>
    <w:rsid w:val="00CF301C"/>
    <w:rsid w:val="00CF6ACB"/>
    <w:rsid w:val="00CF7C8B"/>
    <w:rsid w:val="00D00180"/>
    <w:rsid w:val="00D00793"/>
    <w:rsid w:val="00D01D15"/>
    <w:rsid w:val="00D04083"/>
    <w:rsid w:val="00D078E1"/>
    <w:rsid w:val="00D102BF"/>
    <w:rsid w:val="00D102D2"/>
    <w:rsid w:val="00D108A8"/>
    <w:rsid w:val="00D10AEF"/>
    <w:rsid w:val="00D12A7F"/>
    <w:rsid w:val="00D131D6"/>
    <w:rsid w:val="00D135BA"/>
    <w:rsid w:val="00D149C8"/>
    <w:rsid w:val="00D170EA"/>
    <w:rsid w:val="00D17A1D"/>
    <w:rsid w:val="00D20C77"/>
    <w:rsid w:val="00D218AC"/>
    <w:rsid w:val="00D221A6"/>
    <w:rsid w:val="00D232A2"/>
    <w:rsid w:val="00D23522"/>
    <w:rsid w:val="00D25C90"/>
    <w:rsid w:val="00D25F5C"/>
    <w:rsid w:val="00D26196"/>
    <w:rsid w:val="00D263C5"/>
    <w:rsid w:val="00D27467"/>
    <w:rsid w:val="00D279AE"/>
    <w:rsid w:val="00D27CC2"/>
    <w:rsid w:val="00D30900"/>
    <w:rsid w:val="00D30F08"/>
    <w:rsid w:val="00D315F2"/>
    <w:rsid w:val="00D31C61"/>
    <w:rsid w:val="00D323BE"/>
    <w:rsid w:val="00D3251F"/>
    <w:rsid w:val="00D365C5"/>
    <w:rsid w:val="00D36C95"/>
    <w:rsid w:val="00D405AB"/>
    <w:rsid w:val="00D40DFF"/>
    <w:rsid w:val="00D41280"/>
    <w:rsid w:val="00D42113"/>
    <w:rsid w:val="00D43528"/>
    <w:rsid w:val="00D45ACC"/>
    <w:rsid w:val="00D45EB0"/>
    <w:rsid w:val="00D47C69"/>
    <w:rsid w:val="00D5423B"/>
    <w:rsid w:val="00D54F4E"/>
    <w:rsid w:val="00D55865"/>
    <w:rsid w:val="00D56274"/>
    <w:rsid w:val="00D571AD"/>
    <w:rsid w:val="00D60BA4"/>
    <w:rsid w:val="00D61E03"/>
    <w:rsid w:val="00D62F23"/>
    <w:rsid w:val="00D6528F"/>
    <w:rsid w:val="00D711A5"/>
    <w:rsid w:val="00D71885"/>
    <w:rsid w:val="00D72421"/>
    <w:rsid w:val="00D73F97"/>
    <w:rsid w:val="00D745A7"/>
    <w:rsid w:val="00D74D0A"/>
    <w:rsid w:val="00D7513D"/>
    <w:rsid w:val="00D767FA"/>
    <w:rsid w:val="00D801C5"/>
    <w:rsid w:val="00D80CCE"/>
    <w:rsid w:val="00D81D90"/>
    <w:rsid w:val="00D82202"/>
    <w:rsid w:val="00D828D7"/>
    <w:rsid w:val="00D8317C"/>
    <w:rsid w:val="00D841BD"/>
    <w:rsid w:val="00D85A93"/>
    <w:rsid w:val="00D87FF1"/>
    <w:rsid w:val="00D92483"/>
    <w:rsid w:val="00D92633"/>
    <w:rsid w:val="00D92C07"/>
    <w:rsid w:val="00D93CE9"/>
    <w:rsid w:val="00D943C9"/>
    <w:rsid w:val="00D94D75"/>
    <w:rsid w:val="00D951CB"/>
    <w:rsid w:val="00DA11ED"/>
    <w:rsid w:val="00DA2288"/>
    <w:rsid w:val="00DA243E"/>
    <w:rsid w:val="00DA298C"/>
    <w:rsid w:val="00DA3A24"/>
    <w:rsid w:val="00DB030C"/>
    <w:rsid w:val="00DB2280"/>
    <w:rsid w:val="00DB293D"/>
    <w:rsid w:val="00DB403F"/>
    <w:rsid w:val="00DB4A3A"/>
    <w:rsid w:val="00DB6021"/>
    <w:rsid w:val="00DC2000"/>
    <w:rsid w:val="00DC6E11"/>
    <w:rsid w:val="00DD13B8"/>
    <w:rsid w:val="00DD1B91"/>
    <w:rsid w:val="00DD368B"/>
    <w:rsid w:val="00DD6E29"/>
    <w:rsid w:val="00DE343C"/>
    <w:rsid w:val="00DE575C"/>
    <w:rsid w:val="00DE578A"/>
    <w:rsid w:val="00DE5D8B"/>
    <w:rsid w:val="00DE6AC5"/>
    <w:rsid w:val="00DE6E7E"/>
    <w:rsid w:val="00DE7DDA"/>
    <w:rsid w:val="00DE7F32"/>
    <w:rsid w:val="00DF1D1E"/>
    <w:rsid w:val="00DF2583"/>
    <w:rsid w:val="00DF54D9"/>
    <w:rsid w:val="00DF6973"/>
    <w:rsid w:val="00DF79E9"/>
    <w:rsid w:val="00E00687"/>
    <w:rsid w:val="00E008CB"/>
    <w:rsid w:val="00E021C8"/>
    <w:rsid w:val="00E02D5F"/>
    <w:rsid w:val="00E03D32"/>
    <w:rsid w:val="00E03E8B"/>
    <w:rsid w:val="00E04465"/>
    <w:rsid w:val="00E04925"/>
    <w:rsid w:val="00E05634"/>
    <w:rsid w:val="00E05FDB"/>
    <w:rsid w:val="00E079F2"/>
    <w:rsid w:val="00E10DC6"/>
    <w:rsid w:val="00E11F8E"/>
    <w:rsid w:val="00E12B7F"/>
    <w:rsid w:val="00E145EA"/>
    <w:rsid w:val="00E17944"/>
    <w:rsid w:val="00E17BC5"/>
    <w:rsid w:val="00E17E8B"/>
    <w:rsid w:val="00E22722"/>
    <w:rsid w:val="00E2347F"/>
    <w:rsid w:val="00E26E34"/>
    <w:rsid w:val="00E276B2"/>
    <w:rsid w:val="00E33FD4"/>
    <w:rsid w:val="00E3596E"/>
    <w:rsid w:val="00E364EF"/>
    <w:rsid w:val="00E41324"/>
    <w:rsid w:val="00E41D02"/>
    <w:rsid w:val="00E423AE"/>
    <w:rsid w:val="00E426A4"/>
    <w:rsid w:val="00E42D22"/>
    <w:rsid w:val="00E4573C"/>
    <w:rsid w:val="00E458E2"/>
    <w:rsid w:val="00E466F2"/>
    <w:rsid w:val="00E50A17"/>
    <w:rsid w:val="00E5116C"/>
    <w:rsid w:val="00E51959"/>
    <w:rsid w:val="00E52B6B"/>
    <w:rsid w:val="00E538A4"/>
    <w:rsid w:val="00E56899"/>
    <w:rsid w:val="00E56ADD"/>
    <w:rsid w:val="00E56B66"/>
    <w:rsid w:val="00E57194"/>
    <w:rsid w:val="00E574DD"/>
    <w:rsid w:val="00E575BA"/>
    <w:rsid w:val="00E5788D"/>
    <w:rsid w:val="00E62286"/>
    <w:rsid w:val="00E634B6"/>
    <w:rsid w:val="00E634E3"/>
    <w:rsid w:val="00E645B1"/>
    <w:rsid w:val="00E65854"/>
    <w:rsid w:val="00E6586E"/>
    <w:rsid w:val="00E659A6"/>
    <w:rsid w:val="00E71BFE"/>
    <w:rsid w:val="00E724F5"/>
    <w:rsid w:val="00E75C19"/>
    <w:rsid w:val="00E80F31"/>
    <w:rsid w:val="00E82965"/>
    <w:rsid w:val="00E839D0"/>
    <w:rsid w:val="00E85102"/>
    <w:rsid w:val="00E8592D"/>
    <w:rsid w:val="00E86633"/>
    <w:rsid w:val="00E876A6"/>
    <w:rsid w:val="00E9497F"/>
    <w:rsid w:val="00E94B7E"/>
    <w:rsid w:val="00E96D0E"/>
    <w:rsid w:val="00EA003C"/>
    <w:rsid w:val="00EA14C5"/>
    <w:rsid w:val="00EA1765"/>
    <w:rsid w:val="00EA1EA8"/>
    <w:rsid w:val="00EA26EF"/>
    <w:rsid w:val="00EA3241"/>
    <w:rsid w:val="00EA3B5F"/>
    <w:rsid w:val="00EA5786"/>
    <w:rsid w:val="00EA615D"/>
    <w:rsid w:val="00EA75C1"/>
    <w:rsid w:val="00EA7B10"/>
    <w:rsid w:val="00EB141A"/>
    <w:rsid w:val="00EB2DEB"/>
    <w:rsid w:val="00EB40BD"/>
    <w:rsid w:val="00EB6D1A"/>
    <w:rsid w:val="00EB7038"/>
    <w:rsid w:val="00EB7550"/>
    <w:rsid w:val="00EB7C2E"/>
    <w:rsid w:val="00EC0F04"/>
    <w:rsid w:val="00EC1309"/>
    <w:rsid w:val="00EC1405"/>
    <w:rsid w:val="00EC237D"/>
    <w:rsid w:val="00EC3951"/>
    <w:rsid w:val="00EC3DB7"/>
    <w:rsid w:val="00EC5F70"/>
    <w:rsid w:val="00EC6AAB"/>
    <w:rsid w:val="00EC6F2A"/>
    <w:rsid w:val="00ED2F32"/>
    <w:rsid w:val="00ED4248"/>
    <w:rsid w:val="00ED60CA"/>
    <w:rsid w:val="00ED64EF"/>
    <w:rsid w:val="00EE0D5D"/>
    <w:rsid w:val="00EE0EC3"/>
    <w:rsid w:val="00EE1819"/>
    <w:rsid w:val="00EE1A75"/>
    <w:rsid w:val="00EE1B9E"/>
    <w:rsid w:val="00EE1DC0"/>
    <w:rsid w:val="00EE4A1F"/>
    <w:rsid w:val="00EE53EA"/>
    <w:rsid w:val="00EE745C"/>
    <w:rsid w:val="00EF009A"/>
    <w:rsid w:val="00EF0ED5"/>
    <w:rsid w:val="00EF1B5A"/>
    <w:rsid w:val="00EF2CCA"/>
    <w:rsid w:val="00EF31ED"/>
    <w:rsid w:val="00EF61AC"/>
    <w:rsid w:val="00EF791D"/>
    <w:rsid w:val="00F01325"/>
    <w:rsid w:val="00F017B1"/>
    <w:rsid w:val="00F01BA1"/>
    <w:rsid w:val="00F03073"/>
    <w:rsid w:val="00F03E1B"/>
    <w:rsid w:val="00F04D64"/>
    <w:rsid w:val="00F05423"/>
    <w:rsid w:val="00F057E0"/>
    <w:rsid w:val="00F10ADF"/>
    <w:rsid w:val="00F13F47"/>
    <w:rsid w:val="00F14D38"/>
    <w:rsid w:val="00F16EBD"/>
    <w:rsid w:val="00F214D5"/>
    <w:rsid w:val="00F229EF"/>
    <w:rsid w:val="00F22C62"/>
    <w:rsid w:val="00F24A31"/>
    <w:rsid w:val="00F24E4E"/>
    <w:rsid w:val="00F26059"/>
    <w:rsid w:val="00F2608D"/>
    <w:rsid w:val="00F3042C"/>
    <w:rsid w:val="00F31D61"/>
    <w:rsid w:val="00F343DA"/>
    <w:rsid w:val="00F359F8"/>
    <w:rsid w:val="00F3652C"/>
    <w:rsid w:val="00F36803"/>
    <w:rsid w:val="00F43D1A"/>
    <w:rsid w:val="00F43E8A"/>
    <w:rsid w:val="00F4610C"/>
    <w:rsid w:val="00F46AA1"/>
    <w:rsid w:val="00F47235"/>
    <w:rsid w:val="00F47A9A"/>
    <w:rsid w:val="00F50BD3"/>
    <w:rsid w:val="00F51771"/>
    <w:rsid w:val="00F51CF4"/>
    <w:rsid w:val="00F53F91"/>
    <w:rsid w:val="00F56255"/>
    <w:rsid w:val="00F57321"/>
    <w:rsid w:val="00F57CD4"/>
    <w:rsid w:val="00F613E9"/>
    <w:rsid w:val="00F6168C"/>
    <w:rsid w:val="00F61A72"/>
    <w:rsid w:val="00F62D1F"/>
    <w:rsid w:val="00F6371E"/>
    <w:rsid w:val="00F63E0E"/>
    <w:rsid w:val="00F64C4F"/>
    <w:rsid w:val="00F65DE4"/>
    <w:rsid w:val="00F6601E"/>
    <w:rsid w:val="00F66F13"/>
    <w:rsid w:val="00F74073"/>
    <w:rsid w:val="00F7472B"/>
    <w:rsid w:val="00F74D7D"/>
    <w:rsid w:val="00F7614E"/>
    <w:rsid w:val="00F77453"/>
    <w:rsid w:val="00F80F82"/>
    <w:rsid w:val="00F81A04"/>
    <w:rsid w:val="00F84116"/>
    <w:rsid w:val="00F8524E"/>
    <w:rsid w:val="00F85583"/>
    <w:rsid w:val="00F8778E"/>
    <w:rsid w:val="00F8779B"/>
    <w:rsid w:val="00F87D67"/>
    <w:rsid w:val="00F87D80"/>
    <w:rsid w:val="00F90E04"/>
    <w:rsid w:val="00F9189A"/>
    <w:rsid w:val="00F928C5"/>
    <w:rsid w:val="00FA1759"/>
    <w:rsid w:val="00FA277B"/>
    <w:rsid w:val="00FA60E9"/>
    <w:rsid w:val="00FB06ED"/>
    <w:rsid w:val="00FB5AB0"/>
    <w:rsid w:val="00FB76DB"/>
    <w:rsid w:val="00FC084D"/>
    <w:rsid w:val="00FC29C4"/>
    <w:rsid w:val="00FC36AB"/>
    <w:rsid w:val="00FC3A68"/>
    <w:rsid w:val="00FC3F21"/>
    <w:rsid w:val="00FC6AB4"/>
    <w:rsid w:val="00FC6EC6"/>
    <w:rsid w:val="00FC76A5"/>
    <w:rsid w:val="00FD09E3"/>
    <w:rsid w:val="00FD0B22"/>
    <w:rsid w:val="00FD1727"/>
    <w:rsid w:val="00FD2798"/>
    <w:rsid w:val="00FD2A72"/>
    <w:rsid w:val="00FD5819"/>
    <w:rsid w:val="00FE15EB"/>
    <w:rsid w:val="00FE38C5"/>
    <w:rsid w:val="00FE4F08"/>
    <w:rsid w:val="00FE5B37"/>
    <w:rsid w:val="00FE5C0A"/>
    <w:rsid w:val="00FE64E4"/>
    <w:rsid w:val="00FF0D35"/>
    <w:rsid w:val="00FF0DF2"/>
    <w:rsid w:val="00FF3A5A"/>
    <w:rsid w:val="00FF6EDD"/>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2769" fill="f" fillcolor="white" stroke="f">
      <v:fill color="white" on="f"/>
      <v:stroke on="f"/>
    </o:shapedefaults>
    <o:shapelayout v:ext="edit">
      <o:idmap v:ext="edit" data="1"/>
    </o:shapelayout>
  </w:shapeDefaults>
  <w:decimalSymbol w:val=","/>
  <w:listSeparator w:val=";"/>
  <w14:docId w14:val="3A32A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1CF4"/>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uiPriority w:val="99"/>
    <w:semiHidden/>
    <w:rsid w:val="00646E47"/>
    <w:pPr>
      <w:tabs>
        <w:tab w:val="left" w:pos="600"/>
      </w:tabs>
      <w:spacing w:line="180" w:lineRule="atLeast"/>
      <w:ind w:left="240" w:hanging="240"/>
    </w:pPr>
    <w:rPr>
      <w:sz w:val="13"/>
      <w:szCs w:val="20"/>
    </w:rPr>
  </w:style>
  <w:style w:type="character" w:styleId="FootnoteReference">
    <w:name w:val="footnote reference"/>
    <w:uiPriority w:val="99"/>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uiPriority w:val="99"/>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275A4D"/>
    <w:rPr>
      <w:b/>
      <w:bCs/>
    </w:rPr>
  </w:style>
  <w:style w:type="character" w:customStyle="1" w:styleId="CommentTextChar">
    <w:name w:val="Comment Text Char"/>
    <w:link w:val="CommentText"/>
    <w:semiHidden/>
    <w:rsid w:val="00275A4D"/>
    <w:rPr>
      <w:rFonts w:ascii="Verdana" w:hAnsi="Verdana"/>
    </w:rPr>
  </w:style>
  <w:style w:type="character" w:customStyle="1" w:styleId="CommentSubjectChar">
    <w:name w:val="Comment Subject Char"/>
    <w:link w:val="CommentSubject"/>
    <w:rsid w:val="00275A4D"/>
    <w:rPr>
      <w:rFonts w:ascii="Verdana" w:hAnsi="Verdana"/>
      <w:b/>
      <w:bCs/>
    </w:rPr>
  </w:style>
  <w:style w:type="paragraph" w:customStyle="1" w:styleId="Default">
    <w:name w:val="Default"/>
    <w:rsid w:val="00325DE4"/>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A10447"/>
    <w:pPr>
      <w:ind w:left="720"/>
    </w:pPr>
  </w:style>
  <w:style w:type="paragraph" w:styleId="Revision">
    <w:name w:val="Revision"/>
    <w:hidden/>
    <w:uiPriority w:val="99"/>
    <w:semiHidden/>
    <w:rsid w:val="00F85583"/>
    <w:rPr>
      <w:rFonts w:ascii="Verdana" w:hAnsi="Verdana"/>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1CF4"/>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uiPriority w:val="99"/>
    <w:semiHidden/>
    <w:rsid w:val="00646E47"/>
    <w:pPr>
      <w:tabs>
        <w:tab w:val="left" w:pos="600"/>
      </w:tabs>
      <w:spacing w:line="180" w:lineRule="atLeast"/>
      <w:ind w:left="240" w:hanging="240"/>
    </w:pPr>
    <w:rPr>
      <w:sz w:val="13"/>
      <w:szCs w:val="20"/>
    </w:rPr>
  </w:style>
  <w:style w:type="character" w:styleId="FootnoteReference">
    <w:name w:val="footnote reference"/>
    <w:uiPriority w:val="99"/>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uiPriority w:val="99"/>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275A4D"/>
    <w:rPr>
      <w:b/>
      <w:bCs/>
    </w:rPr>
  </w:style>
  <w:style w:type="character" w:customStyle="1" w:styleId="CommentTextChar">
    <w:name w:val="Comment Text Char"/>
    <w:link w:val="CommentText"/>
    <w:semiHidden/>
    <w:rsid w:val="00275A4D"/>
    <w:rPr>
      <w:rFonts w:ascii="Verdana" w:hAnsi="Verdana"/>
    </w:rPr>
  </w:style>
  <w:style w:type="character" w:customStyle="1" w:styleId="CommentSubjectChar">
    <w:name w:val="Comment Subject Char"/>
    <w:link w:val="CommentSubject"/>
    <w:rsid w:val="00275A4D"/>
    <w:rPr>
      <w:rFonts w:ascii="Verdana" w:hAnsi="Verdana"/>
      <w:b/>
      <w:bCs/>
    </w:rPr>
  </w:style>
  <w:style w:type="paragraph" w:customStyle="1" w:styleId="Default">
    <w:name w:val="Default"/>
    <w:rsid w:val="00325DE4"/>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A10447"/>
    <w:pPr>
      <w:ind w:left="720"/>
    </w:pPr>
  </w:style>
  <w:style w:type="paragraph" w:styleId="Revision">
    <w:name w:val="Revision"/>
    <w:hidden/>
    <w:uiPriority w:val="99"/>
    <w:semiHidden/>
    <w:rsid w:val="00F85583"/>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41038">
      <w:bodyDiv w:val="1"/>
      <w:marLeft w:val="0"/>
      <w:marRight w:val="0"/>
      <w:marTop w:val="0"/>
      <w:marBottom w:val="0"/>
      <w:divBdr>
        <w:top w:val="none" w:sz="0" w:space="0" w:color="auto"/>
        <w:left w:val="none" w:sz="0" w:space="0" w:color="auto"/>
        <w:bottom w:val="none" w:sz="0" w:space="0" w:color="auto"/>
        <w:right w:val="none" w:sz="0" w:space="0" w:color="auto"/>
      </w:divBdr>
    </w:div>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774444574">
      <w:bodyDiv w:val="1"/>
      <w:marLeft w:val="0"/>
      <w:marRight w:val="0"/>
      <w:marTop w:val="0"/>
      <w:marBottom w:val="0"/>
      <w:divBdr>
        <w:top w:val="none" w:sz="0" w:space="0" w:color="auto"/>
        <w:left w:val="none" w:sz="0" w:space="0" w:color="auto"/>
        <w:bottom w:val="none" w:sz="0" w:space="0" w:color="auto"/>
        <w:right w:val="none" w:sz="0" w:space="0" w:color="auto"/>
      </w:divBdr>
      <w:divsChild>
        <w:div w:id="1455442824">
          <w:marLeft w:val="0"/>
          <w:marRight w:val="0"/>
          <w:marTop w:val="0"/>
          <w:marBottom w:val="0"/>
          <w:divBdr>
            <w:top w:val="none" w:sz="0" w:space="0" w:color="auto"/>
            <w:left w:val="none" w:sz="0" w:space="0" w:color="auto"/>
            <w:bottom w:val="none" w:sz="0" w:space="0" w:color="auto"/>
            <w:right w:val="none" w:sz="0" w:space="0" w:color="auto"/>
          </w:divBdr>
          <w:divsChild>
            <w:div w:id="136042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4601">
      <w:bodyDiv w:val="1"/>
      <w:marLeft w:val="0"/>
      <w:marRight w:val="0"/>
      <w:marTop w:val="0"/>
      <w:marBottom w:val="0"/>
      <w:divBdr>
        <w:top w:val="none" w:sz="0" w:space="0" w:color="auto"/>
        <w:left w:val="none" w:sz="0" w:space="0" w:color="auto"/>
        <w:bottom w:val="none" w:sz="0" w:space="0" w:color="auto"/>
        <w:right w:val="none" w:sz="0" w:space="0" w:color="auto"/>
      </w:divBdr>
    </w:div>
    <w:div w:id="907032374">
      <w:bodyDiv w:val="1"/>
      <w:marLeft w:val="0"/>
      <w:marRight w:val="0"/>
      <w:marTop w:val="0"/>
      <w:marBottom w:val="0"/>
      <w:divBdr>
        <w:top w:val="none" w:sz="0" w:space="0" w:color="auto"/>
        <w:left w:val="none" w:sz="0" w:space="0" w:color="auto"/>
        <w:bottom w:val="none" w:sz="0" w:space="0" w:color="auto"/>
        <w:right w:val="none" w:sz="0" w:space="0" w:color="auto"/>
      </w:divBdr>
      <w:divsChild>
        <w:div w:id="2034918278">
          <w:marLeft w:val="0"/>
          <w:marRight w:val="0"/>
          <w:marTop w:val="0"/>
          <w:marBottom w:val="0"/>
          <w:divBdr>
            <w:top w:val="none" w:sz="0" w:space="0" w:color="auto"/>
            <w:left w:val="none" w:sz="0" w:space="0" w:color="auto"/>
            <w:bottom w:val="none" w:sz="0" w:space="0" w:color="auto"/>
            <w:right w:val="none" w:sz="0" w:space="0" w:color="auto"/>
          </w:divBdr>
        </w:div>
      </w:divsChild>
    </w:div>
    <w:div w:id="1349722463">
      <w:bodyDiv w:val="1"/>
      <w:marLeft w:val="0"/>
      <w:marRight w:val="0"/>
      <w:marTop w:val="0"/>
      <w:marBottom w:val="0"/>
      <w:divBdr>
        <w:top w:val="none" w:sz="0" w:space="0" w:color="auto"/>
        <w:left w:val="none" w:sz="0" w:space="0" w:color="auto"/>
        <w:bottom w:val="none" w:sz="0" w:space="0" w:color="auto"/>
        <w:right w:val="none" w:sz="0" w:space="0" w:color="auto"/>
      </w:divBdr>
    </w:div>
    <w:div w:id="1404260127">
      <w:bodyDiv w:val="1"/>
      <w:marLeft w:val="0"/>
      <w:marRight w:val="0"/>
      <w:marTop w:val="0"/>
      <w:marBottom w:val="0"/>
      <w:divBdr>
        <w:top w:val="none" w:sz="0" w:space="0" w:color="auto"/>
        <w:left w:val="none" w:sz="0" w:space="0" w:color="auto"/>
        <w:bottom w:val="none" w:sz="0" w:space="0" w:color="auto"/>
        <w:right w:val="none" w:sz="0" w:space="0" w:color="auto"/>
      </w:divBdr>
    </w:div>
    <w:div w:id="1994219676">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office\Template\Buza-Common\Report.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A6D4983D28D84FAF1C285E1CA84D71" ma:contentTypeVersion="0" ma:contentTypeDescription="Create a new document." ma:contentTypeScope="" ma:versionID="4bd9914d6a4265ebcb6fd51965d705b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D53E3-A58A-4E2D-9194-16D315E70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A0ED2A3-7487-438B-8E4E-060D2867501F}">
  <ds:schemaRefs>
    <ds:schemaRef ds:uri="http://schemas.microsoft.com/sharepoint/v3/contenttype/forms"/>
  </ds:schemaRefs>
</ds:datastoreItem>
</file>

<file path=customXml/itemProps3.xml><?xml version="1.0" encoding="utf-8"?>
<ds:datastoreItem xmlns:ds="http://schemas.openxmlformats.org/officeDocument/2006/customXml" ds:itemID="{37EC6576-A0B0-40F7-ADAA-FF3A065D604D}">
  <ds:schemaRefs>
    <ds:schemaRef ds:uri="http://www.w3.org/XML/1998/namespace"/>
    <ds:schemaRef ds:uri="http://schemas.microsoft.com/office/infopath/2007/PartnerControls"/>
    <ds:schemaRef ds:uri="http://purl.org/dc/term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443D0A12-C6B9-4135-B1AA-E1C63F64E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0</TotalTime>
  <Pages>3</Pages>
  <Words>6213</Words>
  <Characters>34177</Characters>
  <Application>Microsoft Office Word</Application>
  <DocSecurity>0</DocSecurity>
  <Lines>284</Lines>
  <Paragraphs>80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Algemene Aanwijzingen</vt:lpstr>
      <vt:lpstr>Algemene Aanwijzingen</vt:lpstr>
    </vt:vector>
  </TitlesOfParts>
  <Company>Ministerie van Buitenlandse Zaken</Company>
  <LinksUpToDate>false</LinksUpToDate>
  <CharactersWithSpaces>40310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creator>Han Huiskamp</dc:creator>
  <cp:lastModifiedBy>Elmar Lasse Smid</cp:lastModifiedBy>
  <cp:revision>3</cp:revision>
  <cp:lastPrinted>2015-06-15T09:42:00Z</cp:lastPrinted>
  <dcterms:created xsi:type="dcterms:W3CDTF">2015-06-18T15:37:00Z</dcterms:created>
  <dcterms:modified xsi:type="dcterms:W3CDTF">2015-06-19T09:24:00Z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0x01010044A6D4983D28D84FAF1C285E1CA84D71</vt:lpwstr>
  </property>
</Properties>
</file>