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146A0" w:rsidR="000146A0" w:rsidP="00AC56B2" w:rsidRDefault="000146A0">
      <w:pPr>
        <w:rPr>
          <w:rFonts w:ascii="Verdana" w:hAnsi="Verdana" w:eastAsia="Calibri" w:cs="Times New Roman"/>
          <w:b/>
          <w:sz w:val="18"/>
          <w:szCs w:val="18"/>
          <w:lang w:val="nl-NL"/>
        </w:rPr>
      </w:pPr>
      <w:bookmarkStart w:name="_GoBack" w:id="0"/>
      <w:bookmarkEnd w:id="0"/>
      <w:r w:rsidRPr="000146A0">
        <w:rPr>
          <w:rFonts w:ascii="Verdana" w:hAnsi="Verdana" w:eastAsia="Calibri" w:cs="Times New Roman"/>
          <w:b/>
          <w:sz w:val="18"/>
          <w:szCs w:val="18"/>
          <w:lang w:val="nl-NL"/>
        </w:rPr>
        <w:t xml:space="preserve">Bijlage </w:t>
      </w:r>
      <w:r w:rsidR="008A5B74">
        <w:rPr>
          <w:rFonts w:ascii="Verdana" w:hAnsi="Verdana" w:eastAsia="Calibri" w:cs="Times New Roman"/>
          <w:b/>
          <w:sz w:val="18"/>
          <w:szCs w:val="18"/>
          <w:lang w:val="nl-NL"/>
        </w:rPr>
        <w:t>4</w:t>
      </w:r>
      <w:r w:rsidRPr="000146A0">
        <w:rPr>
          <w:rFonts w:ascii="Verdana" w:hAnsi="Verdana" w:eastAsia="Calibri" w:cs="Times New Roman"/>
          <w:b/>
          <w:sz w:val="18"/>
          <w:szCs w:val="18"/>
          <w:lang w:val="nl-NL"/>
        </w:rPr>
        <w:t xml:space="preserve">: Reactie op de motie van </w:t>
      </w:r>
      <w:r w:rsidR="00BD5DD3">
        <w:rPr>
          <w:rFonts w:ascii="Verdana" w:hAnsi="Verdana" w:eastAsia="Calibri" w:cs="Times New Roman"/>
          <w:b/>
          <w:sz w:val="18"/>
          <w:szCs w:val="18"/>
          <w:lang w:val="nl-NL"/>
        </w:rPr>
        <w:t>Het lid</w:t>
      </w:r>
      <w:r w:rsidRPr="000146A0">
        <w:rPr>
          <w:rFonts w:ascii="Verdana" w:hAnsi="Verdana" w:eastAsia="Calibri" w:cs="Times New Roman"/>
          <w:b/>
          <w:sz w:val="18"/>
          <w:szCs w:val="18"/>
          <w:lang w:val="nl-NL"/>
        </w:rPr>
        <w:t xml:space="preserve"> Van Tongeren inzake het duurzaamheidsaandeel van de innovatie-instrumenten</w:t>
      </w: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Op 16 oktober 2014 is door </w:t>
      </w:r>
      <w:r w:rsidR="00BD5DD3">
        <w:rPr>
          <w:rFonts w:ascii="Verdana" w:hAnsi="Verdana" w:eastAsia="Calibri" w:cs="Times New Roman"/>
          <w:sz w:val="18"/>
          <w:szCs w:val="18"/>
          <w:lang w:val="nl-NL"/>
        </w:rPr>
        <w:t>Het lid</w:t>
      </w:r>
      <w:r w:rsidRPr="000146A0">
        <w:rPr>
          <w:rFonts w:ascii="Verdana" w:hAnsi="Verdana" w:eastAsia="Calibri" w:cs="Times New Roman"/>
          <w:sz w:val="18"/>
          <w:szCs w:val="18"/>
          <w:lang w:val="nl-NL"/>
        </w:rPr>
        <w:t xml:space="preserve"> Van Tongeren een motie ingediend, en na stemming aangenomen, om te onderzoeken hoe het aandeel innovatiesubsidies dat bijdraagt aan de verduurzaming vergroot kan worden.</w:t>
      </w:r>
      <w:r w:rsidRPr="000146A0">
        <w:rPr>
          <w:rFonts w:ascii="Verdana" w:hAnsi="Verdana" w:eastAsia="Calibri" w:cs="Times New Roman"/>
          <w:sz w:val="18"/>
          <w:szCs w:val="18"/>
          <w:vertAlign w:val="superscript"/>
          <w:lang w:val="nl-NL"/>
        </w:rPr>
        <w:footnoteReference w:id="1"/>
      </w:r>
      <w:r w:rsidRPr="000146A0">
        <w:rPr>
          <w:rFonts w:ascii="Verdana" w:hAnsi="Verdana" w:eastAsia="Calibri" w:cs="Times New Roman"/>
          <w:sz w:val="18"/>
          <w:szCs w:val="18"/>
          <w:lang w:val="nl-NL"/>
        </w:rPr>
        <w:t xml:space="preserve"> Aan de motie lag ter overweging dat volgens de Monitor Bedrijvenbeleid 2014 van het Ministerie van Economische Zaken slechts een beperkt deel van de innovatiesubsidies bijdraagt aan vergroening van de economie, constaterende dat in het Kaderbesluit EZ-subsidies een bepaling is opgenomen dat een subsidieregeling alleen wordt vastgesteld indien de subsidiabele activiteiten tevens op enigerlei wijze bijdragen aan een aspect van duurzaamheid. </w:t>
      </w:r>
    </w:p>
    <w:p w:rsidRPr="000146A0" w:rsidR="000146A0" w:rsidP="00AC56B2" w:rsidRDefault="000146A0">
      <w:pPr>
        <w:ind w:firstLine="720"/>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In 2009 is al eerder een globale schatting aan de Tweede Kamer gerapporteerd over het duurzaamheidsaandeel in de innovatiesubsidies (ca. 50%) op basis van het toen gehanteerde  duurzaamheidsbegrip langs de lijnen People, Planet, Profit</w:t>
      </w:r>
      <w:r w:rsidRPr="000146A0">
        <w:rPr>
          <w:rFonts w:ascii="Verdana" w:hAnsi="Verdana" w:eastAsia="Calibri" w:cs="Times New Roman"/>
          <w:sz w:val="18"/>
          <w:szCs w:val="18"/>
          <w:vertAlign w:val="superscript"/>
          <w:lang w:val="nl-NL"/>
        </w:rPr>
        <w:footnoteReference w:id="2"/>
      </w:r>
      <w:r w:rsidRPr="000146A0">
        <w:rPr>
          <w:rFonts w:ascii="Verdana" w:hAnsi="Verdana" w:eastAsia="Calibri" w:cs="Times New Roman"/>
          <w:sz w:val="18"/>
          <w:szCs w:val="18"/>
          <w:lang w:val="nl-NL"/>
        </w:rPr>
        <w:t>. In 2011 is de in de motie aangehaalde duurzaamheidsbepaling in het Kaderbesluit EZ-subsidies in werking getreden.</w:t>
      </w:r>
      <w:r w:rsidRPr="000146A0">
        <w:rPr>
          <w:rFonts w:ascii="Verdana" w:hAnsi="Verdana" w:eastAsia="Calibri" w:cs="Times New Roman"/>
          <w:sz w:val="18"/>
          <w:szCs w:val="18"/>
          <w:vertAlign w:val="superscript"/>
          <w:lang w:val="nl-NL"/>
        </w:rPr>
        <w:footnoteReference w:id="3"/>
      </w:r>
      <w:r w:rsidRPr="000146A0">
        <w:rPr>
          <w:rFonts w:ascii="Verdana" w:hAnsi="Verdana" w:eastAsia="Calibri" w:cs="Times New Roman"/>
          <w:sz w:val="18"/>
          <w:szCs w:val="18"/>
          <w:lang w:val="nl-NL"/>
        </w:rPr>
        <w:t xml:space="preserve"> In de bepaling worden nadrukkelijk drie dimensies van duurzaamheid onderscheiden: de economische, ecologische en sociale dimensie van duurzaamheid. Duurzaamheid is een ruimer begrip dan groene groei dat verwijst naar economische en ecologische aspecten en domeinen van de groengroeistrategie van het kabinet. Beide begrippen kunnen dus niet als synoniemen worden beschouwd. Een vergelijking in de tijd van cijfers op basis van een duurzaamheidsbegrip met die op basis van de smaller gedefinieerde groenegroeicijfers uit de Monitor Bedrijvenbeleid 2014 geeft geen indicatie over de ontwikkeling van de verduurzaming of de mate van vergroening van de economie. De onderstaande figuur illustreert de reikwijdte van de uiteenlopende begrippen.</w:t>
      </w:r>
    </w:p>
    <w:p w:rsidRPr="000146A0" w:rsidR="000146A0" w:rsidP="00AC56B2" w:rsidRDefault="000146A0">
      <w:pPr>
        <w:ind w:firstLine="720"/>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Ter beantwoording van de motie wordt een zo juist en actueel mogelijk beeld geschetst van het duurzaamheidsaandeel van de innovatie-instrumenten van EZ. Daartoe is gewerkt met de nieuwste concepten, zoals die in het kader van de Monitor Duurzaam Nederland van het CBS (voor wat betreft groene groei) en </w:t>
      </w:r>
      <w:r w:rsidRPr="000146A0">
        <w:rPr>
          <w:rFonts w:ascii="Verdana" w:hAnsi="Verdana" w:eastAsia="Calibri" w:cs="Times New Roman"/>
          <w:sz w:val="18"/>
          <w:szCs w:val="18"/>
          <w:bdr w:val="none" w:color="auto" w:sz="0" w:space="0" w:frame="1"/>
          <w:lang w:val="nl-NL"/>
        </w:rPr>
        <w:t xml:space="preserve">de maatschappelijke uitdagingen zoals benoemd in het Europese financieringsprogramma voor onderzoek en ontwikkeling Horizon 2020. Deze maatschappelijke uitdagingen staan centraal in het Europese R&amp;D- en innovatiebeleid en bieden de thans gangbare  omschrijving van de voor verduurzaming relevante maatschappelijke thema’s in het innovatiebeleid. Daarbij dient te worden opgemerkt dat deze maatschappelijke uitdagingen </w:t>
      </w:r>
      <w:r w:rsidRPr="000146A0">
        <w:rPr>
          <w:rFonts w:ascii="Verdana" w:hAnsi="Verdana" w:eastAsia="Calibri" w:cs="Times New Roman"/>
          <w:sz w:val="18"/>
          <w:szCs w:val="18"/>
          <w:lang w:val="nl-NL"/>
        </w:rPr>
        <w:t>onderdeel zijn van een nog ruimer duurzaamheidsbegrip, waartoe ook thema’s zoals als bestaanszekerheid, maatschappelijke ongelijkheid, pensioenvoorzieningen en vrije tijdsbesteding worden gerekend.</w:t>
      </w:r>
      <w:r w:rsidRPr="000146A0">
        <w:rPr>
          <w:rFonts w:ascii="Verdana" w:hAnsi="Verdana" w:eastAsia="Calibri" w:cs="Times New Roman"/>
          <w:sz w:val="18"/>
          <w:szCs w:val="18"/>
          <w:vertAlign w:val="superscript"/>
          <w:lang w:val="nl-NL"/>
        </w:rPr>
        <w:footnoteReference w:id="4"/>
      </w:r>
      <w:r w:rsidRPr="000146A0">
        <w:rPr>
          <w:rFonts w:ascii="Verdana" w:hAnsi="Verdana" w:eastAsia="Calibri" w:cs="Times New Roman"/>
          <w:sz w:val="18"/>
          <w:szCs w:val="18"/>
          <w:lang w:val="nl-NL"/>
        </w:rPr>
        <w:t xml:space="preserve"> Deze thema’s zijn niet relevant en ook niet te operationaliseren als het om de instrumenten gericht op innovatiestimulering gaat. Ze blijven hier dan ook verder buiten beschouwing.</w:t>
      </w:r>
    </w:p>
    <w:p w:rsidRPr="000146A0" w:rsidR="000146A0" w:rsidP="00AC56B2" w:rsidRDefault="000146A0">
      <w:pPr>
        <w:ind w:firstLine="720"/>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r w:rsidRPr="000146A0">
        <w:rPr>
          <w:rFonts w:ascii="Calibri" w:hAnsi="Calibri" w:eastAsia="Calibri" w:cs="Times New Roman"/>
          <w:noProof/>
          <w:lang w:val="nl-NL" w:eastAsia="nl-NL"/>
        </w:rPr>
        <mc:AlternateContent>
          <mc:Choice Requires="wps">
            <w:drawing>
              <wp:anchor distT="0" distB="0" distL="114300" distR="114300" simplePos="0" relativeHeight="251659264" behindDoc="0" locked="0" layoutInCell="1" allowOverlap="1" wp14:editId="4E9D7182" wp14:anchorId="37CD009E">
                <wp:simplePos x="0" y="0"/>
                <wp:positionH relativeFrom="column">
                  <wp:posOffset>9525</wp:posOffset>
                </wp:positionH>
                <wp:positionV relativeFrom="paragraph">
                  <wp:posOffset>38100</wp:posOffset>
                </wp:positionV>
                <wp:extent cx="5915025" cy="1304925"/>
                <wp:effectExtent l="0" t="0" r="28575" b="28575"/>
                <wp:wrapNone/>
                <wp:docPr id="1" name="Ovaal 1"/>
                <wp:cNvGraphicFramePr/>
                <a:graphic xmlns:a="http://schemas.openxmlformats.org/drawingml/2006/main">
                  <a:graphicData uri="http://schemas.microsoft.com/office/word/2010/wordprocessingShape">
                    <wps:wsp>
                      <wps:cNvSpPr/>
                      <wps:spPr>
                        <a:xfrm>
                          <a:off x="0" y="0"/>
                          <a:ext cx="5915025" cy="1304925"/>
                        </a:xfrm>
                        <a:prstGeom prst="ellipse">
                          <a:avLst/>
                        </a:prstGeom>
                        <a:solidFill>
                          <a:srgbClr val="4F81BD"/>
                        </a:solidFill>
                        <a:ln w="25400" cap="flat" cmpd="sng" algn="ctr">
                          <a:solidFill>
                            <a:srgbClr val="4F81BD">
                              <a:shade val="50000"/>
                            </a:srgbClr>
                          </a:solidFill>
                          <a:prstDash val="solid"/>
                        </a:ln>
                        <a:effectLst/>
                      </wps:spPr>
                      <wps:txbx>
                        <w:txbxContent>
                          <w:p w:rsidR="000146A0" w:rsidP="000146A0" w:rsidRDefault="000146A0">
                            <w:r>
                              <w:t>Duurzaamheid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 style="position:absolute;margin-left:.75pt;margin-top:3pt;width:465.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">
                <v:textbox>
                  <w:txbxContent>
                    <w:p w:rsidR="000146A0" w:rsidP="000146A0" w:rsidRDefault="000146A0">
                      <w:r>
                        <w:t>Duurzaamheid</w:t>
                      </w:r>
                    </w:p>
                  </w:txbxContent>
                </v:textbox>
              </v:oval>
            </w:pict>
          </mc:Fallback>
        </mc:AlternateContent>
      </w:r>
      <w:r w:rsidRPr="000146A0">
        <w:rPr>
          <w:rFonts w:ascii="Calibri" w:hAnsi="Calibri" w:eastAsia="Calibri" w:cs="Times New Roman"/>
          <w:noProof/>
          <w:lang w:val="nl-NL" w:eastAsia="nl-NL"/>
        </w:rPr>
        <mc:AlternateContent>
          <mc:Choice Requires="wps">
            <w:drawing>
              <wp:anchor distT="0" distB="0" distL="114300" distR="114300" simplePos="0" relativeHeight="251660288" behindDoc="0" locked="0" layoutInCell="1" allowOverlap="1" wp14:editId="081AD07B" wp14:anchorId="09186657">
                <wp:simplePos x="0" y="0"/>
                <wp:positionH relativeFrom="column">
                  <wp:posOffset>1952625</wp:posOffset>
                </wp:positionH>
                <wp:positionV relativeFrom="paragraph">
                  <wp:posOffset>161925</wp:posOffset>
                </wp:positionV>
                <wp:extent cx="3886200" cy="1057275"/>
                <wp:effectExtent l="0" t="0" r="19050" b="28575"/>
                <wp:wrapNone/>
                <wp:docPr id="2" name="Ovaal 2"/>
                <wp:cNvGraphicFramePr/>
                <a:graphic xmlns:a="http://schemas.openxmlformats.org/drawingml/2006/main">
                  <a:graphicData uri="http://schemas.microsoft.com/office/word/2010/wordprocessingShape">
                    <wps:wsp>
                      <wps:cNvSpPr/>
                      <wps:spPr>
                        <a:xfrm>
                          <a:off x="0" y="0"/>
                          <a:ext cx="3886200" cy="1057275"/>
                        </a:xfrm>
                        <a:prstGeom prst="ellipse">
                          <a:avLst/>
                        </a:prstGeom>
                        <a:solidFill>
                          <a:srgbClr val="F79646"/>
                        </a:solidFill>
                        <a:ln w="25400" cap="flat" cmpd="sng" algn="ctr">
                          <a:solidFill>
                            <a:srgbClr val="F79646">
                              <a:shade val="50000"/>
                            </a:srgbClr>
                          </a:solidFill>
                          <a:prstDash val="solid"/>
                        </a:ln>
                        <a:effectLst/>
                      </wps:spPr>
                      <wps:txbx>
                        <w:txbxContent>
                          <w:p w:rsidR="000146A0" w:rsidP="000146A0" w:rsidRDefault="000146A0">
                            <w:r>
                              <w:t>Maatschappelijke</w:t>
                            </w:r>
                          </w:p>
                          <w:p w:rsidR="000146A0" w:rsidP="000146A0" w:rsidRDefault="000146A0">
                            <w:r>
                              <w:t>uitdagingen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 style="position:absolute;margin-left:153.75pt;margin-top:12.75pt;width:306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f79646" strokecolor="#b66d31"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">
                <v:textbox>
                  <w:txbxContent>
                    <w:p w:rsidR="000146A0" w:rsidP="000146A0" w:rsidRDefault="000146A0">
                      <w:r>
                        <w:t>Maatschappelijke</w:t>
                      </w:r>
                    </w:p>
                    <w:p w:rsidR="000146A0" w:rsidP="000146A0" w:rsidRDefault="000146A0">
                      <w:r>
                        <w:t>uitdagingen</w:t>
                      </w:r>
                    </w:p>
                  </w:txbxContent>
                </v:textbox>
              </v:oval>
            </w:pict>
          </mc:Fallback>
        </mc:AlternateContent>
      </w:r>
      <w:r w:rsidRPr="000146A0">
        <w:rPr>
          <w:rFonts w:ascii="Calibri" w:hAnsi="Calibri" w:eastAsia="Calibri" w:cs="Times New Roman"/>
          <w:noProof/>
          <w:lang w:val="nl-NL" w:eastAsia="nl-NL"/>
        </w:rPr>
        <mc:AlternateContent>
          <mc:Choice Requires="wps">
            <w:drawing>
              <wp:anchor distT="0" distB="0" distL="114300" distR="114300" simplePos="0" relativeHeight="251661312" behindDoc="0" locked="0" layoutInCell="1" allowOverlap="1" wp14:editId="6C45497D" wp14:anchorId="07BCACFE">
                <wp:simplePos x="0" y="0"/>
                <wp:positionH relativeFrom="column">
                  <wp:posOffset>3752850</wp:posOffset>
                </wp:positionH>
                <wp:positionV relativeFrom="paragraph">
                  <wp:posOffset>304800</wp:posOffset>
                </wp:positionV>
                <wp:extent cx="1981200" cy="762000"/>
                <wp:effectExtent l="0" t="0" r="19050" b="19050"/>
                <wp:wrapNone/>
                <wp:docPr id="3" name="Ovaal 3"/>
                <wp:cNvGraphicFramePr/>
                <a:graphic xmlns:a="http://schemas.openxmlformats.org/drawingml/2006/main">
                  <a:graphicData uri="http://schemas.microsoft.com/office/word/2010/wordprocessingShape">
                    <wps:wsp>
                      <wps:cNvSpPr/>
                      <wps:spPr>
                        <a:xfrm>
                          <a:off x="0" y="0"/>
                          <a:ext cx="1981200" cy="762000"/>
                        </a:xfrm>
                        <a:prstGeom prst="ellipse">
                          <a:avLst/>
                        </a:prstGeom>
                        <a:solidFill>
                          <a:srgbClr val="9BBB59"/>
                        </a:solidFill>
                        <a:ln w="25400" cap="flat" cmpd="sng" algn="ctr">
                          <a:solidFill>
                            <a:srgbClr val="9BBB59">
                              <a:shade val="50000"/>
                            </a:srgbClr>
                          </a:solidFill>
                          <a:prstDash val="solid"/>
                        </a:ln>
                        <a:effectLst/>
                      </wps:spPr>
                      <wps:txbx>
                        <w:txbxContent>
                          <w:p w:rsidR="000146A0" w:rsidP="000146A0" w:rsidRDefault="000146A0">
                            <w:pPr>
                              <w:jc w:val="center"/>
                            </w:pPr>
                            <w:r>
                              <w:t>Groene groei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3" style="position:absolute;margin-left:295.5pt;margin-top:24pt;width:15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9bbb59" strokecolor="#71893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">
                <v:textbox>
                  <w:txbxContent>
                    <w:p w:rsidR="000146A0" w:rsidP="000146A0" w:rsidRDefault="000146A0">
                      <w:pPr>
                        <w:jc w:val="center"/>
                      </w:pPr>
                      <w:r>
                        <w:t>Groene groei</w:t>
                      </w:r>
                    </w:p>
                  </w:txbxContent>
                </v:textbox>
              </v:oval>
            </w:pict>
          </mc:Fallback>
        </mc:AlternateContent>
      </w: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  </w:t>
      </w: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  </w:t>
      </w: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    </w:t>
      </w:r>
    </w:p>
    <w:p w:rsidRPr="000146A0" w:rsidR="000146A0" w:rsidP="00AC56B2" w:rsidRDefault="000146A0">
      <w:pPr>
        <w:rPr>
          <w:rFonts w:ascii="Verdana" w:hAnsi="Verdana" w:eastAsia="Calibri" w:cs="Times New Roman"/>
          <w:sz w:val="18"/>
          <w:szCs w:val="18"/>
          <w:bdr w:val="none" w:color="auto" w:sz="0" w:space="0" w:frame="1"/>
          <w:lang w:val="nl-NL"/>
        </w:rPr>
      </w:pPr>
    </w:p>
    <w:p w:rsidR="00A670F8"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bdr w:val="none" w:color="auto" w:sz="0" w:space="0" w:frame="1"/>
          <w:lang w:val="nl-NL"/>
        </w:rPr>
        <w:lastRenderedPageBreak/>
        <w:t xml:space="preserve">Om aan te sluiten bij eerdere rapportages over groene groei is gekozen om de analyse te richten op de toegekende rijksmiddelen in 2013. </w:t>
      </w:r>
      <w:r w:rsidRPr="000146A0">
        <w:rPr>
          <w:rFonts w:ascii="Verdana" w:hAnsi="Verdana" w:eastAsia="Calibri" w:cs="Times New Roman"/>
          <w:sz w:val="18"/>
          <w:szCs w:val="18"/>
          <w:lang w:val="nl-NL"/>
        </w:rPr>
        <w:t>Het duurzaamheidsaandeel is bepaald aan de hand van de maatschappelijke thema’s ontleend aan Horizon 2020. Dit aandeel in de reguliere innovatie-instrumenten (WBSO, RDA, TKI, energie-innovatie, MIT, SBIR, Innovatiekrediet, Eurostars, JTIs, Eureka en Seed Capital) ligt gemiddeld tussen de 62 en 72 procent gemeten naar het aantal projecten en tussen de 68 en 78 % gemeten naar het budget. Als ook de meer toepassingsgerichte energie-gerelateerde en plattelandsgerichte innovatieregelingen worden meegenomen, stijgt het gemiddelde duurzaamheidsaandeel naar 80 tot 90 procent.</w:t>
      </w:r>
      <w:r w:rsidR="00CB2C3D">
        <w:rPr>
          <w:rFonts w:ascii="Verdana" w:hAnsi="Verdana" w:eastAsia="Calibri" w:cs="Times New Roman"/>
          <w:sz w:val="18"/>
          <w:szCs w:val="18"/>
          <w:lang w:val="nl-NL"/>
        </w:rPr>
        <w:t xml:space="preserve"> </w:t>
      </w:r>
      <w:r w:rsidRPr="000146A0">
        <w:rPr>
          <w:rFonts w:ascii="Verdana" w:hAnsi="Verdana" w:eastAsia="Calibri" w:cs="Times New Roman"/>
          <w:sz w:val="18"/>
          <w:szCs w:val="18"/>
          <w:lang w:val="nl-NL"/>
        </w:rPr>
        <w:t xml:space="preserve">De percentages per instrument zijn terug te vinden in tabel 1 achter deze bijlage. </w:t>
      </w:r>
    </w:p>
    <w:p w:rsidR="00CB2C3D" w:rsidP="00AC56B2" w:rsidRDefault="00CB2C3D">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Deze percentages liggen vanzelfsprekend hoger dan de eerder in de Monitor Bedrijvenbeleid 2014 gepubliceerde aandelen van groene groei in de WBSO en MIT (respectievelijk 12 en 58 procent)</w:t>
      </w:r>
      <w:r w:rsidRPr="000146A0">
        <w:rPr>
          <w:rFonts w:ascii="Verdana" w:hAnsi="Verdana" w:eastAsia="Calibri" w:cs="Times New Roman"/>
          <w:sz w:val="18"/>
          <w:szCs w:val="18"/>
          <w:vertAlign w:val="superscript"/>
        </w:rPr>
        <w:footnoteReference w:id="5"/>
      </w:r>
      <w:r w:rsidRPr="000146A0">
        <w:rPr>
          <w:rFonts w:ascii="Verdana" w:hAnsi="Verdana" w:eastAsia="Calibri" w:cs="Times New Roman"/>
          <w:sz w:val="18"/>
          <w:szCs w:val="18"/>
          <w:lang w:val="nl-NL"/>
        </w:rPr>
        <w:t xml:space="preserve"> omdat groene groei een beperkter aantal thema’s omvat dan het gehanteerde duurzaamheidsbegrip op basis van maatschappelijke uitdagingen. De volgende tabel illustreert de verschillen in cijfermatige uitkomsten voor de WBSO, MIT en TKI-toeslag op basis enerzijds van maatschappelijke uitdagingen (MU) en anderzijds van groene groei (GG).</w:t>
      </w:r>
    </w:p>
    <w:p w:rsidRPr="00CC5B62" w:rsidR="000146A0" w:rsidP="00AC56B2" w:rsidRDefault="000146A0">
      <w:pPr>
        <w:rPr>
          <w:rFonts w:ascii="Verdana" w:hAnsi="Verdana" w:eastAsia="Arial Unicode MS" w:cs="Arial Unicode MS"/>
          <w:sz w:val="18"/>
          <w:szCs w:val="18"/>
          <w:lang w:val="nl-NL"/>
        </w:rPr>
      </w:pPr>
    </w:p>
    <w:tbl>
      <w:tblPr>
        <w:tblStyle w:val="Gemiddeldearcering1-accent111"/>
        <w:tblpPr w:leftFromText="141" w:rightFromText="141" w:vertAnchor="text" w:horzAnchor="margin" w:tblpY="322"/>
        <w:tblW w:w="5071" w:type="pct"/>
        <w:tblInd w:w="0" w:type="dxa"/>
        <w:tblCellMar>
          <w:left w:w="57" w:type="dxa"/>
          <w:right w:w="57" w:type="dxa"/>
        </w:tblCellMar>
        <w:tblLook w:val="04A0" w:firstRow="1" w:lastRow="0" w:firstColumn="1" w:lastColumn="0" w:noHBand="0" w:noVBand="1"/>
      </w:tblPr>
      <w:tblGrid>
        <w:gridCol w:w="3567"/>
        <w:gridCol w:w="3090"/>
        <w:gridCol w:w="2952"/>
      </w:tblGrid>
      <w:tr w:rsidRPr="00CC5B62" w:rsidR="000146A0" w:rsidTr="0001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pct"/>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Instrument</w:t>
            </w:r>
          </w:p>
        </w:tc>
        <w:tc>
          <w:tcPr>
            <w:tcW w:w="1608" w:type="pct"/>
            <w:hideMark/>
          </w:tcPr>
          <w:p w:rsidRPr="000146A0" w:rsidR="000146A0" w:rsidP="00AC56B2" w:rsidRDefault="000146A0">
            <w:pPr>
              <w:tabs>
                <w:tab w:val="left" w:pos="702"/>
              </w:tabs>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Duurzaamheids-aandeel  2013 geschat (naar aantal projecten)</w:t>
            </w:r>
          </w:p>
        </w:tc>
        <w:tc>
          <w:tcPr>
            <w:tcW w:w="1536" w:type="pct"/>
            <w:hideMark/>
          </w:tcPr>
          <w:p w:rsidRPr="000146A0" w:rsidR="000146A0" w:rsidP="00AC56B2" w:rsidRDefault="000146A0">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Duurzaamheids-aandeel 2013 geschat (naar budgetten)</w:t>
            </w:r>
          </w:p>
        </w:tc>
      </w:tr>
      <w:tr w:rsidRPr="000146A0" w:rsidR="000146A0" w:rsidTr="0001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pct"/>
            <w:tcBorders>
              <w:top w:val="single" w:color="7BA0CD" w:themeColor="accent1" w:themeTint="BF" w:sz="8" w:space="0"/>
              <w:left w:val="single" w:color="7BA0CD" w:themeColor="accent1" w:themeTint="BF" w:sz="8" w:space="0"/>
              <w:bottom w:val="single" w:color="7BA0CD" w:themeColor="accent1" w:themeTint="BF" w:sz="8" w:space="0"/>
            </w:tcBorders>
          </w:tcPr>
          <w:p w:rsidRPr="000146A0" w:rsidR="000146A0" w:rsidP="00AC56B2" w:rsidRDefault="000146A0">
            <w:pPr>
              <w:spacing w:line="240" w:lineRule="atLeast"/>
              <w:rPr>
                <w:rFonts w:ascii="Arial" w:hAnsi="Arial" w:eastAsia="Arial Unicode MS" w:cs="Arial"/>
                <w:sz w:val="16"/>
                <w:szCs w:val="16"/>
                <w:lang w:val="nl-NL" w:eastAsia="nl-NL"/>
              </w:rPr>
            </w:pPr>
          </w:p>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WBSO/RDA</w:t>
            </w:r>
            <w:r w:rsidRPr="000146A0">
              <w:rPr>
                <w:rFonts w:ascii="Arial" w:hAnsi="Arial" w:eastAsia="Arial Unicode MS" w:cs="Arial"/>
                <w:sz w:val="16"/>
                <w:szCs w:val="16"/>
                <w:vertAlign w:val="superscript"/>
                <w:lang w:val="nl-NL" w:eastAsia="nl-NL"/>
              </w:rPr>
              <w:footnoteReference w:id="6"/>
            </w:r>
          </w:p>
        </w:tc>
        <w:tc>
          <w:tcPr>
            <w:tcW w:w="1608"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xml:space="preserve">MU: 62-72% </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7%-17%*</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p>
        </w:tc>
        <w:tc>
          <w:tcPr>
            <w:tcW w:w="1536" w:type="pct"/>
            <w:tcBorders>
              <w:top w:val="single" w:color="7BA0CD" w:themeColor="accent1" w:themeTint="BF" w:sz="8" w:space="0"/>
              <w:bottom w:val="single" w:color="7BA0CD" w:themeColor="accent1" w:themeTint="BF" w:sz="8" w:space="0"/>
              <w:right w:val="single" w:color="7BA0CD" w:themeColor="accent1" w:themeTint="BF" w:sz="8" w:space="0"/>
            </w:tcBorders>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66-</w:t>
            </w:r>
            <w:r w:rsidRPr="000146A0">
              <w:rPr>
                <w:rFonts w:ascii="Arial" w:hAnsi="Arial" w:eastAsia="Helvetica" w:cs="Arial"/>
                <w:sz w:val="16"/>
                <w:szCs w:val="16"/>
                <w:lang w:val="nl-NL" w:eastAsia="nl-NL"/>
              </w:rPr>
              <w:t>76%</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29-39%*</w:t>
            </w:r>
          </w:p>
        </w:tc>
      </w:tr>
      <w:tr w:rsidRPr="000146A0" w:rsidR="000146A0" w:rsidTr="00014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pct"/>
            <w:tcBorders>
              <w:top w:val="single" w:color="7BA0CD" w:themeColor="accent1" w:themeTint="BF" w:sz="8" w:space="0"/>
              <w:left w:val="single" w:color="7BA0CD" w:themeColor="accent1" w:themeTint="BF" w:sz="8" w:space="0"/>
              <w:bottom w:val="single" w:color="7BA0CD" w:themeColor="accent1" w:themeTint="BF" w:sz="8" w:space="0"/>
            </w:tcBorders>
          </w:tcPr>
          <w:p w:rsidRPr="000146A0" w:rsidR="000146A0" w:rsidP="00AC56B2" w:rsidRDefault="000146A0">
            <w:pPr>
              <w:spacing w:line="240" w:lineRule="atLeast"/>
              <w:rPr>
                <w:rFonts w:ascii="Arial" w:hAnsi="Arial" w:eastAsia="Arial Unicode MS" w:cs="Arial"/>
                <w:sz w:val="16"/>
                <w:szCs w:val="16"/>
                <w:lang w:val="nl-NL" w:eastAsia="nl-NL"/>
              </w:rPr>
            </w:pPr>
          </w:p>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TKI-toeslag</w:t>
            </w:r>
          </w:p>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(uitgegeven TKI-toeslag 2013)</w:t>
            </w:r>
          </w:p>
        </w:tc>
        <w:tc>
          <w:tcPr>
            <w:tcW w:w="1608"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58-68%</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47%-57%</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bCs/>
                <w:sz w:val="16"/>
                <w:szCs w:val="16"/>
                <w:lang w:val="nl-NL" w:eastAsia="nl-NL"/>
              </w:rPr>
            </w:pPr>
          </w:p>
        </w:tc>
        <w:tc>
          <w:tcPr>
            <w:tcW w:w="1536" w:type="pct"/>
            <w:tcBorders>
              <w:top w:val="single" w:color="7BA0CD" w:themeColor="accent1" w:themeTint="BF" w:sz="8" w:space="0"/>
              <w:bottom w:val="single" w:color="7BA0CD" w:themeColor="accent1" w:themeTint="BF" w:sz="8" w:space="0"/>
              <w:right w:val="single" w:color="7BA0CD" w:themeColor="accent1" w:themeTint="BF" w:sz="8" w:space="0"/>
            </w:tcBorders>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MU: 27%-37%</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GG: 20%-30%</w:t>
            </w:r>
          </w:p>
        </w:tc>
      </w:tr>
      <w:tr w:rsidRPr="000146A0" w:rsidR="000146A0" w:rsidTr="000146A0">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856" w:type="pct"/>
            <w:tcBorders>
              <w:top w:val="single" w:color="7BA0CD" w:themeColor="accent1" w:themeTint="BF" w:sz="8" w:space="0"/>
              <w:left w:val="single" w:color="7BA0CD" w:themeColor="accent1" w:themeTint="BF" w:sz="8" w:space="0"/>
              <w:bottom w:val="single" w:color="7BA0CD" w:themeColor="accent1" w:themeTint="BF" w:sz="8" w:space="0"/>
            </w:tcBorders>
          </w:tcPr>
          <w:p w:rsidRPr="000146A0" w:rsidR="000146A0" w:rsidP="00AC56B2" w:rsidRDefault="000146A0">
            <w:pPr>
              <w:spacing w:line="240" w:lineRule="atLeast"/>
              <w:rPr>
                <w:rFonts w:ascii="Arial" w:hAnsi="Arial" w:eastAsia="Arial Unicode MS" w:cs="Arial"/>
                <w:sz w:val="16"/>
                <w:szCs w:val="16"/>
                <w:lang w:val="nl-NL" w:eastAsia="nl-NL"/>
              </w:rPr>
            </w:pPr>
          </w:p>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MIT</w:t>
            </w:r>
            <w:r w:rsidRPr="000146A0">
              <w:rPr>
                <w:rFonts w:ascii="Arial" w:hAnsi="Arial" w:eastAsia="Arial Unicode MS" w:cs="Arial"/>
                <w:sz w:val="16"/>
                <w:szCs w:val="16"/>
                <w:vertAlign w:val="superscript"/>
                <w:lang w:val="nl-NL" w:eastAsia="nl-NL"/>
              </w:rPr>
              <w:footnoteReference w:id="7"/>
            </w:r>
          </w:p>
        </w:tc>
        <w:tc>
          <w:tcPr>
            <w:tcW w:w="1608"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72-82%</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59%-69%</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p>
        </w:tc>
        <w:tc>
          <w:tcPr>
            <w:tcW w:w="1536" w:type="pct"/>
            <w:tcBorders>
              <w:top w:val="single" w:color="7BA0CD" w:themeColor="accent1" w:themeTint="BF" w:sz="8" w:space="0"/>
              <w:bottom w:val="single" w:color="7BA0CD" w:themeColor="accent1" w:themeTint="BF" w:sz="8" w:space="0"/>
              <w:right w:val="single" w:color="7BA0CD" w:themeColor="accent1" w:themeTint="BF" w:sz="8" w:space="0"/>
            </w:tcBorders>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72-82%</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53%-63%</w:t>
            </w:r>
          </w:p>
        </w:tc>
      </w:tr>
    </w:tbl>
    <w:p w:rsidRPr="000146A0" w:rsidR="000146A0" w:rsidP="00AC56B2" w:rsidRDefault="000146A0">
      <w:pPr>
        <w:rPr>
          <w:rFonts w:ascii="Verdana" w:hAnsi="Verdana" w:eastAsia="Calibri" w:cs="Times New Roman"/>
          <w:sz w:val="18"/>
          <w:szCs w:val="18"/>
        </w:rPr>
      </w:pPr>
    </w:p>
    <w:p w:rsidRPr="000146A0" w:rsidR="000146A0" w:rsidP="00AC56B2" w:rsidRDefault="000146A0">
      <w:pPr>
        <w:rPr>
          <w:rFonts w:ascii="Verdana" w:hAnsi="Verdana" w:eastAsia="Calibri" w:cs="Times New Roman"/>
          <w:sz w:val="16"/>
          <w:szCs w:val="16"/>
        </w:rPr>
      </w:pPr>
      <w:r w:rsidRPr="000146A0">
        <w:rPr>
          <w:rFonts w:ascii="Verdana" w:hAnsi="Verdana" w:eastAsia="Calibri" w:cs="Times New Roman"/>
          <w:sz w:val="16"/>
          <w:szCs w:val="16"/>
        </w:rPr>
        <w:t>* betreft enkel WBSO exclusief RDA</w:t>
      </w: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sz w:val="18"/>
          <w:szCs w:val="18"/>
          <w:lang w:val="nl-NL"/>
        </w:rPr>
      </w:pPr>
    </w:p>
    <w:p w:rsidRPr="000146A0" w:rsidR="000146A0" w:rsidP="00AC56B2" w:rsidRDefault="000146A0">
      <w:pPr>
        <w:rPr>
          <w:rFonts w:ascii="Verdana" w:hAnsi="Verdana" w:eastAsia="Calibri" w:cs="Times New Roman"/>
          <w:b/>
          <w:sz w:val="18"/>
          <w:szCs w:val="18"/>
          <w:lang w:val="nl-NL"/>
        </w:rPr>
      </w:pPr>
      <w:r w:rsidRPr="000146A0">
        <w:rPr>
          <w:rFonts w:ascii="Verdana" w:hAnsi="Verdana" w:eastAsia="Calibri" w:cs="Times New Roman"/>
          <w:b/>
          <w:sz w:val="18"/>
          <w:szCs w:val="18"/>
          <w:lang w:val="nl-NL"/>
        </w:rPr>
        <w:t>Conclusie</w:t>
      </w: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Op basis van deze cijfers constateert het kabinet dat, gemeten naar budget, in 2013 een groot deel (circa 70 %) van de innovatie-subsidies heeft bijgedragen aan facetten van duurzaamheid (gemeten naar maatschappelijke uitdagingen). </w:t>
      </w: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Het aandeel daarbinnen voor groene groei is logischerwijze bij generieke instrumenten als de WBSO kleiner. Voor meer gerichte instrumenten als de TKI-toeslag en </w:t>
      </w:r>
      <w:r w:rsidR="00CB2C3D">
        <w:rPr>
          <w:rFonts w:ascii="Verdana" w:hAnsi="Verdana" w:eastAsia="Calibri" w:cs="Times New Roman"/>
          <w:sz w:val="18"/>
          <w:szCs w:val="18"/>
          <w:lang w:val="nl-NL"/>
        </w:rPr>
        <w:t>de</w:t>
      </w:r>
      <w:r w:rsidRPr="000146A0">
        <w:rPr>
          <w:rFonts w:ascii="Verdana" w:hAnsi="Verdana" w:eastAsia="Calibri" w:cs="Times New Roman"/>
          <w:sz w:val="18"/>
          <w:szCs w:val="18"/>
          <w:lang w:val="nl-NL"/>
        </w:rPr>
        <w:t xml:space="preserve"> MIT is het verschil niet groot. In de Monitor Bedrijvenbeleid 2015, die na de zomer uitkomt, zal het aandeel groene groei voor alle innovatie-instrumenten worden opgenomen. </w:t>
      </w: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Het reguliere innovatie-instrumentarium van EZ biedt voldoende ruimte voor duurzaamheidsinitiatieven uit de samenleving. In het geval van de fiscale innovatieregelingen WBSO en RDA zonder dat daar een aparte duurzaamheidsbepaling aan ten grondslag ligt.</w:t>
      </w:r>
      <w:r w:rsidRPr="000146A0">
        <w:rPr>
          <w:rFonts w:ascii="Verdana" w:hAnsi="Verdana" w:eastAsia="Calibri" w:cs="Times New Roman"/>
          <w:sz w:val="18"/>
          <w:szCs w:val="18"/>
          <w:vertAlign w:val="superscript"/>
          <w:lang w:val="nl-NL"/>
        </w:rPr>
        <w:footnoteReference w:id="8"/>
      </w:r>
      <w:r w:rsidRPr="000146A0">
        <w:rPr>
          <w:rFonts w:ascii="Verdana" w:hAnsi="Verdana" w:eastAsia="Calibri" w:cs="Times New Roman"/>
          <w:sz w:val="18"/>
          <w:szCs w:val="18"/>
          <w:lang w:val="nl-NL"/>
        </w:rPr>
        <w:t xml:space="preserve"> </w:t>
      </w:r>
    </w:p>
    <w:p w:rsidRPr="000146A0" w:rsidR="000146A0" w:rsidP="00AC56B2" w:rsidRDefault="000146A0">
      <w:pPr>
        <w:rPr>
          <w:rFonts w:ascii="Verdana" w:hAnsi="Verdana" w:eastAsia="Calibri" w:cs="Times New Roman"/>
          <w:sz w:val="18"/>
          <w:szCs w:val="18"/>
          <w:lang w:val="nl-NL"/>
        </w:rPr>
      </w:pPr>
      <w:r w:rsidRPr="000146A0">
        <w:rPr>
          <w:rFonts w:ascii="Verdana" w:hAnsi="Verdana" w:eastAsia="Calibri" w:cs="Times New Roman"/>
          <w:sz w:val="18"/>
          <w:szCs w:val="18"/>
          <w:lang w:val="nl-NL"/>
        </w:rPr>
        <w:t xml:space="preserve">In de motie Van Tongeren ziet het kabinet een aansporing om in te blijven zetten op het verbinden van innovatiebeleid met maatschappelijke uitdagingen en te blijven koersen op de </w:t>
      </w:r>
      <w:r w:rsidRPr="000146A0">
        <w:rPr>
          <w:rFonts w:ascii="Verdana" w:hAnsi="Verdana" w:eastAsia="Calibri" w:cs="Times New Roman"/>
          <w:sz w:val="18"/>
          <w:szCs w:val="18"/>
          <w:lang w:val="nl-NL"/>
        </w:rPr>
        <w:lastRenderedPageBreak/>
        <w:t>groenegroeistrategie ten einde het duurzaamheidsaandeel in de innovatie-instrumenten waar mogelijk te vergroten.</w:t>
      </w:r>
    </w:p>
    <w:p w:rsidRPr="00CC5B62" w:rsidR="00D40F75" w:rsidP="00AC56B2" w:rsidRDefault="00D40F75">
      <w:pPr>
        <w:rPr>
          <w:rFonts w:ascii="Verdana" w:hAnsi="Verdana" w:eastAsia="Calibri" w:cs="Times New Roman"/>
          <w:b/>
          <w:sz w:val="18"/>
          <w:szCs w:val="18"/>
          <w:lang w:val="nl-NL"/>
        </w:rPr>
      </w:pPr>
    </w:p>
    <w:p w:rsidRPr="000146A0" w:rsidR="000146A0" w:rsidP="00AC56B2" w:rsidRDefault="000146A0">
      <w:pPr>
        <w:rPr>
          <w:rFonts w:ascii="Verdana" w:hAnsi="Verdana" w:eastAsia="Calibri" w:cs="Times New Roman"/>
          <w:b/>
          <w:sz w:val="18"/>
          <w:szCs w:val="18"/>
          <w:lang w:val="nl-NL"/>
        </w:rPr>
      </w:pPr>
      <w:r w:rsidRPr="00CC5B62">
        <w:rPr>
          <w:rFonts w:ascii="Verdana" w:hAnsi="Verdana" w:eastAsia="Calibri" w:cs="Times New Roman"/>
          <w:b/>
          <w:sz w:val="18"/>
          <w:szCs w:val="18"/>
          <w:lang w:val="nl-NL"/>
        </w:rPr>
        <w:t>Tabel 1: Overzicht duurzaamheidsaandeel van het innovatie-instrumentarium</w:t>
      </w:r>
    </w:p>
    <w:tbl>
      <w:tblPr>
        <w:tblStyle w:val="Gemiddeldearcering1-accent111"/>
        <w:tblpPr w:leftFromText="141" w:rightFromText="141" w:vertAnchor="text" w:horzAnchor="margin" w:tblpXSpec="center" w:tblpY="322"/>
        <w:tblW w:w="6050" w:type="pct"/>
        <w:tblInd w:w="0" w:type="dxa"/>
        <w:tblCellMar>
          <w:left w:w="57" w:type="dxa"/>
          <w:right w:w="57" w:type="dxa"/>
        </w:tblCellMar>
        <w:tblLook w:val="04A0" w:firstRow="1" w:lastRow="0" w:firstColumn="1" w:lastColumn="0" w:noHBand="0" w:noVBand="1"/>
        <w:tblCaption w:val="Duurzaamheidsaandeel van het Innovatie-instrumentarium"/>
      </w:tblPr>
      <w:tblGrid>
        <w:gridCol w:w="2009"/>
        <w:gridCol w:w="1218"/>
        <w:gridCol w:w="1224"/>
        <w:gridCol w:w="1410"/>
        <w:gridCol w:w="1662"/>
        <w:gridCol w:w="1662"/>
        <w:gridCol w:w="2279"/>
      </w:tblGrid>
      <w:tr w:rsidRPr="000146A0" w:rsidR="000146A0" w:rsidTr="0001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Instrument</w:t>
            </w:r>
          </w:p>
        </w:tc>
        <w:tc>
          <w:tcPr>
            <w:tcW w:w="531" w:type="pct"/>
            <w:hideMark/>
          </w:tcPr>
          <w:p w:rsidRPr="000146A0" w:rsidR="000146A0" w:rsidP="00AC56B2" w:rsidRDefault="000146A0">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Aantal projecten</w:t>
            </w:r>
          </w:p>
          <w:p w:rsidRPr="000146A0" w:rsidR="000146A0" w:rsidP="00AC56B2" w:rsidRDefault="000146A0">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 xml:space="preserve">2013 </w:t>
            </w:r>
          </w:p>
        </w:tc>
        <w:tc>
          <w:tcPr>
            <w:tcW w:w="534" w:type="pct"/>
            <w:hideMark/>
          </w:tcPr>
          <w:p w:rsidRPr="000146A0" w:rsidR="000146A0" w:rsidP="00AC56B2" w:rsidRDefault="000146A0">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Omvang toegekende Rijksmiddelen in € mln. 2013</w:t>
            </w:r>
          </w:p>
        </w:tc>
        <w:tc>
          <w:tcPr>
            <w:tcW w:w="615" w:type="pct"/>
            <w:hideMark/>
          </w:tcPr>
          <w:p w:rsidRPr="000146A0" w:rsidR="000146A0" w:rsidP="00AC56B2" w:rsidRDefault="000146A0">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Toedeling op basis van…</w:t>
            </w:r>
          </w:p>
        </w:tc>
        <w:tc>
          <w:tcPr>
            <w:tcW w:w="725" w:type="pct"/>
            <w:hideMark/>
          </w:tcPr>
          <w:p w:rsidRPr="000146A0" w:rsidR="000146A0" w:rsidP="00AC56B2" w:rsidRDefault="000146A0">
            <w:pPr>
              <w:tabs>
                <w:tab w:val="left" w:pos="702"/>
              </w:tabs>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Duurzaamheids-aandeel geschat (naar aantal projecten)</w:t>
            </w:r>
          </w:p>
        </w:tc>
        <w:tc>
          <w:tcPr>
            <w:tcW w:w="725" w:type="pct"/>
            <w:hideMark/>
          </w:tcPr>
          <w:p w:rsidRPr="000146A0" w:rsidR="000146A0" w:rsidP="00AC56B2" w:rsidRDefault="000146A0">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Duurzaamheids-aandeel geschat (naar budgetten)</w:t>
            </w:r>
          </w:p>
        </w:tc>
        <w:tc>
          <w:tcPr>
            <w:tcW w:w="994" w:type="pct"/>
            <w:hideMark/>
          </w:tcPr>
          <w:p w:rsidRPr="000146A0" w:rsidR="000146A0" w:rsidP="00AC56B2" w:rsidRDefault="000146A0">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Maatschappelijke Uitdagingen</w:t>
            </w:r>
          </w:p>
        </w:tc>
      </w:tr>
      <w:tr w:rsidRPr="000146A0" w:rsidR="000146A0" w:rsidTr="0001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WBSO/RDA</w:t>
            </w:r>
            <w:r w:rsidRPr="000146A0">
              <w:rPr>
                <w:rFonts w:ascii="Arial" w:hAnsi="Arial" w:eastAsia="Arial Unicode MS" w:cs="Arial"/>
                <w:sz w:val="16"/>
                <w:szCs w:val="16"/>
                <w:vertAlign w:val="superscript"/>
                <w:lang w:val="nl-NL" w:eastAsia="nl-NL"/>
              </w:rPr>
              <w:footnoteReference w:id="9"/>
            </w:r>
          </w:p>
        </w:tc>
        <w:tc>
          <w:tcPr>
            <w:tcW w:w="531"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xml:space="preserve">57.471                  </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€ 988</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gewogen trefwoorden-analyse</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xml:space="preserve">MU: 62-72% </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7%-17%</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66-76%</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Niet bepaald</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Slim, groen en geïntegreerd vervoer</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Klimaat, hulpbron-efficiëntie en grondstoffen</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samenleving</w:t>
            </w:r>
          </w:p>
        </w:tc>
      </w:tr>
      <w:tr w:rsidRPr="000146A0" w:rsidR="000146A0" w:rsidTr="00014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TKI-toeslag</w:t>
            </w:r>
          </w:p>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(uitgegeven TKI-toeslag 2013)</w:t>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146</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€ 19,7</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project-omschrijving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58-68%</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bCs/>
                <w:sz w:val="16"/>
                <w:szCs w:val="16"/>
                <w:lang w:val="nl-NL" w:eastAsia="nl-NL"/>
              </w:rPr>
            </w:pPr>
            <w:r w:rsidRPr="000146A0">
              <w:rPr>
                <w:rFonts w:ascii="Arial" w:hAnsi="Arial" w:eastAsia="Arial Unicode MS" w:cs="Arial"/>
                <w:bCs/>
                <w:sz w:val="16"/>
                <w:szCs w:val="16"/>
                <w:lang w:val="nl-NL" w:eastAsia="nl-NL"/>
              </w:rPr>
              <w:t>GG: 47%-57%</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MU: 27%-37%</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GG: 20%-30%</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Slim, groen en geïntegreerd vervoer</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Klimaat, hulpbron-efficiëntie en grondstoffen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Inclusieve en innovatieve samenleving</w:t>
            </w:r>
          </w:p>
        </w:tc>
      </w:tr>
      <w:tr w:rsidRPr="00CC5B62" w:rsidR="000146A0" w:rsidTr="0001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Energie innovatie</w:t>
            </w:r>
            <w:r w:rsidRPr="000146A0">
              <w:rPr>
                <w:rFonts w:ascii="Arial" w:hAnsi="Arial" w:eastAsia="Arial Unicode MS" w:cs="Arial"/>
                <w:sz w:val="16"/>
                <w:szCs w:val="16"/>
                <w:vertAlign w:val="superscript"/>
                <w:lang w:val="nl-NL" w:eastAsia="nl-NL"/>
              </w:rPr>
              <w:footnoteReference w:id="10"/>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100</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€ 42,2</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regeling-doelstelling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100%</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100%</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tc>
      </w:tr>
      <w:tr w:rsidRPr="000146A0" w:rsidR="000146A0" w:rsidTr="00014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MIT</w:t>
            </w:r>
            <w:r w:rsidRPr="000146A0">
              <w:rPr>
                <w:rFonts w:ascii="Arial" w:hAnsi="Arial" w:eastAsia="Arial Unicode MS" w:cs="Arial"/>
                <w:sz w:val="16"/>
                <w:szCs w:val="16"/>
                <w:vertAlign w:val="superscript"/>
                <w:lang w:val="nl-NL" w:eastAsia="nl-NL"/>
              </w:rPr>
              <w:footnoteReference w:id="11"/>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173</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€ 13,8</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project-omschrijving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72-82%</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59%-69%</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MU: 72-82%</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GG: 53%-63%</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Slim, groen en geïntegreerd vervoer</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lastRenderedPageBreak/>
              <w:t>Klimaat, hulpbron-efficiëntie en grondstoffen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Inclusieve en innovatieve samenleving</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samenleving</w:t>
            </w:r>
          </w:p>
        </w:tc>
      </w:tr>
      <w:tr w:rsidRPr="000146A0" w:rsidR="000146A0" w:rsidTr="0001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lastRenderedPageBreak/>
              <w:t>SBIR</w:t>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4</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€ 4,4</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sub-doelstelling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100%</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100%</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Klimaat, hulpbron-efficiëntie en grondstoffen</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samenleving</w:t>
            </w:r>
          </w:p>
        </w:tc>
      </w:tr>
      <w:tr w:rsidRPr="000146A0" w:rsidR="000146A0" w:rsidTr="00014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rPr>
                <w:rFonts w:ascii="Arial" w:hAnsi="Arial" w:eastAsia="Arial Unicode MS" w:cs="Arial"/>
                <w:sz w:val="16"/>
                <w:szCs w:val="16"/>
                <w:lang w:val="nl-NL" w:eastAsia="nl-NL"/>
              </w:rPr>
            </w:pPr>
            <w:r w:rsidRPr="000146A0">
              <w:rPr>
                <w:rFonts w:ascii="Arial" w:hAnsi="Arial" w:eastAsia="Arial Unicode MS" w:cs="Arial"/>
                <w:sz w:val="16"/>
                <w:szCs w:val="16"/>
                <w:lang w:val="nl-NL" w:eastAsia="nl-NL"/>
              </w:rPr>
              <w:t>Innovatiekrediet</w:t>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36</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€ 51,8</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r w:rsidRPr="000146A0">
              <w:rPr>
                <w:rFonts w:ascii="Arial" w:hAnsi="Arial" w:eastAsia="Arial Unicode MS" w:cs="Arial"/>
                <w:bCs/>
                <w:sz w:val="16"/>
                <w:szCs w:val="16"/>
                <w:lang w:val="nl-NL" w:eastAsia="nl-NL"/>
              </w:rPr>
              <w:t>project-omschrijving</w:t>
            </w:r>
          </w:p>
        </w:tc>
        <w:tc>
          <w:tcPr>
            <w:tcW w:w="725"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92-100%</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p>
        </w:tc>
        <w:tc>
          <w:tcPr>
            <w:tcW w:w="725"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92-100%</w:t>
            </w:r>
          </w:p>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Arial Unicode MS" w:cs="Arial"/>
                <w:bCs/>
                <w:sz w:val="16"/>
                <w:szCs w:val="16"/>
                <w:lang w:val="nl-NL" w:eastAsia="nl-NL"/>
              </w:rPr>
            </w:pP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Slim, groen en geïntegreerd vervoer</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Klimaat, hulpbron-efficiëntie en grondstoffen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samenleving</w:t>
            </w:r>
          </w:p>
        </w:tc>
      </w:tr>
      <w:tr w:rsidRPr="00CC5B62" w:rsidR="000146A0" w:rsidTr="0001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rPr>
                <w:rFonts w:ascii="Arial" w:hAnsi="Arial" w:eastAsia="Calibri" w:cs="Arial"/>
                <w:sz w:val="16"/>
                <w:szCs w:val="16"/>
                <w:lang w:val="nl-NL" w:eastAsia="nl-NL"/>
              </w:rPr>
            </w:pPr>
            <w:r w:rsidRPr="000146A0">
              <w:rPr>
                <w:rFonts w:ascii="Arial" w:hAnsi="Arial" w:eastAsia="Calibri" w:cs="Arial"/>
                <w:sz w:val="16"/>
                <w:szCs w:val="16"/>
                <w:lang w:val="nl-NL" w:eastAsia="nl-NL"/>
              </w:rPr>
              <w:t>Eurostars</w:t>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33</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€ 11,1</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project-omschrijving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86-96%</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86-96%</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Klimaat, hulpbron-efficiëntie en grondstoffen</w:t>
            </w:r>
          </w:p>
        </w:tc>
      </w:tr>
      <w:tr w:rsidRPr="000146A0" w:rsidR="000146A0" w:rsidTr="00014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rPr>
                <w:rFonts w:ascii="Arial" w:hAnsi="Arial" w:eastAsia="Calibri" w:cs="Arial"/>
                <w:sz w:val="16"/>
                <w:szCs w:val="16"/>
                <w:lang w:val="nl-NL" w:eastAsia="nl-NL"/>
              </w:rPr>
            </w:pPr>
            <w:r w:rsidRPr="000146A0">
              <w:rPr>
                <w:rFonts w:ascii="Arial" w:hAnsi="Arial" w:eastAsia="Calibri" w:cs="Arial"/>
                <w:sz w:val="16"/>
                <w:szCs w:val="16"/>
                <w:lang w:val="nl-NL" w:eastAsia="nl-NL"/>
              </w:rPr>
              <w:t xml:space="preserve">Joint </w:t>
            </w:r>
            <w:r w:rsidRPr="000146A0">
              <w:rPr>
                <w:rFonts w:ascii="Arial" w:hAnsi="Arial" w:eastAsia="Calibri" w:cs="Arial"/>
                <w:sz w:val="16"/>
                <w:szCs w:val="16"/>
                <w:lang w:val="en-GB" w:eastAsia="nl-NL"/>
              </w:rPr>
              <w:t>Technology</w:t>
            </w:r>
            <w:r w:rsidRPr="000146A0">
              <w:rPr>
                <w:rFonts w:ascii="Arial" w:hAnsi="Arial" w:eastAsia="Calibri" w:cs="Arial"/>
                <w:sz w:val="16"/>
                <w:szCs w:val="16"/>
                <w:lang w:val="nl-NL" w:eastAsia="nl-NL"/>
              </w:rPr>
              <w:t xml:space="preserve"> </w:t>
            </w:r>
            <w:r w:rsidRPr="000146A0">
              <w:rPr>
                <w:rFonts w:ascii="Arial" w:hAnsi="Arial" w:eastAsia="Calibri" w:cs="Arial"/>
                <w:sz w:val="16"/>
                <w:szCs w:val="16"/>
                <w:lang w:val="en-GB" w:eastAsia="nl-NL"/>
              </w:rPr>
              <w:t>Initiatives</w:t>
            </w:r>
            <w:r w:rsidRPr="000146A0">
              <w:rPr>
                <w:rFonts w:ascii="Arial" w:hAnsi="Arial" w:eastAsia="Calibri" w:cs="Arial"/>
                <w:sz w:val="16"/>
                <w:szCs w:val="16"/>
                <w:lang w:val="nl-NL" w:eastAsia="nl-NL"/>
              </w:rPr>
              <w:t xml:space="preserve"> (JTI)</w:t>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14</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€ 23,9</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project-omschrijving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74-84%</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57-67%</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Slim, groen en geïntegreerd vervoer</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samenleving</w:t>
            </w:r>
          </w:p>
        </w:tc>
      </w:tr>
      <w:tr w:rsidRPr="00CC5B62" w:rsidR="000146A0" w:rsidTr="0001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rPr>
                <w:rFonts w:ascii="Arial" w:hAnsi="Arial" w:eastAsia="Calibri" w:cs="Arial"/>
                <w:sz w:val="16"/>
                <w:szCs w:val="16"/>
                <w:lang w:val="nl-NL" w:eastAsia="nl-NL"/>
              </w:rPr>
            </w:pPr>
            <w:r w:rsidRPr="000146A0">
              <w:rPr>
                <w:rFonts w:ascii="Arial" w:hAnsi="Arial" w:eastAsia="Calibri" w:cs="Arial"/>
                <w:sz w:val="16"/>
                <w:szCs w:val="16"/>
                <w:lang w:val="nl-NL" w:eastAsia="nl-NL"/>
              </w:rPr>
              <w:t>Eureka Clusters</w:t>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9</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€ 15,4</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project-omschrijving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73-83%</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76-86%</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 xml:space="preserve">Gezondheid, demografische veranderingen, welzijn </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Slim, groen en geïntegreerd vervoer</w:t>
            </w:r>
          </w:p>
          <w:p w:rsidRPr="000146A0" w:rsidR="000146A0" w:rsidP="00AC56B2" w:rsidRDefault="000146A0">
            <w:pPr>
              <w:numPr>
                <w:ilvl w:val="0"/>
                <w:numId w:val="10"/>
              </w:numPr>
              <w:spacing w:line="240" w:lineRule="atLeast"/>
              <w:ind w:left="113" w:hanging="113"/>
              <w:cnfStyle w:val="000000100000" w:firstRow="0" w:lastRow="0" w:firstColumn="0" w:lastColumn="0" w:oddVBand="0" w:evenVBand="0" w:oddHBand="1" w:evenHBand="0"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 xml:space="preserve">Klimaat, hulpbron-efficiëntie </w:t>
            </w:r>
            <w:r w:rsidRPr="000146A0">
              <w:rPr>
                <w:rFonts w:ascii="Arial" w:hAnsi="Arial" w:eastAsia="Calibri" w:cs="Arial"/>
                <w:sz w:val="16"/>
                <w:szCs w:val="16"/>
                <w:lang w:val="nl-NL" w:eastAsia="nl-NL"/>
              </w:rPr>
              <w:lastRenderedPageBreak/>
              <w:t>en grondstoffen</w:t>
            </w:r>
          </w:p>
        </w:tc>
      </w:tr>
      <w:tr w:rsidRPr="000146A0" w:rsidR="000146A0" w:rsidTr="00014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rPr>
                <w:rFonts w:ascii="Arial" w:hAnsi="Arial" w:eastAsia="Calibri" w:cs="Arial"/>
                <w:sz w:val="16"/>
                <w:szCs w:val="16"/>
                <w:lang w:val="nl-NL" w:eastAsia="nl-NL"/>
              </w:rPr>
            </w:pPr>
            <w:r w:rsidRPr="000146A0">
              <w:rPr>
                <w:rFonts w:ascii="Arial" w:hAnsi="Arial" w:eastAsia="Calibri" w:cs="Arial"/>
                <w:sz w:val="16"/>
                <w:szCs w:val="16"/>
                <w:lang w:val="nl-NL" w:eastAsia="nl-NL"/>
              </w:rPr>
              <w:lastRenderedPageBreak/>
              <w:t>SEED Fondsen</w:t>
            </w:r>
            <w:r w:rsidRPr="000146A0">
              <w:rPr>
                <w:rFonts w:ascii="Arial" w:hAnsi="Arial" w:eastAsia="Calibri" w:cs="Arial"/>
                <w:sz w:val="16"/>
                <w:szCs w:val="16"/>
                <w:vertAlign w:val="superscript"/>
                <w:lang w:val="nl-NL" w:eastAsia="nl-NL"/>
              </w:rPr>
              <w:footnoteReference w:id="12"/>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3</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€ 12,0</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fonds-</w:t>
            </w:r>
          </w:p>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omschrijving</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62-72%</w:t>
            </w:r>
          </w:p>
        </w:tc>
        <w:tc>
          <w:tcPr>
            <w:tcW w:w="725"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62-72%</w:t>
            </w:r>
          </w:p>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Inclusieve en innovatieve samenleving</w:t>
            </w:r>
          </w:p>
        </w:tc>
      </w:tr>
      <w:tr w:rsidRPr="000146A0" w:rsidR="000146A0" w:rsidTr="000146A0">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rPr>
                <w:rFonts w:ascii="Arial" w:hAnsi="Arial" w:eastAsia="Calibri" w:cs="Arial"/>
                <w:sz w:val="16"/>
                <w:szCs w:val="16"/>
                <w:lang w:val="nl-NL" w:eastAsia="nl-NL"/>
              </w:rPr>
            </w:pPr>
            <w:r w:rsidRPr="000146A0">
              <w:rPr>
                <w:rFonts w:ascii="Arial" w:hAnsi="Arial" w:eastAsia="Calibri" w:cs="Arial"/>
                <w:sz w:val="16"/>
                <w:szCs w:val="16"/>
                <w:lang w:val="nl-NL" w:eastAsia="nl-NL"/>
              </w:rPr>
              <w:t>Totaal</w:t>
            </w:r>
          </w:p>
        </w:tc>
        <w:tc>
          <w:tcPr>
            <w:tcW w:w="531"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
                <w:bCs/>
                <w:sz w:val="16"/>
                <w:szCs w:val="16"/>
                <w:lang w:val="nl-NL" w:eastAsia="nl-NL"/>
              </w:rPr>
            </w:pPr>
            <w:r w:rsidRPr="000146A0">
              <w:rPr>
                <w:rFonts w:ascii="Arial" w:hAnsi="Arial" w:eastAsia="Arial Unicode MS" w:cs="Arial"/>
                <w:b/>
                <w:bCs/>
                <w:sz w:val="16"/>
                <w:szCs w:val="16"/>
                <w:lang w:val="nl-NL" w:eastAsia="nl-NL"/>
              </w:rPr>
              <w:t>Aantal projecten</w:t>
            </w:r>
          </w:p>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
                <w:bCs/>
                <w:sz w:val="16"/>
                <w:szCs w:val="16"/>
                <w:lang w:val="nl-NL" w:eastAsia="nl-NL"/>
              </w:rPr>
            </w:pPr>
            <w:r w:rsidRPr="000146A0">
              <w:rPr>
                <w:rFonts w:ascii="Arial" w:hAnsi="Arial" w:eastAsia="Arial Unicode MS" w:cs="Arial"/>
                <w:b/>
                <w:bCs/>
                <w:sz w:val="16"/>
                <w:szCs w:val="16"/>
                <w:lang w:val="nl-NL" w:eastAsia="nl-NL"/>
              </w:rPr>
              <w:t xml:space="preserve">2013 </w:t>
            </w: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
                <w:bCs/>
                <w:sz w:val="16"/>
                <w:szCs w:val="16"/>
                <w:lang w:val="nl-NL" w:eastAsia="nl-NL"/>
              </w:rPr>
            </w:pPr>
            <w:r w:rsidRPr="000146A0">
              <w:rPr>
                <w:rFonts w:ascii="Arial" w:hAnsi="Arial" w:eastAsia="Arial Unicode MS" w:cs="Arial"/>
                <w:b/>
                <w:bCs/>
                <w:sz w:val="16"/>
                <w:szCs w:val="16"/>
                <w:lang w:val="nl-NL" w:eastAsia="nl-NL"/>
              </w:rPr>
              <w:t>Omvang toegekende Rijksmiddelen in € mln. 2013</w:t>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
                <w:bCs/>
                <w:sz w:val="16"/>
                <w:szCs w:val="16"/>
                <w:lang w:val="nl-NL" w:eastAsia="nl-NL"/>
              </w:rPr>
            </w:pPr>
            <w:r w:rsidRPr="000146A0">
              <w:rPr>
                <w:rFonts w:ascii="Arial" w:hAnsi="Arial" w:eastAsia="Arial Unicode MS" w:cs="Arial"/>
                <w:b/>
                <w:bCs/>
                <w:sz w:val="16"/>
                <w:szCs w:val="16"/>
                <w:lang w:val="nl-NL" w:eastAsia="nl-NL"/>
              </w:rPr>
              <w:t>Toedeling op basis van…</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tabs>
                <w:tab w:val="left" w:pos="702"/>
              </w:tabs>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
                <w:bCs/>
                <w:sz w:val="16"/>
                <w:szCs w:val="16"/>
                <w:lang w:val="nl-NL" w:eastAsia="nl-NL"/>
              </w:rPr>
            </w:pPr>
            <w:r w:rsidRPr="000146A0">
              <w:rPr>
                <w:rFonts w:ascii="Arial" w:hAnsi="Arial" w:eastAsia="Arial Unicode MS" w:cs="Arial"/>
                <w:b/>
                <w:bCs/>
                <w:sz w:val="16"/>
                <w:szCs w:val="16"/>
                <w:lang w:val="nl-NL" w:eastAsia="nl-NL"/>
              </w:rPr>
              <w:t>Duurzaamheids-aandeel geschat (naar aantal projecten)</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
                <w:bCs/>
                <w:sz w:val="16"/>
                <w:szCs w:val="16"/>
                <w:lang w:val="nl-NL" w:eastAsia="nl-NL"/>
              </w:rPr>
            </w:pPr>
            <w:r w:rsidRPr="000146A0">
              <w:rPr>
                <w:rFonts w:ascii="Arial" w:hAnsi="Arial" w:eastAsia="Arial Unicode MS" w:cs="Arial"/>
                <w:b/>
                <w:bCs/>
                <w:sz w:val="16"/>
                <w:szCs w:val="16"/>
                <w:lang w:val="nl-NL" w:eastAsia="nl-NL"/>
              </w:rPr>
              <w:t>Duurzaamheids-aandeel geschat (naar budgetten)</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eastAsia="Arial Unicode MS" w:cs="Arial"/>
                <w:b/>
                <w:bCs/>
                <w:sz w:val="16"/>
                <w:szCs w:val="16"/>
                <w:lang w:val="nl-NL" w:eastAsia="nl-NL"/>
              </w:rPr>
            </w:pPr>
            <w:r w:rsidRPr="000146A0">
              <w:rPr>
                <w:rFonts w:ascii="Arial" w:hAnsi="Arial" w:eastAsia="Arial Unicode MS" w:cs="Arial"/>
                <w:b/>
                <w:bCs/>
                <w:sz w:val="16"/>
                <w:szCs w:val="16"/>
                <w:lang w:val="nl-NL" w:eastAsia="nl-NL"/>
              </w:rPr>
              <w:t>Maatschappelijke Uitdagingen</w:t>
            </w:r>
          </w:p>
        </w:tc>
      </w:tr>
      <w:tr w:rsidRPr="000146A0" w:rsidR="000146A0" w:rsidTr="00014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single" w:color="7BA0CD" w:themeColor="accent1" w:themeTint="BF" w:sz="8" w:space="0"/>
              <w:left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rPr>
                <w:rFonts w:ascii="Arial" w:hAnsi="Arial" w:eastAsia="Calibri" w:cs="Arial"/>
                <w:sz w:val="16"/>
                <w:szCs w:val="16"/>
                <w:lang w:val="nl-NL" w:eastAsia="nl-NL"/>
              </w:rPr>
            </w:pPr>
            <w:r w:rsidRPr="000146A0">
              <w:rPr>
                <w:rFonts w:ascii="Arial" w:hAnsi="Arial" w:eastAsia="Calibri" w:cs="Arial"/>
                <w:sz w:val="16"/>
                <w:szCs w:val="16"/>
                <w:lang w:val="nl-NL" w:eastAsia="nl-NL"/>
              </w:rPr>
              <w:t>Maatschappelijke uitdagingen gemiddeld over alle regelingen</w:t>
            </w:r>
          </w:p>
        </w:tc>
        <w:tc>
          <w:tcPr>
            <w:tcW w:w="531" w:type="pct"/>
            <w:tcBorders>
              <w:top w:val="single" w:color="7BA0CD" w:themeColor="accent1" w:themeTint="BF" w:sz="8" w:space="0"/>
              <w:bottom w:val="single" w:color="7BA0CD" w:themeColor="accent1" w:themeTint="BF" w:sz="8" w:space="0"/>
            </w:tcBorders>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57.989</w:t>
            </w:r>
          </w:p>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b/>
                <w:sz w:val="16"/>
                <w:szCs w:val="16"/>
                <w:lang w:val="nl-NL" w:eastAsia="nl-NL"/>
              </w:rPr>
            </w:pPr>
          </w:p>
        </w:tc>
        <w:tc>
          <w:tcPr>
            <w:tcW w:w="534"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b/>
                <w:sz w:val="16"/>
                <w:szCs w:val="16"/>
                <w:lang w:val="nl-NL" w:eastAsia="nl-NL"/>
              </w:rPr>
            </w:pPr>
            <w:r w:rsidRPr="000146A0">
              <w:rPr>
                <w:rFonts w:ascii="Arial" w:hAnsi="Arial" w:eastAsia="Calibri" w:cs="Arial"/>
                <w:sz w:val="16"/>
                <w:szCs w:val="16"/>
                <w:lang w:val="nl-NL" w:eastAsia="nl-NL"/>
              </w:rPr>
              <w:t>€ 1182</w:t>
            </w:r>
            <w:r w:rsidRPr="000146A0">
              <w:rPr>
                <w:rFonts w:ascii="Arial" w:hAnsi="Arial" w:eastAsia="Calibri" w:cs="Arial"/>
                <w:sz w:val="16"/>
                <w:szCs w:val="16"/>
                <w:vertAlign w:val="superscript"/>
                <w:lang w:val="nl-NL" w:eastAsia="nl-NL"/>
              </w:rPr>
              <w:footnoteReference w:id="13"/>
            </w:r>
          </w:p>
        </w:tc>
        <w:tc>
          <w:tcPr>
            <w:tcW w:w="61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Gemengde aanpak</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autoSpaceDE w:val="0"/>
              <w:autoSpaceDN w:val="0"/>
              <w:adjustRightInd w:val="0"/>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62-72%</w:t>
            </w:r>
          </w:p>
        </w:tc>
        <w:tc>
          <w:tcPr>
            <w:tcW w:w="725" w:type="pct"/>
            <w:tcBorders>
              <w:top w:val="single" w:color="7BA0CD" w:themeColor="accent1" w:themeTint="BF" w:sz="8" w:space="0"/>
              <w:bottom w:val="single" w:color="7BA0CD" w:themeColor="accent1" w:themeTint="BF" w:sz="8" w:space="0"/>
            </w:tcBorders>
            <w:hideMark/>
          </w:tcPr>
          <w:p w:rsidRPr="000146A0" w:rsidR="000146A0" w:rsidP="00AC56B2" w:rsidRDefault="000146A0">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68-78%</w:t>
            </w:r>
          </w:p>
        </w:tc>
        <w:tc>
          <w:tcPr>
            <w:tcW w:w="994" w:type="pct"/>
            <w:tcBorders>
              <w:top w:val="single" w:color="7BA0CD" w:themeColor="accent1" w:themeTint="BF" w:sz="8" w:space="0"/>
              <w:bottom w:val="single" w:color="7BA0CD" w:themeColor="accent1" w:themeTint="BF" w:sz="8" w:space="0"/>
              <w:right w:val="single" w:color="7BA0CD" w:themeColor="accent1" w:themeTint="BF" w:sz="8" w:space="0"/>
            </w:tcBorders>
            <w:hideMark/>
          </w:tcPr>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Gezondheid, demografische veranderingen, welzijn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Voedselveiligheid, duurzame landbouw, marien en maritiem onderzoek, bio-economie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schone en efficiënte energie</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Slim, groen en geïntegreerd vervoer</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Klimaat, hulpbron-efficiëntie en grondstoffen</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Inclusieve en innovatieve samenleving</w:t>
            </w:r>
          </w:p>
          <w:p w:rsidRPr="000146A0" w:rsidR="000146A0" w:rsidP="00AC56B2" w:rsidRDefault="000146A0">
            <w:pPr>
              <w:numPr>
                <w:ilvl w:val="0"/>
                <w:numId w:val="10"/>
              </w:numPr>
              <w:spacing w:line="240" w:lineRule="atLeast"/>
              <w:ind w:left="113" w:hanging="113"/>
              <w:cnfStyle w:val="000000010000" w:firstRow="0" w:lastRow="0" w:firstColumn="0" w:lastColumn="0" w:oddVBand="0" w:evenVBand="0" w:oddHBand="0" w:evenHBand="1" w:firstRowFirstColumn="0" w:firstRowLastColumn="0" w:lastRowFirstColumn="0" w:lastRowLastColumn="0"/>
              <w:rPr>
                <w:rFonts w:ascii="Arial" w:hAnsi="Arial" w:eastAsia="Calibri" w:cs="Arial"/>
                <w:sz w:val="16"/>
                <w:szCs w:val="16"/>
                <w:lang w:val="nl-NL" w:eastAsia="nl-NL"/>
              </w:rPr>
            </w:pPr>
            <w:r w:rsidRPr="000146A0">
              <w:rPr>
                <w:rFonts w:ascii="Arial" w:hAnsi="Arial" w:eastAsia="Calibri" w:cs="Arial"/>
                <w:sz w:val="16"/>
                <w:szCs w:val="16"/>
                <w:lang w:val="nl-NL" w:eastAsia="nl-NL"/>
              </w:rPr>
              <w:t>Veilige samenleving</w:t>
            </w:r>
          </w:p>
        </w:tc>
      </w:tr>
    </w:tbl>
    <w:p w:rsidRPr="000146A0" w:rsidR="000146A0" w:rsidP="00AC56B2" w:rsidRDefault="000146A0">
      <w:pPr>
        <w:keepNext/>
        <w:spacing w:after="200"/>
        <w:rPr>
          <w:rFonts w:ascii="Helvetica" w:hAnsi="Arial Unicode MS" w:eastAsia="Arial Unicode MS" w:cs="Arial Unicode MS"/>
          <w:b/>
          <w:bCs/>
          <w:sz w:val="18"/>
          <w:szCs w:val="18"/>
          <w:lang w:val="nl-NL" w:eastAsia="nl-NL"/>
        </w:rPr>
      </w:pPr>
    </w:p>
    <w:p w:rsidRPr="000146A0" w:rsidR="00D516C3" w:rsidP="00AC56B2" w:rsidRDefault="00D516C3"/>
    <w:sectPr w:rsidRPr="000146A0" w:rsidR="00D516C3">
      <w:footerReference w:type="default" r:id="rId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9A" w:rsidRDefault="002B3E9A" w:rsidP="007A6A05">
      <w:pPr>
        <w:spacing w:line="240" w:lineRule="auto"/>
      </w:pPr>
      <w:r>
        <w:separator/>
      </w:r>
    </w:p>
  </w:endnote>
  <w:endnote w:type="continuationSeparator" w:id="0">
    <w:p w:rsidR="002B3E9A" w:rsidRDefault="002B3E9A" w:rsidP="007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56434"/>
      <w:docPartObj>
        <w:docPartGallery w:val="Page Numbers (Bottom of Page)"/>
        <w:docPartUnique/>
      </w:docPartObj>
    </w:sdtPr>
    <w:sdtEndPr>
      <w:rPr>
        <w:sz w:val="16"/>
        <w:szCs w:val="16"/>
      </w:rPr>
    </w:sdtEndPr>
    <w:sdtContent>
      <w:p w:rsidR="00BD5DD3" w:rsidRPr="00BD5DD3" w:rsidRDefault="00BD5DD3">
        <w:pPr>
          <w:pStyle w:val="Voettekst"/>
          <w:jc w:val="right"/>
          <w:rPr>
            <w:sz w:val="16"/>
            <w:szCs w:val="16"/>
          </w:rPr>
        </w:pPr>
        <w:r w:rsidRPr="00BD5DD3">
          <w:rPr>
            <w:sz w:val="16"/>
            <w:szCs w:val="16"/>
          </w:rPr>
          <w:fldChar w:fldCharType="begin"/>
        </w:r>
        <w:r w:rsidRPr="00BD5DD3">
          <w:rPr>
            <w:sz w:val="16"/>
            <w:szCs w:val="16"/>
          </w:rPr>
          <w:instrText>PAGE   \* MERGEFORMAT</w:instrText>
        </w:r>
        <w:r w:rsidRPr="00BD5DD3">
          <w:rPr>
            <w:sz w:val="16"/>
            <w:szCs w:val="16"/>
          </w:rPr>
          <w:fldChar w:fldCharType="separate"/>
        </w:r>
        <w:r w:rsidRPr="00BD5DD3">
          <w:rPr>
            <w:noProof/>
            <w:sz w:val="16"/>
            <w:szCs w:val="16"/>
            <w:lang w:val="nl-NL"/>
          </w:rPr>
          <w:t>2</w:t>
        </w:r>
        <w:r w:rsidRPr="00BD5DD3">
          <w:rPr>
            <w:sz w:val="16"/>
            <w:szCs w:val="16"/>
          </w:rPr>
          <w:fldChar w:fldCharType="end"/>
        </w:r>
      </w:p>
    </w:sdtContent>
  </w:sdt>
  <w:p w:rsidR="00BD5DD3" w:rsidRDefault="00BD5D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9A" w:rsidRDefault="002B3E9A" w:rsidP="007A6A05">
      <w:pPr>
        <w:spacing w:line="240" w:lineRule="auto"/>
      </w:pPr>
      <w:r>
        <w:separator/>
      </w:r>
    </w:p>
  </w:footnote>
  <w:footnote w:type="continuationSeparator" w:id="0">
    <w:p w:rsidR="002B3E9A" w:rsidRDefault="002B3E9A" w:rsidP="007A6A05">
      <w:pPr>
        <w:spacing w:line="240" w:lineRule="auto"/>
      </w:pPr>
      <w:r>
        <w:continuationSeparator/>
      </w:r>
    </w:p>
  </w:footnote>
  <w:footnote w:id="1">
    <w:p w:rsidR="000146A0" w:rsidRPr="00CC5B62" w:rsidRDefault="000146A0" w:rsidP="00CC5B62">
      <w:pPr>
        <w:pStyle w:val="Voetnoottekst"/>
        <w:spacing w:line="180" w:lineRule="atLeast"/>
        <w:rPr>
          <w:rFonts w:ascii="Verdana" w:eastAsia="Calibri" w:hAnsi="Verdana" w:cs="Times New Roman"/>
          <w:sz w:val="13"/>
          <w:szCs w:val="13"/>
          <w:lang w:val="nl-NL"/>
        </w:rPr>
      </w:pPr>
      <w:r w:rsidRPr="00CC5B62">
        <w:rPr>
          <w:rStyle w:val="Voetnootmarkering"/>
          <w:rFonts w:ascii="Verdana" w:hAnsi="Verdana"/>
          <w:sz w:val="13"/>
          <w:szCs w:val="13"/>
        </w:rPr>
        <w:footnoteRef/>
      </w:r>
      <w:r w:rsidRPr="00CC5B62">
        <w:rPr>
          <w:rFonts w:ascii="Verdana" w:hAnsi="Verdana"/>
          <w:sz w:val="13"/>
          <w:szCs w:val="13"/>
          <w:lang w:val="nl-NL"/>
        </w:rPr>
        <w:t xml:space="preserve"> </w:t>
      </w:r>
      <w:r w:rsidR="00DC3E48" w:rsidRPr="00CC5B62">
        <w:rPr>
          <w:rFonts w:ascii="Verdana" w:hAnsi="Verdana"/>
          <w:sz w:val="13"/>
          <w:szCs w:val="13"/>
          <w:lang w:val="nl-NL"/>
        </w:rPr>
        <w:t>Tweede Kamer,</w:t>
      </w:r>
      <w:r w:rsidRPr="00CC5B62">
        <w:rPr>
          <w:rFonts w:ascii="Verdana" w:hAnsi="Verdana"/>
          <w:sz w:val="13"/>
          <w:szCs w:val="13"/>
          <w:lang w:val="nl-NL"/>
        </w:rPr>
        <w:t xml:space="preserve"> 34 000-XIII</w:t>
      </w:r>
      <w:r w:rsidR="00DC3E48" w:rsidRPr="00CC5B62">
        <w:rPr>
          <w:rFonts w:ascii="Verdana" w:hAnsi="Verdana"/>
          <w:sz w:val="13"/>
          <w:szCs w:val="13"/>
          <w:lang w:val="nl-NL"/>
        </w:rPr>
        <w:t xml:space="preserve"> </w:t>
      </w:r>
      <w:r w:rsidRPr="00CC5B62">
        <w:rPr>
          <w:rFonts w:ascii="Verdana" w:hAnsi="Verdana"/>
          <w:sz w:val="13"/>
          <w:szCs w:val="13"/>
          <w:lang w:val="nl-NL"/>
        </w:rPr>
        <w:t>nr. 40.</w:t>
      </w:r>
    </w:p>
  </w:footnote>
  <w:footnote w:id="2">
    <w:p w:rsidR="000146A0" w:rsidRPr="00CC5B62" w:rsidRDefault="000146A0" w:rsidP="00CC5B62">
      <w:pPr>
        <w:pStyle w:val="Voetnoottekst"/>
        <w:spacing w:line="180" w:lineRule="atLeast"/>
        <w:rPr>
          <w:rFonts w:ascii="Verdana" w:hAnsi="Verdana"/>
          <w:sz w:val="13"/>
          <w:szCs w:val="13"/>
          <w:lang w:val="nl-NL"/>
        </w:rPr>
      </w:pPr>
      <w:r w:rsidRPr="00CC5B62">
        <w:rPr>
          <w:rStyle w:val="Voetnootmarkering"/>
          <w:rFonts w:ascii="Verdana" w:hAnsi="Verdana"/>
          <w:sz w:val="13"/>
          <w:szCs w:val="13"/>
        </w:rPr>
        <w:footnoteRef/>
      </w:r>
      <w:r w:rsidRPr="00CC5B62">
        <w:rPr>
          <w:rFonts w:ascii="Verdana" w:hAnsi="Verdana"/>
          <w:sz w:val="13"/>
          <w:szCs w:val="13"/>
          <w:lang w:val="nl-NL"/>
        </w:rPr>
        <w:t xml:space="preserve"> </w:t>
      </w:r>
      <w:r w:rsidR="00DC3E48" w:rsidRPr="00CC5B62">
        <w:rPr>
          <w:rFonts w:ascii="Verdana" w:hAnsi="Verdana"/>
          <w:sz w:val="13"/>
          <w:szCs w:val="13"/>
          <w:lang w:val="nl-NL"/>
        </w:rPr>
        <w:t>Tweede Kamer,</w:t>
      </w:r>
      <w:r w:rsidRPr="00CC5B62">
        <w:rPr>
          <w:rFonts w:ascii="Verdana" w:hAnsi="Verdana"/>
          <w:sz w:val="13"/>
          <w:szCs w:val="13"/>
          <w:lang w:val="nl-NL"/>
        </w:rPr>
        <w:t xml:space="preserve"> 30 196</w:t>
      </w:r>
      <w:r w:rsidR="00DC3E48" w:rsidRPr="00CC5B62">
        <w:rPr>
          <w:rFonts w:ascii="Verdana" w:hAnsi="Verdana"/>
          <w:sz w:val="13"/>
          <w:szCs w:val="13"/>
          <w:lang w:val="nl-NL"/>
        </w:rPr>
        <w:t xml:space="preserve"> </w:t>
      </w:r>
      <w:r w:rsidRPr="00CC5B62">
        <w:rPr>
          <w:rFonts w:ascii="Verdana" w:hAnsi="Verdana"/>
          <w:sz w:val="13"/>
          <w:szCs w:val="13"/>
          <w:lang w:val="nl-NL"/>
        </w:rPr>
        <w:t>nr. 85.</w:t>
      </w:r>
    </w:p>
  </w:footnote>
  <w:footnote w:id="3">
    <w:p w:rsidR="000146A0" w:rsidRPr="00CC5B62" w:rsidRDefault="000146A0" w:rsidP="00CC5B62">
      <w:pPr>
        <w:pStyle w:val="Voetnoottekst"/>
        <w:spacing w:line="180" w:lineRule="atLeast"/>
        <w:rPr>
          <w:rFonts w:ascii="Verdana" w:hAnsi="Verdana"/>
          <w:sz w:val="13"/>
          <w:szCs w:val="13"/>
          <w:lang w:val="nl-NL"/>
        </w:rPr>
      </w:pPr>
      <w:r w:rsidRPr="00CC5B62">
        <w:rPr>
          <w:rStyle w:val="Voetnootmarkering"/>
          <w:rFonts w:ascii="Verdana" w:hAnsi="Verdana"/>
          <w:sz w:val="13"/>
          <w:szCs w:val="13"/>
        </w:rPr>
        <w:footnoteRef/>
      </w:r>
      <w:r w:rsidRPr="00CC5B62">
        <w:rPr>
          <w:rFonts w:ascii="Verdana" w:hAnsi="Verdana"/>
          <w:sz w:val="13"/>
          <w:szCs w:val="13"/>
          <w:lang w:val="nl-NL"/>
        </w:rPr>
        <w:t xml:space="preserve"> Staatsblad 2011, nr. 348.</w:t>
      </w:r>
    </w:p>
  </w:footnote>
  <w:footnote w:id="4">
    <w:p w:rsidR="000146A0" w:rsidRPr="00CC5B62" w:rsidRDefault="000146A0" w:rsidP="00CC5B62">
      <w:pPr>
        <w:pStyle w:val="Voetnoottekst"/>
        <w:spacing w:line="180" w:lineRule="atLeast"/>
        <w:rPr>
          <w:rFonts w:ascii="Verdana" w:hAnsi="Verdana"/>
          <w:sz w:val="13"/>
          <w:szCs w:val="13"/>
          <w:lang w:val="nl-NL"/>
        </w:rPr>
      </w:pPr>
      <w:r w:rsidRPr="00CC5B62">
        <w:rPr>
          <w:rStyle w:val="Voetnootmarkering"/>
          <w:rFonts w:ascii="Verdana" w:hAnsi="Verdana"/>
          <w:sz w:val="13"/>
          <w:szCs w:val="13"/>
        </w:rPr>
        <w:footnoteRef/>
      </w:r>
      <w:r w:rsidRPr="00CC5B62">
        <w:rPr>
          <w:rFonts w:ascii="Verdana" w:hAnsi="Verdana"/>
          <w:sz w:val="13"/>
          <w:szCs w:val="13"/>
          <w:lang w:val="nl-NL"/>
        </w:rPr>
        <w:t xml:space="preserve"> CBS, Monitor Duurzaam Nederland 2014: indicatorenrapport, Den Haag/Heerlen, november 2014.</w:t>
      </w:r>
    </w:p>
  </w:footnote>
  <w:footnote w:id="5">
    <w:p w:rsidR="000146A0" w:rsidRPr="00CC5B62" w:rsidRDefault="000146A0" w:rsidP="00CC5B62">
      <w:pPr>
        <w:pStyle w:val="Voetnoottekst"/>
        <w:spacing w:line="180" w:lineRule="atLeast"/>
        <w:rPr>
          <w:rFonts w:ascii="Verdana" w:eastAsia="Arial Unicode MS" w:hAnsi="Verdana" w:cs="Arial Unicode MS"/>
          <w:sz w:val="13"/>
          <w:szCs w:val="13"/>
          <w:lang w:val="nl-NL"/>
        </w:rPr>
      </w:pPr>
      <w:r w:rsidRPr="00CC5B62">
        <w:rPr>
          <w:rStyle w:val="Voetnootmarkering"/>
          <w:rFonts w:ascii="Verdana" w:hAnsi="Verdana"/>
          <w:sz w:val="13"/>
          <w:szCs w:val="13"/>
          <w:lang w:val="nl-NL"/>
        </w:rPr>
        <w:footnoteRef/>
      </w:r>
      <w:r w:rsidRPr="00CC5B62">
        <w:rPr>
          <w:rFonts w:ascii="Verdana" w:hAnsi="Verdana"/>
          <w:sz w:val="13"/>
          <w:szCs w:val="13"/>
          <w:lang w:val="nl-NL"/>
        </w:rPr>
        <w:t xml:space="preserve"> Monitor Bedrijvenbeleid 2014, Ministerie van Economische Zaken, pagina 86.</w:t>
      </w:r>
    </w:p>
  </w:footnote>
  <w:footnote w:id="6">
    <w:p w:rsidR="000146A0" w:rsidRPr="00CC5B62" w:rsidRDefault="000146A0" w:rsidP="00CC5B62">
      <w:pPr>
        <w:spacing w:line="180" w:lineRule="atLeast"/>
        <w:rPr>
          <w:rFonts w:ascii="Verdana" w:eastAsia="Times New Roman" w:hAnsi="Verdana" w:cs="Arial"/>
          <w:color w:val="0070C0"/>
          <w:sz w:val="13"/>
          <w:szCs w:val="13"/>
          <w:lang w:val="nl-NL"/>
        </w:rPr>
      </w:pPr>
      <w:r w:rsidRPr="00CC5B62">
        <w:rPr>
          <w:rStyle w:val="Voetnootmarkering"/>
          <w:rFonts w:ascii="Verdana" w:hAnsi="Verdana"/>
          <w:sz w:val="13"/>
          <w:szCs w:val="13"/>
          <w:lang w:val="nl-NL"/>
        </w:rPr>
        <w:footnoteRef/>
      </w:r>
      <w:r w:rsidRPr="00CC5B62">
        <w:rPr>
          <w:rStyle w:val="Voetnootmarkering"/>
          <w:rFonts w:ascii="Verdana" w:hAnsi="Verdana"/>
          <w:sz w:val="13"/>
          <w:szCs w:val="13"/>
          <w:lang w:val="nl-NL"/>
        </w:rPr>
        <w:t xml:space="preserve"> </w:t>
      </w:r>
      <w:r w:rsidRPr="00CC5B62">
        <w:rPr>
          <w:rFonts w:ascii="Verdana" w:hAnsi="Verdana"/>
          <w:sz w:val="13"/>
          <w:szCs w:val="13"/>
          <w:lang w:val="nl-NL"/>
        </w:rPr>
        <w:t>Bron: RVO.nl | WBSO/RDA | 29 april  2015</w:t>
      </w:r>
    </w:p>
  </w:footnote>
  <w:footnote w:id="7">
    <w:p w:rsidR="000146A0" w:rsidRPr="00CC5B62" w:rsidRDefault="000146A0" w:rsidP="00CC5B62">
      <w:pPr>
        <w:pStyle w:val="Voetnoottekst"/>
        <w:spacing w:line="180" w:lineRule="atLeast"/>
        <w:rPr>
          <w:rFonts w:ascii="Verdana" w:eastAsia="Calibri" w:hAnsi="Verdana" w:cs="Times New Roman"/>
          <w:sz w:val="13"/>
          <w:szCs w:val="13"/>
          <w:lang w:val="nl-NL"/>
        </w:rPr>
      </w:pPr>
      <w:r w:rsidRPr="00CC5B62">
        <w:rPr>
          <w:rStyle w:val="Voetnootmarkering"/>
          <w:rFonts w:ascii="Verdana" w:hAnsi="Verdana"/>
          <w:sz w:val="13"/>
          <w:szCs w:val="13"/>
          <w:lang w:val="nl-NL"/>
        </w:rPr>
        <w:footnoteRef/>
      </w:r>
      <w:r w:rsidRPr="00CC5B62">
        <w:rPr>
          <w:rFonts w:ascii="Verdana" w:hAnsi="Verdana"/>
          <w:sz w:val="13"/>
          <w:szCs w:val="13"/>
          <w:lang w:val="nl-NL"/>
        </w:rPr>
        <w:t xml:space="preserve"> Voor de MIT is voor deze indeling gekozen voor het indelen van de openbare projecten op Volginnovatie.nl. Dit betekent dat 242 verstrekte Vouchers en een aantal projecten van niet openbaar te maken deelnemers niet zijn opgenomen in de totalen.</w:t>
      </w:r>
    </w:p>
  </w:footnote>
  <w:footnote w:id="8">
    <w:p w:rsidR="000146A0" w:rsidRPr="00CC5B62" w:rsidRDefault="000146A0" w:rsidP="00CC5B62">
      <w:pPr>
        <w:pStyle w:val="Voetnoottekst"/>
        <w:spacing w:line="180" w:lineRule="atLeast"/>
        <w:rPr>
          <w:rFonts w:ascii="Verdana" w:hAnsi="Verdana"/>
          <w:sz w:val="13"/>
          <w:szCs w:val="13"/>
          <w:lang w:val="nl-NL"/>
        </w:rPr>
      </w:pPr>
      <w:r w:rsidRPr="00CC5B62">
        <w:rPr>
          <w:rStyle w:val="Voetnootmarkering"/>
          <w:rFonts w:ascii="Verdana" w:hAnsi="Verdana"/>
          <w:sz w:val="13"/>
          <w:szCs w:val="13"/>
          <w:lang w:val="nl-NL"/>
        </w:rPr>
        <w:footnoteRef/>
      </w:r>
      <w:r w:rsidRPr="00CC5B62">
        <w:rPr>
          <w:rFonts w:ascii="Verdana" w:hAnsi="Verdana"/>
          <w:sz w:val="13"/>
          <w:szCs w:val="13"/>
          <w:lang w:val="nl-NL"/>
        </w:rPr>
        <w:t xml:space="preserve"> Beide regelingen zijn vormgegeven in de fiscale wetgeving en vallen niet onder het Kaderbesluit EZ-subsidies.</w:t>
      </w:r>
    </w:p>
  </w:footnote>
  <w:footnote w:id="9">
    <w:p w:rsidR="000146A0" w:rsidRPr="00CC5B62" w:rsidRDefault="000146A0" w:rsidP="00CC5B62">
      <w:pPr>
        <w:spacing w:line="180" w:lineRule="atLeast"/>
        <w:rPr>
          <w:rFonts w:ascii="Verdana" w:eastAsia="Times New Roman" w:hAnsi="Verdana" w:cs="Arial"/>
          <w:color w:val="0070C0"/>
          <w:sz w:val="13"/>
          <w:szCs w:val="13"/>
          <w:lang w:val="nl-NL"/>
        </w:rPr>
      </w:pPr>
      <w:r w:rsidRPr="00CC5B62">
        <w:rPr>
          <w:rStyle w:val="Voetnootmarkering"/>
          <w:rFonts w:ascii="Verdana" w:hAnsi="Verdana"/>
          <w:sz w:val="13"/>
          <w:szCs w:val="13"/>
        </w:rPr>
        <w:footnoteRef/>
      </w:r>
      <w:r w:rsidRPr="00CC5B62">
        <w:rPr>
          <w:rStyle w:val="Voetnootmarkering"/>
          <w:rFonts w:ascii="Verdana" w:hAnsi="Verdana"/>
          <w:sz w:val="13"/>
          <w:szCs w:val="13"/>
          <w:lang w:val="nl-NL"/>
        </w:rPr>
        <w:t xml:space="preserve"> </w:t>
      </w:r>
      <w:r w:rsidRPr="00CC5B62">
        <w:rPr>
          <w:rFonts w:ascii="Verdana" w:hAnsi="Verdana"/>
          <w:sz w:val="13"/>
          <w:szCs w:val="13"/>
          <w:lang w:val="nl-NL"/>
        </w:rPr>
        <w:t>Bron: RVO.nl | WBSO/RDA | 29april 2015</w:t>
      </w:r>
    </w:p>
  </w:footnote>
  <w:footnote w:id="10">
    <w:p w:rsidR="000146A0" w:rsidRPr="00CC5B62" w:rsidRDefault="000146A0" w:rsidP="00CC5B62">
      <w:pPr>
        <w:pStyle w:val="Voetnoottekst"/>
        <w:spacing w:line="180" w:lineRule="atLeast"/>
        <w:rPr>
          <w:rFonts w:ascii="Verdana" w:eastAsia="Calibri" w:hAnsi="Verdana" w:cs="Times New Roman"/>
          <w:sz w:val="13"/>
          <w:szCs w:val="13"/>
          <w:lang w:val="nl-NL"/>
        </w:rPr>
      </w:pPr>
      <w:r w:rsidRPr="00CC5B62">
        <w:rPr>
          <w:rStyle w:val="Voetnootmarkering"/>
          <w:rFonts w:ascii="Verdana" w:hAnsi="Verdana"/>
          <w:sz w:val="13"/>
          <w:szCs w:val="13"/>
        </w:rPr>
        <w:footnoteRef/>
      </w:r>
      <w:r w:rsidRPr="00CC5B62">
        <w:rPr>
          <w:rStyle w:val="Voetnootmarkering"/>
          <w:rFonts w:ascii="Verdana" w:hAnsi="Verdana"/>
          <w:sz w:val="13"/>
          <w:szCs w:val="13"/>
          <w:lang w:val="nl-NL"/>
        </w:rPr>
        <w:t xml:space="preserve"> </w:t>
      </w:r>
      <w:r w:rsidRPr="00CC5B62">
        <w:rPr>
          <w:rFonts w:ascii="Verdana" w:hAnsi="Verdana"/>
          <w:sz w:val="13"/>
          <w:szCs w:val="13"/>
          <w:lang w:val="nl-NL"/>
        </w:rPr>
        <w:t>Bron: Innovatiesensor RVO.nl, 31 maart 2015</w:t>
      </w:r>
    </w:p>
  </w:footnote>
  <w:footnote w:id="11">
    <w:p w:rsidR="000146A0" w:rsidRPr="00CC5B62" w:rsidRDefault="000146A0" w:rsidP="00CC5B62">
      <w:pPr>
        <w:pStyle w:val="Voetnoottekst"/>
        <w:spacing w:line="180" w:lineRule="atLeast"/>
        <w:rPr>
          <w:rFonts w:ascii="Verdana" w:hAnsi="Verdana"/>
          <w:sz w:val="13"/>
          <w:szCs w:val="13"/>
          <w:lang w:val="nl-NL"/>
        </w:rPr>
      </w:pPr>
      <w:r w:rsidRPr="00CC5B62">
        <w:rPr>
          <w:rStyle w:val="Voetnootmarkering"/>
          <w:rFonts w:ascii="Verdana" w:hAnsi="Verdana"/>
          <w:sz w:val="13"/>
          <w:szCs w:val="13"/>
        </w:rPr>
        <w:footnoteRef/>
      </w:r>
      <w:r w:rsidRPr="00CC5B62">
        <w:rPr>
          <w:rFonts w:ascii="Verdana" w:hAnsi="Verdana"/>
          <w:sz w:val="13"/>
          <w:szCs w:val="13"/>
          <w:lang w:val="nl-NL"/>
        </w:rPr>
        <w:t xml:space="preserve"> Voor de MIT is voor deze indeling gekozen voor het indelen van de openbare projecten op Volginnovatie.nl. Dit betekent dat 242 verstrekte Vouchers en een aantal projecten van niet openbaar te maken deelnemers niet zijn opgenomen in de totalen.</w:t>
      </w:r>
    </w:p>
  </w:footnote>
  <w:footnote w:id="12">
    <w:p w:rsidR="000146A0" w:rsidRPr="00CC5B62" w:rsidRDefault="000146A0" w:rsidP="00CC5B62">
      <w:pPr>
        <w:pStyle w:val="Voetnoottekst"/>
        <w:spacing w:line="180" w:lineRule="atLeast"/>
        <w:rPr>
          <w:rFonts w:ascii="Verdana" w:hAnsi="Verdana"/>
          <w:sz w:val="13"/>
          <w:szCs w:val="13"/>
          <w:lang w:val="nl-NL"/>
        </w:rPr>
      </w:pPr>
      <w:r w:rsidRPr="00CC5B62">
        <w:rPr>
          <w:rStyle w:val="Voetnootmarkering"/>
          <w:rFonts w:ascii="Verdana" w:hAnsi="Verdana"/>
          <w:sz w:val="13"/>
          <w:szCs w:val="13"/>
        </w:rPr>
        <w:footnoteRef/>
      </w:r>
      <w:r w:rsidRPr="00CC5B62">
        <w:rPr>
          <w:rFonts w:ascii="Verdana" w:hAnsi="Verdana"/>
          <w:sz w:val="13"/>
          <w:szCs w:val="13"/>
          <w:lang w:val="nl-NL"/>
        </w:rPr>
        <w:t xml:space="preserve"> 2 van de 3 Seedfondsen uit 2013 hebben een duidelijke focus, alle projecten vallen onder de Maatschappelijke Uitdagingen. Het 3</w:t>
      </w:r>
      <w:r w:rsidRPr="00CC5B62">
        <w:rPr>
          <w:rFonts w:ascii="Verdana" w:hAnsi="Verdana"/>
          <w:sz w:val="13"/>
          <w:szCs w:val="13"/>
          <w:vertAlign w:val="superscript"/>
          <w:lang w:val="nl-NL"/>
        </w:rPr>
        <w:t>e</w:t>
      </w:r>
      <w:r w:rsidRPr="00CC5B62">
        <w:rPr>
          <w:rFonts w:ascii="Verdana" w:hAnsi="Verdana"/>
          <w:sz w:val="13"/>
          <w:szCs w:val="13"/>
          <w:lang w:val="nl-NL"/>
        </w:rPr>
        <w:t xml:space="preserve"> fonds is nog bezig met de opbouw van de portfolio  en kan daarom nog niet eenduidig geplaatst worden.</w:t>
      </w:r>
    </w:p>
  </w:footnote>
  <w:footnote w:id="13">
    <w:p w:rsidR="000146A0" w:rsidRPr="00CC5B62" w:rsidRDefault="000146A0" w:rsidP="00CC5B62">
      <w:pPr>
        <w:pStyle w:val="Voetnoottekst"/>
        <w:spacing w:line="180" w:lineRule="atLeast"/>
        <w:rPr>
          <w:rFonts w:ascii="Verdana" w:hAnsi="Verdana"/>
          <w:sz w:val="13"/>
          <w:szCs w:val="13"/>
          <w:lang w:val="nl-NL"/>
        </w:rPr>
      </w:pPr>
      <w:r w:rsidRPr="00CC5B62">
        <w:rPr>
          <w:rStyle w:val="Voetnootmarkering"/>
          <w:rFonts w:ascii="Verdana" w:hAnsi="Verdana"/>
          <w:sz w:val="13"/>
          <w:szCs w:val="13"/>
        </w:rPr>
        <w:footnoteRef/>
      </w:r>
      <w:r w:rsidRPr="00CC5B62">
        <w:rPr>
          <w:rFonts w:ascii="Verdana" w:hAnsi="Verdana"/>
          <w:sz w:val="13"/>
          <w:szCs w:val="13"/>
          <w:lang w:val="nl-NL"/>
        </w:rPr>
        <w:t xml:space="preserve"> Op  basis van de in de tabel opgenomen afgeronde bedragen.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F57"/>
    <w:multiLevelType w:val="hybridMultilevel"/>
    <w:tmpl w:val="F92EEA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ABD0C4F"/>
    <w:multiLevelType w:val="hybridMultilevel"/>
    <w:tmpl w:val="D91A49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4744E20"/>
    <w:multiLevelType w:val="hybridMultilevel"/>
    <w:tmpl w:val="AD3C89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62036BA0"/>
    <w:multiLevelType w:val="hybridMultilevel"/>
    <w:tmpl w:val="7FF66FCE"/>
    <w:lvl w:ilvl="0" w:tplc="BF22F97A">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D081C5A"/>
    <w:multiLevelType w:val="hybridMultilevel"/>
    <w:tmpl w:val="D77C5422"/>
    <w:lvl w:ilvl="0" w:tplc="BF22F97A">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D975FD7"/>
    <w:multiLevelType w:val="hybridMultilevel"/>
    <w:tmpl w:val="73E6B0D6"/>
    <w:lvl w:ilvl="0" w:tplc="D0EEC2D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 w:numId="6">
    <w:abstractNumId w:val="4"/>
  </w:num>
  <w:num w:numId="7">
    <w:abstractNumId w:val="4"/>
  </w:num>
  <w:num w:numId="8">
    <w:abstractNumId w:val="0"/>
  </w:num>
  <w:num w:numId="9">
    <w:abstractNumId w:val="4"/>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FD"/>
    <w:rsid w:val="000146A0"/>
    <w:rsid w:val="00041287"/>
    <w:rsid w:val="0004345F"/>
    <w:rsid w:val="00052416"/>
    <w:rsid w:val="0006776B"/>
    <w:rsid w:val="00076530"/>
    <w:rsid w:val="00090A98"/>
    <w:rsid w:val="000A3C2B"/>
    <w:rsid w:val="000A46D5"/>
    <w:rsid w:val="000B4824"/>
    <w:rsid w:val="00105C16"/>
    <w:rsid w:val="00165A9E"/>
    <w:rsid w:val="00171276"/>
    <w:rsid w:val="001B659F"/>
    <w:rsid w:val="001B732F"/>
    <w:rsid w:val="0020371E"/>
    <w:rsid w:val="00241061"/>
    <w:rsid w:val="00244C3D"/>
    <w:rsid w:val="002B1444"/>
    <w:rsid w:val="002B3E9A"/>
    <w:rsid w:val="00356F45"/>
    <w:rsid w:val="00365B8B"/>
    <w:rsid w:val="0037263C"/>
    <w:rsid w:val="00373B06"/>
    <w:rsid w:val="003A1CCE"/>
    <w:rsid w:val="003B4A67"/>
    <w:rsid w:val="003D39B2"/>
    <w:rsid w:val="0045278E"/>
    <w:rsid w:val="0048720B"/>
    <w:rsid w:val="004C3AF7"/>
    <w:rsid w:val="005000FA"/>
    <w:rsid w:val="00590397"/>
    <w:rsid w:val="0061445B"/>
    <w:rsid w:val="00643626"/>
    <w:rsid w:val="00674FBA"/>
    <w:rsid w:val="006775EA"/>
    <w:rsid w:val="0068239A"/>
    <w:rsid w:val="00692BE6"/>
    <w:rsid w:val="006C5330"/>
    <w:rsid w:val="006D3D8E"/>
    <w:rsid w:val="006E56BA"/>
    <w:rsid w:val="006F4F65"/>
    <w:rsid w:val="007016CA"/>
    <w:rsid w:val="00754443"/>
    <w:rsid w:val="00766211"/>
    <w:rsid w:val="007A6A05"/>
    <w:rsid w:val="007F568B"/>
    <w:rsid w:val="008013FC"/>
    <w:rsid w:val="00823F05"/>
    <w:rsid w:val="00847AD9"/>
    <w:rsid w:val="008A2723"/>
    <w:rsid w:val="008A5B74"/>
    <w:rsid w:val="008B1B81"/>
    <w:rsid w:val="008D1275"/>
    <w:rsid w:val="00913326"/>
    <w:rsid w:val="0091631E"/>
    <w:rsid w:val="00933D63"/>
    <w:rsid w:val="009471F0"/>
    <w:rsid w:val="009544DF"/>
    <w:rsid w:val="009A7D54"/>
    <w:rsid w:val="009E21B5"/>
    <w:rsid w:val="00A10574"/>
    <w:rsid w:val="00A1178C"/>
    <w:rsid w:val="00A25E86"/>
    <w:rsid w:val="00A57883"/>
    <w:rsid w:val="00A670F8"/>
    <w:rsid w:val="00A71284"/>
    <w:rsid w:val="00A71D1F"/>
    <w:rsid w:val="00A74771"/>
    <w:rsid w:val="00A80730"/>
    <w:rsid w:val="00AC56B2"/>
    <w:rsid w:val="00AE6D7F"/>
    <w:rsid w:val="00B2553A"/>
    <w:rsid w:val="00B25E27"/>
    <w:rsid w:val="00B369C8"/>
    <w:rsid w:val="00B93881"/>
    <w:rsid w:val="00B941F3"/>
    <w:rsid w:val="00BA06E1"/>
    <w:rsid w:val="00BD5DD3"/>
    <w:rsid w:val="00C31252"/>
    <w:rsid w:val="00C846DC"/>
    <w:rsid w:val="00CA3235"/>
    <w:rsid w:val="00CB2C3D"/>
    <w:rsid w:val="00CC5B62"/>
    <w:rsid w:val="00CE1115"/>
    <w:rsid w:val="00CF5E8B"/>
    <w:rsid w:val="00D0564A"/>
    <w:rsid w:val="00D1213C"/>
    <w:rsid w:val="00D32787"/>
    <w:rsid w:val="00D32B11"/>
    <w:rsid w:val="00D40F75"/>
    <w:rsid w:val="00D516C3"/>
    <w:rsid w:val="00D833CD"/>
    <w:rsid w:val="00DA10A1"/>
    <w:rsid w:val="00DC3E48"/>
    <w:rsid w:val="00E005FD"/>
    <w:rsid w:val="00E27FD1"/>
    <w:rsid w:val="00E315E8"/>
    <w:rsid w:val="00E33B2D"/>
    <w:rsid w:val="00E441E2"/>
    <w:rsid w:val="00E920A4"/>
    <w:rsid w:val="00EA35B4"/>
    <w:rsid w:val="00F42B89"/>
    <w:rsid w:val="00F73BA9"/>
    <w:rsid w:val="00FE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005FD"/>
    <w:pPr>
      <w:autoSpaceDE w:val="0"/>
      <w:autoSpaceDN w:val="0"/>
      <w:adjustRightInd w:val="0"/>
      <w:spacing w:line="240" w:lineRule="auto"/>
    </w:pPr>
    <w:rPr>
      <w:rFonts w:ascii="Arial" w:hAnsi="Arial" w:cs="Arial"/>
      <w:color w:val="000000"/>
      <w:sz w:val="24"/>
      <w:szCs w:val="24"/>
      <w:lang w:val="nl-NL"/>
    </w:rPr>
  </w:style>
  <w:style w:type="paragraph" w:styleId="Ballontekst">
    <w:name w:val="Balloon Text"/>
    <w:basedOn w:val="Standaard"/>
    <w:link w:val="BallontekstChar"/>
    <w:uiPriority w:val="99"/>
    <w:semiHidden/>
    <w:unhideWhenUsed/>
    <w:rsid w:val="0061445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445B"/>
    <w:rPr>
      <w:rFonts w:ascii="Tahoma" w:hAnsi="Tahoma" w:cs="Tahoma"/>
      <w:sz w:val="16"/>
      <w:szCs w:val="16"/>
    </w:rPr>
  </w:style>
  <w:style w:type="paragraph" w:styleId="Voetnoottekst">
    <w:name w:val="footnote text"/>
    <w:basedOn w:val="Standaard"/>
    <w:link w:val="VoetnoottekstChar"/>
    <w:semiHidden/>
    <w:unhideWhenUsed/>
    <w:rsid w:val="007A6A05"/>
    <w:pPr>
      <w:spacing w:line="240" w:lineRule="auto"/>
    </w:pPr>
    <w:rPr>
      <w:sz w:val="20"/>
      <w:szCs w:val="20"/>
    </w:rPr>
  </w:style>
  <w:style w:type="character" w:customStyle="1" w:styleId="VoetnoottekstChar">
    <w:name w:val="Voetnoottekst Char"/>
    <w:basedOn w:val="Standaardalinea-lettertype"/>
    <w:link w:val="Voetnoottekst"/>
    <w:semiHidden/>
    <w:rsid w:val="007A6A05"/>
    <w:rPr>
      <w:sz w:val="20"/>
      <w:szCs w:val="20"/>
    </w:rPr>
  </w:style>
  <w:style w:type="character" w:styleId="Voetnootmarkering">
    <w:name w:val="footnote reference"/>
    <w:basedOn w:val="Standaardalinea-lettertype"/>
    <w:unhideWhenUsed/>
    <w:rsid w:val="007A6A05"/>
    <w:rPr>
      <w:vertAlign w:val="superscript"/>
    </w:rPr>
  </w:style>
  <w:style w:type="paragraph" w:styleId="Lijstalinea">
    <w:name w:val="List Paragraph"/>
    <w:basedOn w:val="Standaard"/>
    <w:uiPriority w:val="34"/>
    <w:qFormat/>
    <w:rsid w:val="007A6A05"/>
    <w:pPr>
      <w:ind w:left="720"/>
      <w:contextualSpacing/>
    </w:pPr>
  </w:style>
  <w:style w:type="character" w:styleId="Hyperlink">
    <w:name w:val="Hyperlink"/>
    <w:semiHidden/>
    <w:unhideWhenUsed/>
    <w:rsid w:val="00674FBA"/>
    <w:rPr>
      <w:color w:val="0000FF"/>
      <w:u w:val="single"/>
    </w:rPr>
  </w:style>
  <w:style w:type="paragraph" w:styleId="Bijschrift">
    <w:name w:val="caption"/>
    <w:basedOn w:val="Standaard"/>
    <w:next w:val="Standaard"/>
    <w:unhideWhenUsed/>
    <w:qFormat/>
    <w:rsid w:val="00A71284"/>
    <w:pPr>
      <w:spacing w:after="200" w:line="240" w:lineRule="auto"/>
    </w:pPr>
    <w:rPr>
      <w:rFonts w:ascii="Helvetica" w:eastAsia="Arial Unicode MS" w:hAnsi="Arial Unicode MS" w:cs="Arial Unicode MS"/>
      <w:b/>
      <w:bCs/>
      <w:color w:val="4F81BD" w:themeColor="accent1"/>
      <w:sz w:val="18"/>
      <w:szCs w:val="18"/>
      <w:lang w:val="nl-NL" w:eastAsia="nl-NL"/>
    </w:rPr>
  </w:style>
  <w:style w:type="paragraph" w:customStyle="1" w:styleId="Tabelstijl1">
    <w:name w:val="Tabelstijl 1"/>
    <w:rsid w:val="00A71284"/>
    <w:pPr>
      <w:spacing w:line="240" w:lineRule="auto"/>
    </w:pPr>
    <w:rPr>
      <w:rFonts w:ascii="Helvetica" w:eastAsia="Helvetica" w:hAnsi="Helvetica" w:cs="Helvetica"/>
      <w:b/>
      <w:bCs/>
      <w:color w:val="000000"/>
      <w:sz w:val="20"/>
      <w:szCs w:val="20"/>
      <w:lang w:val="nl-NL" w:eastAsia="nl-NL"/>
    </w:rPr>
  </w:style>
  <w:style w:type="table" w:styleId="Gemiddeldearcering1-accent1">
    <w:name w:val="Medium Shading 1 Accent 1"/>
    <w:basedOn w:val="Standaardtabel"/>
    <w:uiPriority w:val="63"/>
    <w:rsid w:val="00A71284"/>
    <w:pPr>
      <w:spacing w:line="240" w:lineRule="auto"/>
    </w:pPr>
    <w:rPr>
      <w:rFonts w:ascii="Times New Roman" w:eastAsia="Times New Roman" w:hAnsi="Times New Roman" w:cs="Times New Roman"/>
      <w:sz w:val="20"/>
      <w:szCs w:val="20"/>
      <w:lang w:val="nl-NL" w:eastAsia="nl-NL"/>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Verwijzingopmerking">
    <w:name w:val="annotation reference"/>
    <w:basedOn w:val="Standaardalinea-lettertype"/>
    <w:uiPriority w:val="99"/>
    <w:semiHidden/>
    <w:unhideWhenUsed/>
    <w:rsid w:val="00692BE6"/>
    <w:rPr>
      <w:sz w:val="16"/>
      <w:szCs w:val="16"/>
    </w:rPr>
  </w:style>
  <w:style w:type="paragraph" w:styleId="Tekstopmerking">
    <w:name w:val="annotation text"/>
    <w:basedOn w:val="Standaard"/>
    <w:link w:val="TekstopmerkingChar"/>
    <w:uiPriority w:val="99"/>
    <w:semiHidden/>
    <w:unhideWhenUsed/>
    <w:rsid w:val="00692BE6"/>
    <w:pPr>
      <w:spacing w:line="240" w:lineRule="auto"/>
    </w:pPr>
    <w:rPr>
      <w:rFonts w:ascii="Verdana" w:eastAsia="Times New Roman" w:hAnsi="Verdana" w:cs="Times New Roman"/>
      <w:sz w:val="20"/>
      <w:szCs w:val="20"/>
      <w:lang w:val="nl-NL" w:eastAsia="nl-NL"/>
    </w:rPr>
  </w:style>
  <w:style w:type="character" w:customStyle="1" w:styleId="TekstopmerkingChar">
    <w:name w:val="Tekst opmerking Char"/>
    <w:basedOn w:val="Standaardalinea-lettertype"/>
    <w:link w:val="Tekstopmerking"/>
    <w:uiPriority w:val="99"/>
    <w:semiHidden/>
    <w:rsid w:val="00692BE6"/>
    <w:rPr>
      <w:rFonts w:ascii="Verdana" w:eastAsia="Times New Roman" w:hAnsi="Verdana" w:cs="Times New Roman"/>
      <w:sz w:val="20"/>
      <w:szCs w:val="20"/>
      <w:lang w:val="nl-NL" w:eastAsia="nl-NL"/>
    </w:rPr>
  </w:style>
  <w:style w:type="table" w:customStyle="1" w:styleId="Gemiddeldearcering1-accent11">
    <w:name w:val="Gemiddelde arcering 1 - accent 11"/>
    <w:basedOn w:val="Standaardtabel"/>
    <w:next w:val="Gemiddeldearcering1-accent1"/>
    <w:uiPriority w:val="63"/>
    <w:rsid w:val="00D516C3"/>
    <w:pPr>
      <w:spacing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0146A0"/>
    <w:pPr>
      <w:spacing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ptekst">
    <w:name w:val="header"/>
    <w:basedOn w:val="Standaard"/>
    <w:link w:val="KoptekstChar"/>
    <w:uiPriority w:val="99"/>
    <w:unhideWhenUsed/>
    <w:rsid w:val="00BD5D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5DD3"/>
  </w:style>
  <w:style w:type="paragraph" w:styleId="Voettekst">
    <w:name w:val="footer"/>
    <w:basedOn w:val="Standaard"/>
    <w:link w:val="VoettekstChar"/>
    <w:uiPriority w:val="99"/>
    <w:unhideWhenUsed/>
    <w:rsid w:val="00BD5DD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5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005FD"/>
    <w:pPr>
      <w:autoSpaceDE w:val="0"/>
      <w:autoSpaceDN w:val="0"/>
      <w:adjustRightInd w:val="0"/>
      <w:spacing w:line="240" w:lineRule="auto"/>
    </w:pPr>
    <w:rPr>
      <w:rFonts w:ascii="Arial" w:hAnsi="Arial" w:cs="Arial"/>
      <w:color w:val="000000"/>
      <w:sz w:val="24"/>
      <w:szCs w:val="24"/>
      <w:lang w:val="nl-NL"/>
    </w:rPr>
  </w:style>
  <w:style w:type="paragraph" w:styleId="Ballontekst">
    <w:name w:val="Balloon Text"/>
    <w:basedOn w:val="Standaard"/>
    <w:link w:val="BallontekstChar"/>
    <w:uiPriority w:val="99"/>
    <w:semiHidden/>
    <w:unhideWhenUsed/>
    <w:rsid w:val="0061445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445B"/>
    <w:rPr>
      <w:rFonts w:ascii="Tahoma" w:hAnsi="Tahoma" w:cs="Tahoma"/>
      <w:sz w:val="16"/>
      <w:szCs w:val="16"/>
    </w:rPr>
  </w:style>
  <w:style w:type="paragraph" w:styleId="Voetnoottekst">
    <w:name w:val="footnote text"/>
    <w:basedOn w:val="Standaard"/>
    <w:link w:val="VoetnoottekstChar"/>
    <w:semiHidden/>
    <w:unhideWhenUsed/>
    <w:rsid w:val="007A6A05"/>
    <w:pPr>
      <w:spacing w:line="240" w:lineRule="auto"/>
    </w:pPr>
    <w:rPr>
      <w:sz w:val="20"/>
      <w:szCs w:val="20"/>
    </w:rPr>
  </w:style>
  <w:style w:type="character" w:customStyle="1" w:styleId="VoetnoottekstChar">
    <w:name w:val="Voetnoottekst Char"/>
    <w:basedOn w:val="Standaardalinea-lettertype"/>
    <w:link w:val="Voetnoottekst"/>
    <w:semiHidden/>
    <w:rsid w:val="007A6A05"/>
    <w:rPr>
      <w:sz w:val="20"/>
      <w:szCs w:val="20"/>
    </w:rPr>
  </w:style>
  <w:style w:type="character" w:styleId="Voetnootmarkering">
    <w:name w:val="footnote reference"/>
    <w:basedOn w:val="Standaardalinea-lettertype"/>
    <w:unhideWhenUsed/>
    <w:rsid w:val="007A6A05"/>
    <w:rPr>
      <w:vertAlign w:val="superscript"/>
    </w:rPr>
  </w:style>
  <w:style w:type="paragraph" w:styleId="Lijstalinea">
    <w:name w:val="List Paragraph"/>
    <w:basedOn w:val="Standaard"/>
    <w:uiPriority w:val="34"/>
    <w:qFormat/>
    <w:rsid w:val="007A6A05"/>
    <w:pPr>
      <w:ind w:left="720"/>
      <w:contextualSpacing/>
    </w:pPr>
  </w:style>
  <w:style w:type="character" w:styleId="Hyperlink">
    <w:name w:val="Hyperlink"/>
    <w:semiHidden/>
    <w:unhideWhenUsed/>
    <w:rsid w:val="00674FBA"/>
    <w:rPr>
      <w:color w:val="0000FF"/>
      <w:u w:val="single"/>
    </w:rPr>
  </w:style>
  <w:style w:type="paragraph" w:styleId="Bijschrift">
    <w:name w:val="caption"/>
    <w:basedOn w:val="Standaard"/>
    <w:next w:val="Standaard"/>
    <w:unhideWhenUsed/>
    <w:qFormat/>
    <w:rsid w:val="00A71284"/>
    <w:pPr>
      <w:spacing w:after="200" w:line="240" w:lineRule="auto"/>
    </w:pPr>
    <w:rPr>
      <w:rFonts w:ascii="Helvetica" w:eastAsia="Arial Unicode MS" w:hAnsi="Arial Unicode MS" w:cs="Arial Unicode MS"/>
      <w:b/>
      <w:bCs/>
      <w:color w:val="4F81BD" w:themeColor="accent1"/>
      <w:sz w:val="18"/>
      <w:szCs w:val="18"/>
      <w:lang w:val="nl-NL" w:eastAsia="nl-NL"/>
    </w:rPr>
  </w:style>
  <w:style w:type="paragraph" w:customStyle="1" w:styleId="Tabelstijl1">
    <w:name w:val="Tabelstijl 1"/>
    <w:rsid w:val="00A71284"/>
    <w:pPr>
      <w:spacing w:line="240" w:lineRule="auto"/>
    </w:pPr>
    <w:rPr>
      <w:rFonts w:ascii="Helvetica" w:eastAsia="Helvetica" w:hAnsi="Helvetica" w:cs="Helvetica"/>
      <w:b/>
      <w:bCs/>
      <w:color w:val="000000"/>
      <w:sz w:val="20"/>
      <w:szCs w:val="20"/>
      <w:lang w:val="nl-NL" w:eastAsia="nl-NL"/>
    </w:rPr>
  </w:style>
  <w:style w:type="table" w:styleId="Gemiddeldearcering1-accent1">
    <w:name w:val="Medium Shading 1 Accent 1"/>
    <w:basedOn w:val="Standaardtabel"/>
    <w:uiPriority w:val="63"/>
    <w:rsid w:val="00A71284"/>
    <w:pPr>
      <w:spacing w:line="240" w:lineRule="auto"/>
    </w:pPr>
    <w:rPr>
      <w:rFonts w:ascii="Times New Roman" w:eastAsia="Times New Roman" w:hAnsi="Times New Roman" w:cs="Times New Roman"/>
      <w:sz w:val="20"/>
      <w:szCs w:val="20"/>
      <w:lang w:val="nl-NL" w:eastAsia="nl-NL"/>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Verwijzingopmerking">
    <w:name w:val="annotation reference"/>
    <w:basedOn w:val="Standaardalinea-lettertype"/>
    <w:uiPriority w:val="99"/>
    <w:semiHidden/>
    <w:unhideWhenUsed/>
    <w:rsid w:val="00692BE6"/>
    <w:rPr>
      <w:sz w:val="16"/>
      <w:szCs w:val="16"/>
    </w:rPr>
  </w:style>
  <w:style w:type="paragraph" w:styleId="Tekstopmerking">
    <w:name w:val="annotation text"/>
    <w:basedOn w:val="Standaard"/>
    <w:link w:val="TekstopmerkingChar"/>
    <w:uiPriority w:val="99"/>
    <w:semiHidden/>
    <w:unhideWhenUsed/>
    <w:rsid w:val="00692BE6"/>
    <w:pPr>
      <w:spacing w:line="240" w:lineRule="auto"/>
    </w:pPr>
    <w:rPr>
      <w:rFonts w:ascii="Verdana" w:eastAsia="Times New Roman" w:hAnsi="Verdana" w:cs="Times New Roman"/>
      <w:sz w:val="20"/>
      <w:szCs w:val="20"/>
      <w:lang w:val="nl-NL" w:eastAsia="nl-NL"/>
    </w:rPr>
  </w:style>
  <w:style w:type="character" w:customStyle="1" w:styleId="TekstopmerkingChar">
    <w:name w:val="Tekst opmerking Char"/>
    <w:basedOn w:val="Standaardalinea-lettertype"/>
    <w:link w:val="Tekstopmerking"/>
    <w:uiPriority w:val="99"/>
    <w:semiHidden/>
    <w:rsid w:val="00692BE6"/>
    <w:rPr>
      <w:rFonts w:ascii="Verdana" w:eastAsia="Times New Roman" w:hAnsi="Verdana" w:cs="Times New Roman"/>
      <w:sz w:val="20"/>
      <w:szCs w:val="20"/>
      <w:lang w:val="nl-NL" w:eastAsia="nl-NL"/>
    </w:rPr>
  </w:style>
  <w:style w:type="table" w:customStyle="1" w:styleId="Gemiddeldearcering1-accent11">
    <w:name w:val="Gemiddelde arcering 1 - accent 11"/>
    <w:basedOn w:val="Standaardtabel"/>
    <w:next w:val="Gemiddeldearcering1-accent1"/>
    <w:uiPriority w:val="63"/>
    <w:rsid w:val="00D516C3"/>
    <w:pPr>
      <w:spacing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0146A0"/>
    <w:pPr>
      <w:spacing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ptekst">
    <w:name w:val="header"/>
    <w:basedOn w:val="Standaard"/>
    <w:link w:val="KoptekstChar"/>
    <w:uiPriority w:val="99"/>
    <w:unhideWhenUsed/>
    <w:rsid w:val="00BD5D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5DD3"/>
  </w:style>
  <w:style w:type="paragraph" w:styleId="Voettekst">
    <w:name w:val="footer"/>
    <w:basedOn w:val="Standaard"/>
    <w:link w:val="VoettekstChar"/>
    <w:uiPriority w:val="99"/>
    <w:unhideWhenUsed/>
    <w:rsid w:val="00BD5DD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9015">
      <w:bodyDiv w:val="1"/>
      <w:marLeft w:val="0"/>
      <w:marRight w:val="0"/>
      <w:marTop w:val="0"/>
      <w:marBottom w:val="0"/>
      <w:divBdr>
        <w:top w:val="none" w:sz="0" w:space="0" w:color="auto"/>
        <w:left w:val="none" w:sz="0" w:space="0" w:color="auto"/>
        <w:bottom w:val="none" w:sz="0" w:space="0" w:color="auto"/>
        <w:right w:val="none" w:sz="0" w:space="0" w:color="auto"/>
      </w:divBdr>
    </w:div>
    <w:div w:id="293142987">
      <w:bodyDiv w:val="1"/>
      <w:marLeft w:val="0"/>
      <w:marRight w:val="0"/>
      <w:marTop w:val="0"/>
      <w:marBottom w:val="0"/>
      <w:divBdr>
        <w:top w:val="none" w:sz="0" w:space="0" w:color="auto"/>
        <w:left w:val="none" w:sz="0" w:space="0" w:color="auto"/>
        <w:bottom w:val="none" w:sz="0" w:space="0" w:color="auto"/>
        <w:right w:val="none" w:sz="0" w:space="0" w:color="auto"/>
      </w:divBdr>
      <w:divsChild>
        <w:div w:id="1558054546">
          <w:marLeft w:val="0"/>
          <w:marRight w:val="0"/>
          <w:marTop w:val="0"/>
          <w:marBottom w:val="0"/>
          <w:divBdr>
            <w:top w:val="none" w:sz="0" w:space="0" w:color="auto"/>
            <w:left w:val="none" w:sz="0" w:space="0" w:color="auto"/>
            <w:bottom w:val="none" w:sz="0" w:space="0" w:color="auto"/>
            <w:right w:val="none" w:sz="0" w:space="0" w:color="auto"/>
          </w:divBdr>
          <w:divsChild>
            <w:div w:id="1813793930">
              <w:marLeft w:val="135"/>
              <w:marRight w:val="120"/>
              <w:marTop w:val="0"/>
              <w:marBottom w:val="0"/>
              <w:divBdr>
                <w:top w:val="none" w:sz="0" w:space="0" w:color="auto"/>
                <w:left w:val="none" w:sz="0" w:space="0" w:color="auto"/>
                <w:bottom w:val="none" w:sz="0" w:space="0" w:color="auto"/>
                <w:right w:val="none" w:sz="0" w:space="0" w:color="auto"/>
              </w:divBdr>
              <w:divsChild>
                <w:div w:id="285746538">
                  <w:marLeft w:val="0"/>
                  <w:marRight w:val="0"/>
                  <w:marTop w:val="0"/>
                  <w:marBottom w:val="0"/>
                  <w:divBdr>
                    <w:top w:val="none" w:sz="0" w:space="0" w:color="auto"/>
                    <w:left w:val="none" w:sz="0" w:space="0" w:color="auto"/>
                    <w:bottom w:val="none" w:sz="0" w:space="0" w:color="auto"/>
                    <w:right w:val="none" w:sz="0" w:space="0" w:color="auto"/>
                  </w:divBdr>
                  <w:divsChild>
                    <w:div w:id="1856846469">
                      <w:marLeft w:val="0"/>
                      <w:marRight w:val="0"/>
                      <w:marTop w:val="0"/>
                      <w:marBottom w:val="0"/>
                      <w:divBdr>
                        <w:top w:val="none" w:sz="0" w:space="0" w:color="auto"/>
                        <w:left w:val="none" w:sz="0" w:space="0" w:color="auto"/>
                        <w:bottom w:val="none" w:sz="0" w:space="0" w:color="auto"/>
                        <w:right w:val="none" w:sz="0" w:space="0" w:color="auto"/>
                      </w:divBdr>
                      <w:divsChild>
                        <w:div w:id="1946384158">
                          <w:marLeft w:val="0"/>
                          <w:marRight w:val="0"/>
                          <w:marTop w:val="0"/>
                          <w:marBottom w:val="0"/>
                          <w:divBdr>
                            <w:top w:val="none" w:sz="0" w:space="0" w:color="auto"/>
                            <w:left w:val="none" w:sz="0" w:space="0" w:color="auto"/>
                            <w:bottom w:val="none" w:sz="0" w:space="0" w:color="auto"/>
                            <w:right w:val="none" w:sz="0" w:space="0" w:color="auto"/>
                          </w:divBdr>
                          <w:divsChild>
                            <w:div w:id="587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030555">
      <w:bodyDiv w:val="1"/>
      <w:marLeft w:val="0"/>
      <w:marRight w:val="0"/>
      <w:marTop w:val="0"/>
      <w:marBottom w:val="0"/>
      <w:divBdr>
        <w:top w:val="none" w:sz="0" w:space="0" w:color="auto"/>
        <w:left w:val="none" w:sz="0" w:space="0" w:color="auto"/>
        <w:bottom w:val="none" w:sz="0" w:space="0" w:color="auto"/>
        <w:right w:val="none" w:sz="0" w:space="0" w:color="auto"/>
      </w:divBdr>
    </w:div>
    <w:div w:id="840390973">
      <w:bodyDiv w:val="1"/>
      <w:marLeft w:val="0"/>
      <w:marRight w:val="0"/>
      <w:marTop w:val="0"/>
      <w:marBottom w:val="0"/>
      <w:divBdr>
        <w:top w:val="none" w:sz="0" w:space="0" w:color="auto"/>
        <w:left w:val="none" w:sz="0" w:space="0" w:color="auto"/>
        <w:bottom w:val="none" w:sz="0" w:space="0" w:color="auto"/>
        <w:right w:val="none" w:sz="0" w:space="0" w:color="auto"/>
      </w:divBdr>
    </w:div>
    <w:div w:id="867645606">
      <w:bodyDiv w:val="1"/>
      <w:marLeft w:val="0"/>
      <w:marRight w:val="0"/>
      <w:marTop w:val="0"/>
      <w:marBottom w:val="0"/>
      <w:divBdr>
        <w:top w:val="none" w:sz="0" w:space="0" w:color="auto"/>
        <w:left w:val="none" w:sz="0" w:space="0" w:color="auto"/>
        <w:bottom w:val="none" w:sz="0" w:space="0" w:color="auto"/>
        <w:right w:val="none" w:sz="0" w:space="0" w:color="auto"/>
      </w:divBdr>
    </w:div>
    <w:div w:id="1119757588">
      <w:bodyDiv w:val="1"/>
      <w:marLeft w:val="0"/>
      <w:marRight w:val="0"/>
      <w:marTop w:val="0"/>
      <w:marBottom w:val="0"/>
      <w:divBdr>
        <w:top w:val="none" w:sz="0" w:space="0" w:color="auto"/>
        <w:left w:val="none" w:sz="0" w:space="0" w:color="auto"/>
        <w:bottom w:val="none" w:sz="0" w:space="0" w:color="auto"/>
        <w:right w:val="none" w:sz="0" w:space="0" w:color="auto"/>
      </w:divBdr>
    </w:div>
    <w:div w:id="1230071710">
      <w:bodyDiv w:val="1"/>
      <w:marLeft w:val="0"/>
      <w:marRight w:val="0"/>
      <w:marTop w:val="0"/>
      <w:marBottom w:val="0"/>
      <w:divBdr>
        <w:top w:val="none" w:sz="0" w:space="0" w:color="auto"/>
        <w:left w:val="none" w:sz="0" w:space="0" w:color="auto"/>
        <w:bottom w:val="none" w:sz="0" w:space="0" w:color="auto"/>
        <w:right w:val="none" w:sz="0" w:space="0" w:color="auto"/>
      </w:divBdr>
    </w:div>
    <w:div w:id="17497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1468</ap:Words>
  <ap:Characters>8077</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2015-06-15T08:21:00.0000000Z</lastPrinted>
  <dcterms:created xsi:type="dcterms:W3CDTF">2015-06-15T14:57:00.0000000Z</dcterms:created>
  <dcterms:modified xsi:type="dcterms:W3CDTF">2015-06-15T14:57:00.0000000Z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0x01010082F5AEE02AFCC642AAB2EFFA5CF1818A</vt:lpwstr>
  </property>
</Properties>
</file>