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B74A5" w:rsidR="00D309B7" w:rsidP="00AF4FE3" w:rsidRDefault="0074448D">
      <w:pPr>
        <w:spacing w:after="0" w:line="240" w:lineRule="atLeast"/>
        <w:rPr>
          <w:rFonts w:cs="Arial"/>
          <w:b/>
          <w:sz w:val="20"/>
          <w:szCs w:val="20"/>
          <w:lang w:val="nl-NL"/>
        </w:rPr>
      </w:pPr>
      <w:r w:rsidRPr="00CB74A5">
        <w:rPr>
          <w:rFonts w:cs="Arial"/>
          <w:b/>
          <w:sz w:val="20"/>
          <w:szCs w:val="20"/>
          <w:lang w:val="nl-NL"/>
        </w:rPr>
        <w:t>Verdrag over de Benelux Interparlementaire Assemblee</w:t>
      </w:r>
      <w:r w:rsidR="00AD450E">
        <w:rPr>
          <w:rFonts w:cs="Arial"/>
          <w:b/>
          <w:sz w:val="20"/>
          <w:szCs w:val="20"/>
          <w:lang w:val="nl-NL"/>
        </w:rPr>
        <w:t>; Brussel</w:t>
      </w:r>
      <w:proofErr w:type="gramStart"/>
      <w:r w:rsidR="00AD450E">
        <w:rPr>
          <w:rFonts w:cs="Arial"/>
          <w:b/>
          <w:sz w:val="20"/>
          <w:szCs w:val="20"/>
          <w:lang w:val="nl-NL"/>
        </w:rPr>
        <w:t>,</w:t>
      </w:r>
      <w:r w:rsidR="00395D46">
        <w:rPr>
          <w:rFonts w:cs="Arial"/>
          <w:b/>
          <w:sz w:val="20"/>
          <w:szCs w:val="20"/>
          <w:lang w:val="nl-NL"/>
        </w:rPr>
        <w:br/>
      </w:r>
      <w:proofErr w:type="gramEnd"/>
      <w:r w:rsidR="00395D46">
        <w:rPr>
          <w:rFonts w:cs="Arial"/>
          <w:b/>
          <w:sz w:val="20"/>
          <w:szCs w:val="20"/>
          <w:lang w:val="nl-NL"/>
        </w:rPr>
        <w:t xml:space="preserve">20 januari 2015 </w:t>
      </w:r>
      <w:r w:rsidR="00E5545E">
        <w:rPr>
          <w:rFonts w:cs="Arial"/>
          <w:b/>
          <w:sz w:val="20"/>
          <w:szCs w:val="20"/>
          <w:lang w:val="nl-NL"/>
        </w:rPr>
        <w:t>(Trb. 20</w:t>
      </w:r>
      <w:r w:rsidR="00AD450E">
        <w:rPr>
          <w:rFonts w:cs="Arial"/>
          <w:b/>
          <w:sz w:val="20"/>
          <w:szCs w:val="20"/>
          <w:lang w:val="nl-NL"/>
        </w:rPr>
        <w:t>15</w:t>
      </w:r>
      <w:r w:rsidRPr="00CB74A5" w:rsidR="0069078A">
        <w:rPr>
          <w:rFonts w:cs="Arial"/>
          <w:b/>
          <w:sz w:val="20"/>
          <w:szCs w:val="20"/>
          <w:lang w:val="nl-NL"/>
        </w:rPr>
        <w:t xml:space="preserve">, </w:t>
      </w:r>
      <w:r w:rsidR="00072F2C">
        <w:rPr>
          <w:rFonts w:cs="Arial"/>
          <w:b/>
          <w:sz w:val="20"/>
          <w:szCs w:val="20"/>
          <w:lang w:val="nl-NL"/>
        </w:rPr>
        <w:t>23</w:t>
      </w:r>
      <w:r w:rsidRPr="00CB74A5" w:rsidR="0069078A">
        <w:rPr>
          <w:rFonts w:cs="Arial"/>
          <w:b/>
          <w:sz w:val="20"/>
          <w:szCs w:val="20"/>
          <w:lang w:val="nl-NL"/>
        </w:rPr>
        <w:t>)</w:t>
      </w:r>
    </w:p>
    <w:p w:rsidRPr="00CB74A5" w:rsidR="00AF4FE3" w:rsidP="00AF4FE3" w:rsidRDefault="00AF4FE3">
      <w:pPr>
        <w:spacing w:after="0" w:line="240" w:lineRule="atLeast"/>
        <w:rPr>
          <w:rFonts w:cs="Arial"/>
          <w:b/>
          <w:sz w:val="20"/>
          <w:szCs w:val="20"/>
          <w:lang w:val="nl-NL"/>
        </w:rPr>
      </w:pPr>
    </w:p>
    <w:p w:rsidR="00CD7DE0" w:rsidP="00CA2A85" w:rsidRDefault="00CD7DE0">
      <w:pPr>
        <w:spacing w:after="0" w:line="240" w:lineRule="atLeast"/>
        <w:rPr>
          <w:rFonts w:cs="Arial"/>
          <w:b/>
          <w:sz w:val="20"/>
          <w:szCs w:val="20"/>
          <w:lang w:val="nl-NL"/>
        </w:rPr>
      </w:pPr>
    </w:p>
    <w:p w:rsidRPr="00CB74A5" w:rsidR="00AF4FE3" w:rsidP="00CA2A85" w:rsidRDefault="00AD450E">
      <w:pPr>
        <w:spacing w:after="0" w:line="240" w:lineRule="atLeast"/>
        <w:rPr>
          <w:rFonts w:cs="Arial"/>
          <w:b/>
          <w:sz w:val="20"/>
          <w:szCs w:val="20"/>
          <w:lang w:val="nl-NL"/>
        </w:rPr>
      </w:pPr>
      <w:r>
        <w:rPr>
          <w:rFonts w:cs="Arial"/>
          <w:b/>
          <w:sz w:val="20"/>
          <w:szCs w:val="20"/>
          <w:lang w:val="nl-NL"/>
        </w:rPr>
        <w:t>TOELICHTENDE NOTA</w:t>
      </w:r>
    </w:p>
    <w:p w:rsidRPr="00CB74A5" w:rsidR="00AF4FE3" w:rsidP="00CA2A85" w:rsidRDefault="00AF4FE3">
      <w:pPr>
        <w:spacing w:after="0" w:line="240" w:lineRule="atLeast"/>
        <w:rPr>
          <w:rFonts w:cs="Arial"/>
          <w:b/>
          <w:sz w:val="20"/>
          <w:szCs w:val="20"/>
          <w:lang w:val="nl-NL"/>
        </w:rPr>
      </w:pPr>
    </w:p>
    <w:p w:rsidRPr="00CB74A5" w:rsidR="00FB551E" w:rsidP="00CA2A85" w:rsidRDefault="0069078A">
      <w:pPr>
        <w:pStyle w:val="ListParagraph"/>
        <w:numPr>
          <w:ilvl w:val="0"/>
          <w:numId w:val="10"/>
        </w:numPr>
        <w:tabs>
          <w:tab w:val="left" w:pos="426"/>
        </w:tabs>
        <w:spacing w:after="0" w:line="240" w:lineRule="atLeast"/>
        <w:rPr>
          <w:rFonts w:cs="Arial"/>
          <w:i/>
          <w:sz w:val="20"/>
          <w:szCs w:val="20"/>
          <w:u w:val="single"/>
          <w:lang w:val="nl-NL"/>
        </w:rPr>
      </w:pPr>
      <w:r w:rsidRPr="00CB74A5">
        <w:rPr>
          <w:rFonts w:cs="Arial"/>
          <w:i/>
          <w:sz w:val="20"/>
          <w:szCs w:val="20"/>
          <w:u w:val="single"/>
          <w:lang w:val="nl-NL"/>
        </w:rPr>
        <w:t>Inleiding</w:t>
      </w:r>
    </w:p>
    <w:p w:rsidRPr="00CB74A5" w:rsidR="009514D7" w:rsidP="00CA2A85" w:rsidRDefault="001C604B">
      <w:pPr>
        <w:tabs>
          <w:tab w:val="left" w:pos="426"/>
        </w:tabs>
        <w:spacing w:after="0" w:line="240" w:lineRule="atLeast"/>
        <w:rPr>
          <w:sz w:val="20"/>
          <w:szCs w:val="20"/>
          <w:lang w:val="nl-NL"/>
        </w:rPr>
      </w:pPr>
      <w:r w:rsidRPr="00CB74A5">
        <w:rPr>
          <w:sz w:val="20"/>
          <w:szCs w:val="20"/>
          <w:lang w:val="nl-NL"/>
        </w:rPr>
        <w:t xml:space="preserve">Op 5 november 1955 kwam te Brussel tot stand de Overeenkomst tussen het Koninkrijk der Nederlanden, het Koninkrijk België en het Groothertogdom Luxemburg </w:t>
      </w:r>
      <w:proofErr w:type="gramStart"/>
      <w:r w:rsidRPr="00CB74A5">
        <w:rPr>
          <w:sz w:val="20"/>
          <w:szCs w:val="20"/>
          <w:lang w:val="nl-NL"/>
        </w:rPr>
        <w:t>nopens</w:t>
      </w:r>
      <w:proofErr w:type="gramEnd"/>
      <w:r w:rsidRPr="00CB74A5">
        <w:rPr>
          <w:sz w:val="20"/>
          <w:szCs w:val="20"/>
          <w:lang w:val="nl-NL"/>
        </w:rPr>
        <w:t xml:space="preserve"> de instelling van een Raadgevende Interparlementaire Beneluxraad (Trb. 1955, 159)</w:t>
      </w:r>
      <w:r w:rsidRPr="00CB74A5" w:rsidR="00EB72BE">
        <w:rPr>
          <w:sz w:val="20"/>
          <w:szCs w:val="20"/>
          <w:lang w:val="nl-NL"/>
        </w:rPr>
        <w:t xml:space="preserve"> (hierna: de Overeenkomst</w:t>
      </w:r>
      <w:r w:rsidRPr="00CB74A5" w:rsidR="001B17B2">
        <w:rPr>
          <w:sz w:val="20"/>
          <w:szCs w:val="20"/>
          <w:lang w:val="nl-NL"/>
        </w:rPr>
        <w:t xml:space="preserve"> uit 1955</w:t>
      </w:r>
      <w:r w:rsidRPr="00CB74A5" w:rsidR="00EB72BE">
        <w:rPr>
          <w:sz w:val="20"/>
          <w:szCs w:val="20"/>
          <w:lang w:val="nl-NL"/>
        </w:rPr>
        <w:t>)</w:t>
      </w:r>
      <w:r w:rsidRPr="00CB74A5">
        <w:rPr>
          <w:sz w:val="20"/>
          <w:szCs w:val="20"/>
          <w:lang w:val="nl-NL"/>
        </w:rPr>
        <w:t xml:space="preserve">. </w:t>
      </w:r>
      <w:r w:rsidRPr="00CB74A5" w:rsidR="002A6F79">
        <w:rPr>
          <w:sz w:val="20"/>
          <w:szCs w:val="20"/>
          <w:lang w:val="nl-NL"/>
        </w:rPr>
        <w:t xml:space="preserve">In </w:t>
      </w:r>
      <w:r w:rsidRPr="00CB74A5" w:rsidR="00F25FA5">
        <w:rPr>
          <w:sz w:val="20"/>
          <w:szCs w:val="20"/>
          <w:lang w:val="nl-NL"/>
        </w:rPr>
        <w:t>de</w:t>
      </w:r>
      <w:r w:rsidRPr="00CB74A5" w:rsidR="002A6F79">
        <w:rPr>
          <w:sz w:val="20"/>
          <w:szCs w:val="20"/>
          <w:lang w:val="nl-NL"/>
        </w:rPr>
        <w:t xml:space="preserve"> </w:t>
      </w:r>
      <w:r w:rsidR="00072F2C">
        <w:rPr>
          <w:sz w:val="20"/>
          <w:szCs w:val="20"/>
          <w:lang w:val="nl-NL"/>
        </w:rPr>
        <w:t xml:space="preserve">parlementaire </w:t>
      </w:r>
      <w:r w:rsidRPr="00CB74A5" w:rsidR="002A6F79">
        <w:rPr>
          <w:sz w:val="20"/>
          <w:szCs w:val="20"/>
          <w:lang w:val="nl-NL"/>
        </w:rPr>
        <w:t>goe</w:t>
      </w:r>
      <w:r w:rsidRPr="00CB74A5" w:rsidR="00F25FA5">
        <w:rPr>
          <w:sz w:val="20"/>
          <w:szCs w:val="20"/>
          <w:lang w:val="nl-NL"/>
        </w:rPr>
        <w:t>dkeuring</w:t>
      </w:r>
      <w:r w:rsidRPr="00CB74A5" w:rsidR="002A6F79">
        <w:rPr>
          <w:sz w:val="20"/>
          <w:szCs w:val="20"/>
          <w:lang w:val="nl-NL"/>
        </w:rPr>
        <w:t xml:space="preserve">sstukken </w:t>
      </w:r>
      <w:r w:rsidRPr="00CB74A5" w:rsidR="00072F2C">
        <w:rPr>
          <w:sz w:val="20"/>
          <w:szCs w:val="20"/>
          <w:lang w:val="nl-NL"/>
        </w:rPr>
        <w:t>(zie Kamerstukken II 1955/56, 4202, nr. 3)</w:t>
      </w:r>
      <w:r w:rsidR="00072F2C">
        <w:rPr>
          <w:sz w:val="20"/>
          <w:szCs w:val="20"/>
          <w:lang w:val="nl-NL"/>
        </w:rPr>
        <w:t xml:space="preserve"> </w:t>
      </w:r>
      <w:r w:rsidRPr="00CB74A5" w:rsidR="00F25FA5">
        <w:rPr>
          <w:sz w:val="20"/>
          <w:szCs w:val="20"/>
          <w:lang w:val="nl-NL"/>
        </w:rPr>
        <w:t xml:space="preserve">werd over </w:t>
      </w:r>
      <w:r w:rsidRPr="00CB74A5" w:rsidR="00D33055">
        <w:rPr>
          <w:sz w:val="20"/>
          <w:szCs w:val="20"/>
          <w:lang w:val="nl-NL"/>
        </w:rPr>
        <w:t xml:space="preserve">de Beneluxraad </w:t>
      </w:r>
      <w:r w:rsidRPr="00CB74A5" w:rsidR="00610590">
        <w:rPr>
          <w:sz w:val="20"/>
          <w:szCs w:val="20"/>
          <w:lang w:val="nl-NL"/>
        </w:rPr>
        <w:t xml:space="preserve">gemeld </w:t>
      </w:r>
      <w:r w:rsidRPr="00CB74A5" w:rsidR="00D33055">
        <w:rPr>
          <w:sz w:val="20"/>
          <w:szCs w:val="20"/>
          <w:lang w:val="nl-NL"/>
        </w:rPr>
        <w:t xml:space="preserve">dat </w:t>
      </w:r>
      <w:r w:rsidRPr="00CB74A5" w:rsidR="00BB2675">
        <w:rPr>
          <w:sz w:val="20"/>
          <w:szCs w:val="20"/>
          <w:lang w:val="nl-NL"/>
        </w:rPr>
        <w:t xml:space="preserve">het proces van </w:t>
      </w:r>
      <w:r w:rsidRPr="00CB74A5" w:rsidR="00713945">
        <w:rPr>
          <w:sz w:val="20"/>
          <w:szCs w:val="20"/>
          <w:lang w:val="nl-NL"/>
        </w:rPr>
        <w:t>eenwording</w:t>
      </w:r>
      <w:r w:rsidRPr="00CB74A5" w:rsidR="00BB2675">
        <w:rPr>
          <w:sz w:val="20"/>
          <w:szCs w:val="20"/>
          <w:lang w:val="nl-NL"/>
        </w:rPr>
        <w:t>, dat zich in de betrekkingen tussen de drie Benelux</w:t>
      </w:r>
      <w:r w:rsidRPr="00CB74A5" w:rsidR="009514D7">
        <w:rPr>
          <w:sz w:val="20"/>
          <w:szCs w:val="20"/>
          <w:lang w:val="nl-NL"/>
        </w:rPr>
        <w:t>-</w:t>
      </w:r>
      <w:r w:rsidRPr="00CB74A5" w:rsidR="00BB2675">
        <w:rPr>
          <w:sz w:val="20"/>
          <w:szCs w:val="20"/>
          <w:lang w:val="nl-NL"/>
        </w:rPr>
        <w:t xml:space="preserve">landen op verschillende terreinen afspeelt, </w:t>
      </w:r>
      <w:proofErr w:type="gramStart"/>
      <w:r w:rsidRPr="00CB74A5" w:rsidR="00BB2675">
        <w:rPr>
          <w:sz w:val="20"/>
          <w:szCs w:val="20"/>
          <w:lang w:val="nl-NL"/>
        </w:rPr>
        <w:t>reeds</w:t>
      </w:r>
      <w:proofErr w:type="gramEnd"/>
      <w:r w:rsidRPr="00CB74A5" w:rsidR="00BB2675">
        <w:rPr>
          <w:sz w:val="20"/>
          <w:szCs w:val="20"/>
          <w:lang w:val="nl-NL"/>
        </w:rPr>
        <w:t xml:space="preserve"> heeft geleid tot een intensieve samenwerking tussen de betrokken </w:t>
      </w:r>
      <w:r w:rsidRPr="00CB74A5" w:rsidR="00610590">
        <w:rPr>
          <w:sz w:val="20"/>
          <w:szCs w:val="20"/>
          <w:lang w:val="nl-NL"/>
        </w:rPr>
        <w:t xml:space="preserve">Nederlandse, Belgische en Luxemburgse </w:t>
      </w:r>
      <w:r w:rsidRPr="00CB74A5" w:rsidR="00BB2675">
        <w:rPr>
          <w:sz w:val="20"/>
          <w:szCs w:val="20"/>
          <w:lang w:val="nl-NL"/>
        </w:rPr>
        <w:t>regeringen. Het was dan ook wenselijk over te gaan tot een instelling van de parlementaire tegenhanger van die samenwerking en de Parlementen te voorzien van een gemeenschappelijk forum in Beneluxverband.</w:t>
      </w:r>
      <w:r w:rsidRPr="00CB74A5" w:rsidR="006A54F0">
        <w:rPr>
          <w:sz w:val="20"/>
          <w:szCs w:val="20"/>
          <w:lang w:val="nl-NL"/>
        </w:rPr>
        <w:t xml:space="preserve"> </w:t>
      </w:r>
    </w:p>
    <w:p w:rsidRPr="00CB74A5" w:rsidR="0007006F" w:rsidP="0007006F" w:rsidRDefault="0007006F">
      <w:pPr>
        <w:tabs>
          <w:tab w:val="left" w:pos="426"/>
        </w:tabs>
        <w:spacing w:after="0" w:line="240" w:lineRule="atLeast"/>
        <w:rPr>
          <w:sz w:val="20"/>
          <w:szCs w:val="20"/>
          <w:lang w:val="nl-NL"/>
        </w:rPr>
      </w:pPr>
    </w:p>
    <w:p w:rsidRPr="00CB74A5" w:rsidR="009B2DFE" w:rsidP="0007006F" w:rsidRDefault="00610590">
      <w:pPr>
        <w:tabs>
          <w:tab w:val="left" w:pos="426"/>
        </w:tabs>
        <w:spacing w:after="0" w:line="240" w:lineRule="atLeast"/>
        <w:rPr>
          <w:sz w:val="20"/>
          <w:szCs w:val="20"/>
          <w:lang w:val="nl-NL"/>
        </w:rPr>
      </w:pPr>
      <w:r w:rsidRPr="00CB74A5">
        <w:rPr>
          <w:sz w:val="20"/>
          <w:szCs w:val="20"/>
          <w:lang w:val="nl-NL"/>
        </w:rPr>
        <w:t>De Overeenkomst</w:t>
      </w:r>
      <w:r w:rsidRPr="00CB74A5" w:rsidR="001B17B2">
        <w:rPr>
          <w:sz w:val="20"/>
          <w:szCs w:val="20"/>
          <w:lang w:val="nl-NL"/>
        </w:rPr>
        <w:t xml:space="preserve"> uit 1955</w:t>
      </w:r>
      <w:r w:rsidRPr="00CB74A5">
        <w:rPr>
          <w:sz w:val="20"/>
          <w:szCs w:val="20"/>
          <w:lang w:val="nl-NL"/>
        </w:rPr>
        <w:t xml:space="preserve"> </w:t>
      </w:r>
      <w:r w:rsidRPr="00CB74A5" w:rsidR="00F25FA5">
        <w:rPr>
          <w:sz w:val="20"/>
          <w:szCs w:val="20"/>
          <w:lang w:val="nl-NL"/>
        </w:rPr>
        <w:t>regelt de samenstelling, de bevoegdheid en de werkwijze van de Raadgevende Interparlementaire Beneluxraad</w:t>
      </w:r>
      <w:r w:rsidRPr="00CB74A5" w:rsidR="004208FF">
        <w:rPr>
          <w:sz w:val="20"/>
          <w:szCs w:val="20"/>
          <w:lang w:val="nl-NL"/>
        </w:rPr>
        <w:t xml:space="preserve"> (hierna: </w:t>
      </w:r>
      <w:r w:rsidRPr="00CB74A5" w:rsidR="00072F2C">
        <w:rPr>
          <w:sz w:val="20"/>
          <w:szCs w:val="20"/>
          <w:lang w:val="nl-NL"/>
        </w:rPr>
        <w:t>I</w:t>
      </w:r>
      <w:r w:rsidR="00072F2C">
        <w:rPr>
          <w:sz w:val="20"/>
          <w:szCs w:val="20"/>
          <w:lang w:val="nl-NL"/>
        </w:rPr>
        <w:t>B</w:t>
      </w:r>
      <w:r w:rsidRPr="00CB74A5" w:rsidR="00072F2C">
        <w:rPr>
          <w:sz w:val="20"/>
          <w:szCs w:val="20"/>
          <w:lang w:val="nl-NL"/>
        </w:rPr>
        <w:t>R</w:t>
      </w:r>
      <w:r w:rsidRPr="00CB74A5" w:rsidR="004208FF">
        <w:rPr>
          <w:sz w:val="20"/>
          <w:szCs w:val="20"/>
          <w:lang w:val="nl-NL"/>
        </w:rPr>
        <w:t>)</w:t>
      </w:r>
      <w:r w:rsidRPr="00CB74A5" w:rsidR="00F25FA5">
        <w:rPr>
          <w:sz w:val="20"/>
          <w:szCs w:val="20"/>
          <w:lang w:val="nl-NL"/>
        </w:rPr>
        <w:t xml:space="preserve">. Het doel is </w:t>
      </w:r>
      <w:r w:rsidRPr="00CB74A5" w:rsidR="009B2DFE">
        <w:rPr>
          <w:sz w:val="20"/>
          <w:szCs w:val="20"/>
          <w:lang w:val="nl-NL"/>
        </w:rPr>
        <w:t xml:space="preserve">het verstevigen van de bestaande banden tussen de Benelux-landen en </w:t>
      </w:r>
      <w:r w:rsidRPr="00CB74A5" w:rsidR="00D33055">
        <w:rPr>
          <w:sz w:val="20"/>
          <w:szCs w:val="20"/>
          <w:lang w:val="nl-NL"/>
        </w:rPr>
        <w:t xml:space="preserve">het </w:t>
      </w:r>
      <w:r w:rsidRPr="00CB74A5" w:rsidR="009B2DFE">
        <w:rPr>
          <w:sz w:val="20"/>
          <w:szCs w:val="20"/>
          <w:lang w:val="nl-NL"/>
        </w:rPr>
        <w:t xml:space="preserve">daartoe tot stand brengen </w:t>
      </w:r>
      <w:r w:rsidRPr="00CB74A5" w:rsidR="00D33055">
        <w:rPr>
          <w:sz w:val="20"/>
          <w:szCs w:val="20"/>
          <w:lang w:val="nl-NL"/>
        </w:rPr>
        <w:t xml:space="preserve">van </w:t>
      </w:r>
      <w:r w:rsidRPr="00CB74A5" w:rsidR="009B2DFE">
        <w:rPr>
          <w:sz w:val="20"/>
          <w:szCs w:val="20"/>
          <w:lang w:val="nl-NL"/>
        </w:rPr>
        <w:t>een geregelde samenwerk</w:t>
      </w:r>
      <w:r w:rsidRPr="00CB74A5" w:rsidR="00F25FA5">
        <w:rPr>
          <w:sz w:val="20"/>
          <w:szCs w:val="20"/>
          <w:lang w:val="nl-NL"/>
        </w:rPr>
        <w:t xml:space="preserve">ing tussen de drie </w:t>
      </w:r>
      <w:r w:rsidR="00C1625A">
        <w:rPr>
          <w:sz w:val="20"/>
          <w:szCs w:val="20"/>
          <w:lang w:val="nl-NL"/>
        </w:rPr>
        <w:t>p</w:t>
      </w:r>
      <w:r w:rsidRPr="00CB74A5" w:rsidR="009514D7">
        <w:rPr>
          <w:sz w:val="20"/>
          <w:szCs w:val="20"/>
          <w:lang w:val="nl-NL"/>
        </w:rPr>
        <w:t>arlementen</w:t>
      </w:r>
      <w:r w:rsidRPr="00CB74A5" w:rsidR="00F25FA5">
        <w:rPr>
          <w:sz w:val="20"/>
          <w:szCs w:val="20"/>
          <w:lang w:val="nl-NL"/>
        </w:rPr>
        <w:t>.</w:t>
      </w:r>
      <w:r w:rsidRPr="00CB74A5">
        <w:rPr>
          <w:sz w:val="20"/>
          <w:szCs w:val="20"/>
          <w:lang w:val="nl-NL"/>
        </w:rPr>
        <w:t xml:space="preserve"> </w:t>
      </w:r>
    </w:p>
    <w:p w:rsidRPr="00CB74A5" w:rsidR="0007006F" w:rsidP="0007006F" w:rsidRDefault="0007006F">
      <w:pPr>
        <w:tabs>
          <w:tab w:val="left" w:pos="426"/>
        </w:tabs>
        <w:spacing w:after="0" w:line="240" w:lineRule="atLeast"/>
        <w:rPr>
          <w:sz w:val="20"/>
          <w:szCs w:val="20"/>
          <w:lang w:val="nl-NL"/>
        </w:rPr>
      </w:pPr>
    </w:p>
    <w:p w:rsidRPr="00CB74A5" w:rsidR="0007006F" w:rsidP="0007006F" w:rsidRDefault="00395D46">
      <w:pPr>
        <w:tabs>
          <w:tab w:val="left" w:pos="426"/>
        </w:tabs>
        <w:spacing w:after="0" w:line="240" w:lineRule="atLeast"/>
        <w:rPr>
          <w:sz w:val="20"/>
          <w:szCs w:val="20"/>
          <w:lang w:val="nl-NL"/>
        </w:rPr>
      </w:pPr>
      <w:r>
        <w:rPr>
          <w:sz w:val="20"/>
          <w:szCs w:val="20"/>
          <w:lang w:val="nl-NL"/>
        </w:rPr>
        <w:t xml:space="preserve">De thans voorliggende goedkeuring betreft die met betrekking tot het op 20 januari 2015 </w:t>
      </w:r>
      <w:r w:rsidRPr="00CB74A5" w:rsidR="00FB551E">
        <w:rPr>
          <w:sz w:val="20"/>
          <w:szCs w:val="20"/>
          <w:lang w:val="nl-NL"/>
        </w:rPr>
        <w:t xml:space="preserve">tot stand gekomen Verdrag over de Benelux Interparlementaire Assemblee (hierna: het Verdrag). </w:t>
      </w:r>
      <w:r w:rsidRPr="00CB74A5">
        <w:rPr>
          <w:sz w:val="20"/>
          <w:szCs w:val="20"/>
          <w:lang w:val="nl-NL"/>
        </w:rPr>
        <w:t>Bij inwerkingtreding zal het Verdrag de Overeenkomst uit 1955 vervangen (zie artikel 16 van het Verdrag).</w:t>
      </w:r>
      <w:r>
        <w:rPr>
          <w:sz w:val="20"/>
          <w:szCs w:val="20"/>
          <w:lang w:val="nl-NL"/>
        </w:rPr>
        <w:t xml:space="preserve"> </w:t>
      </w:r>
      <w:r w:rsidR="00AA3C5E">
        <w:rPr>
          <w:sz w:val="20"/>
          <w:szCs w:val="20"/>
          <w:lang w:val="nl-NL"/>
        </w:rPr>
        <w:t>H</w:t>
      </w:r>
      <w:r w:rsidRPr="00CB74A5" w:rsidR="00FB551E">
        <w:rPr>
          <w:sz w:val="20"/>
          <w:szCs w:val="20"/>
          <w:lang w:val="nl-NL"/>
        </w:rPr>
        <w:t xml:space="preserve">et Verdrag </w:t>
      </w:r>
      <w:r w:rsidR="00AA3C5E">
        <w:rPr>
          <w:sz w:val="20"/>
          <w:szCs w:val="20"/>
          <w:lang w:val="nl-NL"/>
        </w:rPr>
        <w:t xml:space="preserve">wordt </w:t>
      </w:r>
      <w:r w:rsidRPr="00CB74A5" w:rsidR="00FB551E">
        <w:rPr>
          <w:sz w:val="20"/>
          <w:szCs w:val="20"/>
          <w:lang w:val="nl-NL"/>
        </w:rPr>
        <w:t xml:space="preserve">uitsluitend </w:t>
      </w:r>
      <w:r w:rsidRPr="00CB74A5" w:rsidR="00EB72BE">
        <w:rPr>
          <w:sz w:val="20"/>
          <w:szCs w:val="20"/>
          <w:lang w:val="nl-NL"/>
        </w:rPr>
        <w:t xml:space="preserve">voor </w:t>
      </w:r>
      <w:r w:rsidRPr="00CB74A5" w:rsidR="00FB551E">
        <w:rPr>
          <w:sz w:val="20"/>
          <w:szCs w:val="20"/>
          <w:lang w:val="nl-NL"/>
        </w:rPr>
        <w:t>het Europese deel van Nederland</w:t>
      </w:r>
      <w:r w:rsidRPr="00CB74A5" w:rsidR="00EB72BE">
        <w:rPr>
          <w:sz w:val="20"/>
          <w:szCs w:val="20"/>
          <w:lang w:val="nl-NL"/>
        </w:rPr>
        <w:t xml:space="preserve"> goedgekeurd</w:t>
      </w:r>
      <w:r w:rsidRPr="00CB74A5" w:rsidR="00FB551E">
        <w:rPr>
          <w:sz w:val="20"/>
          <w:szCs w:val="20"/>
          <w:lang w:val="nl-NL"/>
        </w:rPr>
        <w:t>.</w:t>
      </w:r>
      <w:r w:rsidRPr="00CB74A5" w:rsidR="00EB72BE">
        <w:rPr>
          <w:sz w:val="20"/>
          <w:szCs w:val="20"/>
          <w:lang w:val="nl-NL"/>
        </w:rPr>
        <w:t xml:space="preserve"> </w:t>
      </w:r>
    </w:p>
    <w:p w:rsidRPr="00CB74A5" w:rsidR="009B13D5" w:rsidP="0007006F" w:rsidRDefault="009B13D5">
      <w:pPr>
        <w:tabs>
          <w:tab w:val="left" w:pos="426"/>
        </w:tabs>
        <w:spacing w:after="0" w:line="240" w:lineRule="atLeast"/>
        <w:rPr>
          <w:sz w:val="20"/>
          <w:szCs w:val="20"/>
          <w:lang w:val="nl-NL"/>
        </w:rPr>
      </w:pPr>
    </w:p>
    <w:p w:rsidRPr="00CB74A5" w:rsidR="0007006F" w:rsidP="00CA2A85" w:rsidRDefault="00DA597F">
      <w:pPr>
        <w:pStyle w:val="ListParagraph"/>
        <w:numPr>
          <w:ilvl w:val="0"/>
          <w:numId w:val="10"/>
        </w:numPr>
        <w:tabs>
          <w:tab w:val="left" w:pos="426"/>
        </w:tabs>
        <w:spacing w:after="0" w:line="240" w:lineRule="atLeast"/>
        <w:rPr>
          <w:i/>
          <w:sz w:val="20"/>
          <w:szCs w:val="20"/>
          <w:u w:val="single"/>
          <w:lang w:val="nl-NL"/>
        </w:rPr>
      </w:pPr>
      <w:r w:rsidRPr="00CB74A5">
        <w:rPr>
          <w:i/>
          <w:sz w:val="20"/>
          <w:szCs w:val="20"/>
          <w:u w:val="single"/>
          <w:lang w:val="nl-NL"/>
        </w:rPr>
        <w:t xml:space="preserve">De </w:t>
      </w:r>
      <w:r w:rsidRPr="00CB74A5" w:rsidR="00CA2A85">
        <w:rPr>
          <w:i/>
          <w:sz w:val="20"/>
          <w:szCs w:val="20"/>
          <w:u w:val="single"/>
          <w:lang w:val="nl-NL"/>
        </w:rPr>
        <w:t>verdrags</w:t>
      </w:r>
      <w:r w:rsidRPr="00CB74A5">
        <w:rPr>
          <w:i/>
          <w:sz w:val="20"/>
          <w:szCs w:val="20"/>
          <w:u w:val="single"/>
          <w:lang w:val="nl-NL"/>
        </w:rPr>
        <w:t>onderhandelingen</w:t>
      </w:r>
    </w:p>
    <w:p w:rsidRPr="00CB74A5" w:rsidR="009D63B8" w:rsidP="0007006F" w:rsidRDefault="003C29D4">
      <w:pPr>
        <w:tabs>
          <w:tab w:val="left" w:pos="426"/>
        </w:tabs>
        <w:spacing w:after="0" w:line="240" w:lineRule="atLeast"/>
        <w:rPr>
          <w:sz w:val="20"/>
          <w:szCs w:val="20"/>
          <w:lang w:val="nl-NL"/>
        </w:rPr>
      </w:pPr>
      <w:proofErr w:type="gramStart"/>
      <w:r w:rsidRPr="00CB74A5">
        <w:rPr>
          <w:sz w:val="20"/>
          <w:szCs w:val="20"/>
          <w:lang w:val="nl-NL"/>
        </w:rPr>
        <w:t xml:space="preserve">De </w:t>
      </w:r>
      <w:r w:rsidRPr="00CB74A5" w:rsidR="00377845">
        <w:rPr>
          <w:sz w:val="20"/>
          <w:szCs w:val="20"/>
          <w:lang w:val="nl-NL"/>
        </w:rPr>
        <w:t>verdrags</w:t>
      </w:r>
      <w:r w:rsidRPr="00CB74A5">
        <w:rPr>
          <w:sz w:val="20"/>
          <w:szCs w:val="20"/>
          <w:lang w:val="nl-NL"/>
        </w:rPr>
        <w:t xml:space="preserve">onderhandelingen zijn </w:t>
      </w:r>
      <w:r w:rsidRPr="00CB74A5" w:rsidR="00CB74A5">
        <w:rPr>
          <w:sz w:val="20"/>
          <w:szCs w:val="20"/>
          <w:lang w:val="nl-NL"/>
        </w:rPr>
        <w:t xml:space="preserve">gestart </w:t>
      </w:r>
      <w:r w:rsidRPr="00CB74A5">
        <w:rPr>
          <w:sz w:val="20"/>
          <w:szCs w:val="20"/>
          <w:lang w:val="nl-NL"/>
        </w:rPr>
        <w:t>na de inwerkingtreding in 2012 van het op 17</w:t>
      </w:r>
      <w:r w:rsidRPr="00CB74A5" w:rsidR="00377845">
        <w:rPr>
          <w:sz w:val="20"/>
          <w:szCs w:val="20"/>
          <w:lang w:val="nl-NL"/>
        </w:rPr>
        <w:t> </w:t>
      </w:r>
      <w:r w:rsidRPr="00CB74A5">
        <w:rPr>
          <w:sz w:val="20"/>
          <w:szCs w:val="20"/>
          <w:lang w:val="nl-NL"/>
        </w:rPr>
        <w:t>juni 2008 te ’s-Gravenhage tot stand gekomen Verdrag tot herziening van het op 3</w:t>
      </w:r>
      <w:r w:rsidRPr="00CB74A5" w:rsidR="002A6F79">
        <w:rPr>
          <w:sz w:val="20"/>
          <w:szCs w:val="20"/>
          <w:lang w:val="nl-NL"/>
        </w:rPr>
        <w:t> </w:t>
      </w:r>
      <w:r w:rsidRPr="00CB74A5">
        <w:rPr>
          <w:sz w:val="20"/>
          <w:szCs w:val="20"/>
          <w:lang w:val="nl-NL"/>
        </w:rPr>
        <w:t>februari 1958 gesloten Verdrag tot instelling van de Benelux Economische Unie (</w:t>
      </w:r>
      <w:r w:rsidRPr="00CB74A5" w:rsidR="009514D7">
        <w:rPr>
          <w:sz w:val="20"/>
          <w:szCs w:val="20"/>
          <w:lang w:val="nl-NL"/>
        </w:rPr>
        <w:t xml:space="preserve">hierna: het </w:t>
      </w:r>
      <w:r w:rsidRPr="00CB74A5" w:rsidR="0047533A">
        <w:rPr>
          <w:sz w:val="20"/>
          <w:szCs w:val="20"/>
          <w:lang w:val="nl-NL"/>
        </w:rPr>
        <w:t xml:space="preserve">Benelux Unie </w:t>
      </w:r>
      <w:r w:rsidRPr="00CB74A5" w:rsidR="009514D7">
        <w:rPr>
          <w:sz w:val="20"/>
          <w:szCs w:val="20"/>
          <w:lang w:val="nl-NL"/>
        </w:rPr>
        <w:t xml:space="preserve">Verdrag; </w:t>
      </w:r>
      <w:r w:rsidRPr="00CB74A5" w:rsidR="000C34EF">
        <w:rPr>
          <w:sz w:val="20"/>
          <w:szCs w:val="20"/>
          <w:lang w:val="nl-NL"/>
        </w:rPr>
        <w:t>Trb.</w:t>
      </w:r>
      <w:proofErr w:type="gramEnd"/>
      <w:r w:rsidRPr="00CB74A5" w:rsidR="002A6F79">
        <w:rPr>
          <w:sz w:val="20"/>
          <w:szCs w:val="20"/>
          <w:lang w:val="nl-NL"/>
        </w:rPr>
        <w:t> </w:t>
      </w:r>
      <w:r w:rsidRPr="00CB74A5" w:rsidR="000C34EF">
        <w:rPr>
          <w:sz w:val="20"/>
          <w:szCs w:val="20"/>
          <w:lang w:val="nl-NL"/>
        </w:rPr>
        <w:t>2008, 135</w:t>
      </w:r>
      <w:r w:rsidRPr="00CB74A5" w:rsidR="002A6F79">
        <w:rPr>
          <w:sz w:val="20"/>
          <w:szCs w:val="20"/>
          <w:lang w:val="nl-NL"/>
        </w:rPr>
        <w:t xml:space="preserve">). </w:t>
      </w:r>
    </w:p>
    <w:p w:rsidRPr="00CB74A5" w:rsidR="009D63B8" w:rsidP="0007006F" w:rsidRDefault="009D63B8">
      <w:pPr>
        <w:tabs>
          <w:tab w:val="left" w:pos="426"/>
        </w:tabs>
        <w:spacing w:after="0" w:line="240" w:lineRule="atLeast"/>
        <w:rPr>
          <w:sz w:val="20"/>
          <w:szCs w:val="20"/>
          <w:lang w:val="nl-NL"/>
        </w:rPr>
      </w:pPr>
    </w:p>
    <w:p w:rsidRPr="00CB74A5" w:rsidR="00534095" w:rsidP="0007006F" w:rsidRDefault="00DD7DCC">
      <w:pPr>
        <w:tabs>
          <w:tab w:val="left" w:pos="426"/>
        </w:tabs>
        <w:spacing w:after="0" w:line="240" w:lineRule="atLeast"/>
        <w:rPr>
          <w:sz w:val="20"/>
          <w:szCs w:val="20"/>
          <w:lang w:val="nl-NL"/>
        </w:rPr>
      </w:pPr>
      <w:r w:rsidRPr="00CB74A5">
        <w:rPr>
          <w:sz w:val="20"/>
          <w:szCs w:val="20"/>
          <w:lang w:val="nl-NL"/>
        </w:rPr>
        <w:t xml:space="preserve">De aanleiding voor de </w:t>
      </w:r>
      <w:r w:rsidRPr="00CB74A5" w:rsidR="00DA597F">
        <w:rPr>
          <w:sz w:val="20"/>
          <w:szCs w:val="20"/>
          <w:lang w:val="nl-NL"/>
        </w:rPr>
        <w:t>verdrags</w:t>
      </w:r>
      <w:r w:rsidRPr="00CB74A5">
        <w:rPr>
          <w:sz w:val="20"/>
          <w:szCs w:val="20"/>
          <w:lang w:val="nl-NL"/>
        </w:rPr>
        <w:t xml:space="preserve">onderhandelingen betrof het voornemen om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sidR="004208FF">
        <w:rPr>
          <w:sz w:val="20"/>
          <w:szCs w:val="20"/>
          <w:lang w:val="nl-NL"/>
        </w:rPr>
        <w:t>bij de tijd</w:t>
      </w:r>
      <w:r w:rsidRPr="00CB74A5">
        <w:rPr>
          <w:sz w:val="20"/>
          <w:szCs w:val="20"/>
          <w:lang w:val="nl-NL"/>
        </w:rPr>
        <w:t xml:space="preserve"> te</w:t>
      </w:r>
      <w:r w:rsidRPr="00CB74A5" w:rsidR="004208FF">
        <w:rPr>
          <w:sz w:val="20"/>
          <w:szCs w:val="20"/>
          <w:lang w:val="nl-NL"/>
        </w:rPr>
        <w:t xml:space="preserve"> bre</w:t>
      </w:r>
      <w:r w:rsidRPr="00CB74A5" w:rsidR="009B13D5">
        <w:rPr>
          <w:sz w:val="20"/>
          <w:szCs w:val="20"/>
          <w:lang w:val="nl-NL"/>
        </w:rPr>
        <w:t>n</w:t>
      </w:r>
      <w:r w:rsidRPr="00CB74A5" w:rsidR="004208FF">
        <w:rPr>
          <w:sz w:val="20"/>
          <w:szCs w:val="20"/>
          <w:lang w:val="nl-NL"/>
        </w:rPr>
        <w:t xml:space="preserve">gen en waar nodig te </w:t>
      </w:r>
      <w:r w:rsidRPr="00CB74A5">
        <w:rPr>
          <w:sz w:val="20"/>
          <w:szCs w:val="20"/>
          <w:lang w:val="nl-NL"/>
        </w:rPr>
        <w:t xml:space="preserve">moderniseren. </w:t>
      </w:r>
      <w:r w:rsidRPr="00CB74A5" w:rsidR="00534095">
        <w:rPr>
          <w:sz w:val="20"/>
          <w:szCs w:val="20"/>
          <w:lang w:val="nl-NL"/>
        </w:rPr>
        <w:t>Wat betreft de voorgeschiedenis</w:t>
      </w:r>
      <w:r w:rsidRPr="00CB74A5">
        <w:rPr>
          <w:sz w:val="20"/>
          <w:szCs w:val="20"/>
          <w:lang w:val="nl-NL"/>
        </w:rPr>
        <w:t xml:space="preserve">, </w:t>
      </w:r>
      <w:r w:rsidRPr="00CB74A5" w:rsidR="00534095">
        <w:rPr>
          <w:sz w:val="20"/>
          <w:szCs w:val="20"/>
          <w:lang w:val="nl-NL"/>
        </w:rPr>
        <w:t>kan het volgende worden aangegeven</w:t>
      </w:r>
      <w:r w:rsidRPr="00CB74A5" w:rsidR="009514D7">
        <w:rPr>
          <w:sz w:val="20"/>
          <w:szCs w:val="20"/>
          <w:lang w:val="nl-NL"/>
        </w:rPr>
        <w:t>.</w:t>
      </w:r>
    </w:p>
    <w:p w:rsidRPr="00CB74A5" w:rsidR="0007006F" w:rsidP="0007006F" w:rsidRDefault="0007006F">
      <w:pPr>
        <w:tabs>
          <w:tab w:val="left" w:pos="426"/>
        </w:tabs>
        <w:spacing w:after="0" w:line="240" w:lineRule="atLeast"/>
        <w:rPr>
          <w:sz w:val="20"/>
          <w:szCs w:val="20"/>
          <w:lang w:val="nl-NL"/>
        </w:rPr>
      </w:pPr>
    </w:p>
    <w:p w:rsidRPr="00CB74A5" w:rsidR="0007006F" w:rsidP="0007006F" w:rsidRDefault="00534095">
      <w:pPr>
        <w:tabs>
          <w:tab w:val="left" w:pos="426"/>
        </w:tabs>
        <w:spacing w:after="0" w:line="240" w:lineRule="atLeast"/>
        <w:rPr>
          <w:sz w:val="20"/>
          <w:szCs w:val="20"/>
          <w:lang w:val="nl-NL"/>
        </w:rPr>
      </w:pPr>
      <w:r w:rsidRPr="00CB74A5">
        <w:rPr>
          <w:sz w:val="20"/>
          <w:szCs w:val="20"/>
          <w:lang w:val="nl-NL"/>
        </w:rPr>
        <w:t xml:space="preserve">In 1995 deed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 xml:space="preserve">aan de regeringen van de drie Benelux-landen de aanbeveling de </w:t>
      </w:r>
      <w:r w:rsidRPr="00CB74A5" w:rsidR="00713945">
        <w:rPr>
          <w:sz w:val="20"/>
          <w:szCs w:val="20"/>
          <w:lang w:val="nl-NL"/>
        </w:rPr>
        <w:t>Overeenkomst</w:t>
      </w:r>
      <w:r w:rsidRPr="00CB74A5">
        <w:rPr>
          <w:sz w:val="20"/>
          <w:szCs w:val="20"/>
          <w:lang w:val="nl-NL"/>
        </w:rPr>
        <w:t xml:space="preserve"> uit 1955 aan te passen aan de gewijzigde constitutionele verhoudingen in België. </w:t>
      </w:r>
      <w:r w:rsidRPr="00CB74A5" w:rsidR="00C64C57">
        <w:rPr>
          <w:sz w:val="20"/>
          <w:szCs w:val="20"/>
          <w:lang w:val="nl-NL"/>
        </w:rPr>
        <w:br/>
      </w:r>
    </w:p>
    <w:p w:rsidRPr="00CB74A5" w:rsidR="00E42A07" w:rsidP="0007006F" w:rsidRDefault="00534095">
      <w:pPr>
        <w:tabs>
          <w:tab w:val="left" w:pos="426"/>
        </w:tabs>
        <w:spacing w:after="0" w:line="240" w:lineRule="atLeast"/>
        <w:rPr>
          <w:sz w:val="20"/>
          <w:szCs w:val="20"/>
          <w:lang w:val="nl-NL"/>
        </w:rPr>
      </w:pPr>
      <w:r w:rsidRPr="00CB74A5">
        <w:rPr>
          <w:sz w:val="20"/>
          <w:szCs w:val="20"/>
          <w:lang w:val="nl-NL"/>
        </w:rPr>
        <w:t xml:space="preserve">De ondertekening </w:t>
      </w:r>
      <w:r w:rsidRPr="00CB74A5" w:rsidR="0047533A">
        <w:rPr>
          <w:sz w:val="20"/>
          <w:szCs w:val="20"/>
          <w:lang w:val="nl-NL"/>
        </w:rPr>
        <w:t xml:space="preserve">in 2008 </w:t>
      </w:r>
      <w:r w:rsidRPr="00CB74A5">
        <w:rPr>
          <w:sz w:val="20"/>
          <w:szCs w:val="20"/>
          <w:lang w:val="nl-NL"/>
        </w:rPr>
        <w:t xml:space="preserve">van het </w:t>
      </w:r>
      <w:r w:rsidRPr="00CB74A5" w:rsidR="0047533A">
        <w:rPr>
          <w:sz w:val="20"/>
          <w:szCs w:val="20"/>
          <w:lang w:val="nl-NL"/>
        </w:rPr>
        <w:t xml:space="preserve">Benelux Unie </w:t>
      </w:r>
      <w:r w:rsidRPr="00CB74A5">
        <w:rPr>
          <w:sz w:val="20"/>
          <w:szCs w:val="20"/>
          <w:lang w:val="nl-NL"/>
        </w:rPr>
        <w:t>Verdrag</w:t>
      </w:r>
      <w:r w:rsidRPr="00CB74A5" w:rsidR="009514D7">
        <w:rPr>
          <w:sz w:val="20"/>
          <w:szCs w:val="20"/>
          <w:lang w:val="nl-NL"/>
        </w:rPr>
        <w:t xml:space="preserve"> </w:t>
      </w:r>
      <w:r w:rsidRPr="00CB74A5">
        <w:rPr>
          <w:sz w:val="20"/>
          <w:szCs w:val="20"/>
          <w:lang w:val="nl-NL"/>
        </w:rPr>
        <w:t>was een geschikt moment om de aandacht te richten op de aanpassing van de Overeenkomst</w:t>
      </w:r>
      <w:r w:rsidRPr="00CB74A5" w:rsidR="009D63B8">
        <w:rPr>
          <w:sz w:val="20"/>
          <w:szCs w:val="20"/>
          <w:lang w:val="nl-NL"/>
        </w:rPr>
        <w:t xml:space="preserve"> </w:t>
      </w:r>
      <w:r w:rsidRPr="00CB74A5">
        <w:rPr>
          <w:sz w:val="20"/>
          <w:szCs w:val="20"/>
          <w:lang w:val="nl-NL"/>
        </w:rPr>
        <w:t>uit 1955. Op 5 juni 2009 stelde de</w:t>
      </w:r>
      <w:r w:rsidRPr="00CB74A5" w:rsidR="00FD2F75">
        <w:rPr>
          <w:sz w:val="20"/>
          <w:szCs w:val="20"/>
          <w:lang w:val="nl-NL"/>
        </w:rPr>
        <w:t xml:space="preserv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daartoe een wijzigingsvoorstel op (</w:t>
      </w:r>
      <w:r w:rsidRPr="00CB74A5" w:rsidR="003A201D">
        <w:rPr>
          <w:sz w:val="20"/>
          <w:szCs w:val="20"/>
          <w:lang w:val="nl-NL"/>
        </w:rPr>
        <w:t xml:space="preserve">zie </w:t>
      </w:r>
      <w:r w:rsidRPr="00CB74A5" w:rsidR="00DA597F">
        <w:rPr>
          <w:sz w:val="20"/>
          <w:szCs w:val="20"/>
          <w:lang w:val="nl-NL"/>
        </w:rPr>
        <w:t xml:space="preserve">het </w:t>
      </w:r>
      <w:r w:rsidRPr="00CB74A5" w:rsidR="00E42A07">
        <w:rPr>
          <w:sz w:val="20"/>
          <w:szCs w:val="20"/>
          <w:lang w:val="nl-NL"/>
        </w:rPr>
        <w:t>jaarverslag 2009</w:t>
      </w:r>
      <w:r w:rsidRPr="00CB74A5" w:rsidR="00DA597F">
        <w:rPr>
          <w:sz w:val="20"/>
          <w:szCs w:val="20"/>
          <w:lang w:val="nl-NL"/>
        </w:rPr>
        <w:t xml:space="preserve"> van de </w:t>
      </w:r>
      <w:r w:rsidRPr="00CB74A5" w:rsidR="009D63B8">
        <w:rPr>
          <w:sz w:val="20"/>
          <w:szCs w:val="20"/>
          <w:lang w:val="nl-NL"/>
        </w:rPr>
        <w:t>I</w:t>
      </w:r>
      <w:r w:rsidR="00072F2C">
        <w:rPr>
          <w:sz w:val="20"/>
          <w:szCs w:val="20"/>
          <w:lang w:val="nl-NL"/>
        </w:rPr>
        <w:t>B</w:t>
      </w:r>
      <w:r w:rsidRPr="00CB74A5" w:rsidR="009D63B8">
        <w:rPr>
          <w:sz w:val="20"/>
          <w:szCs w:val="20"/>
          <w:lang w:val="nl-NL"/>
        </w:rPr>
        <w:t>R</w:t>
      </w:r>
      <w:r w:rsidRPr="00CB74A5" w:rsidR="00DA597F">
        <w:rPr>
          <w:sz w:val="20"/>
          <w:szCs w:val="20"/>
          <w:lang w:val="nl-NL"/>
        </w:rPr>
        <w:t xml:space="preserve"> van 25</w:t>
      </w:r>
      <w:r w:rsidRPr="00CB74A5" w:rsidR="009D63B8">
        <w:rPr>
          <w:sz w:val="20"/>
          <w:szCs w:val="20"/>
          <w:lang w:val="nl-NL"/>
        </w:rPr>
        <w:t> </w:t>
      </w:r>
      <w:r w:rsidRPr="00CB74A5" w:rsidR="00DA597F">
        <w:rPr>
          <w:sz w:val="20"/>
          <w:szCs w:val="20"/>
          <w:lang w:val="nl-NL"/>
        </w:rPr>
        <w:t>februari 2010</w:t>
      </w:r>
      <w:r w:rsidRPr="00CB74A5" w:rsidR="00E42A07">
        <w:rPr>
          <w:sz w:val="20"/>
          <w:szCs w:val="20"/>
          <w:lang w:val="nl-NL"/>
        </w:rPr>
        <w:t xml:space="preserve">, pagina 5, </w:t>
      </w:r>
      <w:r w:rsidRPr="00CB74A5" w:rsidR="000E6A8B">
        <w:rPr>
          <w:sz w:val="20"/>
          <w:szCs w:val="20"/>
          <w:lang w:val="nl-NL"/>
        </w:rPr>
        <w:t>aanbeveling</w:t>
      </w:r>
      <w:r w:rsidRPr="00CB74A5" w:rsidR="00DA597F">
        <w:rPr>
          <w:sz w:val="20"/>
          <w:szCs w:val="20"/>
          <w:lang w:val="nl-NL"/>
        </w:rPr>
        <w:t xml:space="preserve"> </w:t>
      </w:r>
      <w:r w:rsidRPr="00CB74A5">
        <w:rPr>
          <w:sz w:val="20"/>
          <w:szCs w:val="20"/>
          <w:lang w:val="nl-NL"/>
        </w:rPr>
        <w:t>786/4).</w:t>
      </w:r>
    </w:p>
    <w:p w:rsidRPr="00CB74A5" w:rsidR="002B0A41" w:rsidP="0007006F" w:rsidRDefault="002B0A41">
      <w:pPr>
        <w:tabs>
          <w:tab w:val="left" w:pos="426"/>
        </w:tabs>
        <w:spacing w:after="0" w:line="240" w:lineRule="atLeast"/>
        <w:rPr>
          <w:sz w:val="20"/>
          <w:szCs w:val="20"/>
          <w:lang w:val="nl-NL"/>
        </w:rPr>
      </w:pPr>
    </w:p>
    <w:p w:rsidRPr="00CB74A5" w:rsidR="00534095" w:rsidP="0007006F" w:rsidRDefault="00534095">
      <w:pPr>
        <w:tabs>
          <w:tab w:val="left" w:pos="426"/>
        </w:tabs>
        <w:spacing w:after="0" w:line="240" w:lineRule="atLeast"/>
        <w:rPr>
          <w:sz w:val="20"/>
          <w:szCs w:val="20"/>
          <w:lang w:val="nl-NL"/>
        </w:rPr>
      </w:pPr>
      <w:r w:rsidRPr="00CB74A5">
        <w:rPr>
          <w:sz w:val="20"/>
          <w:szCs w:val="20"/>
          <w:lang w:val="nl-NL"/>
        </w:rPr>
        <w:t xml:space="preserve">Een tweede reden voor de start van de onderhandelingen was de kritiek die </w:t>
      </w:r>
      <w:r w:rsidRPr="00CB74A5" w:rsidR="00AF4FE3">
        <w:rPr>
          <w:sz w:val="20"/>
          <w:szCs w:val="20"/>
          <w:lang w:val="nl-NL"/>
        </w:rPr>
        <w:t xml:space="preserve">de Tweede Kamer </w:t>
      </w:r>
      <w:r w:rsidRPr="00CB74A5">
        <w:rPr>
          <w:sz w:val="20"/>
          <w:szCs w:val="20"/>
          <w:lang w:val="nl-NL"/>
        </w:rPr>
        <w:t>op 29</w:t>
      </w:r>
      <w:r w:rsidRPr="00CB74A5" w:rsidR="009514D7">
        <w:rPr>
          <w:sz w:val="20"/>
          <w:szCs w:val="20"/>
          <w:lang w:val="nl-NL"/>
        </w:rPr>
        <w:t> </w:t>
      </w:r>
      <w:r w:rsidRPr="00CB74A5">
        <w:rPr>
          <w:sz w:val="20"/>
          <w:szCs w:val="20"/>
          <w:lang w:val="nl-NL"/>
        </w:rPr>
        <w:t>oktober</w:t>
      </w:r>
      <w:r w:rsidRPr="00CB74A5" w:rsidR="009514D7">
        <w:rPr>
          <w:sz w:val="20"/>
          <w:szCs w:val="20"/>
          <w:lang w:val="nl-NL"/>
        </w:rPr>
        <w:t> </w:t>
      </w:r>
      <w:r w:rsidRPr="00CB74A5">
        <w:rPr>
          <w:sz w:val="20"/>
          <w:szCs w:val="20"/>
          <w:lang w:val="nl-NL"/>
        </w:rPr>
        <w:t xml:space="preserve">2009 tijdens </w:t>
      </w:r>
      <w:r w:rsidRPr="00CB74A5" w:rsidR="009514D7">
        <w:rPr>
          <w:sz w:val="20"/>
          <w:szCs w:val="20"/>
          <w:lang w:val="nl-NL"/>
        </w:rPr>
        <w:t xml:space="preserve">de </w:t>
      </w:r>
      <w:proofErr w:type="gramStart"/>
      <w:r w:rsidRPr="00CB74A5" w:rsidR="00BD7204">
        <w:rPr>
          <w:sz w:val="20"/>
          <w:szCs w:val="20"/>
          <w:lang w:val="nl-NL"/>
        </w:rPr>
        <w:t>plenaire</w:t>
      </w:r>
      <w:proofErr w:type="gramEnd"/>
      <w:r w:rsidRPr="00CB74A5" w:rsidR="00BD7204">
        <w:rPr>
          <w:sz w:val="20"/>
          <w:szCs w:val="20"/>
          <w:lang w:val="nl-NL"/>
        </w:rPr>
        <w:t xml:space="preserve"> </w:t>
      </w:r>
      <w:r w:rsidRPr="00CB74A5" w:rsidR="009514D7">
        <w:rPr>
          <w:sz w:val="20"/>
          <w:szCs w:val="20"/>
          <w:lang w:val="nl-NL"/>
        </w:rPr>
        <w:t xml:space="preserve">behandeling </w:t>
      </w:r>
      <w:r w:rsidRPr="00CB74A5" w:rsidR="002B0A41">
        <w:rPr>
          <w:sz w:val="20"/>
          <w:szCs w:val="20"/>
          <w:lang w:val="nl-NL"/>
        </w:rPr>
        <w:t xml:space="preserve">met betrekking tot </w:t>
      </w:r>
      <w:r w:rsidRPr="00CB74A5" w:rsidR="00AF4FE3">
        <w:rPr>
          <w:sz w:val="20"/>
          <w:szCs w:val="20"/>
          <w:lang w:val="nl-NL"/>
        </w:rPr>
        <w:t xml:space="preserve">de </w:t>
      </w:r>
      <w:r w:rsidRPr="00CB74A5" w:rsidR="00635D70">
        <w:rPr>
          <w:sz w:val="20"/>
          <w:szCs w:val="20"/>
          <w:lang w:val="nl-NL"/>
        </w:rPr>
        <w:t xml:space="preserve">parlementaire </w:t>
      </w:r>
      <w:r w:rsidRPr="00CB74A5" w:rsidR="00BD7204">
        <w:rPr>
          <w:sz w:val="20"/>
          <w:szCs w:val="20"/>
          <w:lang w:val="nl-NL"/>
        </w:rPr>
        <w:t xml:space="preserve">goedkeuring van het </w:t>
      </w:r>
      <w:r w:rsidRPr="00CB74A5" w:rsidR="00AF4FE3">
        <w:rPr>
          <w:sz w:val="20"/>
          <w:szCs w:val="20"/>
          <w:lang w:val="nl-NL"/>
        </w:rPr>
        <w:t xml:space="preserve">Benelux Unie </w:t>
      </w:r>
      <w:r w:rsidRPr="00CB74A5">
        <w:rPr>
          <w:sz w:val="20"/>
          <w:szCs w:val="20"/>
          <w:lang w:val="nl-NL"/>
        </w:rPr>
        <w:t>Verdrag</w:t>
      </w:r>
      <w:r w:rsidRPr="00CB74A5" w:rsidR="009514D7">
        <w:rPr>
          <w:sz w:val="20"/>
          <w:szCs w:val="20"/>
          <w:lang w:val="nl-NL"/>
        </w:rPr>
        <w:t xml:space="preserve"> </w:t>
      </w:r>
      <w:r w:rsidRPr="00CB74A5">
        <w:rPr>
          <w:sz w:val="20"/>
          <w:szCs w:val="20"/>
          <w:lang w:val="nl-NL"/>
        </w:rPr>
        <w:t>uit</w:t>
      </w:r>
      <w:r w:rsidRPr="00CB74A5" w:rsidR="00AF4FE3">
        <w:rPr>
          <w:sz w:val="20"/>
          <w:szCs w:val="20"/>
          <w:lang w:val="nl-NL"/>
        </w:rPr>
        <w:t xml:space="preserve">sprak </w:t>
      </w:r>
      <w:r w:rsidRPr="00CB74A5">
        <w:rPr>
          <w:sz w:val="20"/>
          <w:szCs w:val="20"/>
          <w:lang w:val="nl-NL"/>
        </w:rPr>
        <w:t xml:space="preserve">over het nut en de noodzaak van de </w:t>
      </w:r>
      <w:r w:rsidRPr="00CB74A5" w:rsidR="00072F2C">
        <w:rPr>
          <w:sz w:val="20"/>
          <w:szCs w:val="20"/>
          <w:lang w:val="nl-NL"/>
        </w:rPr>
        <w:t>I</w:t>
      </w:r>
      <w:r w:rsidR="00072F2C">
        <w:rPr>
          <w:sz w:val="20"/>
          <w:szCs w:val="20"/>
          <w:lang w:val="nl-NL"/>
        </w:rPr>
        <w:t>B</w:t>
      </w:r>
      <w:r w:rsidRPr="00CB74A5" w:rsidR="00072F2C">
        <w:rPr>
          <w:sz w:val="20"/>
          <w:szCs w:val="20"/>
          <w:lang w:val="nl-NL"/>
        </w:rPr>
        <w:t>R</w:t>
      </w:r>
      <w:r w:rsidRPr="00CB74A5" w:rsidR="000E6A8B">
        <w:rPr>
          <w:sz w:val="20"/>
          <w:szCs w:val="20"/>
          <w:lang w:val="nl-NL"/>
        </w:rPr>
        <w:t>.</w:t>
      </w:r>
      <w:r w:rsidRPr="00CB74A5" w:rsidR="00BD7204">
        <w:rPr>
          <w:sz w:val="20"/>
          <w:szCs w:val="20"/>
          <w:lang w:val="nl-NL"/>
        </w:rPr>
        <w:t xml:space="preserve"> </w:t>
      </w:r>
      <w:r w:rsidRPr="00CB74A5">
        <w:rPr>
          <w:sz w:val="20"/>
          <w:szCs w:val="20"/>
          <w:lang w:val="nl-NL"/>
        </w:rPr>
        <w:t xml:space="preserve">De Kamer vond in meerderheid dat </w:t>
      </w:r>
      <w:r w:rsidRPr="00CB74A5" w:rsidR="00BD7204">
        <w:rPr>
          <w:sz w:val="20"/>
          <w:szCs w:val="20"/>
          <w:lang w:val="nl-NL"/>
        </w:rPr>
        <w:t xml:space="preserve">de Overeenkomst </w:t>
      </w:r>
      <w:r w:rsidRPr="00CB74A5">
        <w:rPr>
          <w:sz w:val="20"/>
          <w:szCs w:val="20"/>
          <w:lang w:val="nl-NL"/>
        </w:rPr>
        <w:t xml:space="preserve">uit 1955 </w:t>
      </w:r>
      <w:r w:rsidRPr="00CB74A5" w:rsidR="004208FF">
        <w:rPr>
          <w:sz w:val="20"/>
          <w:szCs w:val="20"/>
          <w:lang w:val="nl-NL"/>
        </w:rPr>
        <w:t xml:space="preserve">bij de </w:t>
      </w:r>
      <w:r w:rsidRPr="00CB74A5" w:rsidR="004208FF">
        <w:rPr>
          <w:sz w:val="20"/>
          <w:szCs w:val="20"/>
          <w:lang w:val="nl-NL"/>
        </w:rPr>
        <w:lastRenderedPageBreak/>
        <w:t xml:space="preserve">tijd </w:t>
      </w:r>
      <w:r w:rsidRPr="00CB74A5">
        <w:rPr>
          <w:sz w:val="20"/>
          <w:szCs w:val="20"/>
          <w:lang w:val="nl-NL"/>
        </w:rPr>
        <w:t>moest worden</w:t>
      </w:r>
      <w:r w:rsidRPr="00CB74A5" w:rsidR="004208FF">
        <w:rPr>
          <w:sz w:val="20"/>
          <w:szCs w:val="20"/>
          <w:lang w:val="nl-NL"/>
        </w:rPr>
        <w:t xml:space="preserve"> gebracht en waar nodig</w:t>
      </w:r>
      <w:r w:rsidRPr="00CB74A5">
        <w:rPr>
          <w:sz w:val="20"/>
          <w:szCs w:val="20"/>
          <w:lang w:val="nl-NL"/>
        </w:rPr>
        <w:t xml:space="preserve"> gemoderniseerd </w:t>
      </w:r>
      <w:r w:rsidRPr="00CB74A5" w:rsidR="0024142C">
        <w:rPr>
          <w:sz w:val="20"/>
          <w:szCs w:val="20"/>
          <w:lang w:val="nl-NL"/>
        </w:rPr>
        <w:t>(zie Handelingen TK 2009/2010, nr. 18, pag. 1343 -1366).</w:t>
      </w:r>
    </w:p>
    <w:p w:rsidRPr="00CB74A5" w:rsidR="0007006F" w:rsidP="0007006F" w:rsidRDefault="0007006F">
      <w:pPr>
        <w:tabs>
          <w:tab w:val="left" w:pos="426"/>
        </w:tabs>
        <w:spacing w:after="0" w:line="240" w:lineRule="atLeast"/>
        <w:rPr>
          <w:sz w:val="20"/>
          <w:szCs w:val="20"/>
          <w:lang w:val="nl-NL"/>
        </w:rPr>
      </w:pPr>
    </w:p>
    <w:p w:rsidRPr="00CB74A5" w:rsidR="00491D09" w:rsidP="0007006F" w:rsidRDefault="00534095">
      <w:pPr>
        <w:tabs>
          <w:tab w:val="left" w:pos="426"/>
        </w:tabs>
        <w:spacing w:after="0" w:line="240" w:lineRule="atLeast"/>
        <w:rPr>
          <w:sz w:val="20"/>
          <w:szCs w:val="20"/>
          <w:lang w:val="nl-NL"/>
        </w:rPr>
      </w:pPr>
      <w:r w:rsidRPr="00CB74A5">
        <w:rPr>
          <w:sz w:val="20"/>
          <w:szCs w:val="20"/>
          <w:lang w:val="nl-NL"/>
        </w:rPr>
        <w:t xml:space="preserve">De wensen </w:t>
      </w:r>
      <w:r w:rsidRPr="00CB74A5" w:rsidR="004208FF">
        <w:rPr>
          <w:sz w:val="20"/>
          <w:szCs w:val="20"/>
          <w:lang w:val="nl-NL"/>
        </w:rPr>
        <w:t>daartoe</w:t>
      </w:r>
      <w:r w:rsidRPr="00CB74A5">
        <w:rPr>
          <w:sz w:val="20"/>
          <w:szCs w:val="20"/>
          <w:lang w:val="nl-NL"/>
        </w:rPr>
        <w:t xml:space="preserve"> – zoals tot uitdrukking gebracht in bovengenoemde aanbeveling 786/4 – zijn in informele gesprekken tussen de leden van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 xml:space="preserve">besproken. Op 8 december 2009 gingen de onderhandelingen </w:t>
      </w:r>
      <w:r w:rsidRPr="00CB74A5" w:rsidR="002B0A41">
        <w:rPr>
          <w:sz w:val="20"/>
          <w:szCs w:val="20"/>
          <w:lang w:val="nl-NL"/>
        </w:rPr>
        <w:t xml:space="preserve">tussen de drie Benelux-landen </w:t>
      </w:r>
      <w:r w:rsidRPr="00CB74A5">
        <w:rPr>
          <w:sz w:val="20"/>
          <w:szCs w:val="20"/>
          <w:lang w:val="nl-NL"/>
        </w:rPr>
        <w:t>officieel van start, op basis van een Nederlandse ontwerp</w:t>
      </w:r>
      <w:r w:rsidRPr="00CB74A5" w:rsidR="00DD7DCC">
        <w:rPr>
          <w:sz w:val="20"/>
          <w:szCs w:val="20"/>
          <w:lang w:val="nl-NL"/>
        </w:rPr>
        <w:t>-</w:t>
      </w:r>
      <w:r w:rsidRPr="00CB74A5">
        <w:rPr>
          <w:sz w:val="20"/>
          <w:szCs w:val="20"/>
          <w:lang w:val="nl-NL"/>
        </w:rPr>
        <w:t xml:space="preserve">tekst. </w:t>
      </w:r>
      <w:r w:rsidRPr="00CB74A5" w:rsidR="009D63B8">
        <w:rPr>
          <w:sz w:val="20"/>
          <w:szCs w:val="20"/>
          <w:lang w:val="nl-NL"/>
        </w:rPr>
        <w:t xml:space="preserve">Bij </w:t>
      </w:r>
      <w:r w:rsidRPr="00CB74A5">
        <w:rPr>
          <w:sz w:val="20"/>
          <w:szCs w:val="20"/>
          <w:lang w:val="nl-NL"/>
        </w:rPr>
        <w:t xml:space="preserve">brief </w:t>
      </w:r>
      <w:r w:rsidRPr="00CB74A5" w:rsidR="0007006F">
        <w:rPr>
          <w:sz w:val="20"/>
          <w:szCs w:val="20"/>
          <w:lang w:val="nl-NL"/>
        </w:rPr>
        <w:t xml:space="preserve">van 25 januari 2010 </w:t>
      </w:r>
      <w:r w:rsidRPr="00CB74A5" w:rsidR="009D63B8">
        <w:rPr>
          <w:sz w:val="20"/>
          <w:szCs w:val="20"/>
          <w:lang w:val="nl-NL"/>
        </w:rPr>
        <w:t xml:space="preserve">deed </w:t>
      </w:r>
      <w:r w:rsidRPr="00CB74A5">
        <w:rPr>
          <w:sz w:val="20"/>
          <w:szCs w:val="20"/>
          <w:lang w:val="nl-NL"/>
        </w:rPr>
        <w:t xml:space="preserve">de </w:t>
      </w:r>
      <w:r w:rsidRPr="00CB74A5" w:rsidR="00880E34">
        <w:rPr>
          <w:sz w:val="20"/>
          <w:szCs w:val="20"/>
          <w:lang w:val="nl-NL"/>
        </w:rPr>
        <w:t xml:space="preserve">toenmalige </w:t>
      </w:r>
      <w:r w:rsidRPr="00CB74A5">
        <w:rPr>
          <w:sz w:val="20"/>
          <w:szCs w:val="20"/>
          <w:lang w:val="nl-NL"/>
        </w:rPr>
        <w:t xml:space="preserve">minister van Buitenlandse Zaken </w:t>
      </w:r>
      <w:r w:rsidRPr="00CB74A5" w:rsidR="009D63B8">
        <w:rPr>
          <w:sz w:val="20"/>
          <w:szCs w:val="20"/>
          <w:lang w:val="nl-NL"/>
        </w:rPr>
        <w:t xml:space="preserve">verslag </w:t>
      </w:r>
      <w:r w:rsidRPr="00CB74A5">
        <w:rPr>
          <w:sz w:val="20"/>
          <w:szCs w:val="20"/>
          <w:lang w:val="nl-NL"/>
        </w:rPr>
        <w:t>over het verloop van de onderhandelingen</w:t>
      </w:r>
      <w:r w:rsidRPr="00CB74A5" w:rsidR="008B08FE">
        <w:rPr>
          <w:sz w:val="20"/>
          <w:szCs w:val="20"/>
          <w:lang w:val="nl-NL"/>
        </w:rPr>
        <w:t xml:space="preserve"> en werd de Nederlandse inzet </w:t>
      </w:r>
      <w:r w:rsidRPr="00CB74A5" w:rsidR="004D76F1">
        <w:rPr>
          <w:sz w:val="20"/>
          <w:szCs w:val="20"/>
          <w:lang w:val="nl-NL"/>
        </w:rPr>
        <w:t xml:space="preserve">voor de onderhandelingen </w:t>
      </w:r>
      <w:r w:rsidRPr="00CB74A5" w:rsidR="00377845">
        <w:rPr>
          <w:sz w:val="20"/>
          <w:szCs w:val="20"/>
          <w:lang w:val="nl-NL"/>
        </w:rPr>
        <w:t>ge</w:t>
      </w:r>
      <w:r w:rsidRPr="00CB74A5" w:rsidR="00491D09">
        <w:rPr>
          <w:sz w:val="20"/>
          <w:szCs w:val="20"/>
          <w:lang w:val="nl-NL"/>
        </w:rPr>
        <w:t>meld</w:t>
      </w:r>
      <w:r w:rsidRPr="00CB74A5" w:rsidR="009D63B8">
        <w:rPr>
          <w:sz w:val="20"/>
          <w:szCs w:val="20"/>
          <w:lang w:val="nl-NL"/>
        </w:rPr>
        <w:t xml:space="preserve"> (Kamerstukken II 2009/2010,</w:t>
      </w:r>
      <w:r w:rsidR="00135FA3">
        <w:rPr>
          <w:sz w:val="20"/>
          <w:szCs w:val="20"/>
          <w:lang w:val="nl-NL"/>
        </w:rPr>
        <w:t xml:space="preserve"> </w:t>
      </w:r>
      <w:r w:rsidRPr="00CB74A5" w:rsidR="009D63B8">
        <w:rPr>
          <w:sz w:val="20"/>
          <w:szCs w:val="20"/>
          <w:lang w:val="nl-NL"/>
        </w:rPr>
        <w:t>31 585, nr. 10)</w:t>
      </w:r>
      <w:r w:rsidRPr="00CB74A5">
        <w:rPr>
          <w:sz w:val="20"/>
          <w:szCs w:val="20"/>
          <w:lang w:val="nl-NL"/>
        </w:rPr>
        <w:t xml:space="preserve">. </w:t>
      </w:r>
      <w:proofErr w:type="gramStart"/>
      <w:r w:rsidRPr="00CB74A5" w:rsidR="00880E34">
        <w:rPr>
          <w:sz w:val="20"/>
          <w:szCs w:val="20"/>
          <w:lang w:val="nl-NL"/>
        </w:rPr>
        <w:t xml:space="preserve">In deze brief werd nog voor de volledigheid </w:t>
      </w:r>
      <w:r w:rsidRPr="00CB74A5" w:rsidR="00DD7DCC">
        <w:rPr>
          <w:sz w:val="20"/>
          <w:szCs w:val="20"/>
          <w:lang w:val="nl-NL"/>
        </w:rPr>
        <w:t xml:space="preserve">aangegeven dat </w:t>
      </w:r>
      <w:r w:rsidRPr="00CB74A5" w:rsidR="00F044DB">
        <w:rPr>
          <w:sz w:val="20"/>
          <w:szCs w:val="20"/>
          <w:lang w:val="nl-NL"/>
        </w:rPr>
        <w:t>de aanpa</w:t>
      </w:r>
      <w:r w:rsidRPr="00CB74A5" w:rsidR="00B774AA">
        <w:rPr>
          <w:sz w:val="20"/>
          <w:szCs w:val="20"/>
          <w:lang w:val="nl-NL"/>
        </w:rPr>
        <w:t>ssing en modernisering van het R</w:t>
      </w:r>
      <w:r w:rsidRPr="00CB74A5" w:rsidR="00F044DB">
        <w:rPr>
          <w:sz w:val="20"/>
          <w:szCs w:val="20"/>
          <w:lang w:val="nl-NL"/>
        </w:rPr>
        <w:t xml:space="preserve">eglement van </w:t>
      </w:r>
      <w:r w:rsidRPr="00CB74A5" w:rsidR="00B774AA">
        <w:rPr>
          <w:sz w:val="20"/>
          <w:szCs w:val="20"/>
          <w:lang w:val="nl-NL"/>
        </w:rPr>
        <w:t>O</w:t>
      </w:r>
      <w:r w:rsidRPr="00CB74A5" w:rsidR="00F044DB">
        <w:rPr>
          <w:sz w:val="20"/>
          <w:szCs w:val="20"/>
          <w:lang w:val="nl-NL"/>
        </w:rPr>
        <w:t>rde</w:t>
      </w:r>
      <w:r w:rsidRPr="00CB74A5" w:rsidR="00880E34">
        <w:rPr>
          <w:sz w:val="20"/>
          <w:szCs w:val="20"/>
          <w:lang w:val="nl-NL"/>
        </w:rPr>
        <w:t xml:space="preserve"> van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sidR="00F044DB">
        <w:rPr>
          <w:sz w:val="20"/>
          <w:szCs w:val="20"/>
          <w:lang w:val="nl-NL"/>
        </w:rPr>
        <w:t xml:space="preserve">een zaak van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sidR="00F044DB">
        <w:rPr>
          <w:sz w:val="20"/>
          <w:szCs w:val="20"/>
          <w:lang w:val="nl-NL"/>
        </w:rPr>
        <w:t>zelf is.</w:t>
      </w:r>
      <w:r w:rsidRPr="00CB74A5" w:rsidR="0038063B">
        <w:rPr>
          <w:sz w:val="20"/>
          <w:szCs w:val="20"/>
          <w:lang w:val="nl-NL"/>
        </w:rPr>
        <w:t xml:space="preserve"> </w:t>
      </w:r>
      <w:proofErr w:type="gramEnd"/>
      <w:r w:rsidRPr="00CB74A5" w:rsidR="0038063B">
        <w:rPr>
          <w:sz w:val="20"/>
          <w:szCs w:val="20"/>
          <w:lang w:val="nl-NL"/>
        </w:rPr>
        <w:t>Naar aanleiding van d</w:t>
      </w:r>
      <w:r w:rsidRPr="00CB74A5" w:rsidR="004D76F1">
        <w:rPr>
          <w:sz w:val="20"/>
          <w:szCs w:val="20"/>
          <w:lang w:val="nl-NL"/>
        </w:rPr>
        <w:t>e</w:t>
      </w:r>
      <w:r w:rsidRPr="00CB74A5" w:rsidR="0038063B">
        <w:rPr>
          <w:sz w:val="20"/>
          <w:szCs w:val="20"/>
          <w:lang w:val="nl-NL"/>
        </w:rPr>
        <w:t xml:space="preserve"> brief </w:t>
      </w:r>
      <w:r w:rsidRPr="00CB74A5" w:rsidR="004D76F1">
        <w:rPr>
          <w:sz w:val="20"/>
          <w:szCs w:val="20"/>
          <w:lang w:val="nl-NL"/>
        </w:rPr>
        <w:t>stelde</w:t>
      </w:r>
      <w:r w:rsidRPr="00CB74A5" w:rsidR="0038063B">
        <w:rPr>
          <w:sz w:val="20"/>
          <w:szCs w:val="20"/>
          <w:lang w:val="nl-NL"/>
        </w:rPr>
        <w:t xml:space="preserve"> </w:t>
      </w:r>
      <w:r w:rsidRPr="00CB74A5" w:rsidR="004D76F1">
        <w:rPr>
          <w:sz w:val="20"/>
          <w:szCs w:val="20"/>
          <w:lang w:val="nl-NL"/>
        </w:rPr>
        <w:t xml:space="preserve">de fractie van het CDA </w:t>
      </w:r>
      <w:r w:rsidRPr="00CB74A5" w:rsidR="0038063B">
        <w:rPr>
          <w:sz w:val="20"/>
          <w:szCs w:val="20"/>
          <w:lang w:val="nl-NL"/>
        </w:rPr>
        <w:t xml:space="preserve">schriftelijk nog enkele vragen. </w:t>
      </w:r>
      <w:r w:rsidRPr="00CB74A5" w:rsidR="00ED0973">
        <w:rPr>
          <w:sz w:val="20"/>
          <w:szCs w:val="20"/>
          <w:lang w:val="nl-NL"/>
        </w:rPr>
        <w:t>De</w:t>
      </w:r>
      <w:r w:rsidR="00135FA3">
        <w:rPr>
          <w:sz w:val="20"/>
          <w:szCs w:val="20"/>
          <w:lang w:val="nl-NL"/>
        </w:rPr>
        <w:t xml:space="preserve"> </w:t>
      </w:r>
      <w:r w:rsidRPr="00CB74A5" w:rsidR="009D63B8">
        <w:rPr>
          <w:sz w:val="20"/>
          <w:szCs w:val="20"/>
          <w:lang w:val="nl-NL"/>
        </w:rPr>
        <w:t xml:space="preserve">door </w:t>
      </w:r>
      <w:r w:rsidRPr="00CB74A5" w:rsidR="008B08FE">
        <w:rPr>
          <w:sz w:val="20"/>
          <w:szCs w:val="20"/>
          <w:lang w:val="nl-NL"/>
        </w:rPr>
        <w:t>de toenmalige minister van Buitenlandse Zaken</w:t>
      </w:r>
      <w:r w:rsidRPr="00CB74A5" w:rsidR="00377845">
        <w:rPr>
          <w:sz w:val="20"/>
          <w:szCs w:val="20"/>
          <w:lang w:val="nl-NL"/>
        </w:rPr>
        <w:t xml:space="preserve"> gegeven antwoord</w:t>
      </w:r>
      <w:r w:rsidRPr="00CB74A5" w:rsidR="00ED0973">
        <w:rPr>
          <w:sz w:val="20"/>
          <w:szCs w:val="20"/>
          <w:lang w:val="nl-NL"/>
        </w:rPr>
        <w:t>en</w:t>
      </w:r>
      <w:r w:rsidRPr="00CB74A5" w:rsidR="00377845">
        <w:rPr>
          <w:sz w:val="20"/>
          <w:szCs w:val="20"/>
          <w:lang w:val="nl-NL"/>
        </w:rPr>
        <w:t xml:space="preserve"> op die vragen werd</w:t>
      </w:r>
      <w:r w:rsidRPr="00CB74A5" w:rsidR="00ED0973">
        <w:rPr>
          <w:sz w:val="20"/>
          <w:szCs w:val="20"/>
          <w:lang w:val="nl-NL"/>
        </w:rPr>
        <w:t>en</w:t>
      </w:r>
      <w:r w:rsidRPr="00CB74A5" w:rsidR="00377845">
        <w:rPr>
          <w:sz w:val="20"/>
          <w:szCs w:val="20"/>
          <w:lang w:val="nl-NL"/>
        </w:rPr>
        <w:t xml:space="preserve"> ge</w:t>
      </w:r>
      <w:r w:rsidRPr="00CB74A5" w:rsidR="00491D09">
        <w:rPr>
          <w:sz w:val="20"/>
          <w:szCs w:val="20"/>
          <w:lang w:val="nl-NL"/>
        </w:rPr>
        <w:t>publiceerd in een Verslag van een schriftelijk overleg</w:t>
      </w:r>
      <w:r w:rsidRPr="00CB74A5" w:rsidR="00377845">
        <w:rPr>
          <w:sz w:val="20"/>
          <w:szCs w:val="20"/>
          <w:lang w:val="nl-NL"/>
        </w:rPr>
        <w:t xml:space="preserve">, </w:t>
      </w:r>
      <w:r w:rsidRPr="00CB74A5" w:rsidR="008B08FE">
        <w:rPr>
          <w:sz w:val="20"/>
          <w:szCs w:val="20"/>
          <w:lang w:val="nl-NL"/>
        </w:rPr>
        <w:t>Kamerstukken II 2009/2010, 31</w:t>
      </w:r>
      <w:r w:rsidRPr="00CB74A5" w:rsidR="009D63B8">
        <w:rPr>
          <w:sz w:val="20"/>
          <w:szCs w:val="20"/>
          <w:lang w:val="nl-NL"/>
        </w:rPr>
        <w:t> </w:t>
      </w:r>
      <w:r w:rsidRPr="00CB74A5" w:rsidR="008B08FE">
        <w:rPr>
          <w:sz w:val="20"/>
          <w:szCs w:val="20"/>
          <w:lang w:val="nl-NL"/>
        </w:rPr>
        <w:t>585, nr. 11</w:t>
      </w:r>
      <w:r w:rsidRPr="00CB74A5" w:rsidR="00491D09">
        <w:rPr>
          <w:sz w:val="20"/>
          <w:szCs w:val="20"/>
          <w:lang w:val="nl-NL"/>
        </w:rPr>
        <w:t>.</w:t>
      </w:r>
      <w:r w:rsidRPr="00CB74A5" w:rsidDel="00491D09" w:rsidR="00491D09">
        <w:rPr>
          <w:sz w:val="20"/>
          <w:szCs w:val="20"/>
          <w:lang w:val="nl-NL"/>
        </w:rPr>
        <w:t xml:space="preserve"> </w:t>
      </w:r>
    </w:p>
    <w:p w:rsidRPr="00CB74A5" w:rsidR="00491D09" w:rsidP="0007006F" w:rsidRDefault="00491D09">
      <w:pPr>
        <w:tabs>
          <w:tab w:val="left" w:pos="426"/>
        </w:tabs>
        <w:spacing w:after="0" w:line="240" w:lineRule="atLeast"/>
        <w:rPr>
          <w:sz w:val="20"/>
          <w:szCs w:val="20"/>
          <w:lang w:val="nl-NL"/>
        </w:rPr>
      </w:pPr>
    </w:p>
    <w:p w:rsidRPr="00CB74A5" w:rsidR="0007006F" w:rsidP="0007006F" w:rsidRDefault="00534095">
      <w:pPr>
        <w:tabs>
          <w:tab w:val="left" w:pos="426"/>
        </w:tabs>
        <w:spacing w:after="0" w:line="240" w:lineRule="atLeast"/>
        <w:rPr>
          <w:sz w:val="20"/>
          <w:szCs w:val="20"/>
          <w:lang w:val="nl-NL"/>
        </w:rPr>
      </w:pPr>
      <w:r w:rsidRPr="00CB74A5">
        <w:rPr>
          <w:sz w:val="20"/>
          <w:szCs w:val="20"/>
          <w:lang w:val="nl-NL"/>
        </w:rPr>
        <w:t xml:space="preserve">In de jaren 2010 – 2012 lag de prioriteit meestentijds bij andere institutionele Benelux-dossiers waarvan de afronding voor de drie </w:t>
      </w:r>
      <w:r w:rsidRPr="00CB74A5" w:rsidR="002B0A41">
        <w:rPr>
          <w:sz w:val="20"/>
          <w:szCs w:val="20"/>
          <w:lang w:val="nl-NL"/>
        </w:rPr>
        <w:t xml:space="preserve">Benelux-landen </w:t>
      </w:r>
      <w:r w:rsidRPr="00CB74A5">
        <w:rPr>
          <w:sz w:val="20"/>
          <w:szCs w:val="20"/>
          <w:lang w:val="nl-NL"/>
        </w:rPr>
        <w:t xml:space="preserve">noodzakelijk was voor de inwerkingtreding van het </w:t>
      </w:r>
      <w:r w:rsidRPr="00CB74A5" w:rsidR="00AF4FE3">
        <w:rPr>
          <w:sz w:val="20"/>
          <w:szCs w:val="20"/>
          <w:lang w:val="nl-NL"/>
        </w:rPr>
        <w:t xml:space="preserve">Benelux Unie </w:t>
      </w:r>
      <w:r w:rsidRPr="00CB74A5">
        <w:rPr>
          <w:sz w:val="20"/>
          <w:szCs w:val="20"/>
          <w:lang w:val="nl-NL"/>
        </w:rPr>
        <w:t>Verdrag</w:t>
      </w:r>
      <w:r w:rsidRPr="00CB74A5" w:rsidR="002B0A41">
        <w:rPr>
          <w:sz w:val="20"/>
          <w:szCs w:val="20"/>
          <w:lang w:val="nl-NL"/>
        </w:rPr>
        <w:t>.</w:t>
      </w:r>
      <w:r w:rsidRPr="00CB74A5">
        <w:rPr>
          <w:sz w:val="20"/>
          <w:szCs w:val="20"/>
          <w:lang w:val="nl-NL"/>
        </w:rPr>
        <w:t xml:space="preserve"> Nederland gaf de leden van het Permanent Comité van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op 16 december 2011 een toelichting op de opgetreden vertraging</w:t>
      </w:r>
      <w:r w:rsidR="00F4151F">
        <w:rPr>
          <w:sz w:val="20"/>
          <w:szCs w:val="20"/>
          <w:lang w:val="nl-NL"/>
        </w:rPr>
        <w:t xml:space="preserve"> met betrekking tot de verdragsonderhandelingen</w:t>
      </w:r>
      <w:r w:rsidRPr="00CB74A5">
        <w:rPr>
          <w:sz w:val="20"/>
          <w:szCs w:val="20"/>
          <w:lang w:val="nl-NL"/>
        </w:rPr>
        <w:t xml:space="preserve"> tijdens het Nederlandse voorzitterschap van de Benelux. </w:t>
      </w:r>
      <w:r w:rsidR="00C856B0">
        <w:rPr>
          <w:sz w:val="20"/>
          <w:szCs w:val="20"/>
          <w:lang w:val="nl-NL"/>
        </w:rPr>
        <w:t>Veel werk is verricht onder Belgisch Voorzitterschap in 2012. Begin 2014 konden de onderhandelingen onder Nederlands Voorzitterschap worden afgerond.</w:t>
      </w:r>
    </w:p>
    <w:p w:rsidR="00F000A3" w:rsidP="0007006F" w:rsidRDefault="00F000A3">
      <w:pPr>
        <w:tabs>
          <w:tab w:val="left" w:pos="426"/>
        </w:tabs>
        <w:spacing w:after="0" w:line="240" w:lineRule="atLeast"/>
        <w:rPr>
          <w:sz w:val="20"/>
          <w:szCs w:val="20"/>
          <w:lang w:val="nl-NL"/>
        </w:rPr>
      </w:pPr>
    </w:p>
    <w:p w:rsidRPr="00CB74A5" w:rsidR="00534095" w:rsidP="0007006F" w:rsidRDefault="00534095">
      <w:pPr>
        <w:tabs>
          <w:tab w:val="left" w:pos="426"/>
        </w:tabs>
        <w:spacing w:after="0" w:line="240" w:lineRule="atLeast"/>
        <w:rPr>
          <w:sz w:val="20"/>
          <w:szCs w:val="20"/>
          <w:lang w:val="nl-NL"/>
        </w:rPr>
      </w:pPr>
      <w:r w:rsidRPr="00CB74A5">
        <w:rPr>
          <w:sz w:val="20"/>
          <w:szCs w:val="20"/>
          <w:lang w:val="nl-NL"/>
        </w:rPr>
        <w:t>In de periode 2010</w:t>
      </w:r>
      <w:r w:rsidRPr="00CB74A5" w:rsidR="00EE4053">
        <w:rPr>
          <w:sz w:val="20"/>
          <w:szCs w:val="20"/>
          <w:lang w:val="nl-NL"/>
        </w:rPr>
        <w:t xml:space="preserve"> </w:t>
      </w:r>
      <w:r w:rsidRPr="00CB74A5">
        <w:rPr>
          <w:sz w:val="20"/>
          <w:szCs w:val="20"/>
          <w:lang w:val="nl-NL"/>
        </w:rPr>
        <w:t>-</w:t>
      </w:r>
      <w:r w:rsidRPr="00CB74A5" w:rsidR="00EE4053">
        <w:rPr>
          <w:sz w:val="20"/>
          <w:szCs w:val="20"/>
          <w:lang w:val="nl-NL"/>
        </w:rPr>
        <w:t xml:space="preserve"> </w:t>
      </w:r>
      <w:r w:rsidRPr="00CB74A5">
        <w:rPr>
          <w:sz w:val="20"/>
          <w:szCs w:val="20"/>
          <w:lang w:val="nl-NL"/>
        </w:rPr>
        <w:t>2012 evalueerde de Inspectie Ontwikkelingssamenwerking en Beleidsevaluatie (IOB) van het Ministerie van Buitenlandse Zaken de werking van het</w:t>
      </w:r>
      <w:r w:rsidRPr="00CB74A5" w:rsidR="0007006F">
        <w:rPr>
          <w:sz w:val="20"/>
          <w:szCs w:val="20"/>
          <w:lang w:val="nl-NL"/>
        </w:rPr>
        <w:t xml:space="preserve"> Benelux Unie</w:t>
      </w:r>
      <w:r w:rsidRPr="00CB74A5">
        <w:rPr>
          <w:sz w:val="20"/>
          <w:szCs w:val="20"/>
          <w:lang w:val="nl-NL"/>
        </w:rPr>
        <w:t xml:space="preserve"> Verdrag. </w:t>
      </w:r>
      <w:r w:rsidRPr="00CB74A5" w:rsidR="0047533A">
        <w:rPr>
          <w:sz w:val="20"/>
          <w:szCs w:val="20"/>
          <w:lang w:val="nl-NL"/>
        </w:rPr>
        <w:t xml:space="preserve">De Tweede Kamer </w:t>
      </w:r>
      <w:r w:rsidRPr="00CB74A5">
        <w:rPr>
          <w:sz w:val="20"/>
          <w:szCs w:val="20"/>
          <w:lang w:val="nl-NL"/>
        </w:rPr>
        <w:t>werd over het resultaat van deze evaluatie geïnformeerd per brief van 1 februari 2013 (Kamerstuk</w:t>
      </w:r>
      <w:r w:rsidRPr="00CB74A5" w:rsidR="006F6489">
        <w:rPr>
          <w:sz w:val="20"/>
          <w:szCs w:val="20"/>
          <w:lang w:val="nl-NL"/>
        </w:rPr>
        <w:t>ken II 2012/2013,</w:t>
      </w:r>
      <w:r w:rsidRPr="00CB74A5">
        <w:rPr>
          <w:sz w:val="20"/>
          <w:szCs w:val="20"/>
          <w:lang w:val="nl-NL"/>
        </w:rPr>
        <w:t xml:space="preserve"> 31585</w:t>
      </w:r>
      <w:r w:rsidRPr="00CB74A5" w:rsidR="006F6489">
        <w:rPr>
          <w:sz w:val="20"/>
          <w:szCs w:val="20"/>
          <w:lang w:val="nl-NL"/>
        </w:rPr>
        <w:t>,</w:t>
      </w:r>
      <w:r w:rsidRPr="00CB74A5">
        <w:rPr>
          <w:sz w:val="20"/>
          <w:szCs w:val="20"/>
          <w:lang w:val="nl-NL"/>
        </w:rPr>
        <w:t xml:space="preserve"> nr. 12). Het functioneren van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 xml:space="preserve">maakte geen onderdeel uit van de evaluatie. </w:t>
      </w:r>
    </w:p>
    <w:p w:rsidRPr="00CB74A5" w:rsidR="0007006F" w:rsidP="0007006F" w:rsidRDefault="0007006F">
      <w:pPr>
        <w:tabs>
          <w:tab w:val="left" w:pos="426"/>
        </w:tabs>
        <w:spacing w:after="0" w:line="240" w:lineRule="atLeast"/>
        <w:rPr>
          <w:sz w:val="20"/>
          <w:szCs w:val="20"/>
          <w:lang w:val="nl-NL"/>
        </w:rPr>
      </w:pPr>
    </w:p>
    <w:p w:rsidRPr="00CB74A5" w:rsidR="0001255C" w:rsidP="006D0E00" w:rsidRDefault="006D0E00">
      <w:pPr>
        <w:pStyle w:val="ListParagraph"/>
        <w:tabs>
          <w:tab w:val="left" w:pos="426"/>
        </w:tabs>
        <w:spacing w:after="0" w:line="240" w:lineRule="atLeast"/>
        <w:ind w:left="0"/>
        <w:rPr>
          <w:sz w:val="20"/>
          <w:szCs w:val="20"/>
          <w:lang w:val="nl-NL"/>
        </w:rPr>
      </w:pPr>
      <w:r w:rsidRPr="00CB74A5">
        <w:rPr>
          <w:sz w:val="20"/>
          <w:szCs w:val="20"/>
          <w:lang w:val="nl-NL"/>
        </w:rPr>
        <w:t xml:space="preserve">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 xml:space="preserve">nam op </w:t>
      </w:r>
      <w:r w:rsidRPr="00CB74A5" w:rsidR="00895345">
        <w:rPr>
          <w:sz w:val="20"/>
          <w:szCs w:val="20"/>
          <w:lang w:val="nl-NL"/>
        </w:rPr>
        <w:t xml:space="preserve">6 december 2013 </w:t>
      </w:r>
      <w:r w:rsidRPr="00CB74A5" w:rsidR="00534095">
        <w:rPr>
          <w:sz w:val="20"/>
          <w:szCs w:val="20"/>
          <w:lang w:val="nl-NL"/>
        </w:rPr>
        <w:t>aanbeveling 857/1 aan</w:t>
      </w:r>
      <w:r w:rsidR="00CB74A5">
        <w:rPr>
          <w:sz w:val="20"/>
          <w:szCs w:val="20"/>
          <w:lang w:val="nl-NL"/>
        </w:rPr>
        <w:t>. Daari</w:t>
      </w:r>
      <w:r w:rsidRPr="00CB74A5" w:rsidR="003202B6">
        <w:rPr>
          <w:sz w:val="20"/>
          <w:szCs w:val="20"/>
          <w:lang w:val="nl-NL"/>
        </w:rPr>
        <w:t xml:space="preserve">n </w:t>
      </w:r>
      <w:r w:rsidR="00CB74A5">
        <w:rPr>
          <w:sz w:val="20"/>
          <w:szCs w:val="20"/>
          <w:lang w:val="nl-NL"/>
        </w:rPr>
        <w:t xml:space="preserve">werd </w:t>
      </w:r>
      <w:r w:rsidRPr="00CB74A5">
        <w:rPr>
          <w:sz w:val="20"/>
          <w:szCs w:val="20"/>
          <w:lang w:val="nl-NL"/>
        </w:rPr>
        <w:t xml:space="preserve">voor een </w:t>
      </w:r>
      <w:r w:rsidRPr="00CB74A5" w:rsidR="00534095">
        <w:rPr>
          <w:sz w:val="20"/>
          <w:szCs w:val="20"/>
          <w:lang w:val="nl-NL"/>
        </w:rPr>
        <w:t xml:space="preserve">verbeterde werkwijze van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sidR="003202B6">
        <w:rPr>
          <w:sz w:val="20"/>
          <w:szCs w:val="20"/>
          <w:lang w:val="nl-NL"/>
        </w:rPr>
        <w:t xml:space="preserve">het volgende aanbevolen </w:t>
      </w:r>
      <w:r w:rsidRPr="00CB74A5" w:rsidR="003F4899">
        <w:rPr>
          <w:sz w:val="20"/>
          <w:szCs w:val="20"/>
          <w:lang w:val="nl-NL"/>
        </w:rPr>
        <w:t>(</w:t>
      </w:r>
      <w:r w:rsidRPr="00CB74A5" w:rsidR="00895345">
        <w:rPr>
          <w:sz w:val="20"/>
          <w:szCs w:val="20"/>
          <w:lang w:val="nl-NL"/>
        </w:rPr>
        <w:t xml:space="preserve">zie </w:t>
      </w:r>
      <w:r w:rsidRPr="00CB74A5" w:rsidR="003F4899">
        <w:rPr>
          <w:sz w:val="20"/>
          <w:szCs w:val="20"/>
          <w:lang w:val="nl-NL"/>
        </w:rPr>
        <w:t>doc. 857/1 van 11 december 2013)</w:t>
      </w:r>
      <w:r w:rsidRPr="00CB74A5" w:rsidR="0001255C">
        <w:rPr>
          <w:sz w:val="20"/>
          <w:szCs w:val="20"/>
          <w:lang w:val="nl-NL"/>
        </w:rPr>
        <w:t>:</w:t>
      </w:r>
    </w:p>
    <w:p w:rsidRPr="00CB74A5" w:rsidR="0001255C" w:rsidP="0001255C" w:rsidRDefault="0001255C">
      <w:pPr>
        <w:pStyle w:val="ListParagraph"/>
        <w:numPr>
          <w:ilvl w:val="0"/>
          <w:numId w:val="6"/>
        </w:numPr>
        <w:tabs>
          <w:tab w:val="left" w:pos="426"/>
        </w:tabs>
        <w:spacing w:after="0" w:line="240" w:lineRule="atLeast"/>
        <w:rPr>
          <w:sz w:val="20"/>
          <w:szCs w:val="20"/>
          <w:lang w:val="nl-NL"/>
        </w:rPr>
      </w:pPr>
      <w:r w:rsidRPr="00CB74A5">
        <w:rPr>
          <w:sz w:val="20"/>
          <w:szCs w:val="20"/>
          <w:lang w:val="nl-NL"/>
        </w:rPr>
        <w:t>een betere politieke sturing en optimalisering van de rol van het Beneluxparlement</w:t>
      </w:r>
      <w:r w:rsidRPr="00CB74A5" w:rsidR="003F4899">
        <w:rPr>
          <w:sz w:val="20"/>
          <w:szCs w:val="20"/>
          <w:lang w:val="nl-NL"/>
        </w:rPr>
        <w:t>;</w:t>
      </w:r>
    </w:p>
    <w:p w:rsidRPr="00CB74A5" w:rsidR="003F4899" w:rsidP="0001255C" w:rsidRDefault="003F4899">
      <w:pPr>
        <w:pStyle w:val="ListParagraph"/>
        <w:numPr>
          <w:ilvl w:val="0"/>
          <w:numId w:val="6"/>
        </w:numPr>
        <w:tabs>
          <w:tab w:val="left" w:pos="426"/>
        </w:tabs>
        <w:spacing w:after="0" w:line="240" w:lineRule="atLeast"/>
        <w:rPr>
          <w:sz w:val="20"/>
          <w:szCs w:val="20"/>
          <w:lang w:val="nl-NL"/>
        </w:rPr>
      </w:pPr>
      <w:r w:rsidRPr="00CB74A5">
        <w:rPr>
          <w:sz w:val="20"/>
          <w:szCs w:val="20"/>
          <w:lang w:val="nl-NL"/>
        </w:rPr>
        <w:t>een verbetering van de inhoudelijke ondersteuning en informatievoorziening;</w:t>
      </w:r>
    </w:p>
    <w:p w:rsidRPr="00CB74A5" w:rsidR="003F4899" w:rsidP="0001255C" w:rsidRDefault="003F4899">
      <w:pPr>
        <w:pStyle w:val="ListParagraph"/>
        <w:numPr>
          <w:ilvl w:val="0"/>
          <w:numId w:val="6"/>
        </w:numPr>
        <w:tabs>
          <w:tab w:val="left" w:pos="426"/>
        </w:tabs>
        <w:spacing w:after="0" w:line="240" w:lineRule="atLeast"/>
        <w:rPr>
          <w:sz w:val="20"/>
          <w:szCs w:val="20"/>
          <w:lang w:val="nl-NL"/>
        </w:rPr>
      </w:pPr>
      <w:r w:rsidRPr="00CB74A5">
        <w:rPr>
          <w:sz w:val="20"/>
          <w:szCs w:val="20"/>
          <w:lang w:val="nl-NL"/>
        </w:rPr>
        <w:t>een efficiëntere communicatie.</w:t>
      </w:r>
    </w:p>
    <w:p w:rsidRPr="00CB74A5" w:rsidR="00ED0973" w:rsidP="003F4899" w:rsidRDefault="0020418D">
      <w:pPr>
        <w:tabs>
          <w:tab w:val="left" w:pos="426"/>
        </w:tabs>
        <w:spacing w:after="0" w:line="240" w:lineRule="atLeast"/>
        <w:rPr>
          <w:sz w:val="20"/>
          <w:szCs w:val="20"/>
          <w:lang w:val="nl-NL"/>
        </w:rPr>
      </w:pPr>
      <w:r w:rsidRPr="00CB74A5">
        <w:rPr>
          <w:sz w:val="20"/>
          <w:szCs w:val="20"/>
          <w:lang w:val="nl-NL"/>
        </w:rPr>
        <w:t xml:space="preserve">In een brief van 19 februari 2014 </w:t>
      </w:r>
      <w:r w:rsidRPr="00CB74A5" w:rsidR="006D0E00">
        <w:rPr>
          <w:sz w:val="20"/>
          <w:szCs w:val="20"/>
          <w:lang w:val="nl-NL"/>
        </w:rPr>
        <w:t>aan de Voorzitters van de Eerste en van de Tweede Kamer beschreef d</w:t>
      </w:r>
      <w:r w:rsidRPr="00CB74A5">
        <w:rPr>
          <w:sz w:val="20"/>
          <w:szCs w:val="20"/>
          <w:lang w:val="nl-NL"/>
        </w:rPr>
        <w:t xml:space="preserve">e </w:t>
      </w:r>
      <w:r w:rsidRPr="00CB74A5" w:rsidR="00895345">
        <w:rPr>
          <w:sz w:val="20"/>
          <w:szCs w:val="20"/>
          <w:lang w:val="nl-NL"/>
        </w:rPr>
        <w:t xml:space="preserve">Nederlandse </w:t>
      </w:r>
      <w:r w:rsidRPr="00CB74A5">
        <w:rPr>
          <w:sz w:val="20"/>
          <w:szCs w:val="20"/>
          <w:lang w:val="nl-NL"/>
        </w:rPr>
        <w:t xml:space="preserve">delegatie </w:t>
      </w:r>
      <w:r w:rsidRPr="00CB74A5" w:rsidR="006D0E00">
        <w:rPr>
          <w:sz w:val="20"/>
          <w:szCs w:val="20"/>
          <w:lang w:val="nl-NL"/>
        </w:rPr>
        <w:t xml:space="preserve">naar </w:t>
      </w:r>
      <w:r w:rsidRPr="00CB74A5">
        <w:rPr>
          <w:sz w:val="20"/>
          <w:szCs w:val="20"/>
          <w:lang w:val="nl-NL"/>
        </w:rPr>
        <w:t xml:space="preserve">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sidR="003202B6">
        <w:rPr>
          <w:sz w:val="20"/>
          <w:szCs w:val="20"/>
          <w:lang w:val="nl-NL"/>
        </w:rPr>
        <w:t xml:space="preserve">in een verslag </w:t>
      </w:r>
      <w:r w:rsidRPr="00CB74A5" w:rsidR="006D0E00">
        <w:rPr>
          <w:sz w:val="20"/>
          <w:szCs w:val="20"/>
          <w:lang w:val="nl-NL"/>
        </w:rPr>
        <w:t xml:space="preserve">de besprekingen die tot de </w:t>
      </w:r>
      <w:r w:rsidRPr="00CB74A5">
        <w:rPr>
          <w:sz w:val="20"/>
          <w:szCs w:val="20"/>
          <w:lang w:val="nl-NL"/>
        </w:rPr>
        <w:t>aanbevelingen</w:t>
      </w:r>
      <w:r w:rsidRPr="00CB74A5" w:rsidR="00895345">
        <w:rPr>
          <w:sz w:val="20"/>
          <w:szCs w:val="20"/>
          <w:lang w:val="nl-NL"/>
        </w:rPr>
        <w:t xml:space="preserve"> </w:t>
      </w:r>
      <w:r w:rsidRPr="00CB74A5" w:rsidR="006D0E00">
        <w:rPr>
          <w:sz w:val="20"/>
          <w:szCs w:val="20"/>
          <w:lang w:val="nl-NL"/>
        </w:rPr>
        <w:t xml:space="preserve">hebben geleid </w:t>
      </w:r>
      <w:r w:rsidRPr="00CB74A5" w:rsidR="00895345">
        <w:rPr>
          <w:sz w:val="20"/>
          <w:szCs w:val="20"/>
          <w:lang w:val="nl-NL"/>
        </w:rPr>
        <w:t>(Kamerstukken 2013/2014, 33</w:t>
      </w:r>
      <w:r w:rsidR="00C856B0">
        <w:rPr>
          <w:sz w:val="20"/>
          <w:szCs w:val="20"/>
          <w:lang w:val="nl-NL"/>
        </w:rPr>
        <w:t xml:space="preserve"> </w:t>
      </w:r>
      <w:r w:rsidRPr="00CB74A5" w:rsidR="00895345">
        <w:rPr>
          <w:sz w:val="20"/>
          <w:szCs w:val="20"/>
          <w:lang w:val="nl-NL"/>
        </w:rPr>
        <w:t>434, nr. 15)</w:t>
      </w:r>
      <w:r w:rsidRPr="00CB74A5">
        <w:rPr>
          <w:sz w:val="20"/>
          <w:szCs w:val="20"/>
          <w:lang w:val="nl-NL"/>
        </w:rPr>
        <w:t>.</w:t>
      </w:r>
      <w:r w:rsidR="00135FA3">
        <w:rPr>
          <w:sz w:val="20"/>
          <w:szCs w:val="20"/>
          <w:lang w:val="nl-NL"/>
        </w:rPr>
        <w:t xml:space="preserve"> </w:t>
      </w:r>
    </w:p>
    <w:p w:rsidRPr="00CB74A5" w:rsidR="00852F87" w:rsidP="003F4899" w:rsidRDefault="00852F87">
      <w:pPr>
        <w:tabs>
          <w:tab w:val="left" w:pos="426"/>
        </w:tabs>
        <w:spacing w:after="0" w:line="240" w:lineRule="atLeast"/>
        <w:rPr>
          <w:sz w:val="20"/>
          <w:szCs w:val="20"/>
          <w:lang w:val="nl-NL"/>
        </w:rPr>
      </w:pPr>
    </w:p>
    <w:p w:rsidRPr="00CB74A5" w:rsidR="007C424B" w:rsidP="00CA2A85" w:rsidRDefault="00FB551E">
      <w:pPr>
        <w:pStyle w:val="ListParagraph"/>
        <w:numPr>
          <w:ilvl w:val="0"/>
          <w:numId w:val="10"/>
        </w:numPr>
        <w:tabs>
          <w:tab w:val="left" w:pos="426"/>
        </w:tabs>
        <w:spacing w:after="0" w:line="240" w:lineRule="atLeast"/>
        <w:rPr>
          <w:rFonts w:cs="Arial"/>
          <w:i/>
          <w:sz w:val="20"/>
          <w:szCs w:val="20"/>
          <w:u w:val="single"/>
          <w:lang w:val="nl-NL"/>
        </w:rPr>
      </w:pPr>
      <w:r w:rsidRPr="00CB74A5">
        <w:rPr>
          <w:rFonts w:cs="Arial"/>
          <w:i/>
          <w:sz w:val="20"/>
          <w:szCs w:val="20"/>
          <w:u w:val="single"/>
          <w:lang w:val="nl-NL"/>
        </w:rPr>
        <w:t>Artikelsgewijze toelichting</w:t>
      </w:r>
    </w:p>
    <w:p w:rsidRPr="00CB74A5" w:rsidR="006D0E00" w:rsidP="0007006F" w:rsidRDefault="006D0E00">
      <w:pPr>
        <w:tabs>
          <w:tab w:val="left" w:pos="426"/>
        </w:tabs>
        <w:spacing w:after="0" w:line="240" w:lineRule="atLeast"/>
        <w:rPr>
          <w:sz w:val="20"/>
          <w:szCs w:val="20"/>
          <w:lang w:val="nl-NL"/>
        </w:rPr>
      </w:pPr>
      <w:r w:rsidRPr="00CB74A5">
        <w:rPr>
          <w:sz w:val="20"/>
          <w:szCs w:val="20"/>
          <w:lang w:val="nl-NL"/>
        </w:rPr>
        <w:t xml:space="preserve">Op 20 juni 2014 gaf het Benelux Comité van Ministers in een brief aan dat het bij de afronding van de verdragstekst rekening zou houden met de </w:t>
      </w:r>
      <w:r w:rsidRPr="00CB74A5" w:rsidR="00C95156">
        <w:rPr>
          <w:sz w:val="20"/>
          <w:szCs w:val="20"/>
          <w:lang w:val="nl-NL"/>
        </w:rPr>
        <w:t xml:space="preserve">voornoemde </w:t>
      </w:r>
      <w:r w:rsidRPr="00CB74A5">
        <w:rPr>
          <w:sz w:val="20"/>
          <w:szCs w:val="20"/>
          <w:lang w:val="nl-NL"/>
        </w:rPr>
        <w:t xml:space="preserve">aanbevelingen van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sidR="00C95156">
        <w:rPr>
          <w:sz w:val="20"/>
          <w:szCs w:val="20"/>
          <w:lang w:val="nl-NL"/>
        </w:rPr>
        <w:t xml:space="preserve">(zie </w:t>
      </w:r>
      <w:r w:rsidRPr="00CB74A5">
        <w:rPr>
          <w:sz w:val="20"/>
          <w:szCs w:val="20"/>
          <w:lang w:val="nl-NL"/>
        </w:rPr>
        <w:t>doc 857/</w:t>
      </w:r>
      <w:r w:rsidRPr="00CB74A5" w:rsidR="00C95156">
        <w:rPr>
          <w:sz w:val="20"/>
          <w:szCs w:val="20"/>
          <w:lang w:val="nl-NL"/>
        </w:rPr>
        <w:t>2</w:t>
      </w:r>
      <w:r w:rsidRPr="00CB74A5">
        <w:rPr>
          <w:sz w:val="20"/>
          <w:szCs w:val="20"/>
          <w:lang w:val="nl-NL"/>
        </w:rPr>
        <w:t xml:space="preserve"> </w:t>
      </w:r>
      <w:r w:rsidRPr="00CB74A5" w:rsidR="00C95156">
        <w:rPr>
          <w:sz w:val="20"/>
          <w:szCs w:val="20"/>
          <w:lang w:val="nl-NL"/>
        </w:rPr>
        <w:t xml:space="preserve">van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van 24 juni 2014</w:t>
      </w:r>
      <w:r w:rsidRPr="00CB74A5" w:rsidR="00C95156">
        <w:rPr>
          <w:sz w:val="20"/>
          <w:szCs w:val="20"/>
          <w:lang w:val="nl-NL"/>
        </w:rPr>
        <w:t>)</w:t>
      </w:r>
      <w:r w:rsidRPr="00CB74A5">
        <w:rPr>
          <w:sz w:val="20"/>
          <w:szCs w:val="20"/>
          <w:lang w:val="nl-NL"/>
        </w:rPr>
        <w:t xml:space="preserve">. </w:t>
      </w:r>
      <w:r w:rsidRPr="00CB74A5">
        <w:rPr>
          <w:sz w:val="20"/>
          <w:szCs w:val="20"/>
          <w:lang w:val="nl-NL"/>
        </w:rPr>
        <w:br/>
      </w:r>
    </w:p>
    <w:p w:rsidRPr="00CB74A5" w:rsidR="00D937D6" w:rsidP="00D937D6" w:rsidRDefault="003202B6">
      <w:pPr>
        <w:tabs>
          <w:tab w:val="left" w:pos="426"/>
        </w:tabs>
        <w:spacing w:after="0" w:line="240" w:lineRule="atLeast"/>
        <w:rPr>
          <w:sz w:val="20"/>
          <w:szCs w:val="20"/>
          <w:lang w:val="nl-NL"/>
        </w:rPr>
      </w:pPr>
      <w:r w:rsidRPr="00CB74A5">
        <w:rPr>
          <w:sz w:val="20"/>
          <w:szCs w:val="20"/>
          <w:lang w:val="nl-NL"/>
        </w:rPr>
        <w:t xml:space="preserve">Het </w:t>
      </w:r>
      <w:r w:rsidRPr="00CB74A5" w:rsidR="00FE2F09">
        <w:rPr>
          <w:sz w:val="20"/>
          <w:szCs w:val="20"/>
          <w:lang w:val="nl-NL"/>
        </w:rPr>
        <w:t>onderhavige Verdrag dat ter goedkeuring wordt aangeboden</w:t>
      </w:r>
      <w:r w:rsidRPr="00CB74A5">
        <w:rPr>
          <w:sz w:val="20"/>
          <w:szCs w:val="20"/>
          <w:lang w:val="nl-NL"/>
        </w:rPr>
        <w:t xml:space="preserve">, bevat bepalingen waardoor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bij</w:t>
      </w:r>
      <w:r w:rsidRPr="00CB74A5" w:rsidR="004208FF">
        <w:rPr>
          <w:sz w:val="20"/>
          <w:szCs w:val="20"/>
          <w:lang w:val="nl-NL"/>
        </w:rPr>
        <w:t xml:space="preserve"> de tijd </w:t>
      </w:r>
      <w:r w:rsidRPr="00CB74A5">
        <w:rPr>
          <w:sz w:val="20"/>
          <w:szCs w:val="20"/>
          <w:lang w:val="nl-NL"/>
        </w:rPr>
        <w:t>wordt gebracht</w:t>
      </w:r>
      <w:r w:rsidRPr="00CB74A5" w:rsidR="004208FF">
        <w:rPr>
          <w:sz w:val="20"/>
          <w:szCs w:val="20"/>
          <w:lang w:val="nl-NL"/>
        </w:rPr>
        <w:t xml:space="preserve"> en</w:t>
      </w:r>
      <w:r w:rsidR="00C856B0">
        <w:rPr>
          <w:sz w:val="20"/>
          <w:szCs w:val="20"/>
          <w:lang w:val="nl-NL"/>
        </w:rPr>
        <w:t xml:space="preserve"> wordt</w:t>
      </w:r>
      <w:r w:rsidRPr="00CB74A5" w:rsidR="004208FF">
        <w:rPr>
          <w:sz w:val="20"/>
          <w:szCs w:val="20"/>
          <w:lang w:val="nl-NL"/>
        </w:rPr>
        <w:t xml:space="preserve"> </w:t>
      </w:r>
      <w:r w:rsidRPr="00CB74A5">
        <w:rPr>
          <w:sz w:val="20"/>
          <w:szCs w:val="20"/>
          <w:lang w:val="nl-NL"/>
        </w:rPr>
        <w:t xml:space="preserve">gemoderniseerd. Met inachtneming van de door de </w:t>
      </w:r>
      <w:r w:rsidRPr="00CB74A5" w:rsidR="00072F2C">
        <w:rPr>
          <w:sz w:val="20"/>
          <w:szCs w:val="20"/>
          <w:lang w:val="nl-NL"/>
        </w:rPr>
        <w:t>I</w:t>
      </w:r>
      <w:r w:rsidR="00072F2C">
        <w:rPr>
          <w:sz w:val="20"/>
          <w:szCs w:val="20"/>
          <w:lang w:val="nl-NL"/>
        </w:rPr>
        <w:t>B</w:t>
      </w:r>
      <w:r w:rsidRPr="00CB74A5" w:rsidR="00072F2C">
        <w:rPr>
          <w:sz w:val="20"/>
          <w:szCs w:val="20"/>
          <w:lang w:val="nl-NL"/>
        </w:rPr>
        <w:t xml:space="preserve">R </w:t>
      </w:r>
      <w:r w:rsidRPr="00CB74A5">
        <w:rPr>
          <w:sz w:val="20"/>
          <w:szCs w:val="20"/>
          <w:lang w:val="nl-NL"/>
        </w:rPr>
        <w:t xml:space="preserve">genoemde 3 aanbevelingspunten </w:t>
      </w:r>
      <w:r w:rsidR="00D7140D">
        <w:rPr>
          <w:sz w:val="20"/>
          <w:szCs w:val="20"/>
          <w:lang w:val="nl-NL"/>
        </w:rPr>
        <w:t>gaat het om de volgende</w:t>
      </w:r>
      <w:r w:rsidRPr="00CB74A5">
        <w:rPr>
          <w:sz w:val="20"/>
          <w:szCs w:val="20"/>
          <w:lang w:val="nl-NL"/>
        </w:rPr>
        <w:t>:</w:t>
      </w:r>
    </w:p>
    <w:p w:rsidRPr="00CB74A5" w:rsidR="00D937D6" w:rsidP="00D937D6" w:rsidRDefault="00D937D6">
      <w:pPr>
        <w:pStyle w:val="ListParagraph"/>
        <w:numPr>
          <w:ilvl w:val="0"/>
          <w:numId w:val="7"/>
        </w:numPr>
        <w:tabs>
          <w:tab w:val="left" w:pos="426"/>
        </w:tabs>
        <w:spacing w:after="0" w:line="240" w:lineRule="atLeast"/>
        <w:rPr>
          <w:sz w:val="20"/>
          <w:szCs w:val="20"/>
          <w:lang w:val="nl-NL"/>
        </w:rPr>
      </w:pPr>
      <w:proofErr w:type="gramStart"/>
      <w:r w:rsidRPr="00CB74A5">
        <w:rPr>
          <w:sz w:val="20"/>
          <w:szCs w:val="20"/>
          <w:lang w:val="nl-NL"/>
        </w:rPr>
        <w:t>ten aanzien van de aanbeveling “betere politieke sturing en optimalisering van de rol van de Assemblee”</w:t>
      </w:r>
      <w:r w:rsidR="009F76D7">
        <w:rPr>
          <w:sz w:val="20"/>
          <w:szCs w:val="20"/>
          <w:lang w:val="nl-NL"/>
        </w:rPr>
        <w:t>:</w:t>
      </w:r>
      <w:r w:rsidR="00CB74A5">
        <w:rPr>
          <w:sz w:val="20"/>
          <w:szCs w:val="20"/>
          <w:lang w:val="nl-NL"/>
        </w:rPr>
        <w:t xml:space="preserve"> </w:t>
      </w:r>
      <w:r w:rsidR="006A5B4B">
        <w:rPr>
          <w:sz w:val="20"/>
          <w:szCs w:val="20"/>
          <w:lang w:val="nl-NL"/>
        </w:rPr>
        <w:t xml:space="preserve">meer </w:t>
      </w:r>
      <w:r w:rsidRPr="00CB74A5" w:rsidR="0037375E">
        <w:rPr>
          <w:sz w:val="20"/>
          <w:szCs w:val="20"/>
          <w:lang w:val="nl-NL"/>
        </w:rPr>
        <w:t xml:space="preserve">onderwerpen </w:t>
      </w:r>
      <w:r w:rsidR="006A5B4B">
        <w:rPr>
          <w:sz w:val="20"/>
          <w:szCs w:val="20"/>
          <w:lang w:val="nl-NL"/>
        </w:rPr>
        <w:t xml:space="preserve">voor bespreking </w:t>
      </w:r>
      <w:r w:rsidRPr="00CB74A5" w:rsidR="0037375E">
        <w:rPr>
          <w:sz w:val="20"/>
          <w:szCs w:val="20"/>
          <w:lang w:val="nl-NL"/>
        </w:rPr>
        <w:t>in de Assemblee</w:t>
      </w:r>
      <w:r w:rsidRPr="00CB74A5" w:rsidR="00682631">
        <w:rPr>
          <w:sz w:val="20"/>
          <w:szCs w:val="20"/>
          <w:lang w:val="nl-NL"/>
        </w:rPr>
        <w:t xml:space="preserve"> (artikel 3)</w:t>
      </w:r>
      <w:r w:rsidRPr="00CB74A5" w:rsidR="004208FF">
        <w:rPr>
          <w:sz w:val="20"/>
          <w:szCs w:val="20"/>
          <w:lang w:val="nl-NL"/>
        </w:rPr>
        <w:t>,</w:t>
      </w:r>
      <w:r w:rsidRPr="00CB74A5" w:rsidR="00682631">
        <w:rPr>
          <w:sz w:val="20"/>
          <w:szCs w:val="20"/>
          <w:lang w:val="nl-NL"/>
        </w:rPr>
        <w:t xml:space="preserve"> de n</w:t>
      </w:r>
      <w:r w:rsidRPr="00CB74A5" w:rsidR="0037375E">
        <w:rPr>
          <w:sz w:val="20"/>
          <w:szCs w:val="20"/>
          <w:lang w:val="nl-NL"/>
        </w:rPr>
        <w:t>ieuwe bevoegdhe</w:t>
      </w:r>
      <w:r w:rsidR="00CB74A5">
        <w:rPr>
          <w:sz w:val="20"/>
          <w:szCs w:val="20"/>
          <w:lang w:val="nl-NL"/>
        </w:rPr>
        <w:t>i</w:t>
      </w:r>
      <w:r w:rsidRPr="00CB74A5" w:rsidR="0037375E">
        <w:rPr>
          <w:sz w:val="20"/>
          <w:szCs w:val="20"/>
          <w:lang w:val="nl-NL"/>
        </w:rPr>
        <w:t xml:space="preserve">d </w:t>
      </w:r>
      <w:r w:rsidRPr="00CB74A5" w:rsidR="007B5EF1">
        <w:rPr>
          <w:sz w:val="20"/>
          <w:szCs w:val="20"/>
          <w:lang w:val="nl-NL"/>
        </w:rPr>
        <w:t>v</w:t>
      </w:r>
      <w:r w:rsidR="007B5EF1">
        <w:rPr>
          <w:sz w:val="20"/>
          <w:szCs w:val="20"/>
          <w:lang w:val="nl-NL"/>
        </w:rPr>
        <w:t>oor</w:t>
      </w:r>
      <w:r w:rsidRPr="00CB74A5" w:rsidR="007B5EF1">
        <w:rPr>
          <w:sz w:val="20"/>
          <w:szCs w:val="20"/>
          <w:lang w:val="nl-NL"/>
        </w:rPr>
        <w:t xml:space="preserve"> </w:t>
      </w:r>
      <w:r w:rsidRPr="00CB74A5" w:rsidR="0037375E">
        <w:rPr>
          <w:sz w:val="20"/>
          <w:szCs w:val="20"/>
          <w:lang w:val="nl-NL"/>
        </w:rPr>
        <w:t>de Assemblee</w:t>
      </w:r>
      <w:r w:rsidRPr="00CB74A5" w:rsidR="00682631">
        <w:rPr>
          <w:sz w:val="20"/>
          <w:szCs w:val="20"/>
          <w:lang w:val="nl-NL"/>
        </w:rPr>
        <w:t xml:space="preserve"> </w:t>
      </w:r>
      <w:r w:rsidR="006A5B4B">
        <w:rPr>
          <w:sz w:val="20"/>
          <w:szCs w:val="20"/>
          <w:lang w:val="nl-NL"/>
        </w:rPr>
        <w:t xml:space="preserve">om schriftelijke vragen te stellen aan het Benelux Comité van Ministers </w:t>
      </w:r>
      <w:r w:rsidRPr="00CB74A5" w:rsidR="00682631">
        <w:rPr>
          <w:sz w:val="20"/>
          <w:szCs w:val="20"/>
          <w:lang w:val="nl-NL"/>
        </w:rPr>
        <w:t>(artikel 5</w:t>
      </w:r>
      <w:r w:rsidR="00CB74A5">
        <w:rPr>
          <w:sz w:val="20"/>
          <w:szCs w:val="20"/>
          <w:lang w:val="nl-NL"/>
        </w:rPr>
        <w:t xml:space="preserve">) en </w:t>
      </w:r>
      <w:r w:rsidR="007B5EF1">
        <w:rPr>
          <w:sz w:val="20"/>
          <w:szCs w:val="20"/>
          <w:lang w:val="nl-NL"/>
        </w:rPr>
        <w:t xml:space="preserve">de </w:t>
      </w:r>
      <w:r w:rsidR="006A5B4B">
        <w:rPr>
          <w:sz w:val="20"/>
          <w:szCs w:val="20"/>
          <w:lang w:val="nl-NL"/>
        </w:rPr>
        <w:t xml:space="preserve">mogelijkheid voor </w:t>
      </w:r>
      <w:r w:rsidR="00D7140D">
        <w:rPr>
          <w:sz w:val="20"/>
          <w:szCs w:val="20"/>
          <w:lang w:val="nl-NL"/>
        </w:rPr>
        <w:t>de Assemblee</w:t>
      </w:r>
      <w:r w:rsidR="00F4151F">
        <w:rPr>
          <w:sz w:val="20"/>
          <w:szCs w:val="20"/>
          <w:lang w:val="nl-NL"/>
        </w:rPr>
        <w:t xml:space="preserve"> </w:t>
      </w:r>
      <w:r w:rsidR="006A5B4B">
        <w:rPr>
          <w:sz w:val="20"/>
          <w:szCs w:val="20"/>
          <w:lang w:val="nl-NL"/>
        </w:rPr>
        <w:t xml:space="preserve">om regeringsvertegenwoordigers uit te nodigen voor een bespreking </w:t>
      </w:r>
      <w:r w:rsidR="00D7140D">
        <w:rPr>
          <w:sz w:val="20"/>
          <w:szCs w:val="20"/>
          <w:lang w:val="nl-NL"/>
        </w:rPr>
        <w:t xml:space="preserve">(artikel </w:t>
      </w:r>
      <w:r w:rsidRPr="00CB74A5" w:rsidR="00682631">
        <w:rPr>
          <w:sz w:val="20"/>
          <w:szCs w:val="20"/>
          <w:lang w:val="nl-NL"/>
        </w:rPr>
        <w:t>6)</w:t>
      </w:r>
      <w:r w:rsidRPr="00CB74A5">
        <w:rPr>
          <w:sz w:val="20"/>
          <w:szCs w:val="20"/>
          <w:lang w:val="nl-NL"/>
        </w:rPr>
        <w:t>;</w:t>
      </w:r>
      <w:r w:rsidRPr="00CB74A5" w:rsidR="00D77661">
        <w:rPr>
          <w:sz w:val="20"/>
          <w:szCs w:val="20"/>
          <w:lang w:val="nl-NL"/>
        </w:rPr>
        <w:t xml:space="preserve"> </w:t>
      </w:r>
      <w:proofErr w:type="gramEnd"/>
    </w:p>
    <w:p w:rsidRPr="00CB74A5" w:rsidR="00D937D6" w:rsidP="00D77661" w:rsidRDefault="00D937D6">
      <w:pPr>
        <w:pStyle w:val="ListParagraph"/>
        <w:numPr>
          <w:ilvl w:val="0"/>
          <w:numId w:val="7"/>
        </w:numPr>
        <w:tabs>
          <w:tab w:val="left" w:pos="426"/>
        </w:tabs>
        <w:spacing w:after="0" w:line="240" w:lineRule="atLeast"/>
        <w:rPr>
          <w:sz w:val="20"/>
          <w:szCs w:val="20"/>
          <w:lang w:val="nl-NL"/>
        </w:rPr>
      </w:pPr>
      <w:proofErr w:type="gramStart"/>
      <w:r w:rsidRPr="00CB74A5">
        <w:rPr>
          <w:sz w:val="20"/>
          <w:szCs w:val="20"/>
          <w:lang w:val="nl-NL"/>
        </w:rPr>
        <w:lastRenderedPageBreak/>
        <w:t xml:space="preserve">ten aanzien van de aanbeveling “een verbetering van de inhoudelijke ondersteuning en informatievoorziening”: </w:t>
      </w:r>
      <w:r w:rsidR="00232D14">
        <w:rPr>
          <w:sz w:val="20"/>
          <w:szCs w:val="20"/>
          <w:lang w:val="nl-NL"/>
        </w:rPr>
        <w:t xml:space="preserve">betere informatievoorziening betreffende </w:t>
      </w:r>
      <w:r w:rsidRPr="00CB74A5" w:rsidR="00951A45">
        <w:rPr>
          <w:sz w:val="20"/>
          <w:szCs w:val="20"/>
          <w:lang w:val="nl-NL"/>
        </w:rPr>
        <w:t>de beleidsprioriteiten van de Benelux Unie (artikel 7</w:t>
      </w:r>
      <w:r w:rsidR="00DF6E67">
        <w:rPr>
          <w:sz w:val="20"/>
          <w:szCs w:val="20"/>
          <w:lang w:val="nl-NL"/>
        </w:rPr>
        <w:t>)</w:t>
      </w:r>
      <w:r w:rsidR="00124136">
        <w:rPr>
          <w:sz w:val="20"/>
          <w:szCs w:val="20"/>
          <w:lang w:val="nl-NL"/>
        </w:rPr>
        <w:t>;</w:t>
      </w:r>
      <w:r w:rsidRPr="00CB74A5" w:rsidR="004208FF">
        <w:rPr>
          <w:sz w:val="20"/>
          <w:szCs w:val="20"/>
          <w:lang w:val="nl-NL"/>
        </w:rPr>
        <w:t xml:space="preserve"> </w:t>
      </w:r>
      <w:proofErr w:type="gramEnd"/>
    </w:p>
    <w:p w:rsidRPr="00CB74A5" w:rsidR="00EB72BE" w:rsidP="00D77661" w:rsidRDefault="00D937D6">
      <w:pPr>
        <w:pStyle w:val="ListParagraph"/>
        <w:numPr>
          <w:ilvl w:val="0"/>
          <w:numId w:val="7"/>
        </w:numPr>
        <w:tabs>
          <w:tab w:val="left" w:pos="426"/>
        </w:tabs>
        <w:spacing w:after="0" w:line="240" w:lineRule="atLeast"/>
        <w:rPr>
          <w:sz w:val="20"/>
          <w:szCs w:val="20"/>
          <w:lang w:val="nl-NL"/>
        </w:rPr>
      </w:pPr>
      <w:r w:rsidRPr="00CB74A5">
        <w:rPr>
          <w:sz w:val="20"/>
          <w:szCs w:val="20"/>
          <w:lang w:val="nl-NL"/>
        </w:rPr>
        <w:t xml:space="preserve">ten aanzien van de aanbeveling “een efficiëntere communicatie”: </w:t>
      </w:r>
      <w:r w:rsidRPr="00CB74A5" w:rsidR="004208FF">
        <w:rPr>
          <w:sz w:val="20"/>
          <w:szCs w:val="20"/>
          <w:lang w:val="nl-NL"/>
        </w:rPr>
        <w:t>de bespreking van het meerjarig Gemeenschappelijk Werkprogramma en het jaarplan van de Benelux Unie in de Assemblee (artikel 8) en de openbaarheid van de vergaderingen van de Assemblee (artikel 10</w:t>
      </w:r>
      <w:r w:rsidR="00DE7034">
        <w:rPr>
          <w:sz w:val="20"/>
          <w:szCs w:val="20"/>
          <w:lang w:val="nl-NL"/>
        </w:rPr>
        <w:t>, eerste lid</w:t>
      </w:r>
      <w:r w:rsidRPr="00CB74A5" w:rsidR="004208FF">
        <w:rPr>
          <w:sz w:val="20"/>
          <w:szCs w:val="20"/>
          <w:lang w:val="nl-NL"/>
        </w:rPr>
        <w:t>)</w:t>
      </w:r>
      <w:r w:rsidRPr="00CB74A5" w:rsidR="008F5EC1">
        <w:rPr>
          <w:sz w:val="20"/>
          <w:szCs w:val="20"/>
          <w:lang w:val="nl-NL"/>
        </w:rPr>
        <w:t>.</w:t>
      </w:r>
    </w:p>
    <w:p w:rsidRPr="00CB74A5" w:rsidR="00C95156" w:rsidP="0007006F" w:rsidRDefault="00C95156">
      <w:pPr>
        <w:tabs>
          <w:tab w:val="left" w:pos="426"/>
        </w:tabs>
        <w:spacing w:after="0" w:line="240" w:lineRule="atLeast"/>
        <w:rPr>
          <w:sz w:val="20"/>
          <w:szCs w:val="20"/>
          <w:lang w:val="nl-NL"/>
        </w:rPr>
      </w:pPr>
    </w:p>
    <w:p w:rsidRPr="00CB74A5" w:rsidR="0007006F" w:rsidP="0007006F" w:rsidRDefault="00C95156">
      <w:pPr>
        <w:tabs>
          <w:tab w:val="left" w:pos="426"/>
        </w:tabs>
        <w:spacing w:after="0" w:line="240" w:lineRule="atLeast"/>
        <w:rPr>
          <w:rFonts w:cs="Arial"/>
          <w:sz w:val="20"/>
          <w:szCs w:val="20"/>
          <w:u w:val="single"/>
          <w:lang w:val="nl-NL"/>
        </w:rPr>
      </w:pPr>
      <w:r w:rsidRPr="00CB74A5">
        <w:rPr>
          <w:sz w:val="20"/>
          <w:szCs w:val="20"/>
          <w:lang w:val="nl-NL"/>
        </w:rPr>
        <w:t>Het Verdrag is onderverdeeld in vier delen. Hieronder worden per verdragsdeel de artikelen toegelicht. De bijlage bij deze toelichting bevat een overzicht van de verdragsartikelen die vergelijkbaar zijn met de artikelen van de Overeenkomst uit 1955.</w:t>
      </w:r>
    </w:p>
    <w:p w:rsidRPr="00CB74A5" w:rsidR="00ED0973" w:rsidP="0007006F" w:rsidRDefault="00ED0973">
      <w:pPr>
        <w:tabs>
          <w:tab w:val="left" w:pos="426"/>
        </w:tabs>
        <w:spacing w:after="0" w:line="240" w:lineRule="atLeast"/>
        <w:rPr>
          <w:rFonts w:cs="Arial"/>
          <w:sz w:val="20"/>
          <w:szCs w:val="20"/>
          <w:u w:val="single"/>
          <w:lang w:val="nl-NL"/>
        </w:rPr>
      </w:pPr>
    </w:p>
    <w:p w:rsidRPr="00CB74A5" w:rsidR="000C34EF" w:rsidP="0007006F" w:rsidRDefault="000C34EF">
      <w:pPr>
        <w:tabs>
          <w:tab w:val="left" w:pos="426"/>
        </w:tabs>
        <w:spacing w:after="0" w:line="240" w:lineRule="atLeast"/>
        <w:rPr>
          <w:rFonts w:cs="Arial"/>
          <w:sz w:val="20"/>
          <w:szCs w:val="20"/>
          <w:u w:val="single"/>
          <w:lang w:val="nl-NL"/>
        </w:rPr>
      </w:pPr>
      <w:r w:rsidRPr="00CB74A5">
        <w:rPr>
          <w:rFonts w:cs="Arial"/>
          <w:sz w:val="20"/>
          <w:szCs w:val="20"/>
          <w:u w:val="single"/>
          <w:lang w:val="nl-NL"/>
        </w:rPr>
        <w:t>Deel 1 - Begripsbepalingen</w:t>
      </w:r>
    </w:p>
    <w:p w:rsidRPr="00CB74A5" w:rsidR="00624DB9" w:rsidP="0007006F" w:rsidRDefault="000C34EF">
      <w:pPr>
        <w:tabs>
          <w:tab w:val="left" w:pos="426"/>
        </w:tabs>
        <w:spacing w:after="0" w:line="240" w:lineRule="atLeast"/>
        <w:rPr>
          <w:rFonts w:cs="Arial"/>
          <w:sz w:val="20"/>
          <w:szCs w:val="20"/>
          <w:lang w:val="nl-NL"/>
        </w:rPr>
      </w:pPr>
      <w:r w:rsidRPr="00CB74A5">
        <w:rPr>
          <w:rFonts w:cs="Arial"/>
          <w:sz w:val="20"/>
          <w:szCs w:val="20"/>
          <w:lang w:val="nl-NL"/>
        </w:rPr>
        <w:t>In dit deel dat uit één a</w:t>
      </w:r>
      <w:r w:rsidRPr="00CB74A5" w:rsidR="00624DB9">
        <w:rPr>
          <w:rFonts w:cs="Arial"/>
          <w:sz w:val="20"/>
          <w:szCs w:val="20"/>
          <w:lang w:val="nl-NL"/>
        </w:rPr>
        <w:t>rtikel</w:t>
      </w:r>
      <w:r w:rsidRPr="00CB74A5">
        <w:rPr>
          <w:rFonts w:cs="Arial"/>
          <w:sz w:val="20"/>
          <w:szCs w:val="20"/>
          <w:lang w:val="nl-NL"/>
        </w:rPr>
        <w:t xml:space="preserve"> bestaat</w:t>
      </w:r>
      <w:r w:rsidRPr="00CB74A5" w:rsidR="00224CB3">
        <w:rPr>
          <w:rFonts w:cs="Arial"/>
          <w:sz w:val="20"/>
          <w:szCs w:val="20"/>
          <w:lang w:val="nl-NL"/>
        </w:rPr>
        <w:t xml:space="preserve"> wor</w:t>
      </w:r>
      <w:r w:rsidRPr="00CB74A5" w:rsidR="001B17B2">
        <w:rPr>
          <w:rFonts w:cs="Arial"/>
          <w:sz w:val="20"/>
          <w:szCs w:val="20"/>
          <w:lang w:val="nl-NL"/>
        </w:rPr>
        <w:t>dt</w:t>
      </w:r>
      <w:r w:rsidRPr="00CB74A5" w:rsidR="00224CB3">
        <w:rPr>
          <w:rFonts w:cs="Arial"/>
          <w:sz w:val="20"/>
          <w:szCs w:val="20"/>
          <w:lang w:val="nl-NL"/>
        </w:rPr>
        <w:t xml:space="preserve"> v</w:t>
      </w:r>
      <w:r w:rsidRPr="00CB74A5" w:rsidR="00A12DF6">
        <w:rPr>
          <w:rFonts w:cs="Arial"/>
          <w:sz w:val="20"/>
          <w:szCs w:val="20"/>
          <w:lang w:val="nl-NL"/>
        </w:rPr>
        <w:t>oor enkele be</w:t>
      </w:r>
      <w:r w:rsidRPr="00CB74A5">
        <w:rPr>
          <w:rFonts w:cs="Arial"/>
          <w:sz w:val="20"/>
          <w:szCs w:val="20"/>
          <w:lang w:val="nl-NL"/>
        </w:rPr>
        <w:t xml:space="preserve">grippen </w:t>
      </w:r>
      <w:r w:rsidRPr="00CB74A5" w:rsidR="00A12DF6">
        <w:rPr>
          <w:rFonts w:cs="Arial"/>
          <w:sz w:val="20"/>
          <w:szCs w:val="20"/>
          <w:lang w:val="nl-NL"/>
        </w:rPr>
        <w:t xml:space="preserve">die in het Verdrag worden gebruikt verwezen naar </w:t>
      </w:r>
      <w:r w:rsidRPr="00CB74A5" w:rsidR="00224CB3">
        <w:rPr>
          <w:rFonts w:cs="Arial"/>
          <w:sz w:val="20"/>
          <w:szCs w:val="20"/>
          <w:lang w:val="nl-NL"/>
        </w:rPr>
        <w:t xml:space="preserve">het </w:t>
      </w:r>
      <w:r w:rsidRPr="00CB74A5" w:rsidR="000060DC">
        <w:rPr>
          <w:sz w:val="20"/>
          <w:szCs w:val="20"/>
          <w:lang w:val="nl-NL"/>
        </w:rPr>
        <w:t>Benelux Unie Verdrag</w:t>
      </w:r>
      <w:r w:rsidRPr="00CB74A5">
        <w:rPr>
          <w:rFonts w:cs="Arial"/>
          <w:sz w:val="20"/>
          <w:szCs w:val="20"/>
          <w:lang w:val="nl-NL"/>
        </w:rPr>
        <w:t>.</w:t>
      </w:r>
    </w:p>
    <w:p w:rsidRPr="00CB74A5" w:rsidR="0007006F" w:rsidP="0007006F" w:rsidRDefault="0007006F">
      <w:pPr>
        <w:tabs>
          <w:tab w:val="left" w:pos="426"/>
        </w:tabs>
        <w:spacing w:after="0" w:line="240" w:lineRule="atLeast"/>
        <w:rPr>
          <w:rFonts w:cs="Arial"/>
          <w:sz w:val="20"/>
          <w:szCs w:val="20"/>
          <w:u w:val="single"/>
          <w:lang w:val="nl-NL"/>
        </w:rPr>
      </w:pPr>
    </w:p>
    <w:p w:rsidRPr="00CB74A5" w:rsidR="000C34EF" w:rsidP="0007006F" w:rsidRDefault="000C34EF">
      <w:pPr>
        <w:tabs>
          <w:tab w:val="left" w:pos="426"/>
        </w:tabs>
        <w:spacing w:after="0" w:line="240" w:lineRule="atLeast"/>
        <w:rPr>
          <w:rFonts w:cs="Arial"/>
          <w:sz w:val="20"/>
          <w:szCs w:val="20"/>
          <w:u w:val="single"/>
          <w:lang w:val="nl-NL"/>
        </w:rPr>
      </w:pPr>
      <w:r w:rsidRPr="00CB74A5">
        <w:rPr>
          <w:rFonts w:cs="Arial"/>
          <w:sz w:val="20"/>
          <w:szCs w:val="20"/>
          <w:u w:val="single"/>
          <w:lang w:val="nl-NL"/>
        </w:rPr>
        <w:t>Deel 2 – Instelling, samenstelling en reikwijdte</w:t>
      </w:r>
    </w:p>
    <w:p w:rsidRPr="00CB74A5" w:rsidR="0007006F" w:rsidP="0007006F" w:rsidRDefault="000C34EF">
      <w:pPr>
        <w:tabs>
          <w:tab w:val="left" w:pos="426"/>
        </w:tabs>
        <w:spacing w:after="0" w:line="240" w:lineRule="atLeast"/>
        <w:rPr>
          <w:rFonts w:cs="Arial"/>
          <w:sz w:val="20"/>
          <w:szCs w:val="20"/>
          <w:lang w:val="nl-NL"/>
        </w:rPr>
      </w:pPr>
      <w:r w:rsidRPr="00CB74A5">
        <w:rPr>
          <w:rFonts w:cs="Arial"/>
          <w:sz w:val="20"/>
          <w:szCs w:val="20"/>
          <w:lang w:val="nl-NL"/>
        </w:rPr>
        <w:t>Dit deel bestaat uit twee a</w:t>
      </w:r>
      <w:r w:rsidRPr="00CB74A5" w:rsidR="00624DB9">
        <w:rPr>
          <w:rFonts w:cs="Arial"/>
          <w:sz w:val="20"/>
          <w:szCs w:val="20"/>
          <w:lang w:val="nl-NL"/>
        </w:rPr>
        <w:t>rtikel</w:t>
      </w:r>
      <w:r w:rsidRPr="00CB74A5">
        <w:rPr>
          <w:rFonts w:cs="Arial"/>
          <w:sz w:val="20"/>
          <w:szCs w:val="20"/>
          <w:lang w:val="nl-NL"/>
        </w:rPr>
        <w:t>en. In artikel 2</w:t>
      </w:r>
      <w:r w:rsidRPr="00CB74A5" w:rsidR="00817B5D">
        <w:rPr>
          <w:rFonts w:cs="Arial"/>
          <w:sz w:val="20"/>
          <w:szCs w:val="20"/>
          <w:lang w:val="nl-NL"/>
        </w:rPr>
        <w:t xml:space="preserve"> bepaalt het </w:t>
      </w:r>
      <w:r w:rsidRPr="00CB74A5">
        <w:rPr>
          <w:rFonts w:cs="Arial"/>
          <w:sz w:val="20"/>
          <w:szCs w:val="20"/>
          <w:lang w:val="nl-NL"/>
        </w:rPr>
        <w:t xml:space="preserve">eerste lid </w:t>
      </w:r>
      <w:r w:rsidRPr="00CB74A5" w:rsidR="00C128F4">
        <w:rPr>
          <w:rFonts w:cs="Arial"/>
          <w:sz w:val="20"/>
          <w:szCs w:val="20"/>
          <w:lang w:val="nl-NL"/>
        </w:rPr>
        <w:t xml:space="preserve">dat de </w:t>
      </w:r>
      <w:r w:rsidRPr="00CB74A5" w:rsidR="00624DB9">
        <w:rPr>
          <w:rFonts w:cs="Arial"/>
          <w:sz w:val="20"/>
          <w:szCs w:val="20"/>
          <w:lang w:val="nl-NL"/>
        </w:rPr>
        <w:t xml:space="preserve">naam van de Raadgevende Interparlementaire Beneluxraad </w:t>
      </w:r>
      <w:r w:rsidRPr="00CB74A5" w:rsidR="00C128F4">
        <w:rPr>
          <w:rFonts w:cs="Arial"/>
          <w:sz w:val="20"/>
          <w:szCs w:val="20"/>
          <w:lang w:val="nl-NL"/>
        </w:rPr>
        <w:t>wordt gewijzigd in “Benelux Interparlementaire Ass</w:t>
      </w:r>
      <w:r w:rsidRPr="00CB74A5">
        <w:rPr>
          <w:rFonts w:cs="Arial"/>
          <w:sz w:val="20"/>
          <w:szCs w:val="20"/>
          <w:lang w:val="nl-NL"/>
        </w:rPr>
        <w:t>e</w:t>
      </w:r>
      <w:r w:rsidRPr="00CB74A5" w:rsidR="00C128F4">
        <w:rPr>
          <w:rFonts w:cs="Arial"/>
          <w:sz w:val="20"/>
          <w:szCs w:val="20"/>
          <w:lang w:val="nl-NL"/>
        </w:rPr>
        <w:t>mbl</w:t>
      </w:r>
      <w:r w:rsidRPr="00CB74A5">
        <w:rPr>
          <w:rFonts w:cs="Arial"/>
          <w:sz w:val="20"/>
          <w:szCs w:val="20"/>
          <w:lang w:val="nl-NL"/>
        </w:rPr>
        <w:t>e</w:t>
      </w:r>
      <w:r w:rsidRPr="00CB74A5" w:rsidR="00C128F4">
        <w:rPr>
          <w:rFonts w:cs="Arial"/>
          <w:sz w:val="20"/>
          <w:szCs w:val="20"/>
          <w:lang w:val="nl-NL"/>
        </w:rPr>
        <w:t>e”</w:t>
      </w:r>
      <w:r w:rsidRPr="00CB74A5" w:rsidR="00624DB9">
        <w:rPr>
          <w:rFonts w:cs="Arial"/>
          <w:sz w:val="20"/>
          <w:szCs w:val="20"/>
          <w:lang w:val="nl-NL"/>
        </w:rPr>
        <w:t xml:space="preserve">. </w:t>
      </w:r>
      <w:r w:rsidRPr="00CB74A5" w:rsidR="001B17B2">
        <w:rPr>
          <w:rFonts w:cs="Arial"/>
          <w:sz w:val="20"/>
          <w:szCs w:val="20"/>
          <w:lang w:val="nl-NL"/>
        </w:rPr>
        <w:t>Deze naam is duidelijker dan de bestaande naam en weerspiegelt beter de bevoegdheden van deze instelling</w:t>
      </w:r>
      <w:r w:rsidRPr="00CB74A5" w:rsidR="00C87547">
        <w:rPr>
          <w:rFonts w:cs="Arial"/>
          <w:sz w:val="20"/>
          <w:szCs w:val="20"/>
          <w:lang w:val="nl-NL"/>
        </w:rPr>
        <w:t xml:space="preserve">. Ook past de voorgestelde naam beter bij het taalgebruik van de huidige tijd. </w:t>
      </w:r>
      <w:r w:rsidRPr="00CB74A5" w:rsidR="00F044DB">
        <w:rPr>
          <w:sz w:val="20"/>
          <w:szCs w:val="20"/>
          <w:lang w:val="nl-BE"/>
        </w:rPr>
        <w:t xml:space="preserve">Het Permanent Comité van </w:t>
      </w:r>
      <w:r w:rsidRPr="00CB74A5" w:rsidR="00AF4FE3">
        <w:rPr>
          <w:sz w:val="20"/>
          <w:szCs w:val="20"/>
          <w:lang w:val="nl-BE"/>
        </w:rPr>
        <w:t xml:space="preserve">de </w:t>
      </w:r>
      <w:r w:rsidRPr="00CB74A5" w:rsidR="00072F2C">
        <w:rPr>
          <w:sz w:val="20"/>
          <w:szCs w:val="20"/>
          <w:lang w:val="nl-BE"/>
        </w:rPr>
        <w:t>I</w:t>
      </w:r>
      <w:r w:rsidR="00072F2C">
        <w:rPr>
          <w:sz w:val="20"/>
          <w:szCs w:val="20"/>
          <w:lang w:val="nl-BE"/>
        </w:rPr>
        <w:t>B</w:t>
      </w:r>
      <w:r w:rsidRPr="00CB74A5" w:rsidR="00072F2C">
        <w:rPr>
          <w:sz w:val="20"/>
          <w:szCs w:val="20"/>
          <w:lang w:val="nl-BE"/>
        </w:rPr>
        <w:t xml:space="preserve">R </w:t>
      </w:r>
      <w:r w:rsidRPr="00CB74A5" w:rsidR="00F044DB">
        <w:rPr>
          <w:sz w:val="20"/>
          <w:szCs w:val="20"/>
          <w:lang w:val="nl-BE"/>
        </w:rPr>
        <w:t>heeft zich met de nieuwe benaming akkoord verklaard op de vergadering van</w:t>
      </w:r>
      <w:r w:rsidR="006F034C">
        <w:rPr>
          <w:sz w:val="20"/>
          <w:szCs w:val="20"/>
          <w:lang w:val="nl-BE"/>
        </w:rPr>
        <w:t xml:space="preserve"> 25 februari 2013</w:t>
      </w:r>
      <w:r w:rsidRPr="00CB74A5" w:rsidR="006F034C">
        <w:rPr>
          <w:sz w:val="20"/>
          <w:szCs w:val="20"/>
          <w:lang w:val="nl-BE"/>
        </w:rPr>
        <w:t xml:space="preserve"> </w:t>
      </w:r>
      <w:r w:rsidRPr="00CB74A5" w:rsidR="00F044DB">
        <w:rPr>
          <w:sz w:val="20"/>
          <w:szCs w:val="20"/>
          <w:lang w:val="nl-BE"/>
        </w:rPr>
        <w:t xml:space="preserve">waar de onderhandelaars van de </w:t>
      </w:r>
      <w:r w:rsidRPr="00CB74A5" w:rsidR="00AF4FE3">
        <w:rPr>
          <w:sz w:val="20"/>
          <w:szCs w:val="20"/>
          <w:lang w:val="nl-BE"/>
        </w:rPr>
        <w:t>Benelux-</w:t>
      </w:r>
      <w:r w:rsidRPr="00CB74A5" w:rsidR="00F044DB">
        <w:rPr>
          <w:sz w:val="20"/>
          <w:szCs w:val="20"/>
          <w:lang w:val="nl-BE"/>
        </w:rPr>
        <w:t>landen de stand van zaken gegeven hebben.</w:t>
      </w:r>
    </w:p>
    <w:p w:rsidRPr="00CB74A5" w:rsidR="00AF4FE3" w:rsidP="0007006F" w:rsidRDefault="00C87547">
      <w:pPr>
        <w:tabs>
          <w:tab w:val="left" w:pos="426"/>
        </w:tabs>
        <w:spacing w:after="0" w:line="240" w:lineRule="atLeast"/>
        <w:rPr>
          <w:rFonts w:cs="Arial"/>
          <w:sz w:val="20"/>
          <w:szCs w:val="20"/>
          <w:lang w:val="nl-NL"/>
        </w:rPr>
      </w:pPr>
      <w:r w:rsidRPr="00CB74A5">
        <w:rPr>
          <w:rFonts w:cs="Arial"/>
          <w:sz w:val="20"/>
          <w:szCs w:val="20"/>
          <w:lang w:val="nl-NL"/>
        </w:rPr>
        <w:t>De</w:t>
      </w:r>
      <w:r w:rsidRPr="00CB74A5" w:rsidR="00903251">
        <w:rPr>
          <w:rFonts w:cs="Arial"/>
          <w:sz w:val="20"/>
          <w:szCs w:val="20"/>
          <w:lang w:val="nl-NL"/>
        </w:rPr>
        <w:t xml:space="preserve"> samenstelling van de</w:t>
      </w:r>
      <w:r w:rsidRPr="00CB74A5" w:rsidR="004C0D16">
        <w:rPr>
          <w:rFonts w:cs="Arial"/>
          <w:sz w:val="20"/>
          <w:szCs w:val="20"/>
          <w:lang w:val="nl-NL"/>
        </w:rPr>
        <w:t>ze</w:t>
      </w:r>
      <w:r w:rsidRPr="00CB74A5" w:rsidR="00903251">
        <w:rPr>
          <w:rFonts w:cs="Arial"/>
          <w:sz w:val="20"/>
          <w:szCs w:val="20"/>
          <w:lang w:val="nl-NL"/>
        </w:rPr>
        <w:t xml:space="preserve"> Assemblee is in het </w:t>
      </w:r>
      <w:r w:rsidRPr="00CB74A5" w:rsidR="00624DB9">
        <w:rPr>
          <w:rFonts w:cs="Arial"/>
          <w:sz w:val="20"/>
          <w:szCs w:val="20"/>
          <w:lang w:val="nl-NL"/>
        </w:rPr>
        <w:t xml:space="preserve">tweede lid </w:t>
      </w:r>
      <w:r w:rsidRPr="00CB74A5" w:rsidR="00903251">
        <w:rPr>
          <w:rFonts w:cs="Arial"/>
          <w:sz w:val="20"/>
          <w:szCs w:val="20"/>
          <w:lang w:val="nl-NL"/>
        </w:rPr>
        <w:t xml:space="preserve">vastgelegd. Het totale aantal leden en </w:t>
      </w:r>
      <w:r w:rsidRPr="00CB74A5" w:rsidR="00C128F4">
        <w:rPr>
          <w:rFonts w:cs="Arial"/>
          <w:sz w:val="20"/>
          <w:szCs w:val="20"/>
          <w:lang w:val="nl-NL"/>
        </w:rPr>
        <w:t>aantal</w:t>
      </w:r>
      <w:r w:rsidRPr="00CB74A5" w:rsidR="00903251">
        <w:rPr>
          <w:rFonts w:cs="Arial"/>
          <w:sz w:val="20"/>
          <w:szCs w:val="20"/>
          <w:lang w:val="nl-NL"/>
        </w:rPr>
        <w:t xml:space="preserve"> leden </w:t>
      </w:r>
      <w:r w:rsidRPr="00CB74A5" w:rsidR="00C128F4">
        <w:rPr>
          <w:rFonts w:cs="Arial"/>
          <w:sz w:val="20"/>
          <w:szCs w:val="20"/>
          <w:lang w:val="nl-NL"/>
        </w:rPr>
        <w:t xml:space="preserve">per </w:t>
      </w:r>
      <w:r w:rsidRPr="00CB74A5" w:rsidR="00AB6D16">
        <w:rPr>
          <w:rFonts w:cs="Arial"/>
          <w:sz w:val="20"/>
          <w:szCs w:val="20"/>
          <w:lang w:val="nl-NL"/>
        </w:rPr>
        <w:t>Benelux-</w:t>
      </w:r>
      <w:r w:rsidRPr="00CB74A5" w:rsidR="00C128F4">
        <w:rPr>
          <w:rFonts w:cs="Arial"/>
          <w:sz w:val="20"/>
          <w:szCs w:val="20"/>
          <w:lang w:val="nl-NL"/>
        </w:rPr>
        <w:t xml:space="preserve">land </w:t>
      </w:r>
      <w:r w:rsidRPr="00CB74A5" w:rsidR="00903251">
        <w:rPr>
          <w:rFonts w:cs="Arial"/>
          <w:sz w:val="20"/>
          <w:szCs w:val="20"/>
          <w:lang w:val="nl-NL"/>
        </w:rPr>
        <w:t xml:space="preserve">zijn gelijk aan de aantallen genoemd in </w:t>
      </w:r>
      <w:r w:rsidRPr="00CB74A5" w:rsidR="00624DB9">
        <w:rPr>
          <w:rFonts w:cs="Arial"/>
          <w:sz w:val="20"/>
          <w:szCs w:val="20"/>
          <w:lang w:val="nl-NL"/>
        </w:rPr>
        <w:t>artikel 1 van de Overeenkomst</w:t>
      </w:r>
      <w:r w:rsidRPr="00CB74A5" w:rsidR="0007006F">
        <w:rPr>
          <w:rFonts w:cs="Arial"/>
          <w:sz w:val="20"/>
          <w:szCs w:val="20"/>
          <w:lang w:val="nl-NL"/>
        </w:rPr>
        <w:t xml:space="preserve"> uit 1955</w:t>
      </w:r>
      <w:r w:rsidRPr="00CB74A5" w:rsidR="00624DB9">
        <w:rPr>
          <w:rFonts w:cs="Arial"/>
          <w:sz w:val="20"/>
          <w:szCs w:val="20"/>
          <w:lang w:val="nl-NL"/>
        </w:rPr>
        <w:t xml:space="preserve">. </w:t>
      </w:r>
      <w:r w:rsidRPr="00CB74A5" w:rsidR="00C128F4">
        <w:rPr>
          <w:rFonts w:cs="Arial"/>
          <w:sz w:val="20"/>
          <w:szCs w:val="20"/>
          <w:lang w:val="nl-NL"/>
        </w:rPr>
        <w:t>Het enige verschil is dat</w:t>
      </w:r>
      <w:r w:rsidRPr="00CB74A5" w:rsidR="00903251">
        <w:rPr>
          <w:rFonts w:cs="Arial"/>
          <w:sz w:val="20"/>
          <w:szCs w:val="20"/>
          <w:lang w:val="nl-NL"/>
        </w:rPr>
        <w:t xml:space="preserve"> met betrekking tot </w:t>
      </w:r>
      <w:r w:rsidRPr="00CB74A5" w:rsidR="00C128F4">
        <w:rPr>
          <w:rFonts w:cs="Arial"/>
          <w:sz w:val="20"/>
          <w:szCs w:val="20"/>
          <w:lang w:val="nl-NL"/>
        </w:rPr>
        <w:t xml:space="preserve">België </w:t>
      </w:r>
      <w:r w:rsidRPr="00CB74A5" w:rsidR="00903251">
        <w:rPr>
          <w:rFonts w:cs="Arial"/>
          <w:sz w:val="20"/>
          <w:szCs w:val="20"/>
          <w:lang w:val="nl-NL"/>
        </w:rPr>
        <w:t xml:space="preserve">rekening </w:t>
      </w:r>
      <w:r w:rsidRPr="00CB74A5" w:rsidR="00AB6D16">
        <w:rPr>
          <w:rFonts w:cs="Arial"/>
          <w:sz w:val="20"/>
          <w:szCs w:val="20"/>
          <w:lang w:val="nl-NL"/>
        </w:rPr>
        <w:t>wordt g</w:t>
      </w:r>
      <w:r w:rsidRPr="00CB74A5" w:rsidR="00903251">
        <w:rPr>
          <w:rFonts w:cs="Arial"/>
          <w:sz w:val="20"/>
          <w:szCs w:val="20"/>
          <w:lang w:val="nl-NL"/>
        </w:rPr>
        <w:t xml:space="preserve">ehouden met de huidige </w:t>
      </w:r>
      <w:r w:rsidRPr="00CB74A5" w:rsidR="00224CB3">
        <w:rPr>
          <w:rFonts w:cs="Arial"/>
          <w:sz w:val="20"/>
          <w:szCs w:val="20"/>
          <w:lang w:val="nl-NL"/>
        </w:rPr>
        <w:t>federale staats</w:t>
      </w:r>
      <w:r w:rsidRPr="00CB74A5" w:rsidR="00903251">
        <w:rPr>
          <w:rFonts w:cs="Arial"/>
          <w:sz w:val="20"/>
          <w:szCs w:val="20"/>
          <w:lang w:val="nl-NL"/>
        </w:rPr>
        <w:t>structuur</w:t>
      </w:r>
      <w:r w:rsidRPr="00CB74A5" w:rsidR="00817B5D">
        <w:rPr>
          <w:rFonts w:cs="Arial"/>
          <w:sz w:val="20"/>
          <w:szCs w:val="20"/>
          <w:lang w:val="nl-NL"/>
        </w:rPr>
        <w:t xml:space="preserve"> van dat land</w:t>
      </w:r>
      <w:r w:rsidRPr="00CB74A5" w:rsidR="00903251">
        <w:rPr>
          <w:rFonts w:cs="Arial"/>
          <w:sz w:val="20"/>
          <w:szCs w:val="20"/>
          <w:lang w:val="nl-NL"/>
        </w:rPr>
        <w:t xml:space="preserve">. </w:t>
      </w:r>
      <w:r w:rsidRPr="00CB74A5" w:rsidR="00903251">
        <w:rPr>
          <w:rFonts w:cs="Arial"/>
          <w:sz w:val="20"/>
          <w:szCs w:val="20"/>
          <w:lang w:val="nl-NL"/>
        </w:rPr>
        <w:br/>
      </w:r>
    </w:p>
    <w:p w:rsidRPr="00CB74A5" w:rsidR="00BE5D96" w:rsidP="0007006F" w:rsidRDefault="00BE5D96">
      <w:pPr>
        <w:tabs>
          <w:tab w:val="left" w:pos="426"/>
        </w:tabs>
        <w:spacing w:after="0" w:line="240" w:lineRule="atLeast"/>
        <w:rPr>
          <w:rFonts w:cs="Arial"/>
          <w:sz w:val="20"/>
          <w:szCs w:val="20"/>
          <w:lang w:val="nl-NL"/>
        </w:rPr>
      </w:pPr>
      <w:r w:rsidRPr="00CB74A5">
        <w:rPr>
          <w:rFonts w:cs="Arial"/>
          <w:sz w:val="20"/>
          <w:szCs w:val="20"/>
          <w:lang w:val="nl-NL"/>
        </w:rPr>
        <w:t>Artikel 3</w:t>
      </w:r>
      <w:r w:rsidRPr="00CB74A5" w:rsidR="00224CB3">
        <w:rPr>
          <w:rFonts w:cs="Arial"/>
          <w:sz w:val="20"/>
          <w:szCs w:val="20"/>
          <w:lang w:val="nl-NL"/>
        </w:rPr>
        <w:t xml:space="preserve">, eerste lid, </w:t>
      </w:r>
      <w:r w:rsidRPr="00CB74A5" w:rsidR="00903251">
        <w:rPr>
          <w:rFonts w:cs="Arial"/>
          <w:sz w:val="20"/>
          <w:szCs w:val="20"/>
          <w:lang w:val="nl-NL"/>
        </w:rPr>
        <w:t xml:space="preserve">geeft </w:t>
      </w:r>
      <w:r w:rsidRPr="00CB74A5" w:rsidR="00224CB3">
        <w:rPr>
          <w:rFonts w:cs="Arial"/>
          <w:sz w:val="20"/>
          <w:szCs w:val="20"/>
          <w:lang w:val="nl-NL"/>
        </w:rPr>
        <w:t xml:space="preserve">onder de letters (a) tot en met (f) </w:t>
      </w:r>
      <w:r w:rsidRPr="00CB74A5">
        <w:rPr>
          <w:rFonts w:cs="Arial"/>
          <w:sz w:val="20"/>
          <w:szCs w:val="20"/>
          <w:lang w:val="nl-NL"/>
        </w:rPr>
        <w:t xml:space="preserve">een opsomming van de </w:t>
      </w:r>
      <w:r w:rsidRPr="00CB74A5" w:rsidR="0037375E">
        <w:rPr>
          <w:rFonts w:cs="Arial"/>
          <w:sz w:val="20"/>
          <w:szCs w:val="20"/>
          <w:lang w:val="nl-NL"/>
        </w:rPr>
        <w:t xml:space="preserve">onderwerpen </w:t>
      </w:r>
      <w:r w:rsidRPr="00CB74A5">
        <w:rPr>
          <w:rFonts w:cs="Arial"/>
          <w:sz w:val="20"/>
          <w:szCs w:val="20"/>
          <w:lang w:val="nl-NL"/>
        </w:rPr>
        <w:t xml:space="preserve">op basis waarvan </w:t>
      </w:r>
      <w:r w:rsidRPr="00CB74A5" w:rsidR="00903251">
        <w:rPr>
          <w:rFonts w:cs="Arial"/>
          <w:sz w:val="20"/>
          <w:szCs w:val="20"/>
          <w:lang w:val="nl-NL"/>
        </w:rPr>
        <w:t xml:space="preserve">de samenwerking </w:t>
      </w:r>
      <w:r w:rsidRPr="00CB74A5" w:rsidR="00DD7DCC">
        <w:rPr>
          <w:rFonts w:cs="Arial"/>
          <w:sz w:val="20"/>
          <w:szCs w:val="20"/>
          <w:lang w:val="nl-NL"/>
        </w:rPr>
        <w:t xml:space="preserve">in </w:t>
      </w:r>
      <w:r w:rsidRPr="00CB74A5">
        <w:rPr>
          <w:rFonts w:cs="Arial"/>
          <w:sz w:val="20"/>
          <w:szCs w:val="20"/>
          <w:lang w:val="nl-NL"/>
        </w:rPr>
        <w:t xml:space="preserve">de Assemblee zal </w:t>
      </w:r>
      <w:r w:rsidRPr="00CB74A5" w:rsidR="00903251">
        <w:rPr>
          <w:rFonts w:cs="Arial"/>
          <w:sz w:val="20"/>
          <w:szCs w:val="20"/>
          <w:lang w:val="nl-NL"/>
        </w:rPr>
        <w:t xml:space="preserve">plaatsvinden. </w:t>
      </w:r>
      <w:r w:rsidRPr="00CB74A5">
        <w:rPr>
          <w:rFonts w:cs="Arial"/>
          <w:sz w:val="20"/>
          <w:szCs w:val="20"/>
          <w:lang w:val="nl-NL"/>
        </w:rPr>
        <w:t xml:space="preserve">In het tweede lid </w:t>
      </w:r>
      <w:r w:rsidRPr="00CB74A5" w:rsidR="00AB6D16">
        <w:rPr>
          <w:rFonts w:cs="Arial"/>
          <w:sz w:val="20"/>
          <w:szCs w:val="20"/>
          <w:lang w:val="nl-NL"/>
        </w:rPr>
        <w:t xml:space="preserve">van </w:t>
      </w:r>
      <w:r w:rsidRPr="00CB74A5" w:rsidR="00DD7DCC">
        <w:rPr>
          <w:rFonts w:cs="Arial"/>
          <w:sz w:val="20"/>
          <w:szCs w:val="20"/>
          <w:lang w:val="nl-NL"/>
        </w:rPr>
        <w:t xml:space="preserve">het </w:t>
      </w:r>
      <w:r w:rsidRPr="00CB74A5" w:rsidR="00AB6D16">
        <w:rPr>
          <w:rFonts w:cs="Arial"/>
          <w:sz w:val="20"/>
          <w:szCs w:val="20"/>
          <w:lang w:val="nl-NL"/>
        </w:rPr>
        <w:t xml:space="preserve">artikel </w:t>
      </w:r>
      <w:r w:rsidRPr="00CB74A5">
        <w:rPr>
          <w:rFonts w:cs="Arial"/>
          <w:sz w:val="20"/>
          <w:szCs w:val="20"/>
          <w:lang w:val="nl-NL"/>
        </w:rPr>
        <w:t xml:space="preserve">is bepaald </w:t>
      </w:r>
      <w:r w:rsidRPr="00CB74A5" w:rsidR="00AB6D16">
        <w:rPr>
          <w:rFonts w:cs="Arial"/>
          <w:sz w:val="20"/>
          <w:szCs w:val="20"/>
          <w:lang w:val="nl-NL"/>
        </w:rPr>
        <w:t>dat bij instemming van twee derde van de leden van de Assemblee ook andere vraagstukken d</w:t>
      </w:r>
      <w:r w:rsidRPr="00CB74A5">
        <w:rPr>
          <w:rFonts w:cs="Arial"/>
          <w:sz w:val="20"/>
          <w:szCs w:val="20"/>
          <w:lang w:val="nl-NL"/>
        </w:rPr>
        <w:t>ie de Benelux-</w:t>
      </w:r>
      <w:r w:rsidRPr="00CB74A5" w:rsidR="0011510B">
        <w:rPr>
          <w:rFonts w:cs="Arial"/>
          <w:sz w:val="20"/>
          <w:szCs w:val="20"/>
          <w:lang w:val="nl-NL"/>
        </w:rPr>
        <w:t xml:space="preserve">landen </w:t>
      </w:r>
      <w:r w:rsidRPr="00CB74A5">
        <w:rPr>
          <w:rFonts w:cs="Arial"/>
          <w:sz w:val="20"/>
          <w:szCs w:val="20"/>
          <w:lang w:val="nl-NL"/>
        </w:rPr>
        <w:t>aangaan</w:t>
      </w:r>
      <w:r w:rsidRPr="00CB74A5" w:rsidR="00AB6D16">
        <w:rPr>
          <w:rFonts w:cs="Arial"/>
          <w:sz w:val="20"/>
          <w:szCs w:val="20"/>
          <w:lang w:val="nl-NL"/>
        </w:rPr>
        <w:t>,</w:t>
      </w:r>
      <w:r w:rsidRPr="00CB74A5">
        <w:rPr>
          <w:rFonts w:cs="Arial"/>
          <w:sz w:val="20"/>
          <w:szCs w:val="20"/>
          <w:lang w:val="nl-NL"/>
        </w:rPr>
        <w:t xml:space="preserve"> </w:t>
      </w:r>
      <w:r w:rsidRPr="00CB74A5" w:rsidR="00AB6D16">
        <w:rPr>
          <w:rFonts w:cs="Arial"/>
          <w:sz w:val="20"/>
          <w:szCs w:val="20"/>
          <w:lang w:val="nl-NL"/>
        </w:rPr>
        <w:t>besproken kunnen worden.</w:t>
      </w:r>
      <w:r w:rsidRPr="00CB74A5" w:rsidR="004D28F5">
        <w:rPr>
          <w:rFonts w:cs="Arial"/>
          <w:sz w:val="20"/>
          <w:szCs w:val="20"/>
          <w:lang w:val="nl-NL"/>
        </w:rPr>
        <w:t xml:space="preserve"> In vergelijking </w:t>
      </w:r>
      <w:r w:rsidRPr="00CB74A5" w:rsidR="000208B2">
        <w:rPr>
          <w:rFonts w:cs="Arial"/>
          <w:sz w:val="20"/>
          <w:szCs w:val="20"/>
          <w:lang w:val="nl-NL"/>
        </w:rPr>
        <w:t xml:space="preserve">met </w:t>
      </w:r>
      <w:r w:rsidRPr="00CB74A5" w:rsidR="00682631">
        <w:rPr>
          <w:rFonts w:cs="Arial"/>
          <w:sz w:val="20"/>
          <w:szCs w:val="20"/>
          <w:lang w:val="nl-NL"/>
        </w:rPr>
        <w:t xml:space="preserve">artikel 3 van de Overeenkomst uit 1955, </w:t>
      </w:r>
      <w:r w:rsidRPr="00CB74A5" w:rsidR="00ED0973">
        <w:rPr>
          <w:rFonts w:cs="Arial"/>
          <w:sz w:val="20"/>
          <w:szCs w:val="20"/>
          <w:lang w:val="nl-NL"/>
        </w:rPr>
        <w:t xml:space="preserve">zijn in </w:t>
      </w:r>
      <w:r w:rsidRPr="00CB74A5" w:rsidR="00682631">
        <w:rPr>
          <w:rFonts w:cs="Arial"/>
          <w:sz w:val="20"/>
          <w:szCs w:val="20"/>
          <w:lang w:val="nl-NL"/>
        </w:rPr>
        <w:t xml:space="preserve">artikel 3 van het Verdrag meer </w:t>
      </w:r>
      <w:r w:rsidRPr="00CB74A5" w:rsidR="00ED0973">
        <w:rPr>
          <w:rFonts w:cs="Arial"/>
          <w:sz w:val="20"/>
          <w:szCs w:val="20"/>
          <w:lang w:val="nl-NL"/>
        </w:rPr>
        <w:t xml:space="preserve">onderwerpen </w:t>
      </w:r>
      <w:r w:rsidRPr="00CB74A5" w:rsidR="00682631">
        <w:rPr>
          <w:rFonts w:cs="Arial"/>
          <w:sz w:val="20"/>
          <w:szCs w:val="20"/>
          <w:lang w:val="nl-NL"/>
        </w:rPr>
        <w:t xml:space="preserve">uitgeschreven die in de Assemblee aan de orde kunnen komen. </w:t>
      </w:r>
    </w:p>
    <w:p w:rsidRPr="00CB74A5" w:rsidR="0007006F" w:rsidP="0007006F" w:rsidRDefault="0007006F">
      <w:pPr>
        <w:tabs>
          <w:tab w:val="left" w:pos="426"/>
        </w:tabs>
        <w:spacing w:after="0" w:line="240" w:lineRule="atLeast"/>
        <w:rPr>
          <w:rFonts w:cs="Arial"/>
          <w:sz w:val="20"/>
          <w:szCs w:val="20"/>
          <w:u w:val="single"/>
          <w:lang w:val="nl-NL"/>
        </w:rPr>
      </w:pPr>
    </w:p>
    <w:p w:rsidRPr="00CB74A5" w:rsidR="000C34EF" w:rsidP="0007006F" w:rsidRDefault="000C34EF">
      <w:pPr>
        <w:tabs>
          <w:tab w:val="left" w:pos="426"/>
        </w:tabs>
        <w:spacing w:after="0" w:line="240" w:lineRule="atLeast"/>
        <w:rPr>
          <w:rFonts w:cs="Arial"/>
          <w:sz w:val="20"/>
          <w:szCs w:val="20"/>
          <w:u w:val="single"/>
          <w:lang w:val="nl-NL"/>
        </w:rPr>
      </w:pPr>
      <w:r w:rsidRPr="00CB74A5">
        <w:rPr>
          <w:rFonts w:cs="Arial"/>
          <w:sz w:val="20"/>
          <w:szCs w:val="20"/>
          <w:u w:val="single"/>
          <w:lang w:val="nl-NL"/>
        </w:rPr>
        <w:t>Deel 3 - Bevoegdheden</w:t>
      </w:r>
    </w:p>
    <w:p w:rsidRPr="00CB74A5" w:rsidR="0007006F" w:rsidP="0007006F" w:rsidRDefault="00224CB3">
      <w:pPr>
        <w:tabs>
          <w:tab w:val="left" w:pos="426"/>
        </w:tabs>
        <w:spacing w:after="0" w:line="240" w:lineRule="atLeast"/>
        <w:rPr>
          <w:rFonts w:cs="Arial"/>
          <w:b/>
          <w:sz w:val="20"/>
          <w:szCs w:val="20"/>
          <w:lang w:val="nl-NL"/>
        </w:rPr>
      </w:pPr>
      <w:r w:rsidRPr="00CB74A5">
        <w:rPr>
          <w:rFonts w:cs="Arial"/>
          <w:sz w:val="20"/>
          <w:szCs w:val="20"/>
          <w:lang w:val="nl-NL"/>
        </w:rPr>
        <w:t xml:space="preserve">Artikel 4 komt </w:t>
      </w:r>
      <w:r w:rsidRPr="00CB74A5" w:rsidR="005D7738">
        <w:rPr>
          <w:rFonts w:cs="Arial"/>
          <w:sz w:val="20"/>
          <w:szCs w:val="20"/>
          <w:lang w:val="nl-NL"/>
        </w:rPr>
        <w:t>overeen met artikel 3 van de Overeenkomt</w:t>
      </w:r>
      <w:r w:rsidRPr="00CB74A5" w:rsidR="00817B5D">
        <w:rPr>
          <w:rFonts w:cs="Arial"/>
          <w:sz w:val="20"/>
          <w:szCs w:val="20"/>
          <w:lang w:val="nl-NL"/>
        </w:rPr>
        <w:t xml:space="preserve"> uit 1955</w:t>
      </w:r>
      <w:r w:rsidRPr="00CB74A5" w:rsidR="005D7738">
        <w:rPr>
          <w:rFonts w:cs="Arial"/>
          <w:sz w:val="20"/>
          <w:szCs w:val="20"/>
          <w:lang w:val="nl-NL"/>
        </w:rPr>
        <w:t xml:space="preserve"> en bepaalt dat de Assemblee adviezen kan uitbrengen. De adviezen, desnoods in aanbevelingen, kunnen worden gericht aan de </w:t>
      </w:r>
      <w:r w:rsidRPr="00CB74A5" w:rsidR="0007006F">
        <w:rPr>
          <w:rFonts w:cs="Arial"/>
          <w:sz w:val="20"/>
          <w:szCs w:val="20"/>
          <w:lang w:val="nl-NL"/>
        </w:rPr>
        <w:t xml:space="preserve">regeringen </w:t>
      </w:r>
      <w:r w:rsidRPr="00CB74A5" w:rsidR="005D7738">
        <w:rPr>
          <w:rFonts w:cs="Arial"/>
          <w:sz w:val="20"/>
          <w:szCs w:val="20"/>
          <w:lang w:val="nl-NL"/>
        </w:rPr>
        <w:t>van de Benelux-landen.</w:t>
      </w:r>
      <w:r w:rsidRPr="00CB74A5" w:rsidR="001B17B2">
        <w:rPr>
          <w:rFonts w:cs="Arial"/>
          <w:sz w:val="20"/>
          <w:szCs w:val="20"/>
          <w:lang w:val="nl-NL"/>
        </w:rPr>
        <w:t xml:space="preserve"> Hoewel het Benelux Comité </w:t>
      </w:r>
      <w:r w:rsidRPr="00CB74A5" w:rsidR="00C87547">
        <w:rPr>
          <w:rFonts w:cs="Arial"/>
          <w:sz w:val="20"/>
          <w:szCs w:val="20"/>
          <w:lang w:val="nl-NL"/>
        </w:rPr>
        <w:t>van</w:t>
      </w:r>
      <w:r w:rsidRPr="00CB74A5" w:rsidR="001B17B2">
        <w:rPr>
          <w:rFonts w:cs="Arial"/>
          <w:sz w:val="20"/>
          <w:szCs w:val="20"/>
          <w:lang w:val="nl-NL"/>
        </w:rPr>
        <w:t xml:space="preserve"> </w:t>
      </w:r>
      <w:r w:rsidRPr="00CB74A5" w:rsidR="00C87547">
        <w:rPr>
          <w:rFonts w:cs="Arial"/>
          <w:sz w:val="20"/>
          <w:szCs w:val="20"/>
          <w:lang w:val="nl-NL"/>
        </w:rPr>
        <w:t xml:space="preserve">Ministers </w:t>
      </w:r>
      <w:r w:rsidRPr="00CB74A5" w:rsidR="001B17B2">
        <w:rPr>
          <w:rFonts w:cs="Arial"/>
          <w:sz w:val="20"/>
          <w:szCs w:val="20"/>
          <w:lang w:val="nl-NL"/>
        </w:rPr>
        <w:t>ernstig rekening houdt met deze adviezen, kan</w:t>
      </w:r>
      <w:r w:rsidRPr="00CB74A5" w:rsidR="004208FF">
        <w:rPr>
          <w:rFonts w:cs="Arial"/>
          <w:sz w:val="20"/>
          <w:szCs w:val="20"/>
          <w:lang w:val="nl-NL"/>
        </w:rPr>
        <w:t xml:space="preserve"> uit artikel </w:t>
      </w:r>
      <w:r w:rsidRPr="00041425" w:rsidR="00FA7A6F">
        <w:rPr>
          <w:rFonts w:cs="Arial"/>
          <w:sz w:val="20"/>
          <w:szCs w:val="20"/>
          <w:lang w:val="nl-NL"/>
        </w:rPr>
        <w:t>4</w:t>
      </w:r>
      <w:r w:rsidRPr="00CB74A5" w:rsidR="004208FF">
        <w:rPr>
          <w:rFonts w:cs="Arial"/>
          <w:sz w:val="20"/>
          <w:szCs w:val="20"/>
          <w:lang w:val="nl-NL"/>
        </w:rPr>
        <w:t xml:space="preserve"> </w:t>
      </w:r>
      <w:r w:rsidR="009F76D7">
        <w:rPr>
          <w:rFonts w:cs="Arial"/>
          <w:sz w:val="20"/>
          <w:szCs w:val="20"/>
          <w:lang w:val="nl-NL"/>
        </w:rPr>
        <w:t xml:space="preserve">van het Verdrag </w:t>
      </w:r>
      <w:r w:rsidRPr="00CB74A5" w:rsidR="004208FF">
        <w:rPr>
          <w:rFonts w:cs="Arial"/>
          <w:sz w:val="20"/>
          <w:szCs w:val="20"/>
          <w:lang w:val="nl-NL"/>
        </w:rPr>
        <w:t>worden afgeleid dat</w:t>
      </w:r>
      <w:r w:rsidRPr="00CB74A5" w:rsidR="001B17B2">
        <w:rPr>
          <w:rFonts w:cs="Arial"/>
          <w:sz w:val="20"/>
          <w:szCs w:val="20"/>
          <w:lang w:val="nl-NL"/>
        </w:rPr>
        <w:t xml:space="preserve"> het hiervan</w:t>
      </w:r>
      <w:r w:rsidRPr="00CB74A5" w:rsidR="004208FF">
        <w:rPr>
          <w:rFonts w:cs="Arial"/>
          <w:sz w:val="20"/>
          <w:szCs w:val="20"/>
          <w:lang w:val="nl-NL"/>
        </w:rPr>
        <w:t xml:space="preserve"> kan</w:t>
      </w:r>
      <w:r w:rsidRPr="00CB74A5" w:rsidR="001B17B2">
        <w:rPr>
          <w:rFonts w:cs="Arial"/>
          <w:sz w:val="20"/>
          <w:szCs w:val="20"/>
          <w:lang w:val="nl-NL"/>
        </w:rPr>
        <w:t xml:space="preserve"> afwijken.</w:t>
      </w:r>
      <w:r w:rsidRPr="00CB74A5" w:rsidR="005D7738">
        <w:rPr>
          <w:rFonts w:cs="Arial"/>
          <w:sz w:val="20"/>
          <w:szCs w:val="20"/>
          <w:lang w:val="nl-NL"/>
        </w:rPr>
        <w:t xml:space="preserve"> </w:t>
      </w:r>
    </w:p>
    <w:p w:rsidRPr="00CB74A5" w:rsidR="0007006F" w:rsidP="0007006F" w:rsidRDefault="0007006F">
      <w:pPr>
        <w:tabs>
          <w:tab w:val="left" w:pos="426"/>
        </w:tabs>
        <w:spacing w:after="0" w:line="240" w:lineRule="atLeast"/>
        <w:rPr>
          <w:rFonts w:cs="Arial"/>
          <w:b/>
          <w:sz w:val="20"/>
          <w:szCs w:val="20"/>
          <w:lang w:val="nl-NL"/>
        </w:rPr>
      </w:pPr>
    </w:p>
    <w:p w:rsidRPr="00CB74A5" w:rsidR="0011510B" w:rsidP="0007006F" w:rsidRDefault="00C54763">
      <w:pPr>
        <w:tabs>
          <w:tab w:val="left" w:pos="426"/>
        </w:tabs>
        <w:spacing w:after="0" w:line="240" w:lineRule="atLeast"/>
        <w:rPr>
          <w:rFonts w:cs="Arial"/>
          <w:sz w:val="20"/>
          <w:szCs w:val="20"/>
          <w:lang w:val="nl-NL"/>
        </w:rPr>
      </w:pPr>
      <w:r w:rsidRPr="00CB74A5">
        <w:rPr>
          <w:rFonts w:cs="Arial"/>
          <w:sz w:val="20"/>
          <w:szCs w:val="20"/>
          <w:lang w:val="nl-NL"/>
        </w:rPr>
        <w:t>Artikel 5</w:t>
      </w:r>
      <w:r w:rsidRPr="00CB74A5" w:rsidR="00356B39">
        <w:rPr>
          <w:rFonts w:cs="Arial"/>
          <w:sz w:val="20"/>
          <w:szCs w:val="20"/>
          <w:lang w:val="nl-NL"/>
        </w:rPr>
        <w:t xml:space="preserve"> bevat in </w:t>
      </w:r>
      <w:r w:rsidRPr="00CB74A5">
        <w:rPr>
          <w:rFonts w:cs="Arial"/>
          <w:sz w:val="20"/>
          <w:szCs w:val="20"/>
          <w:lang w:val="nl-NL"/>
        </w:rPr>
        <w:t>vergelijking met de Overeenkomst</w:t>
      </w:r>
      <w:r w:rsidRPr="00CB74A5" w:rsidR="001B17B2">
        <w:rPr>
          <w:rFonts w:cs="Arial"/>
          <w:sz w:val="20"/>
          <w:szCs w:val="20"/>
          <w:lang w:val="nl-NL"/>
        </w:rPr>
        <w:t xml:space="preserve"> uit 1955</w:t>
      </w:r>
      <w:r w:rsidRPr="00CB74A5">
        <w:rPr>
          <w:rFonts w:cs="Arial"/>
          <w:sz w:val="20"/>
          <w:szCs w:val="20"/>
          <w:lang w:val="nl-NL"/>
        </w:rPr>
        <w:t xml:space="preserve"> een nieuwe bevoegdheid voor de Assemblee. </w:t>
      </w:r>
      <w:r w:rsidRPr="00CB74A5" w:rsidR="00C87D10">
        <w:rPr>
          <w:rFonts w:cs="Arial"/>
          <w:sz w:val="20"/>
          <w:szCs w:val="20"/>
          <w:lang w:val="nl-NL"/>
        </w:rPr>
        <w:t>Zo bepaal</w:t>
      </w:r>
      <w:r w:rsidRPr="00CB74A5" w:rsidR="00CA2A85">
        <w:rPr>
          <w:rFonts w:cs="Arial"/>
          <w:sz w:val="20"/>
          <w:szCs w:val="20"/>
          <w:lang w:val="nl-NL"/>
        </w:rPr>
        <w:t xml:space="preserve">t het artikel </w:t>
      </w:r>
      <w:r w:rsidRPr="00CB74A5" w:rsidR="00C87D10">
        <w:rPr>
          <w:rFonts w:cs="Arial"/>
          <w:sz w:val="20"/>
          <w:szCs w:val="20"/>
          <w:lang w:val="nl-NL"/>
        </w:rPr>
        <w:t xml:space="preserve">dat er schriftelijke vragen gesteld kunnen worden aan het </w:t>
      </w:r>
      <w:r w:rsidRPr="00CB74A5" w:rsidR="0007006F">
        <w:rPr>
          <w:rFonts w:cs="Arial"/>
          <w:sz w:val="20"/>
          <w:szCs w:val="20"/>
          <w:lang w:val="nl-NL"/>
        </w:rPr>
        <w:t xml:space="preserve">Benelux </w:t>
      </w:r>
      <w:r w:rsidRPr="00CB74A5" w:rsidR="00C87D10">
        <w:rPr>
          <w:rFonts w:cs="Arial"/>
          <w:sz w:val="20"/>
          <w:szCs w:val="20"/>
          <w:lang w:val="nl-NL"/>
        </w:rPr>
        <w:t>Comité van Ministers of aan de regeringen van de Benelux-</w:t>
      </w:r>
      <w:r w:rsidRPr="00CB74A5" w:rsidR="0011510B">
        <w:rPr>
          <w:rFonts w:cs="Arial"/>
          <w:sz w:val="20"/>
          <w:szCs w:val="20"/>
          <w:lang w:val="nl-NL"/>
        </w:rPr>
        <w:t xml:space="preserve">landen </w:t>
      </w:r>
      <w:r w:rsidRPr="00CB74A5" w:rsidR="00C87D10">
        <w:rPr>
          <w:rFonts w:cs="Arial"/>
          <w:sz w:val="20"/>
          <w:szCs w:val="20"/>
          <w:lang w:val="nl-NL"/>
        </w:rPr>
        <w:t>indien zij bij een bepaald vraagstuk (zie toelichting op artikel 3) gezamenlijk betrokken zijn. De leden 2 en 3 geven de termijnen aan waarbinnen een antwoord gegeven dient te worden.</w:t>
      </w:r>
      <w:r w:rsidRPr="00CB74A5" w:rsidR="00356B39">
        <w:rPr>
          <w:rFonts w:cs="Arial"/>
          <w:sz w:val="20"/>
          <w:szCs w:val="20"/>
          <w:lang w:val="nl-NL"/>
        </w:rPr>
        <w:br/>
      </w:r>
    </w:p>
    <w:p w:rsidRPr="00CB74A5" w:rsidR="00D77661" w:rsidP="0007006F" w:rsidRDefault="00C87D10">
      <w:pPr>
        <w:tabs>
          <w:tab w:val="left" w:pos="426"/>
        </w:tabs>
        <w:spacing w:after="0" w:line="240" w:lineRule="atLeast"/>
        <w:rPr>
          <w:rFonts w:cs="Arial"/>
          <w:sz w:val="20"/>
          <w:szCs w:val="20"/>
          <w:lang w:val="nl-NL"/>
        </w:rPr>
      </w:pPr>
      <w:r w:rsidRPr="00CB74A5">
        <w:rPr>
          <w:rFonts w:cs="Arial"/>
          <w:sz w:val="20"/>
          <w:szCs w:val="20"/>
          <w:lang w:val="nl-NL"/>
        </w:rPr>
        <w:t>Artikel 6</w:t>
      </w:r>
      <w:r w:rsidRPr="00CB74A5" w:rsidR="00356B39">
        <w:rPr>
          <w:rFonts w:cs="Arial"/>
          <w:sz w:val="20"/>
          <w:szCs w:val="20"/>
          <w:lang w:val="nl-NL"/>
        </w:rPr>
        <w:t xml:space="preserve"> beschrijft </w:t>
      </w:r>
      <w:r w:rsidRPr="00CB74A5">
        <w:rPr>
          <w:rFonts w:cs="Arial"/>
          <w:sz w:val="20"/>
          <w:szCs w:val="20"/>
          <w:lang w:val="nl-NL"/>
        </w:rPr>
        <w:t>ook een nieuw</w:t>
      </w:r>
      <w:r w:rsidRPr="00CB74A5" w:rsidR="00356B39">
        <w:rPr>
          <w:rFonts w:cs="Arial"/>
          <w:sz w:val="20"/>
          <w:szCs w:val="20"/>
          <w:lang w:val="nl-NL"/>
        </w:rPr>
        <w:t>e</w:t>
      </w:r>
      <w:r w:rsidRPr="00CB74A5">
        <w:rPr>
          <w:rFonts w:cs="Arial"/>
          <w:sz w:val="20"/>
          <w:szCs w:val="20"/>
          <w:lang w:val="nl-NL"/>
        </w:rPr>
        <w:t xml:space="preserve"> bevoegdheid</w:t>
      </w:r>
      <w:r w:rsidRPr="00CB74A5" w:rsidR="00356B39">
        <w:rPr>
          <w:rFonts w:cs="Arial"/>
          <w:sz w:val="20"/>
          <w:szCs w:val="20"/>
          <w:lang w:val="nl-NL"/>
        </w:rPr>
        <w:t xml:space="preserve"> voor de Assemblee</w:t>
      </w:r>
      <w:r w:rsidRPr="00CB74A5">
        <w:rPr>
          <w:rFonts w:cs="Arial"/>
          <w:sz w:val="20"/>
          <w:szCs w:val="20"/>
          <w:lang w:val="nl-NL"/>
        </w:rPr>
        <w:t xml:space="preserve">. Zo kan </w:t>
      </w:r>
      <w:r w:rsidRPr="00CB74A5" w:rsidR="007A53E5">
        <w:rPr>
          <w:rFonts w:cs="Arial"/>
          <w:sz w:val="20"/>
          <w:szCs w:val="20"/>
          <w:lang w:val="nl-NL"/>
        </w:rPr>
        <w:t xml:space="preserve">er </w:t>
      </w:r>
      <w:r w:rsidRPr="00CB74A5">
        <w:rPr>
          <w:rFonts w:cs="Arial"/>
          <w:sz w:val="20"/>
          <w:szCs w:val="20"/>
          <w:lang w:val="nl-NL"/>
        </w:rPr>
        <w:t xml:space="preserve">aan een </w:t>
      </w:r>
      <w:r w:rsidRPr="00CB74A5" w:rsidR="0011510B">
        <w:rPr>
          <w:rFonts w:cs="Arial"/>
          <w:sz w:val="20"/>
          <w:szCs w:val="20"/>
          <w:lang w:val="nl-NL"/>
        </w:rPr>
        <w:t>r</w:t>
      </w:r>
      <w:r w:rsidRPr="00CB74A5">
        <w:rPr>
          <w:rFonts w:cs="Arial"/>
          <w:sz w:val="20"/>
          <w:szCs w:val="20"/>
          <w:lang w:val="nl-NL"/>
        </w:rPr>
        <w:t>egering van een Benelux-</w:t>
      </w:r>
      <w:r w:rsidRPr="00CB74A5" w:rsidR="00180294">
        <w:rPr>
          <w:rFonts w:cs="Arial"/>
          <w:sz w:val="20"/>
          <w:szCs w:val="20"/>
          <w:lang w:val="nl-NL"/>
        </w:rPr>
        <w:t>land</w:t>
      </w:r>
      <w:r w:rsidRPr="00CB74A5">
        <w:rPr>
          <w:rFonts w:cs="Arial"/>
          <w:sz w:val="20"/>
          <w:szCs w:val="20"/>
          <w:lang w:val="nl-NL"/>
        </w:rPr>
        <w:t xml:space="preserve"> voor</w:t>
      </w:r>
      <w:r w:rsidRPr="00CB74A5" w:rsidR="007A53E5">
        <w:rPr>
          <w:rFonts w:cs="Arial"/>
          <w:sz w:val="20"/>
          <w:szCs w:val="20"/>
          <w:lang w:val="nl-NL"/>
        </w:rPr>
        <w:t xml:space="preserve">gesteld worden </w:t>
      </w:r>
      <w:r w:rsidRPr="00CB74A5">
        <w:rPr>
          <w:rFonts w:cs="Arial"/>
          <w:sz w:val="20"/>
          <w:szCs w:val="20"/>
          <w:lang w:val="nl-NL"/>
        </w:rPr>
        <w:t>een vertegenwoordiger af te vaardigen op een bijeenkomst van de Assemblee.</w:t>
      </w:r>
    </w:p>
    <w:p w:rsidRPr="00CB74A5" w:rsidR="0011510B" w:rsidP="0007006F" w:rsidRDefault="0011510B">
      <w:pPr>
        <w:tabs>
          <w:tab w:val="left" w:pos="426"/>
        </w:tabs>
        <w:spacing w:after="0" w:line="240" w:lineRule="atLeast"/>
        <w:rPr>
          <w:rFonts w:cs="Arial"/>
          <w:sz w:val="20"/>
          <w:szCs w:val="20"/>
          <w:lang w:val="nl-NL"/>
        </w:rPr>
      </w:pPr>
    </w:p>
    <w:p w:rsidRPr="00CB74A5" w:rsidR="00676D27" w:rsidP="0007006F" w:rsidRDefault="00676D27">
      <w:pPr>
        <w:tabs>
          <w:tab w:val="left" w:pos="426"/>
        </w:tabs>
        <w:spacing w:after="0" w:line="240" w:lineRule="atLeast"/>
        <w:rPr>
          <w:rFonts w:cs="Arial"/>
          <w:sz w:val="20"/>
          <w:szCs w:val="20"/>
          <w:lang w:val="nl-NL"/>
        </w:rPr>
      </w:pPr>
      <w:r w:rsidRPr="00CB74A5">
        <w:rPr>
          <w:rFonts w:cs="Arial"/>
          <w:sz w:val="20"/>
          <w:szCs w:val="20"/>
          <w:lang w:val="nl-NL"/>
        </w:rPr>
        <w:t>A</w:t>
      </w:r>
      <w:r w:rsidRPr="00CB74A5" w:rsidR="007C23D6">
        <w:rPr>
          <w:rFonts w:cs="Arial"/>
          <w:sz w:val="20"/>
          <w:szCs w:val="20"/>
          <w:lang w:val="nl-NL"/>
        </w:rPr>
        <w:t>rtikel 7</w:t>
      </w:r>
      <w:r w:rsidRPr="00CB74A5" w:rsidR="007A53E5">
        <w:rPr>
          <w:rFonts w:cs="Arial"/>
          <w:sz w:val="20"/>
          <w:szCs w:val="20"/>
          <w:lang w:val="nl-NL"/>
        </w:rPr>
        <w:t xml:space="preserve"> </w:t>
      </w:r>
      <w:r w:rsidRPr="00CB74A5">
        <w:rPr>
          <w:rFonts w:cs="Arial"/>
          <w:sz w:val="20"/>
          <w:szCs w:val="20"/>
          <w:lang w:val="nl-NL"/>
        </w:rPr>
        <w:t xml:space="preserve">regelt een nieuwe informatieplicht voor het Benelux Comité van Ministers. </w:t>
      </w:r>
      <w:r w:rsidRPr="00CB74A5" w:rsidR="006560D7">
        <w:rPr>
          <w:rFonts w:cs="Arial"/>
          <w:sz w:val="20"/>
          <w:szCs w:val="20"/>
          <w:lang w:val="nl-NL"/>
        </w:rPr>
        <w:t xml:space="preserve">Het voorzitterschap van dit Comité wisselt elk </w:t>
      </w:r>
      <w:r w:rsidRPr="00CB74A5" w:rsidR="00817B5D">
        <w:rPr>
          <w:rFonts w:cs="Arial"/>
          <w:sz w:val="20"/>
          <w:szCs w:val="20"/>
          <w:lang w:val="nl-NL"/>
        </w:rPr>
        <w:t>jaar</w:t>
      </w:r>
      <w:r w:rsidRPr="00CB74A5" w:rsidR="006560D7">
        <w:rPr>
          <w:rFonts w:cs="Arial"/>
          <w:sz w:val="20"/>
          <w:szCs w:val="20"/>
          <w:lang w:val="nl-NL"/>
        </w:rPr>
        <w:t xml:space="preserve">. </w:t>
      </w:r>
      <w:r w:rsidRPr="00CB74A5" w:rsidR="00817B5D">
        <w:rPr>
          <w:rFonts w:cs="Arial"/>
          <w:sz w:val="20"/>
          <w:szCs w:val="20"/>
          <w:lang w:val="nl-NL"/>
        </w:rPr>
        <w:t>Bij elke wisseling worden</w:t>
      </w:r>
      <w:r w:rsidRPr="00CB74A5">
        <w:rPr>
          <w:rFonts w:cs="Arial"/>
          <w:sz w:val="20"/>
          <w:szCs w:val="20"/>
          <w:lang w:val="nl-NL"/>
        </w:rPr>
        <w:t xml:space="preserve"> </w:t>
      </w:r>
      <w:r w:rsidRPr="00CB74A5" w:rsidR="007A53E5">
        <w:rPr>
          <w:rFonts w:cs="Arial"/>
          <w:sz w:val="20"/>
          <w:szCs w:val="20"/>
          <w:lang w:val="nl-NL"/>
        </w:rPr>
        <w:t>de beleidsprioriteiten op het terrein van de Benelux</w:t>
      </w:r>
      <w:r w:rsidRPr="00CB74A5" w:rsidR="00817B5D">
        <w:rPr>
          <w:rFonts w:cs="Arial"/>
          <w:sz w:val="20"/>
          <w:szCs w:val="20"/>
          <w:lang w:val="nl-NL"/>
        </w:rPr>
        <w:t xml:space="preserve"> Unie </w:t>
      </w:r>
      <w:r w:rsidRPr="00CB74A5">
        <w:rPr>
          <w:rFonts w:cs="Arial"/>
          <w:sz w:val="20"/>
          <w:szCs w:val="20"/>
          <w:lang w:val="nl-NL"/>
        </w:rPr>
        <w:t xml:space="preserve">kenbaar gemaakt en </w:t>
      </w:r>
      <w:r w:rsidRPr="00CB74A5" w:rsidR="00817B5D">
        <w:rPr>
          <w:rFonts w:cs="Arial"/>
          <w:sz w:val="20"/>
          <w:szCs w:val="20"/>
          <w:lang w:val="nl-NL"/>
        </w:rPr>
        <w:t xml:space="preserve">in de Assemblee </w:t>
      </w:r>
      <w:r w:rsidRPr="00CB74A5">
        <w:rPr>
          <w:rFonts w:cs="Arial"/>
          <w:sz w:val="20"/>
          <w:szCs w:val="20"/>
          <w:lang w:val="nl-NL"/>
        </w:rPr>
        <w:t>besproken</w:t>
      </w:r>
      <w:r w:rsidRPr="00CB74A5" w:rsidR="007A53E5">
        <w:rPr>
          <w:rFonts w:cs="Arial"/>
          <w:sz w:val="20"/>
          <w:szCs w:val="20"/>
          <w:lang w:val="nl-NL"/>
        </w:rPr>
        <w:t>.</w:t>
      </w:r>
    </w:p>
    <w:p w:rsidRPr="00CB74A5" w:rsidR="00676D27" w:rsidP="0007006F" w:rsidRDefault="00676D27">
      <w:pPr>
        <w:tabs>
          <w:tab w:val="left" w:pos="426"/>
        </w:tabs>
        <w:spacing w:after="0" w:line="240" w:lineRule="atLeast"/>
        <w:rPr>
          <w:rFonts w:cs="Arial"/>
          <w:sz w:val="20"/>
          <w:szCs w:val="20"/>
          <w:lang w:val="nl-NL"/>
        </w:rPr>
      </w:pPr>
    </w:p>
    <w:p w:rsidRPr="00CB74A5" w:rsidR="0068595C" w:rsidP="0007006F" w:rsidRDefault="00624B1F">
      <w:pPr>
        <w:tabs>
          <w:tab w:val="left" w:pos="426"/>
        </w:tabs>
        <w:spacing w:after="0" w:line="240" w:lineRule="atLeast"/>
        <w:rPr>
          <w:rFonts w:cs="Arial"/>
          <w:sz w:val="20"/>
          <w:szCs w:val="20"/>
          <w:lang w:val="nl-NL"/>
        </w:rPr>
      </w:pPr>
      <w:r w:rsidRPr="00CB74A5">
        <w:rPr>
          <w:rFonts w:cs="Arial"/>
          <w:sz w:val="20"/>
          <w:szCs w:val="20"/>
          <w:lang w:val="nl-NL"/>
        </w:rPr>
        <w:t>Op grond van artikel 4 van de Overeenkomst</w:t>
      </w:r>
      <w:r w:rsidRPr="00CB74A5" w:rsidR="001B17B2">
        <w:rPr>
          <w:rFonts w:cs="Arial"/>
          <w:sz w:val="20"/>
          <w:szCs w:val="20"/>
          <w:lang w:val="nl-NL"/>
        </w:rPr>
        <w:t xml:space="preserve"> uit 1955</w:t>
      </w:r>
      <w:r w:rsidRPr="00CB74A5">
        <w:rPr>
          <w:rFonts w:cs="Arial"/>
          <w:sz w:val="20"/>
          <w:szCs w:val="20"/>
          <w:lang w:val="nl-NL"/>
        </w:rPr>
        <w:t xml:space="preserve"> brengen de </w:t>
      </w:r>
      <w:r w:rsidRPr="00CB74A5" w:rsidR="00676D27">
        <w:rPr>
          <w:rFonts w:cs="Arial"/>
          <w:sz w:val="20"/>
          <w:szCs w:val="20"/>
          <w:lang w:val="nl-NL"/>
        </w:rPr>
        <w:t xml:space="preserve">regeringen </w:t>
      </w:r>
      <w:r w:rsidRPr="00CB74A5" w:rsidR="007A53E5">
        <w:rPr>
          <w:rFonts w:cs="Arial"/>
          <w:sz w:val="20"/>
          <w:szCs w:val="20"/>
          <w:lang w:val="nl-NL"/>
        </w:rPr>
        <w:t xml:space="preserve">van de Benelux-landen </w:t>
      </w:r>
      <w:r w:rsidRPr="00CB74A5">
        <w:rPr>
          <w:rFonts w:cs="Arial"/>
          <w:sz w:val="20"/>
          <w:szCs w:val="20"/>
          <w:lang w:val="nl-NL"/>
        </w:rPr>
        <w:t xml:space="preserve">jaarlijks een verslag uit aan de </w:t>
      </w:r>
      <w:r w:rsidRPr="00CB74A5" w:rsidR="00072F2C">
        <w:rPr>
          <w:rFonts w:cs="Arial"/>
          <w:sz w:val="20"/>
          <w:szCs w:val="20"/>
          <w:lang w:val="nl-NL"/>
        </w:rPr>
        <w:t>I</w:t>
      </w:r>
      <w:r w:rsidR="00072F2C">
        <w:rPr>
          <w:rFonts w:cs="Arial"/>
          <w:sz w:val="20"/>
          <w:szCs w:val="20"/>
          <w:lang w:val="nl-NL"/>
        </w:rPr>
        <w:t>B</w:t>
      </w:r>
      <w:r w:rsidRPr="00CB74A5" w:rsidR="00072F2C">
        <w:rPr>
          <w:rFonts w:cs="Arial"/>
          <w:sz w:val="20"/>
          <w:szCs w:val="20"/>
          <w:lang w:val="nl-NL"/>
        </w:rPr>
        <w:t>R</w:t>
      </w:r>
      <w:r w:rsidRPr="00CB74A5">
        <w:rPr>
          <w:rFonts w:cs="Arial"/>
          <w:sz w:val="20"/>
          <w:szCs w:val="20"/>
          <w:lang w:val="nl-NL"/>
        </w:rPr>
        <w:t xml:space="preserve">. In het </w:t>
      </w:r>
      <w:r w:rsidRPr="00CB74A5" w:rsidR="007A53E5">
        <w:rPr>
          <w:rFonts w:cs="Arial"/>
          <w:sz w:val="20"/>
          <w:szCs w:val="20"/>
          <w:lang w:val="nl-NL"/>
        </w:rPr>
        <w:t xml:space="preserve">onderhavige </w:t>
      </w:r>
      <w:r w:rsidRPr="00CB74A5">
        <w:rPr>
          <w:rFonts w:cs="Arial"/>
          <w:sz w:val="20"/>
          <w:szCs w:val="20"/>
          <w:lang w:val="nl-NL"/>
        </w:rPr>
        <w:t xml:space="preserve">Verdrag is </w:t>
      </w:r>
      <w:r w:rsidRPr="00CB74A5" w:rsidR="00B571C7">
        <w:rPr>
          <w:rFonts w:cs="Arial"/>
          <w:sz w:val="20"/>
          <w:szCs w:val="20"/>
          <w:lang w:val="nl-NL"/>
        </w:rPr>
        <w:t>deze verplichting overgedragen aan de Secretaris-generaal van de Benelux Unie</w:t>
      </w:r>
      <w:r w:rsidRPr="00CB74A5">
        <w:rPr>
          <w:rFonts w:cs="Arial"/>
          <w:sz w:val="20"/>
          <w:szCs w:val="20"/>
          <w:lang w:val="nl-NL"/>
        </w:rPr>
        <w:t xml:space="preserve">. </w:t>
      </w:r>
      <w:proofErr w:type="gramStart"/>
      <w:r w:rsidRPr="00CB74A5" w:rsidR="00B571C7">
        <w:rPr>
          <w:rFonts w:cs="Arial"/>
          <w:sz w:val="20"/>
          <w:szCs w:val="20"/>
          <w:lang w:val="nl-NL"/>
        </w:rPr>
        <w:t>Ingevolge</w:t>
      </w:r>
      <w:proofErr w:type="gramEnd"/>
      <w:r w:rsidRPr="00CB74A5" w:rsidR="00B571C7">
        <w:rPr>
          <w:rFonts w:cs="Arial"/>
          <w:sz w:val="20"/>
          <w:szCs w:val="20"/>
          <w:lang w:val="nl-NL"/>
        </w:rPr>
        <w:t xml:space="preserve"> a</w:t>
      </w:r>
      <w:r w:rsidRPr="00CB74A5">
        <w:rPr>
          <w:rFonts w:cs="Arial"/>
          <w:sz w:val="20"/>
          <w:szCs w:val="20"/>
          <w:lang w:val="nl-NL"/>
        </w:rPr>
        <w:t xml:space="preserve">rtikel 8 </w:t>
      </w:r>
      <w:r w:rsidRPr="00CB74A5" w:rsidR="007A53E5">
        <w:rPr>
          <w:rFonts w:cs="Arial"/>
          <w:sz w:val="20"/>
          <w:szCs w:val="20"/>
          <w:lang w:val="nl-NL"/>
        </w:rPr>
        <w:t xml:space="preserve">van het Verdrag </w:t>
      </w:r>
      <w:r w:rsidRPr="00CB74A5" w:rsidR="00B571C7">
        <w:rPr>
          <w:rFonts w:cs="Arial"/>
          <w:sz w:val="20"/>
          <w:szCs w:val="20"/>
          <w:lang w:val="nl-NL"/>
        </w:rPr>
        <w:t xml:space="preserve">zal hij </w:t>
      </w:r>
      <w:r w:rsidRPr="00CB74A5" w:rsidR="00A936D8">
        <w:rPr>
          <w:rFonts w:cs="Arial"/>
          <w:sz w:val="20"/>
          <w:szCs w:val="20"/>
          <w:lang w:val="nl-NL"/>
        </w:rPr>
        <w:t xml:space="preserve">de Assemblee informeren over de voortgang en uitvoering van het meerjarige Gemeenschappelijke Werkprogramma en van het jaarplan. Verder is </w:t>
      </w:r>
      <w:r w:rsidRPr="00CB74A5">
        <w:rPr>
          <w:rFonts w:cs="Arial"/>
          <w:sz w:val="20"/>
          <w:szCs w:val="20"/>
          <w:lang w:val="nl-NL"/>
        </w:rPr>
        <w:t xml:space="preserve">in het artikel </w:t>
      </w:r>
      <w:r w:rsidRPr="00CB74A5" w:rsidR="00A936D8">
        <w:rPr>
          <w:rFonts w:cs="Arial"/>
          <w:sz w:val="20"/>
          <w:szCs w:val="20"/>
          <w:lang w:val="nl-NL"/>
        </w:rPr>
        <w:t xml:space="preserve">vastgelegd dat de coördinatie van de werkzaamheden tussen de Assemblee en het </w:t>
      </w:r>
      <w:r w:rsidRPr="00CB74A5" w:rsidR="00676D27">
        <w:rPr>
          <w:rFonts w:cs="Arial"/>
          <w:sz w:val="20"/>
          <w:szCs w:val="20"/>
          <w:lang w:val="nl-NL"/>
        </w:rPr>
        <w:t xml:space="preserve">Benelux </w:t>
      </w:r>
      <w:r w:rsidRPr="00CB74A5" w:rsidR="00A936D8">
        <w:rPr>
          <w:rFonts w:cs="Arial"/>
          <w:sz w:val="20"/>
          <w:szCs w:val="20"/>
          <w:lang w:val="nl-NL"/>
        </w:rPr>
        <w:t xml:space="preserve">Comité van Ministers </w:t>
      </w:r>
      <w:r w:rsidRPr="00CB74A5" w:rsidR="00676D27">
        <w:rPr>
          <w:rFonts w:cs="Arial"/>
          <w:sz w:val="20"/>
          <w:szCs w:val="20"/>
          <w:lang w:val="nl-NL"/>
        </w:rPr>
        <w:t xml:space="preserve">gedaan wordt </w:t>
      </w:r>
      <w:r w:rsidRPr="00CB74A5" w:rsidR="00A936D8">
        <w:rPr>
          <w:rFonts w:cs="Arial"/>
          <w:sz w:val="20"/>
          <w:szCs w:val="20"/>
          <w:lang w:val="nl-NL"/>
        </w:rPr>
        <w:t>door het Secretariaat-Generaal</w:t>
      </w:r>
      <w:r w:rsidRPr="00CB74A5">
        <w:rPr>
          <w:rFonts w:cs="Arial"/>
          <w:sz w:val="20"/>
          <w:szCs w:val="20"/>
          <w:lang w:val="nl-NL"/>
        </w:rPr>
        <w:t xml:space="preserve"> van de Benelux </w:t>
      </w:r>
      <w:r w:rsidRPr="00CB74A5" w:rsidR="00676D27">
        <w:rPr>
          <w:rFonts w:cs="Arial"/>
          <w:sz w:val="20"/>
          <w:szCs w:val="20"/>
          <w:lang w:val="nl-NL"/>
        </w:rPr>
        <w:t>Unie</w:t>
      </w:r>
      <w:r w:rsidRPr="00CB74A5" w:rsidR="00A936D8">
        <w:rPr>
          <w:rFonts w:cs="Arial"/>
          <w:sz w:val="20"/>
          <w:szCs w:val="20"/>
          <w:lang w:val="nl-NL"/>
        </w:rPr>
        <w:t xml:space="preserve">. Tot slot </w:t>
      </w:r>
      <w:r w:rsidRPr="00CB74A5" w:rsidR="00B571C7">
        <w:rPr>
          <w:rFonts w:cs="Arial"/>
          <w:sz w:val="20"/>
          <w:szCs w:val="20"/>
          <w:lang w:val="nl-NL"/>
        </w:rPr>
        <w:t>regelt artikel 8 d</w:t>
      </w:r>
      <w:r w:rsidRPr="00CB74A5" w:rsidR="00A936D8">
        <w:rPr>
          <w:rFonts w:cs="Arial"/>
          <w:sz w:val="20"/>
          <w:szCs w:val="20"/>
          <w:lang w:val="nl-NL"/>
        </w:rPr>
        <w:t xml:space="preserve">at de vergaderingen van </w:t>
      </w:r>
      <w:r w:rsidR="00F4151F">
        <w:rPr>
          <w:rFonts w:cs="Arial"/>
          <w:sz w:val="20"/>
          <w:szCs w:val="20"/>
          <w:lang w:val="nl-NL"/>
        </w:rPr>
        <w:t xml:space="preserve">de </w:t>
      </w:r>
      <w:r w:rsidRPr="00CB74A5" w:rsidR="00A936D8">
        <w:rPr>
          <w:rFonts w:cs="Arial"/>
          <w:sz w:val="20"/>
          <w:szCs w:val="20"/>
          <w:lang w:val="nl-NL"/>
        </w:rPr>
        <w:t xml:space="preserve">Assemblee toegankelijk </w:t>
      </w:r>
      <w:r w:rsidR="00F4151F">
        <w:rPr>
          <w:rFonts w:cs="Arial"/>
          <w:sz w:val="20"/>
          <w:szCs w:val="20"/>
          <w:lang w:val="nl-NL"/>
        </w:rPr>
        <w:t xml:space="preserve">zijn </w:t>
      </w:r>
      <w:r w:rsidRPr="00CB74A5" w:rsidR="00A936D8">
        <w:rPr>
          <w:rFonts w:cs="Arial"/>
          <w:sz w:val="20"/>
          <w:szCs w:val="20"/>
          <w:lang w:val="nl-NL"/>
        </w:rPr>
        <w:t xml:space="preserve">voor het College van </w:t>
      </w:r>
      <w:r w:rsidRPr="00CB74A5" w:rsidR="00817B5D">
        <w:rPr>
          <w:rFonts w:cs="Arial"/>
          <w:sz w:val="20"/>
          <w:szCs w:val="20"/>
          <w:lang w:val="nl-NL"/>
        </w:rPr>
        <w:t>S</w:t>
      </w:r>
      <w:r w:rsidRPr="00CB74A5" w:rsidR="00A936D8">
        <w:rPr>
          <w:rFonts w:cs="Arial"/>
          <w:sz w:val="20"/>
          <w:szCs w:val="20"/>
          <w:lang w:val="nl-NL"/>
        </w:rPr>
        <w:t xml:space="preserve">ecretarissen-generaal van de Benelux Unie. </w:t>
      </w:r>
    </w:p>
    <w:p w:rsidRPr="00CB74A5" w:rsidR="00676D27" w:rsidP="0007006F" w:rsidRDefault="00676D27">
      <w:pPr>
        <w:tabs>
          <w:tab w:val="left" w:pos="426"/>
        </w:tabs>
        <w:spacing w:after="0" w:line="240" w:lineRule="atLeast"/>
        <w:rPr>
          <w:rFonts w:cs="Arial"/>
          <w:sz w:val="20"/>
          <w:szCs w:val="20"/>
          <w:u w:val="single"/>
          <w:lang w:val="nl-NL"/>
        </w:rPr>
      </w:pPr>
    </w:p>
    <w:p w:rsidRPr="00CB74A5" w:rsidR="00A936D8" w:rsidP="0007006F" w:rsidRDefault="00525FBC">
      <w:pPr>
        <w:tabs>
          <w:tab w:val="left" w:pos="426"/>
        </w:tabs>
        <w:spacing w:after="0" w:line="240" w:lineRule="atLeast"/>
        <w:rPr>
          <w:rFonts w:cs="Arial"/>
          <w:sz w:val="20"/>
          <w:szCs w:val="20"/>
          <w:lang w:val="nl-NL"/>
        </w:rPr>
      </w:pPr>
      <w:r w:rsidRPr="00CB74A5">
        <w:rPr>
          <w:rFonts w:cs="Arial"/>
          <w:sz w:val="20"/>
          <w:szCs w:val="20"/>
          <w:u w:val="single"/>
          <w:lang w:val="nl-NL"/>
        </w:rPr>
        <w:t>Deel 4</w:t>
      </w:r>
      <w:r w:rsidRPr="00CB74A5" w:rsidR="00944921">
        <w:rPr>
          <w:rFonts w:cs="Arial"/>
          <w:sz w:val="20"/>
          <w:szCs w:val="20"/>
          <w:u w:val="single"/>
          <w:lang w:val="nl-NL"/>
        </w:rPr>
        <w:t xml:space="preserve"> - </w:t>
      </w:r>
      <w:r w:rsidRPr="00CB74A5" w:rsidR="007A53E5">
        <w:rPr>
          <w:rFonts w:cs="Arial"/>
          <w:sz w:val="20"/>
          <w:szCs w:val="20"/>
          <w:u w:val="single"/>
          <w:lang w:val="nl-NL"/>
        </w:rPr>
        <w:t>Werkwijz</w:t>
      </w:r>
      <w:r w:rsidRPr="00CB74A5" w:rsidR="007A53E5">
        <w:rPr>
          <w:rFonts w:cs="Arial"/>
          <w:sz w:val="20"/>
          <w:szCs w:val="20"/>
          <w:lang w:val="nl-NL"/>
        </w:rPr>
        <w:t>e</w:t>
      </w:r>
    </w:p>
    <w:p w:rsidRPr="00CB74A5" w:rsidR="00676D27" w:rsidP="0007006F" w:rsidRDefault="00525FBC">
      <w:pPr>
        <w:tabs>
          <w:tab w:val="left" w:pos="426"/>
        </w:tabs>
        <w:spacing w:after="0" w:line="240" w:lineRule="atLeast"/>
        <w:rPr>
          <w:rFonts w:cs="Arial"/>
          <w:sz w:val="20"/>
          <w:szCs w:val="20"/>
          <w:lang w:val="nl-NL"/>
        </w:rPr>
      </w:pPr>
      <w:r w:rsidRPr="00CB74A5">
        <w:rPr>
          <w:rFonts w:cs="Arial"/>
          <w:sz w:val="20"/>
          <w:szCs w:val="20"/>
          <w:lang w:val="nl-NL"/>
        </w:rPr>
        <w:t>Dit deel bevat artikelen waarin de werkwijze van de Assemblee is vastgelegd. Evenals in artikel 2 van de Overeenkomst</w:t>
      </w:r>
      <w:r w:rsidRPr="00CB74A5" w:rsidR="00676D27">
        <w:rPr>
          <w:rFonts w:cs="Arial"/>
          <w:sz w:val="20"/>
          <w:szCs w:val="20"/>
          <w:lang w:val="nl-NL"/>
        </w:rPr>
        <w:t xml:space="preserve"> uit 1955</w:t>
      </w:r>
      <w:r w:rsidRPr="00CB74A5">
        <w:rPr>
          <w:rFonts w:cs="Arial"/>
          <w:sz w:val="20"/>
          <w:szCs w:val="20"/>
          <w:lang w:val="nl-NL"/>
        </w:rPr>
        <w:t xml:space="preserve"> wordt in artikel 9 van het Verdrag het aantal </w:t>
      </w:r>
      <w:r w:rsidRPr="00CB74A5" w:rsidR="00AC238C">
        <w:rPr>
          <w:rFonts w:cs="Arial"/>
          <w:sz w:val="20"/>
          <w:szCs w:val="20"/>
          <w:lang w:val="nl-NL"/>
        </w:rPr>
        <w:t xml:space="preserve">vaste </w:t>
      </w:r>
      <w:r w:rsidRPr="00CB74A5">
        <w:rPr>
          <w:rFonts w:cs="Arial"/>
          <w:sz w:val="20"/>
          <w:szCs w:val="20"/>
          <w:lang w:val="nl-NL"/>
        </w:rPr>
        <w:t xml:space="preserve">bijeenkomsten per jaar vastgelegd. Dit aantal kan zo </w:t>
      </w:r>
      <w:r w:rsidR="00F4151F">
        <w:rPr>
          <w:rFonts w:cs="Arial"/>
          <w:sz w:val="20"/>
          <w:szCs w:val="20"/>
          <w:lang w:val="nl-NL"/>
        </w:rPr>
        <w:t xml:space="preserve">nodig </w:t>
      </w:r>
      <w:r w:rsidRPr="00CB74A5">
        <w:rPr>
          <w:rFonts w:cs="Arial"/>
          <w:sz w:val="20"/>
          <w:szCs w:val="20"/>
          <w:lang w:val="nl-NL"/>
        </w:rPr>
        <w:t xml:space="preserve">worden overschreden. Zo </w:t>
      </w:r>
      <w:r w:rsidRPr="00CB74A5" w:rsidR="00AC238C">
        <w:rPr>
          <w:rFonts w:cs="Arial"/>
          <w:sz w:val="20"/>
          <w:szCs w:val="20"/>
          <w:lang w:val="nl-NL"/>
        </w:rPr>
        <w:t>schrijft d</w:t>
      </w:r>
      <w:r w:rsidRPr="00CB74A5">
        <w:rPr>
          <w:rFonts w:cs="Arial"/>
          <w:sz w:val="20"/>
          <w:szCs w:val="20"/>
          <w:lang w:val="nl-NL"/>
        </w:rPr>
        <w:t>e Voorzitter van de Assemblee een bijeenkomst uit wanneer de meerderheid van de leden</w:t>
      </w:r>
      <w:r w:rsidRPr="00CB74A5" w:rsidR="00AC238C">
        <w:rPr>
          <w:rFonts w:cs="Arial"/>
          <w:sz w:val="20"/>
          <w:szCs w:val="20"/>
          <w:lang w:val="nl-NL"/>
        </w:rPr>
        <w:t xml:space="preserve"> van de Assemblee </w:t>
      </w:r>
      <w:r w:rsidRPr="00CB74A5">
        <w:rPr>
          <w:rFonts w:cs="Arial"/>
          <w:sz w:val="20"/>
          <w:szCs w:val="20"/>
          <w:lang w:val="nl-NL"/>
        </w:rPr>
        <w:t xml:space="preserve">dat wensen </w:t>
      </w:r>
      <w:r w:rsidRPr="00CB74A5" w:rsidR="00AC238C">
        <w:rPr>
          <w:rFonts w:cs="Arial"/>
          <w:sz w:val="20"/>
          <w:szCs w:val="20"/>
          <w:lang w:val="nl-NL"/>
        </w:rPr>
        <w:t xml:space="preserve">of wanneer de regeringen van </w:t>
      </w:r>
      <w:proofErr w:type="gramStart"/>
      <w:r w:rsidRPr="00CB74A5" w:rsidR="00AC238C">
        <w:rPr>
          <w:rFonts w:cs="Arial"/>
          <w:sz w:val="20"/>
          <w:szCs w:val="20"/>
          <w:lang w:val="nl-NL"/>
        </w:rPr>
        <w:t>tenminste</w:t>
      </w:r>
      <w:proofErr w:type="gramEnd"/>
      <w:r w:rsidRPr="00CB74A5" w:rsidR="00AC238C">
        <w:rPr>
          <w:rFonts w:cs="Arial"/>
          <w:sz w:val="20"/>
          <w:szCs w:val="20"/>
          <w:lang w:val="nl-NL"/>
        </w:rPr>
        <w:t xml:space="preserve"> twee Benelux-</w:t>
      </w:r>
      <w:r w:rsidRPr="00CB74A5" w:rsidR="0011510B">
        <w:rPr>
          <w:rFonts w:cs="Arial"/>
          <w:sz w:val="20"/>
          <w:szCs w:val="20"/>
          <w:lang w:val="nl-NL"/>
        </w:rPr>
        <w:t xml:space="preserve">landen </w:t>
      </w:r>
      <w:r w:rsidRPr="00CB74A5" w:rsidR="00AC238C">
        <w:rPr>
          <w:rFonts w:cs="Arial"/>
          <w:sz w:val="20"/>
          <w:szCs w:val="20"/>
          <w:lang w:val="nl-NL"/>
        </w:rPr>
        <w:t xml:space="preserve">daarom verzoeken. </w:t>
      </w:r>
    </w:p>
    <w:p w:rsidR="00DE7034" w:rsidP="0007006F" w:rsidRDefault="00DE7034">
      <w:pPr>
        <w:tabs>
          <w:tab w:val="left" w:pos="426"/>
        </w:tabs>
        <w:spacing w:after="0" w:line="240" w:lineRule="atLeast"/>
        <w:rPr>
          <w:rFonts w:cs="Arial"/>
          <w:sz w:val="20"/>
          <w:szCs w:val="20"/>
          <w:lang w:val="nl-NL"/>
        </w:rPr>
      </w:pPr>
    </w:p>
    <w:p w:rsidRPr="00CB74A5" w:rsidR="00676D27" w:rsidP="0007006F" w:rsidRDefault="00AC238C">
      <w:pPr>
        <w:tabs>
          <w:tab w:val="left" w:pos="426"/>
        </w:tabs>
        <w:spacing w:after="0" w:line="240" w:lineRule="atLeast"/>
        <w:rPr>
          <w:rFonts w:cs="Arial"/>
          <w:sz w:val="20"/>
          <w:szCs w:val="20"/>
          <w:lang w:val="nl-NL"/>
        </w:rPr>
      </w:pPr>
      <w:r w:rsidRPr="00CB74A5">
        <w:rPr>
          <w:rFonts w:cs="Arial"/>
          <w:sz w:val="20"/>
          <w:szCs w:val="20"/>
          <w:lang w:val="nl-NL"/>
        </w:rPr>
        <w:t xml:space="preserve">Anders dan in de Overeenkomst </w:t>
      </w:r>
      <w:r w:rsidRPr="00CB74A5" w:rsidR="00676D27">
        <w:rPr>
          <w:rFonts w:cs="Arial"/>
          <w:sz w:val="20"/>
          <w:szCs w:val="20"/>
          <w:lang w:val="nl-NL"/>
        </w:rPr>
        <w:t xml:space="preserve">uit 1955 </w:t>
      </w:r>
      <w:r w:rsidRPr="00CB74A5">
        <w:rPr>
          <w:rFonts w:cs="Arial"/>
          <w:sz w:val="20"/>
          <w:szCs w:val="20"/>
          <w:lang w:val="nl-NL"/>
        </w:rPr>
        <w:t xml:space="preserve">geregeld, zijn </w:t>
      </w:r>
      <w:proofErr w:type="gramStart"/>
      <w:r w:rsidRPr="00CB74A5">
        <w:rPr>
          <w:rFonts w:cs="Arial"/>
          <w:sz w:val="20"/>
          <w:szCs w:val="20"/>
          <w:lang w:val="nl-NL"/>
        </w:rPr>
        <w:t>ingevolge</w:t>
      </w:r>
      <w:proofErr w:type="gramEnd"/>
      <w:r w:rsidRPr="00CB74A5">
        <w:rPr>
          <w:rFonts w:cs="Arial"/>
          <w:sz w:val="20"/>
          <w:szCs w:val="20"/>
          <w:lang w:val="nl-NL"/>
        </w:rPr>
        <w:t xml:space="preserve"> artikel 10 van het Verdrag de vergaderingen van de Assemblee in beginsel openbaar, tenzij in de Assemblee de Voorzitter of negen leden anders verzoeken. </w:t>
      </w:r>
      <w:r w:rsidRPr="00CB74A5" w:rsidR="007A53E5">
        <w:rPr>
          <w:rFonts w:cs="Arial"/>
          <w:sz w:val="20"/>
          <w:szCs w:val="20"/>
          <w:lang w:val="nl-NL"/>
        </w:rPr>
        <w:t xml:space="preserve">Het </w:t>
      </w:r>
      <w:r w:rsidRPr="00CB74A5">
        <w:rPr>
          <w:rFonts w:cs="Arial"/>
          <w:sz w:val="20"/>
          <w:szCs w:val="20"/>
          <w:lang w:val="nl-NL"/>
        </w:rPr>
        <w:t>derde lid van artikel</w:t>
      </w:r>
      <w:r w:rsidRPr="00CB74A5" w:rsidR="007A53E5">
        <w:rPr>
          <w:rFonts w:cs="Arial"/>
          <w:sz w:val="20"/>
          <w:szCs w:val="20"/>
          <w:lang w:val="nl-NL"/>
        </w:rPr>
        <w:t> </w:t>
      </w:r>
      <w:r w:rsidRPr="00CB74A5">
        <w:rPr>
          <w:rFonts w:cs="Arial"/>
          <w:sz w:val="20"/>
          <w:szCs w:val="20"/>
          <w:lang w:val="nl-NL"/>
        </w:rPr>
        <w:t xml:space="preserve">10 </w:t>
      </w:r>
      <w:r w:rsidRPr="00CB74A5" w:rsidR="007A53E5">
        <w:rPr>
          <w:rFonts w:cs="Arial"/>
          <w:sz w:val="20"/>
          <w:szCs w:val="20"/>
          <w:lang w:val="nl-NL"/>
        </w:rPr>
        <w:t xml:space="preserve">geeft aan </w:t>
      </w:r>
      <w:r w:rsidRPr="00CB74A5">
        <w:rPr>
          <w:rFonts w:cs="Arial"/>
          <w:sz w:val="20"/>
          <w:szCs w:val="20"/>
          <w:lang w:val="nl-NL"/>
        </w:rPr>
        <w:t xml:space="preserve">dat er van regeringszijde altijd een vertegenwoordiger de bijeenkomst kan bijwonen. </w:t>
      </w:r>
      <w:r w:rsidRPr="00CB74A5" w:rsidR="004413D3">
        <w:rPr>
          <w:rFonts w:cs="Arial"/>
          <w:sz w:val="20"/>
          <w:szCs w:val="20"/>
          <w:lang w:val="nl-NL"/>
        </w:rPr>
        <w:t>Iets d</w:t>
      </w:r>
      <w:r w:rsidRPr="00CB74A5">
        <w:rPr>
          <w:rFonts w:cs="Arial"/>
          <w:sz w:val="20"/>
          <w:szCs w:val="20"/>
          <w:lang w:val="nl-NL"/>
        </w:rPr>
        <w:t>ergelijk</w:t>
      </w:r>
      <w:r w:rsidRPr="00CB74A5" w:rsidR="004413D3">
        <w:rPr>
          <w:rFonts w:cs="Arial"/>
          <w:sz w:val="20"/>
          <w:szCs w:val="20"/>
          <w:lang w:val="nl-NL"/>
        </w:rPr>
        <w:t>s was ook geregeld in artikel 7 van de Overeenkomst</w:t>
      </w:r>
      <w:r w:rsidRPr="00CB74A5" w:rsidR="00676D27">
        <w:rPr>
          <w:rFonts w:cs="Arial"/>
          <w:sz w:val="20"/>
          <w:szCs w:val="20"/>
          <w:lang w:val="nl-NL"/>
        </w:rPr>
        <w:t xml:space="preserve"> uit 1955</w:t>
      </w:r>
      <w:r w:rsidRPr="00CB74A5" w:rsidR="004413D3">
        <w:rPr>
          <w:rFonts w:cs="Arial"/>
          <w:sz w:val="20"/>
          <w:szCs w:val="20"/>
          <w:lang w:val="nl-NL"/>
        </w:rPr>
        <w:t>.</w:t>
      </w:r>
      <w:r w:rsidRPr="00CB74A5" w:rsidR="007A53E5">
        <w:rPr>
          <w:rFonts w:cs="Arial"/>
          <w:sz w:val="20"/>
          <w:szCs w:val="20"/>
          <w:lang w:val="nl-NL"/>
        </w:rPr>
        <w:br/>
      </w:r>
    </w:p>
    <w:p w:rsidRPr="00CB74A5" w:rsidR="00676D27" w:rsidP="0007006F" w:rsidRDefault="004413D3">
      <w:pPr>
        <w:tabs>
          <w:tab w:val="left" w:pos="426"/>
        </w:tabs>
        <w:spacing w:after="0" w:line="240" w:lineRule="atLeast"/>
        <w:rPr>
          <w:rFonts w:cs="Arial"/>
          <w:sz w:val="20"/>
          <w:szCs w:val="20"/>
          <w:lang w:val="nl-NL"/>
        </w:rPr>
      </w:pPr>
      <w:r w:rsidRPr="00CB74A5">
        <w:rPr>
          <w:rFonts w:cs="Arial"/>
          <w:sz w:val="20"/>
          <w:szCs w:val="20"/>
          <w:lang w:val="nl-NL"/>
        </w:rPr>
        <w:t xml:space="preserve">Artikel 11 </w:t>
      </w:r>
      <w:r w:rsidRPr="00CB74A5" w:rsidR="0014408E">
        <w:rPr>
          <w:rFonts w:cs="Arial"/>
          <w:sz w:val="20"/>
          <w:szCs w:val="20"/>
          <w:lang w:val="nl-NL"/>
        </w:rPr>
        <w:t xml:space="preserve">bevat afspraken over het nemen van besluiten. </w:t>
      </w:r>
      <w:proofErr w:type="gramStart"/>
      <w:r w:rsidRPr="00CB74A5" w:rsidR="0014408E">
        <w:rPr>
          <w:rFonts w:cs="Arial"/>
          <w:sz w:val="20"/>
          <w:szCs w:val="20"/>
          <w:lang w:val="nl-NL"/>
        </w:rPr>
        <w:t xml:space="preserve">Wordt in artikel </w:t>
      </w:r>
      <w:r w:rsidRPr="00CB74A5">
        <w:rPr>
          <w:rFonts w:cs="Arial"/>
          <w:sz w:val="20"/>
          <w:szCs w:val="20"/>
          <w:lang w:val="nl-NL"/>
        </w:rPr>
        <w:t>5</w:t>
      </w:r>
      <w:r w:rsidRPr="00CB74A5" w:rsidR="007A53E5">
        <w:rPr>
          <w:rFonts w:cs="Arial"/>
          <w:sz w:val="20"/>
          <w:szCs w:val="20"/>
          <w:lang w:val="nl-NL"/>
        </w:rPr>
        <w:t xml:space="preserve"> van Overeenkomst </w:t>
      </w:r>
      <w:r w:rsidRPr="00CB74A5" w:rsidR="00676D27">
        <w:rPr>
          <w:rFonts w:cs="Arial"/>
          <w:sz w:val="20"/>
          <w:szCs w:val="20"/>
          <w:lang w:val="nl-NL"/>
        </w:rPr>
        <w:t xml:space="preserve">uit 1955 </w:t>
      </w:r>
      <w:r w:rsidRPr="00CB74A5" w:rsidR="0014408E">
        <w:rPr>
          <w:rFonts w:cs="Arial"/>
          <w:sz w:val="20"/>
          <w:szCs w:val="20"/>
          <w:lang w:val="nl-NL"/>
        </w:rPr>
        <w:t>aang</w:t>
      </w:r>
      <w:r w:rsidRPr="00CB74A5" w:rsidR="001B17B2">
        <w:rPr>
          <w:rFonts w:cs="Arial"/>
          <w:sz w:val="20"/>
          <w:szCs w:val="20"/>
          <w:lang w:val="nl-NL"/>
        </w:rPr>
        <w:t>eg</w:t>
      </w:r>
      <w:r w:rsidRPr="00CB74A5" w:rsidR="0014408E">
        <w:rPr>
          <w:rFonts w:cs="Arial"/>
          <w:sz w:val="20"/>
          <w:szCs w:val="20"/>
          <w:lang w:val="nl-NL"/>
        </w:rPr>
        <w:t xml:space="preserve">even </w:t>
      </w:r>
      <w:r w:rsidRPr="00CB74A5">
        <w:rPr>
          <w:rFonts w:cs="Arial"/>
          <w:sz w:val="20"/>
          <w:szCs w:val="20"/>
          <w:lang w:val="nl-NL"/>
        </w:rPr>
        <w:t xml:space="preserve">dat besluiten </w:t>
      </w:r>
      <w:r w:rsidRPr="00CB74A5" w:rsidR="0014408E">
        <w:rPr>
          <w:rFonts w:cs="Arial"/>
          <w:sz w:val="20"/>
          <w:szCs w:val="20"/>
          <w:lang w:val="nl-NL"/>
        </w:rPr>
        <w:t xml:space="preserve">die adviezen inhouden, slechts genomen kunnen worden met een meerderheid van </w:t>
      </w:r>
      <w:r w:rsidRPr="00CB74A5" w:rsidR="00713945">
        <w:rPr>
          <w:rFonts w:cs="Arial"/>
          <w:sz w:val="20"/>
          <w:szCs w:val="20"/>
          <w:lang w:val="nl-NL"/>
        </w:rPr>
        <w:t>twee derde</w:t>
      </w:r>
      <w:r w:rsidRPr="00CB74A5" w:rsidR="0014408E">
        <w:rPr>
          <w:rFonts w:cs="Arial"/>
          <w:sz w:val="20"/>
          <w:szCs w:val="20"/>
          <w:lang w:val="nl-NL"/>
        </w:rPr>
        <w:t xml:space="preserve"> van de uitgebrachte stemmen, in het </w:t>
      </w:r>
      <w:r w:rsidRPr="00CB74A5" w:rsidR="007A53E5">
        <w:rPr>
          <w:rFonts w:cs="Arial"/>
          <w:sz w:val="20"/>
          <w:szCs w:val="20"/>
          <w:lang w:val="nl-NL"/>
        </w:rPr>
        <w:t xml:space="preserve">onderhavige </w:t>
      </w:r>
      <w:r w:rsidRPr="00CB74A5" w:rsidR="0014408E">
        <w:rPr>
          <w:rFonts w:cs="Arial"/>
          <w:sz w:val="20"/>
          <w:szCs w:val="20"/>
          <w:lang w:val="nl-NL"/>
        </w:rPr>
        <w:t>Verdrag is vastgelegd dat de door de</w:t>
      </w:r>
      <w:r w:rsidRPr="00CB74A5">
        <w:rPr>
          <w:rFonts w:cs="Arial"/>
          <w:sz w:val="20"/>
          <w:szCs w:val="20"/>
          <w:lang w:val="nl-NL"/>
        </w:rPr>
        <w:t xml:space="preserve"> Assemblee </w:t>
      </w:r>
      <w:r w:rsidRPr="00CB74A5" w:rsidR="0014408E">
        <w:rPr>
          <w:rFonts w:cs="Arial"/>
          <w:sz w:val="20"/>
          <w:szCs w:val="20"/>
          <w:lang w:val="nl-NL"/>
        </w:rPr>
        <w:t xml:space="preserve">genomen besluiten met een gewone meerderheid van stemmen </w:t>
      </w:r>
      <w:r w:rsidRPr="00CB74A5" w:rsidR="007A53E5">
        <w:rPr>
          <w:rFonts w:cs="Arial"/>
          <w:sz w:val="20"/>
          <w:szCs w:val="20"/>
          <w:lang w:val="nl-NL"/>
        </w:rPr>
        <w:t xml:space="preserve">genomen </w:t>
      </w:r>
      <w:r w:rsidRPr="00CB74A5" w:rsidR="0014408E">
        <w:rPr>
          <w:rFonts w:cs="Arial"/>
          <w:sz w:val="20"/>
          <w:szCs w:val="20"/>
          <w:lang w:val="nl-NL"/>
        </w:rPr>
        <w:t>worden.</w:t>
      </w:r>
      <w:r w:rsidR="009F76D7">
        <w:rPr>
          <w:rFonts w:cs="Arial"/>
          <w:sz w:val="20"/>
          <w:szCs w:val="20"/>
          <w:lang w:val="nl-NL"/>
        </w:rPr>
        <w:t xml:space="preserve"> </w:t>
      </w:r>
      <w:proofErr w:type="gramEnd"/>
      <w:r w:rsidRPr="00CB74A5" w:rsidR="0014408E">
        <w:rPr>
          <w:rFonts w:cs="Arial"/>
          <w:sz w:val="20"/>
          <w:szCs w:val="20"/>
          <w:lang w:val="nl-NL"/>
        </w:rPr>
        <w:t>Een voorwaarde is dan wel dat een meerderheid van de Assemblee aanwezig is en dat elke nationale delegatie in de vergadering vertegenwoordigd is.</w:t>
      </w:r>
      <w:r w:rsidRPr="00CB74A5" w:rsidR="007A53E5">
        <w:rPr>
          <w:rFonts w:cs="Arial"/>
          <w:sz w:val="20"/>
          <w:szCs w:val="20"/>
          <w:lang w:val="nl-NL"/>
        </w:rPr>
        <w:br/>
      </w:r>
    </w:p>
    <w:p w:rsidRPr="00CB74A5" w:rsidR="005D7738" w:rsidP="0007006F" w:rsidRDefault="0014408E">
      <w:pPr>
        <w:tabs>
          <w:tab w:val="left" w:pos="426"/>
        </w:tabs>
        <w:spacing w:after="0" w:line="240" w:lineRule="atLeast"/>
        <w:rPr>
          <w:rFonts w:cs="Arial"/>
          <w:sz w:val="20"/>
          <w:szCs w:val="20"/>
          <w:lang w:val="nl-NL"/>
        </w:rPr>
      </w:pPr>
      <w:r w:rsidRPr="00CB74A5">
        <w:rPr>
          <w:rFonts w:cs="Arial"/>
          <w:sz w:val="20"/>
          <w:szCs w:val="20"/>
          <w:lang w:val="nl-NL"/>
        </w:rPr>
        <w:t>De artikelen 12 tot en met 15 van het Verdrag komen overeen met de artikelen 9, 10 en 11 van de Overeenkomst</w:t>
      </w:r>
      <w:r w:rsidRPr="00CB74A5" w:rsidR="00B774AA">
        <w:rPr>
          <w:rFonts w:cs="Arial"/>
          <w:sz w:val="20"/>
          <w:szCs w:val="20"/>
          <w:lang w:val="nl-NL"/>
        </w:rPr>
        <w:t xml:space="preserve"> uit 1955</w:t>
      </w:r>
      <w:r w:rsidRPr="00CB74A5">
        <w:rPr>
          <w:rFonts w:cs="Arial"/>
          <w:sz w:val="20"/>
          <w:szCs w:val="20"/>
          <w:lang w:val="nl-NL"/>
        </w:rPr>
        <w:t xml:space="preserve">. In deze artikelen komen aan de </w:t>
      </w:r>
      <w:r w:rsidRPr="00CB74A5" w:rsidR="00B774AA">
        <w:rPr>
          <w:rFonts w:cs="Arial"/>
          <w:sz w:val="20"/>
          <w:szCs w:val="20"/>
          <w:lang w:val="nl-NL"/>
        </w:rPr>
        <w:t>O</w:t>
      </w:r>
      <w:r w:rsidRPr="00CB74A5">
        <w:rPr>
          <w:rFonts w:cs="Arial"/>
          <w:sz w:val="20"/>
          <w:szCs w:val="20"/>
          <w:lang w:val="nl-NL"/>
        </w:rPr>
        <w:t xml:space="preserve">rde: de officiële werktalen, het instellen van de commissies en het opstellen van een Reglement van </w:t>
      </w:r>
      <w:r w:rsidRPr="00CB74A5" w:rsidR="00B774AA">
        <w:rPr>
          <w:rFonts w:cs="Arial"/>
          <w:sz w:val="20"/>
          <w:szCs w:val="20"/>
          <w:lang w:val="nl-NL"/>
        </w:rPr>
        <w:t>O</w:t>
      </w:r>
      <w:r w:rsidRPr="00CB74A5">
        <w:rPr>
          <w:rFonts w:cs="Arial"/>
          <w:sz w:val="20"/>
          <w:szCs w:val="20"/>
          <w:lang w:val="nl-NL"/>
        </w:rPr>
        <w:t>rde. Wat de benoeming van de (onder-)voorzitters betreft is nieuw dat deze benoeming in beginsel voor e</w:t>
      </w:r>
      <w:r w:rsidRPr="00CB74A5" w:rsidR="007A53E5">
        <w:rPr>
          <w:rFonts w:cs="Arial"/>
          <w:sz w:val="20"/>
          <w:szCs w:val="20"/>
          <w:lang w:val="nl-NL"/>
        </w:rPr>
        <w:t>en periode van twee jaar geldt.</w:t>
      </w:r>
    </w:p>
    <w:p w:rsidRPr="00CB74A5" w:rsidR="00676D27" w:rsidP="0007006F" w:rsidRDefault="00676D27">
      <w:pPr>
        <w:tabs>
          <w:tab w:val="left" w:pos="426"/>
        </w:tabs>
        <w:spacing w:after="0" w:line="240" w:lineRule="atLeast"/>
        <w:rPr>
          <w:rFonts w:cs="Arial"/>
          <w:sz w:val="20"/>
          <w:szCs w:val="20"/>
          <w:u w:val="single"/>
          <w:lang w:val="nl-NL"/>
        </w:rPr>
      </w:pPr>
    </w:p>
    <w:p w:rsidRPr="00CB74A5" w:rsidR="00944921" w:rsidP="0007006F" w:rsidRDefault="00944921">
      <w:pPr>
        <w:tabs>
          <w:tab w:val="left" w:pos="426"/>
        </w:tabs>
        <w:spacing w:after="0" w:line="240" w:lineRule="atLeast"/>
        <w:rPr>
          <w:rFonts w:cs="Arial"/>
          <w:sz w:val="20"/>
          <w:szCs w:val="20"/>
          <w:lang w:val="nl-NL"/>
        </w:rPr>
      </w:pPr>
      <w:r w:rsidRPr="00CB74A5">
        <w:rPr>
          <w:rFonts w:cs="Arial"/>
          <w:sz w:val="20"/>
          <w:szCs w:val="20"/>
          <w:u w:val="single"/>
          <w:lang w:val="nl-NL"/>
        </w:rPr>
        <w:t>Deel 5 – Slotbepalingen</w:t>
      </w:r>
    </w:p>
    <w:p w:rsidRPr="00CB74A5" w:rsidR="00817B5D" w:rsidP="0007006F" w:rsidRDefault="00944921">
      <w:pPr>
        <w:tabs>
          <w:tab w:val="left" w:pos="426"/>
        </w:tabs>
        <w:spacing w:after="0" w:line="240" w:lineRule="atLeast"/>
        <w:rPr>
          <w:rFonts w:cs="Arial"/>
          <w:sz w:val="20"/>
          <w:szCs w:val="20"/>
          <w:lang w:val="nl-NL"/>
        </w:rPr>
      </w:pPr>
      <w:r w:rsidRPr="00CB74A5">
        <w:rPr>
          <w:rFonts w:cs="Arial"/>
          <w:sz w:val="20"/>
          <w:szCs w:val="20"/>
          <w:lang w:val="nl-NL"/>
        </w:rPr>
        <w:t xml:space="preserve">Dit deel bestaat uit vier artikelen. </w:t>
      </w:r>
      <w:r w:rsidRPr="00CB74A5" w:rsidR="00EF404F">
        <w:rPr>
          <w:rFonts w:cs="Arial"/>
          <w:sz w:val="20"/>
          <w:szCs w:val="20"/>
          <w:lang w:val="nl-NL"/>
        </w:rPr>
        <w:t>I</w:t>
      </w:r>
      <w:r w:rsidRPr="00CB74A5">
        <w:rPr>
          <w:rFonts w:cs="Arial"/>
          <w:sz w:val="20"/>
          <w:szCs w:val="20"/>
          <w:lang w:val="nl-NL"/>
        </w:rPr>
        <w:t>n ar</w:t>
      </w:r>
      <w:r w:rsidRPr="00CB74A5" w:rsidR="00552D3A">
        <w:rPr>
          <w:rFonts w:cs="Arial"/>
          <w:sz w:val="20"/>
          <w:szCs w:val="20"/>
          <w:lang w:val="nl-NL"/>
        </w:rPr>
        <w:t>tikel 16</w:t>
      </w:r>
      <w:r w:rsidRPr="00CB74A5" w:rsidR="007A53E5">
        <w:rPr>
          <w:rFonts w:cs="Arial"/>
          <w:sz w:val="20"/>
          <w:szCs w:val="20"/>
          <w:lang w:val="nl-NL"/>
        </w:rPr>
        <w:t xml:space="preserve"> </w:t>
      </w:r>
      <w:r w:rsidRPr="00CB74A5" w:rsidR="00EF404F">
        <w:rPr>
          <w:rFonts w:cs="Arial"/>
          <w:sz w:val="20"/>
          <w:szCs w:val="20"/>
          <w:lang w:val="nl-NL"/>
        </w:rPr>
        <w:t xml:space="preserve">wordt </w:t>
      </w:r>
      <w:r w:rsidRPr="00CB74A5" w:rsidR="007A53E5">
        <w:rPr>
          <w:rFonts w:cs="Arial"/>
          <w:sz w:val="20"/>
          <w:szCs w:val="20"/>
          <w:lang w:val="nl-NL"/>
        </w:rPr>
        <w:t xml:space="preserve">geregeld </w:t>
      </w:r>
      <w:r w:rsidRPr="00CB74A5">
        <w:rPr>
          <w:rFonts w:cs="Arial"/>
          <w:sz w:val="20"/>
          <w:szCs w:val="20"/>
          <w:lang w:val="nl-NL"/>
        </w:rPr>
        <w:t xml:space="preserve">dat bij inwerkingtreding van het Verdrag </w:t>
      </w:r>
      <w:r w:rsidRPr="00CB74A5" w:rsidR="00552D3A">
        <w:rPr>
          <w:rFonts w:cs="Arial"/>
          <w:sz w:val="20"/>
          <w:szCs w:val="20"/>
          <w:lang w:val="nl-NL"/>
        </w:rPr>
        <w:t xml:space="preserve">de </w:t>
      </w:r>
      <w:proofErr w:type="gramStart"/>
      <w:r w:rsidRPr="00CB74A5">
        <w:rPr>
          <w:rFonts w:cs="Arial"/>
          <w:sz w:val="20"/>
          <w:szCs w:val="20"/>
          <w:lang w:val="nl-NL"/>
        </w:rPr>
        <w:t>reeds</w:t>
      </w:r>
      <w:proofErr w:type="gramEnd"/>
      <w:r w:rsidRPr="00CB74A5">
        <w:rPr>
          <w:rFonts w:cs="Arial"/>
          <w:sz w:val="20"/>
          <w:szCs w:val="20"/>
          <w:lang w:val="nl-NL"/>
        </w:rPr>
        <w:t xml:space="preserve"> ingestelde </w:t>
      </w:r>
      <w:r w:rsidRPr="00CB74A5" w:rsidR="00552D3A">
        <w:rPr>
          <w:rFonts w:cs="Arial"/>
          <w:sz w:val="20"/>
          <w:szCs w:val="20"/>
          <w:lang w:val="nl-NL"/>
        </w:rPr>
        <w:t xml:space="preserve">Commissies </w:t>
      </w:r>
      <w:r w:rsidRPr="00CB74A5">
        <w:rPr>
          <w:rFonts w:cs="Arial"/>
          <w:sz w:val="20"/>
          <w:szCs w:val="20"/>
          <w:lang w:val="nl-NL"/>
        </w:rPr>
        <w:t>in stand blijven en dat de</w:t>
      </w:r>
      <w:r w:rsidRPr="00CB74A5" w:rsidR="00552D3A">
        <w:rPr>
          <w:rFonts w:cs="Arial"/>
          <w:sz w:val="20"/>
          <w:szCs w:val="20"/>
          <w:lang w:val="nl-NL"/>
        </w:rPr>
        <w:t xml:space="preserve"> </w:t>
      </w:r>
      <w:r w:rsidRPr="00CB74A5">
        <w:rPr>
          <w:rFonts w:cs="Arial"/>
          <w:sz w:val="20"/>
          <w:szCs w:val="20"/>
          <w:lang w:val="nl-NL"/>
        </w:rPr>
        <w:t xml:space="preserve">eerdere </w:t>
      </w:r>
      <w:r w:rsidRPr="00CB74A5" w:rsidR="00552D3A">
        <w:rPr>
          <w:rFonts w:cs="Arial"/>
          <w:sz w:val="20"/>
          <w:szCs w:val="20"/>
          <w:lang w:val="nl-NL"/>
        </w:rPr>
        <w:t xml:space="preserve">besluiten, adviezen en aanbevelingen van de </w:t>
      </w:r>
      <w:r w:rsidRPr="00CB74A5" w:rsidR="00072F2C">
        <w:rPr>
          <w:rFonts w:cs="Arial"/>
          <w:sz w:val="20"/>
          <w:szCs w:val="20"/>
          <w:lang w:val="nl-NL"/>
        </w:rPr>
        <w:t>I</w:t>
      </w:r>
      <w:r w:rsidR="00072F2C">
        <w:rPr>
          <w:rFonts w:cs="Arial"/>
          <w:sz w:val="20"/>
          <w:szCs w:val="20"/>
          <w:lang w:val="nl-NL"/>
        </w:rPr>
        <w:t>B</w:t>
      </w:r>
      <w:r w:rsidRPr="00CB74A5" w:rsidR="00072F2C">
        <w:rPr>
          <w:rFonts w:cs="Arial"/>
          <w:sz w:val="20"/>
          <w:szCs w:val="20"/>
          <w:lang w:val="nl-NL"/>
        </w:rPr>
        <w:t>R</w:t>
      </w:r>
      <w:r w:rsidR="00072F2C">
        <w:rPr>
          <w:rFonts w:cs="Arial"/>
          <w:sz w:val="20"/>
          <w:szCs w:val="20"/>
          <w:lang w:val="nl-NL"/>
        </w:rPr>
        <w:t xml:space="preserve"> </w:t>
      </w:r>
      <w:r w:rsidRPr="00CB74A5" w:rsidR="00EF404F">
        <w:rPr>
          <w:rFonts w:cs="Arial"/>
          <w:sz w:val="20"/>
          <w:szCs w:val="20"/>
          <w:lang w:val="nl-NL"/>
        </w:rPr>
        <w:t>gehandhaafd worden</w:t>
      </w:r>
      <w:r w:rsidR="00F4151F">
        <w:rPr>
          <w:rFonts w:cs="Arial"/>
          <w:sz w:val="20"/>
          <w:szCs w:val="20"/>
          <w:lang w:val="nl-NL"/>
        </w:rPr>
        <w:t xml:space="preserve">. </w:t>
      </w:r>
      <w:r w:rsidRPr="00CB74A5" w:rsidR="00EF404F">
        <w:rPr>
          <w:rFonts w:cs="Arial"/>
          <w:sz w:val="20"/>
          <w:szCs w:val="20"/>
          <w:lang w:val="nl-NL"/>
        </w:rPr>
        <w:t>Het vierde lid</w:t>
      </w:r>
      <w:r w:rsidRPr="00CB74A5" w:rsidR="00552D3A">
        <w:rPr>
          <w:rFonts w:cs="Arial"/>
          <w:sz w:val="20"/>
          <w:szCs w:val="20"/>
          <w:lang w:val="nl-NL"/>
        </w:rPr>
        <w:t xml:space="preserve"> voorziet in </w:t>
      </w:r>
      <w:r w:rsidR="00F4151F">
        <w:rPr>
          <w:rFonts w:cs="Arial"/>
          <w:sz w:val="20"/>
          <w:szCs w:val="20"/>
          <w:lang w:val="nl-NL"/>
        </w:rPr>
        <w:t xml:space="preserve">de </w:t>
      </w:r>
      <w:r w:rsidRPr="00CB74A5" w:rsidR="00552D3A">
        <w:rPr>
          <w:rFonts w:cs="Arial"/>
          <w:sz w:val="20"/>
          <w:szCs w:val="20"/>
          <w:lang w:val="nl-NL"/>
        </w:rPr>
        <w:t xml:space="preserve">instandhouding van het </w:t>
      </w:r>
      <w:r w:rsidRPr="00CB74A5" w:rsidR="00722737">
        <w:rPr>
          <w:rFonts w:cs="Arial"/>
          <w:sz w:val="20"/>
          <w:szCs w:val="20"/>
          <w:lang w:val="nl-NL"/>
        </w:rPr>
        <w:t>op 3 februari 1958 te ’s-Gravenhage gesloten Protocol tot aanvulling van de Overeenkomst</w:t>
      </w:r>
      <w:r w:rsidRPr="00CB74A5" w:rsidR="00180294">
        <w:rPr>
          <w:rFonts w:cs="Arial"/>
          <w:sz w:val="20"/>
          <w:szCs w:val="20"/>
          <w:lang w:val="nl-NL"/>
        </w:rPr>
        <w:t xml:space="preserve"> (Trb. 1958, 20)</w:t>
      </w:r>
      <w:r w:rsidRPr="00CB74A5">
        <w:rPr>
          <w:rFonts w:cs="Arial"/>
          <w:sz w:val="20"/>
          <w:szCs w:val="20"/>
          <w:lang w:val="nl-NL"/>
        </w:rPr>
        <w:t xml:space="preserve">. </w:t>
      </w:r>
      <w:r w:rsidRPr="00CB74A5" w:rsidR="00180294">
        <w:rPr>
          <w:rFonts w:cs="Arial"/>
          <w:sz w:val="20"/>
          <w:szCs w:val="20"/>
          <w:lang w:val="nl-NL"/>
        </w:rPr>
        <w:t xml:space="preserve">Dit </w:t>
      </w:r>
      <w:r w:rsidRPr="00CB74A5" w:rsidR="00722737">
        <w:rPr>
          <w:rFonts w:cs="Arial"/>
          <w:sz w:val="20"/>
          <w:szCs w:val="20"/>
          <w:lang w:val="nl-NL"/>
        </w:rPr>
        <w:t>Protocol</w:t>
      </w:r>
      <w:r w:rsidRPr="00CB74A5">
        <w:rPr>
          <w:rFonts w:cs="Arial"/>
          <w:sz w:val="20"/>
          <w:szCs w:val="20"/>
          <w:lang w:val="nl-NL"/>
        </w:rPr>
        <w:t xml:space="preserve"> dat </w:t>
      </w:r>
      <w:r w:rsidR="009F76D7">
        <w:rPr>
          <w:rFonts w:cs="Arial"/>
          <w:sz w:val="20"/>
          <w:szCs w:val="20"/>
          <w:lang w:val="nl-NL"/>
        </w:rPr>
        <w:t xml:space="preserve">in Nederland </w:t>
      </w:r>
      <w:r w:rsidRPr="00CB74A5">
        <w:rPr>
          <w:rFonts w:cs="Arial"/>
          <w:sz w:val="20"/>
          <w:szCs w:val="20"/>
          <w:lang w:val="nl-NL"/>
        </w:rPr>
        <w:t xml:space="preserve">destijds geen parlementaire goedkeuring </w:t>
      </w:r>
      <w:proofErr w:type="gramStart"/>
      <w:r w:rsidRPr="00CB74A5">
        <w:rPr>
          <w:rFonts w:cs="Arial"/>
          <w:sz w:val="20"/>
          <w:szCs w:val="20"/>
          <w:lang w:val="nl-NL"/>
        </w:rPr>
        <w:t>behoefde</w:t>
      </w:r>
      <w:proofErr w:type="gramEnd"/>
      <w:r w:rsidRPr="00CB74A5">
        <w:rPr>
          <w:rFonts w:cs="Arial"/>
          <w:sz w:val="20"/>
          <w:szCs w:val="20"/>
          <w:lang w:val="nl-NL"/>
        </w:rPr>
        <w:t xml:space="preserve">, blijft gelden voor de leden van de Assemblee. </w:t>
      </w:r>
      <w:r w:rsidRPr="00CB74A5" w:rsidR="00180294">
        <w:rPr>
          <w:rFonts w:cs="Arial"/>
          <w:sz w:val="20"/>
          <w:szCs w:val="20"/>
          <w:lang w:val="nl-NL"/>
        </w:rPr>
        <w:t xml:space="preserve">Zo blijven </w:t>
      </w:r>
      <w:r w:rsidRPr="00CB74A5" w:rsidR="00EF404F">
        <w:rPr>
          <w:rFonts w:cs="Arial"/>
          <w:sz w:val="20"/>
          <w:szCs w:val="20"/>
          <w:lang w:val="nl-NL"/>
        </w:rPr>
        <w:t xml:space="preserve">deze leden </w:t>
      </w:r>
      <w:r w:rsidRPr="00CB74A5" w:rsidR="00722737">
        <w:rPr>
          <w:rFonts w:cs="Arial"/>
          <w:sz w:val="20"/>
          <w:szCs w:val="20"/>
          <w:lang w:val="nl-NL"/>
        </w:rPr>
        <w:t xml:space="preserve">bij de uitoefening van hun ambt en tijdens </w:t>
      </w:r>
      <w:r w:rsidRPr="00CB74A5">
        <w:rPr>
          <w:rFonts w:cs="Arial"/>
          <w:sz w:val="20"/>
          <w:szCs w:val="20"/>
          <w:lang w:val="nl-NL"/>
        </w:rPr>
        <w:t>een z</w:t>
      </w:r>
      <w:r w:rsidRPr="00CB74A5" w:rsidR="00722737">
        <w:rPr>
          <w:rFonts w:cs="Arial"/>
          <w:sz w:val="20"/>
          <w:szCs w:val="20"/>
          <w:lang w:val="nl-NL"/>
        </w:rPr>
        <w:t xml:space="preserve">ittingsduur immuniteit </w:t>
      </w:r>
      <w:r w:rsidRPr="00CB74A5" w:rsidR="00180294">
        <w:rPr>
          <w:rFonts w:cs="Arial"/>
          <w:sz w:val="20"/>
          <w:szCs w:val="20"/>
          <w:lang w:val="nl-NL"/>
        </w:rPr>
        <w:t xml:space="preserve">genieten </w:t>
      </w:r>
      <w:r w:rsidRPr="00CB74A5" w:rsidR="00722737">
        <w:rPr>
          <w:rFonts w:cs="Arial"/>
          <w:sz w:val="20"/>
          <w:szCs w:val="20"/>
          <w:lang w:val="nl-NL"/>
        </w:rPr>
        <w:t xml:space="preserve">met betrekking tot opsporing en aanhouding. </w:t>
      </w:r>
    </w:p>
    <w:p w:rsidRPr="00CB74A5" w:rsidR="00817B5D" w:rsidP="0007006F" w:rsidRDefault="00944921">
      <w:pPr>
        <w:tabs>
          <w:tab w:val="left" w:pos="426"/>
        </w:tabs>
        <w:spacing w:after="0" w:line="240" w:lineRule="atLeast"/>
        <w:rPr>
          <w:rFonts w:cs="Arial"/>
          <w:sz w:val="20"/>
          <w:szCs w:val="20"/>
          <w:lang w:val="nl-NL"/>
        </w:rPr>
      </w:pPr>
      <w:r w:rsidRPr="00CB74A5">
        <w:rPr>
          <w:rFonts w:cs="Arial"/>
          <w:sz w:val="20"/>
          <w:szCs w:val="20"/>
          <w:lang w:val="nl-NL"/>
        </w:rPr>
        <w:lastRenderedPageBreak/>
        <w:t>De a</w:t>
      </w:r>
      <w:r w:rsidRPr="00CB74A5" w:rsidR="009F482D">
        <w:rPr>
          <w:rFonts w:cs="Arial"/>
          <w:sz w:val="20"/>
          <w:szCs w:val="20"/>
          <w:lang w:val="nl-NL"/>
        </w:rPr>
        <w:t>rtikelen 17 tot en met 19</w:t>
      </w:r>
      <w:r w:rsidRPr="00CB74A5">
        <w:rPr>
          <w:rFonts w:cs="Arial"/>
          <w:sz w:val="20"/>
          <w:szCs w:val="20"/>
          <w:lang w:val="nl-NL"/>
        </w:rPr>
        <w:t xml:space="preserve"> </w:t>
      </w:r>
      <w:r w:rsidRPr="00CB74A5" w:rsidR="00180294">
        <w:rPr>
          <w:rFonts w:cs="Arial"/>
          <w:sz w:val="20"/>
          <w:szCs w:val="20"/>
          <w:lang w:val="nl-NL"/>
        </w:rPr>
        <w:t xml:space="preserve">van het Verdrag </w:t>
      </w:r>
      <w:r w:rsidRPr="00CB74A5" w:rsidR="009F482D">
        <w:rPr>
          <w:rFonts w:cs="Arial"/>
          <w:sz w:val="20"/>
          <w:szCs w:val="20"/>
          <w:lang w:val="nl-NL"/>
        </w:rPr>
        <w:t>bevatten de gebruikelijke slotbepalingen voor een multilateraal verdrag.</w:t>
      </w:r>
      <w:r w:rsidRPr="00CB74A5">
        <w:rPr>
          <w:rFonts w:cs="Arial"/>
          <w:sz w:val="20"/>
          <w:szCs w:val="20"/>
          <w:lang w:val="nl-NL"/>
        </w:rPr>
        <w:t xml:space="preserve"> </w:t>
      </w:r>
      <w:r w:rsidRPr="00CB74A5" w:rsidR="00896E25">
        <w:rPr>
          <w:rFonts w:cs="Arial"/>
          <w:sz w:val="20"/>
          <w:szCs w:val="20"/>
          <w:lang w:val="nl-NL"/>
        </w:rPr>
        <w:t>In deze artikelen gaat het over d</w:t>
      </w:r>
      <w:r w:rsidRPr="00CB74A5">
        <w:rPr>
          <w:rFonts w:cs="Arial"/>
          <w:sz w:val="20"/>
          <w:szCs w:val="20"/>
          <w:lang w:val="nl-NL"/>
        </w:rPr>
        <w:t>e toepassing van het Verdrag</w:t>
      </w:r>
      <w:r w:rsidRPr="00CB74A5" w:rsidR="00896E25">
        <w:rPr>
          <w:rFonts w:cs="Arial"/>
          <w:sz w:val="20"/>
          <w:szCs w:val="20"/>
          <w:lang w:val="nl-NL"/>
        </w:rPr>
        <w:t>, de mogelijkheid voor een Benelux</w:t>
      </w:r>
      <w:r w:rsidRPr="00CB74A5" w:rsidR="008167B3">
        <w:rPr>
          <w:rFonts w:cs="Arial"/>
          <w:sz w:val="20"/>
          <w:szCs w:val="20"/>
          <w:lang w:val="nl-NL"/>
        </w:rPr>
        <w:t>-</w:t>
      </w:r>
      <w:r w:rsidRPr="00CB74A5" w:rsidR="00180294">
        <w:rPr>
          <w:rFonts w:cs="Arial"/>
          <w:sz w:val="20"/>
          <w:szCs w:val="20"/>
          <w:lang w:val="nl-NL"/>
        </w:rPr>
        <w:t>land</w:t>
      </w:r>
      <w:r w:rsidRPr="00CB74A5" w:rsidR="008167B3">
        <w:rPr>
          <w:rFonts w:cs="Arial"/>
          <w:sz w:val="20"/>
          <w:szCs w:val="20"/>
          <w:lang w:val="nl-NL"/>
        </w:rPr>
        <w:t xml:space="preserve"> om het Verdrag op te zeggen en over het moment van inwerkingtreding van het Verdrag.</w:t>
      </w:r>
    </w:p>
    <w:p w:rsidRPr="00CB74A5" w:rsidR="00552D3A" w:rsidP="0007006F" w:rsidRDefault="00552D3A">
      <w:pPr>
        <w:tabs>
          <w:tab w:val="left" w:pos="426"/>
        </w:tabs>
        <w:spacing w:after="0" w:line="240" w:lineRule="atLeast"/>
        <w:rPr>
          <w:rFonts w:cs="Arial"/>
          <w:sz w:val="20"/>
          <w:szCs w:val="20"/>
          <w:lang w:val="nl-NL"/>
        </w:rPr>
      </w:pPr>
      <w:r w:rsidRPr="00CB74A5">
        <w:rPr>
          <w:rFonts w:cs="Arial"/>
          <w:sz w:val="20"/>
          <w:szCs w:val="20"/>
          <w:lang w:val="nl-NL"/>
        </w:rPr>
        <w:t xml:space="preserve"> </w:t>
      </w:r>
    </w:p>
    <w:p w:rsidRPr="00CB74A5" w:rsidR="0069078A" w:rsidP="00073C58" w:rsidRDefault="0069078A">
      <w:pPr>
        <w:pStyle w:val="ListParagraph"/>
        <w:numPr>
          <w:ilvl w:val="0"/>
          <w:numId w:val="10"/>
        </w:numPr>
        <w:tabs>
          <w:tab w:val="left" w:pos="426"/>
        </w:tabs>
        <w:spacing w:after="0" w:line="240" w:lineRule="atLeast"/>
        <w:rPr>
          <w:rFonts w:cs="Arial"/>
          <w:i/>
          <w:sz w:val="20"/>
          <w:szCs w:val="20"/>
          <w:u w:val="single"/>
          <w:lang w:val="nl-NL"/>
        </w:rPr>
      </w:pPr>
      <w:r w:rsidRPr="00CB74A5">
        <w:rPr>
          <w:rFonts w:cs="Arial"/>
          <w:i/>
          <w:sz w:val="20"/>
          <w:szCs w:val="20"/>
          <w:u w:val="single"/>
          <w:lang w:val="nl-NL"/>
        </w:rPr>
        <w:t>Koninkrijkspositie</w:t>
      </w:r>
    </w:p>
    <w:p w:rsidRPr="00CB74A5" w:rsidR="0069078A" w:rsidP="0007006F" w:rsidRDefault="00FB551E">
      <w:pPr>
        <w:tabs>
          <w:tab w:val="left" w:pos="426"/>
        </w:tabs>
        <w:spacing w:after="0" w:line="240" w:lineRule="atLeast"/>
        <w:rPr>
          <w:rFonts w:cs="Arial"/>
          <w:sz w:val="20"/>
          <w:szCs w:val="20"/>
          <w:lang w:val="nl-NL"/>
        </w:rPr>
      </w:pPr>
      <w:proofErr w:type="gramStart"/>
      <w:r w:rsidRPr="00CB74A5">
        <w:rPr>
          <w:rFonts w:cs="Arial"/>
          <w:sz w:val="20"/>
          <w:szCs w:val="20"/>
          <w:lang w:val="nl-NL"/>
        </w:rPr>
        <w:t xml:space="preserve">Evenals de Overeenkomst </w:t>
      </w:r>
      <w:r w:rsidRPr="00CB74A5" w:rsidR="00817B5D">
        <w:rPr>
          <w:rFonts w:cs="Arial"/>
          <w:sz w:val="20"/>
          <w:szCs w:val="20"/>
          <w:lang w:val="nl-NL"/>
        </w:rPr>
        <w:t xml:space="preserve">uit 1955 </w:t>
      </w:r>
      <w:r w:rsidRPr="00CB74A5">
        <w:rPr>
          <w:rFonts w:cs="Arial"/>
          <w:sz w:val="20"/>
          <w:szCs w:val="20"/>
          <w:lang w:val="nl-NL"/>
        </w:rPr>
        <w:t xml:space="preserve">zal het onderhavige </w:t>
      </w:r>
      <w:r w:rsidRPr="00CB74A5" w:rsidR="00180294">
        <w:rPr>
          <w:rFonts w:cs="Arial"/>
          <w:sz w:val="20"/>
          <w:szCs w:val="20"/>
          <w:lang w:val="nl-NL"/>
        </w:rPr>
        <w:t>V</w:t>
      </w:r>
      <w:r w:rsidRPr="00CB74A5">
        <w:rPr>
          <w:rFonts w:cs="Arial"/>
          <w:sz w:val="20"/>
          <w:szCs w:val="20"/>
          <w:lang w:val="nl-NL"/>
        </w:rPr>
        <w:t>erdrag uitsluitend</w:t>
      </w:r>
      <w:r w:rsidRPr="00CB74A5" w:rsidR="007C424B">
        <w:rPr>
          <w:rFonts w:cs="Arial"/>
          <w:sz w:val="20"/>
          <w:szCs w:val="20"/>
          <w:lang w:val="nl-NL"/>
        </w:rPr>
        <w:t xml:space="preserve"> voor het Europese deel van Nederland gelden.</w:t>
      </w:r>
      <w:proofErr w:type="gramEnd"/>
    </w:p>
    <w:p w:rsidRPr="00CB74A5" w:rsidR="007C4A4D" w:rsidP="0007006F" w:rsidRDefault="007C4A4D">
      <w:pPr>
        <w:tabs>
          <w:tab w:val="left" w:pos="426"/>
        </w:tabs>
        <w:spacing w:after="0" w:line="240" w:lineRule="atLeast"/>
        <w:rPr>
          <w:rFonts w:cs="Arial"/>
          <w:sz w:val="20"/>
          <w:szCs w:val="20"/>
          <w:lang w:val="nl-NL"/>
        </w:rPr>
      </w:pPr>
    </w:p>
    <w:p w:rsidRPr="00CB74A5" w:rsidR="00817B5D" w:rsidP="0007006F" w:rsidRDefault="00817B5D">
      <w:pPr>
        <w:tabs>
          <w:tab w:val="left" w:pos="426"/>
        </w:tabs>
        <w:spacing w:after="0" w:line="240" w:lineRule="atLeast"/>
        <w:rPr>
          <w:rFonts w:cs="Arial"/>
          <w:sz w:val="20"/>
          <w:szCs w:val="20"/>
          <w:lang w:val="nl-NL"/>
        </w:rPr>
      </w:pPr>
    </w:p>
    <w:p w:rsidR="00CD7DE0" w:rsidP="0007006F" w:rsidRDefault="00CD7DE0">
      <w:pPr>
        <w:tabs>
          <w:tab w:val="left" w:pos="426"/>
        </w:tabs>
        <w:spacing w:after="0" w:line="240" w:lineRule="atLeast"/>
        <w:rPr>
          <w:rFonts w:cs="Arial"/>
          <w:sz w:val="20"/>
          <w:szCs w:val="20"/>
          <w:lang w:val="nl-NL"/>
        </w:rPr>
      </w:pPr>
    </w:p>
    <w:p w:rsidRPr="00CB74A5" w:rsidR="0069078A" w:rsidP="0007006F" w:rsidRDefault="0069078A">
      <w:pPr>
        <w:tabs>
          <w:tab w:val="left" w:pos="426"/>
        </w:tabs>
        <w:spacing w:after="0" w:line="240" w:lineRule="atLeast"/>
        <w:rPr>
          <w:rFonts w:cs="Arial"/>
          <w:sz w:val="20"/>
          <w:szCs w:val="20"/>
          <w:lang w:val="nl-NL"/>
        </w:rPr>
      </w:pPr>
      <w:r w:rsidRPr="00CB74A5">
        <w:rPr>
          <w:rFonts w:cs="Arial"/>
          <w:sz w:val="20"/>
          <w:szCs w:val="20"/>
          <w:lang w:val="nl-NL"/>
        </w:rPr>
        <w:t>De Minister van Buitenlandse Zaken,</w:t>
      </w:r>
    </w:p>
    <w:p w:rsidRPr="00CB74A5" w:rsidR="0069078A" w:rsidP="0007006F" w:rsidRDefault="0069078A">
      <w:pPr>
        <w:tabs>
          <w:tab w:val="left" w:pos="426"/>
        </w:tabs>
        <w:spacing w:after="0" w:line="240" w:lineRule="atLeast"/>
        <w:rPr>
          <w:rFonts w:cs="Arial"/>
          <w:sz w:val="20"/>
          <w:szCs w:val="20"/>
          <w:lang w:val="nl-NL"/>
        </w:rPr>
      </w:pPr>
    </w:p>
    <w:p w:rsidRPr="00CB74A5" w:rsidR="0069078A" w:rsidP="0007006F" w:rsidRDefault="0069078A">
      <w:pPr>
        <w:tabs>
          <w:tab w:val="left" w:pos="426"/>
        </w:tabs>
        <w:spacing w:after="0" w:line="240" w:lineRule="atLeast"/>
        <w:rPr>
          <w:rFonts w:cs="Arial"/>
          <w:sz w:val="20"/>
          <w:szCs w:val="20"/>
          <w:lang w:val="nl-NL"/>
        </w:rPr>
      </w:pPr>
    </w:p>
    <w:p w:rsidRPr="006A5B4B" w:rsidR="007C4A4D" w:rsidP="0007006F" w:rsidRDefault="007C4A4D">
      <w:pPr>
        <w:tabs>
          <w:tab w:val="left" w:pos="426"/>
        </w:tabs>
        <w:spacing w:after="0" w:line="240" w:lineRule="atLeast"/>
        <w:rPr>
          <w:rFonts w:cs="Arial"/>
          <w:i/>
          <w:sz w:val="20"/>
          <w:szCs w:val="20"/>
          <w:lang w:val="nl-NL"/>
        </w:rPr>
      </w:pPr>
      <w:r w:rsidRPr="00CB74A5">
        <w:rPr>
          <w:rFonts w:cs="Arial"/>
          <w:sz w:val="20"/>
          <w:szCs w:val="20"/>
          <w:lang w:val="nl-NL"/>
        </w:rPr>
        <w:br w:type="column"/>
      </w:r>
      <w:r w:rsidRPr="006A5B4B">
        <w:rPr>
          <w:rFonts w:cs="Arial"/>
          <w:i/>
          <w:sz w:val="20"/>
          <w:szCs w:val="20"/>
          <w:lang w:val="nl-NL"/>
        </w:rPr>
        <w:lastRenderedPageBreak/>
        <w:t xml:space="preserve">Bijlage bij de </w:t>
      </w:r>
      <w:r w:rsidRPr="006A5B4B" w:rsidR="00AD450E">
        <w:rPr>
          <w:rFonts w:cs="Arial"/>
          <w:i/>
          <w:sz w:val="20"/>
          <w:szCs w:val="20"/>
          <w:lang w:val="nl-NL"/>
        </w:rPr>
        <w:t>toelichtende nota</w:t>
      </w:r>
      <w:r w:rsidRPr="006A5B4B">
        <w:rPr>
          <w:rFonts w:cs="Arial"/>
          <w:i/>
          <w:sz w:val="20"/>
          <w:szCs w:val="20"/>
          <w:lang w:val="nl-NL"/>
        </w:rPr>
        <w:t xml:space="preserve"> </w:t>
      </w:r>
      <w:proofErr w:type="gramStart"/>
      <w:r w:rsidRPr="006A5B4B">
        <w:rPr>
          <w:rFonts w:cs="Arial"/>
          <w:i/>
          <w:sz w:val="20"/>
          <w:szCs w:val="20"/>
          <w:lang w:val="nl-NL"/>
        </w:rPr>
        <w:t>inzake</w:t>
      </w:r>
      <w:proofErr w:type="gramEnd"/>
      <w:r w:rsidRPr="006A5B4B">
        <w:rPr>
          <w:rFonts w:cs="Arial"/>
          <w:i/>
          <w:sz w:val="20"/>
          <w:szCs w:val="20"/>
          <w:lang w:val="nl-NL"/>
        </w:rPr>
        <w:t xml:space="preserve"> </w:t>
      </w:r>
      <w:r w:rsidRPr="006A5B4B">
        <w:rPr>
          <w:i/>
          <w:sz w:val="20"/>
          <w:szCs w:val="20"/>
          <w:lang w:val="nl-NL"/>
        </w:rPr>
        <w:t xml:space="preserve">het op </w:t>
      </w:r>
      <w:r w:rsidRPr="006A5B4B" w:rsidR="006A5B4B">
        <w:rPr>
          <w:i/>
          <w:sz w:val="20"/>
          <w:szCs w:val="20"/>
          <w:lang w:val="nl-NL"/>
        </w:rPr>
        <w:t>2</w:t>
      </w:r>
      <w:r w:rsidR="00490D31">
        <w:rPr>
          <w:i/>
          <w:sz w:val="20"/>
          <w:szCs w:val="20"/>
          <w:lang w:val="nl-NL"/>
        </w:rPr>
        <w:t>0</w:t>
      </w:r>
      <w:r w:rsidRPr="006A5B4B" w:rsidR="006A5B4B">
        <w:rPr>
          <w:i/>
          <w:sz w:val="20"/>
          <w:szCs w:val="20"/>
          <w:lang w:val="nl-NL"/>
        </w:rPr>
        <w:t xml:space="preserve"> januari 2015 </w:t>
      </w:r>
      <w:r w:rsidRPr="006A5B4B">
        <w:rPr>
          <w:i/>
          <w:sz w:val="20"/>
          <w:szCs w:val="20"/>
          <w:lang w:val="nl-NL"/>
        </w:rPr>
        <w:t xml:space="preserve">te </w:t>
      </w:r>
      <w:r w:rsidRPr="006A5B4B" w:rsidR="006A5B4B">
        <w:rPr>
          <w:i/>
          <w:sz w:val="20"/>
          <w:szCs w:val="20"/>
          <w:lang w:val="nl-NL"/>
        </w:rPr>
        <w:t xml:space="preserve">Brussel </w:t>
      </w:r>
      <w:r w:rsidRPr="006A5B4B">
        <w:rPr>
          <w:i/>
          <w:sz w:val="20"/>
          <w:szCs w:val="20"/>
          <w:lang w:val="nl-NL"/>
        </w:rPr>
        <w:t xml:space="preserve">tot stand gekomen </w:t>
      </w:r>
      <w:r w:rsidRPr="006A5B4B">
        <w:rPr>
          <w:rFonts w:cs="Arial"/>
          <w:i/>
          <w:sz w:val="20"/>
          <w:szCs w:val="20"/>
          <w:lang w:val="nl-NL"/>
        </w:rPr>
        <w:t>Verdrag over de Benelux Interparlementaire Assemblee</w:t>
      </w:r>
    </w:p>
    <w:p w:rsidRPr="00CB74A5" w:rsidR="007C4A4D" w:rsidP="0007006F" w:rsidRDefault="007C4A4D">
      <w:pPr>
        <w:tabs>
          <w:tab w:val="left" w:pos="426"/>
        </w:tabs>
        <w:spacing w:after="0" w:line="240" w:lineRule="atLeast"/>
        <w:rPr>
          <w:rFonts w:cs="Arial"/>
          <w:sz w:val="20"/>
          <w:szCs w:val="20"/>
          <w:lang w:val="nl-NL"/>
        </w:rPr>
      </w:pPr>
    </w:p>
    <w:p w:rsidRPr="00CB74A5" w:rsidR="0069078A" w:rsidP="0007006F" w:rsidRDefault="00E474EC">
      <w:pPr>
        <w:tabs>
          <w:tab w:val="left" w:pos="426"/>
        </w:tabs>
        <w:spacing w:after="0" w:line="240" w:lineRule="atLeast"/>
        <w:rPr>
          <w:rFonts w:cs="Arial"/>
          <w:sz w:val="20"/>
          <w:szCs w:val="20"/>
          <w:lang w:val="nl-NL"/>
        </w:rPr>
      </w:pPr>
      <w:r w:rsidRPr="00CB74A5">
        <w:rPr>
          <w:rFonts w:cs="Arial"/>
          <w:sz w:val="20"/>
          <w:szCs w:val="20"/>
          <w:lang w:val="nl-NL"/>
        </w:rPr>
        <w:t>T</w:t>
      </w:r>
      <w:r w:rsidRPr="00CB74A5" w:rsidR="00404B21">
        <w:rPr>
          <w:rFonts w:cs="Arial"/>
          <w:sz w:val="20"/>
          <w:szCs w:val="20"/>
          <w:lang w:val="nl-NL"/>
        </w:rPr>
        <w:t>abel</w:t>
      </w:r>
    </w:p>
    <w:tbl>
      <w:tblPr>
        <w:tblStyle w:val="TableGrid"/>
        <w:tblW w:w="0" w:type="auto"/>
        <w:tblLook w:val="04A0" w:firstRow="1" w:lastRow="0" w:firstColumn="1" w:lastColumn="0" w:noHBand="0" w:noVBand="1"/>
      </w:tblPr>
      <w:tblGrid>
        <w:gridCol w:w="4219"/>
        <w:gridCol w:w="5281"/>
      </w:tblGrid>
      <w:tr w:rsidRPr="00072F2C" w:rsidR="004D1EFF" w:rsidTr="006A5B4B">
        <w:tc>
          <w:tcPr>
            <w:tcW w:w="4219" w:type="dxa"/>
          </w:tcPr>
          <w:p w:rsidRPr="00CB74A5" w:rsidR="004D1EFF" w:rsidP="000E2927" w:rsidRDefault="004D1EFF">
            <w:pPr>
              <w:tabs>
                <w:tab w:val="left" w:pos="426"/>
              </w:tabs>
              <w:spacing w:line="240" w:lineRule="atLeast"/>
              <w:rPr>
                <w:rFonts w:cs="Arial"/>
                <w:sz w:val="20"/>
                <w:szCs w:val="20"/>
                <w:lang w:val="nl-NL"/>
              </w:rPr>
            </w:pPr>
            <w:r w:rsidRPr="00CB74A5">
              <w:rPr>
                <w:rFonts w:cs="Arial"/>
                <w:sz w:val="20"/>
                <w:szCs w:val="20"/>
                <w:lang w:val="nl-NL"/>
              </w:rPr>
              <w:t>Artikelen</w:t>
            </w:r>
            <w:r w:rsidRPr="00CB74A5" w:rsidR="00180294">
              <w:rPr>
                <w:rFonts w:cs="Arial"/>
                <w:sz w:val="20"/>
                <w:szCs w:val="20"/>
                <w:lang w:val="nl-NL"/>
              </w:rPr>
              <w:t xml:space="preserve"> -</w:t>
            </w:r>
            <w:r w:rsidRPr="00CB74A5">
              <w:rPr>
                <w:rFonts w:cs="Arial"/>
                <w:sz w:val="20"/>
                <w:szCs w:val="20"/>
                <w:lang w:val="nl-NL"/>
              </w:rPr>
              <w:t xml:space="preserve"> Verdrag </w:t>
            </w:r>
            <w:r w:rsidRPr="00CB74A5" w:rsidR="00180294">
              <w:rPr>
                <w:rFonts w:cs="Arial"/>
                <w:sz w:val="20"/>
                <w:szCs w:val="20"/>
                <w:lang w:val="nl-NL"/>
              </w:rPr>
              <w:t xml:space="preserve">over de Benelux Interparlementaire </w:t>
            </w:r>
            <w:proofErr w:type="gramStart"/>
            <w:r w:rsidRPr="00CB74A5" w:rsidR="00180294">
              <w:rPr>
                <w:rFonts w:cs="Arial"/>
                <w:sz w:val="20"/>
                <w:szCs w:val="20"/>
                <w:lang w:val="nl-NL"/>
              </w:rPr>
              <w:t>Assemblee</w:t>
            </w:r>
            <w:r w:rsidR="000E2927">
              <w:rPr>
                <w:rFonts w:cs="Arial"/>
                <w:sz w:val="20"/>
                <w:szCs w:val="20"/>
                <w:lang w:val="nl-NL"/>
              </w:rPr>
              <w:t xml:space="preserve">; </w:t>
            </w:r>
            <w:r w:rsidRPr="00CB74A5" w:rsidR="00180294">
              <w:rPr>
                <w:rFonts w:cs="Arial"/>
                <w:sz w:val="20"/>
                <w:szCs w:val="20"/>
                <w:lang w:val="nl-NL"/>
              </w:rPr>
              <w:t xml:space="preserve"> </w:t>
            </w:r>
            <w:proofErr w:type="gramEnd"/>
            <w:r w:rsidR="000E2927">
              <w:rPr>
                <w:rFonts w:cs="Arial"/>
                <w:sz w:val="20"/>
                <w:szCs w:val="20"/>
                <w:lang w:val="nl-NL"/>
              </w:rPr>
              <w:t>Brussel, 20</w:t>
            </w:r>
            <w:r w:rsidR="00072F2C">
              <w:rPr>
                <w:rFonts w:cs="Arial"/>
                <w:sz w:val="20"/>
                <w:szCs w:val="20"/>
                <w:lang w:val="nl-NL"/>
              </w:rPr>
              <w:t xml:space="preserve"> januari 2015</w:t>
            </w:r>
            <w:r w:rsidR="000E2927">
              <w:rPr>
                <w:rFonts w:cs="Arial"/>
                <w:sz w:val="20"/>
                <w:szCs w:val="20"/>
                <w:lang w:val="nl-NL"/>
              </w:rPr>
              <w:br/>
            </w:r>
            <w:r w:rsidR="00072F2C">
              <w:rPr>
                <w:rFonts w:cs="Arial"/>
                <w:sz w:val="20"/>
                <w:szCs w:val="20"/>
                <w:lang w:val="nl-NL"/>
              </w:rPr>
              <w:t>(Trb, 2015, 23</w:t>
            </w:r>
            <w:r w:rsidR="000E2927">
              <w:rPr>
                <w:rFonts w:cs="Arial"/>
                <w:sz w:val="20"/>
                <w:szCs w:val="20"/>
                <w:lang w:val="nl-NL"/>
              </w:rPr>
              <w:t>)</w:t>
            </w:r>
          </w:p>
        </w:tc>
        <w:tc>
          <w:tcPr>
            <w:tcW w:w="5281" w:type="dxa"/>
          </w:tcPr>
          <w:p w:rsidR="006A5B4B" w:rsidP="0007006F" w:rsidRDefault="0068595C">
            <w:pPr>
              <w:tabs>
                <w:tab w:val="left" w:pos="426"/>
              </w:tabs>
              <w:spacing w:line="240" w:lineRule="atLeast"/>
              <w:rPr>
                <w:rFonts w:cs="Arial"/>
                <w:sz w:val="20"/>
                <w:szCs w:val="20"/>
                <w:lang w:val="nl-NL"/>
              </w:rPr>
            </w:pPr>
            <w:r w:rsidRPr="00CB74A5">
              <w:rPr>
                <w:rFonts w:cs="Arial"/>
                <w:sz w:val="20"/>
                <w:szCs w:val="20"/>
                <w:lang w:val="nl-NL"/>
              </w:rPr>
              <w:t>Artikelen</w:t>
            </w:r>
            <w:r w:rsidRPr="00CB74A5" w:rsidR="00180294">
              <w:rPr>
                <w:rFonts w:cs="Arial"/>
                <w:sz w:val="20"/>
                <w:szCs w:val="20"/>
                <w:lang w:val="nl-NL"/>
              </w:rPr>
              <w:t xml:space="preserve"> -</w:t>
            </w:r>
            <w:r w:rsidRPr="00CB74A5">
              <w:rPr>
                <w:rFonts w:cs="Arial"/>
                <w:sz w:val="20"/>
                <w:szCs w:val="20"/>
                <w:lang w:val="nl-NL"/>
              </w:rPr>
              <w:t xml:space="preserve"> Overeenkomst </w:t>
            </w:r>
            <w:proofErr w:type="gramStart"/>
            <w:r w:rsidRPr="00CB74A5" w:rsidR="00180294">
              <w:rPr>
                <w:rFonts w:cs="Arial"/>
                <w:sz w:val="20"/>
                <w:szCs w:val="20"/>
                <w:lang w:val="nl-NL"/>
              </w:rPr>
              <w:t>nopens</w:t>
            </w:r>
            <w:proofErr w:type="gramEnd"/>
            <w:r w:rsidRPr="00CB74A5" w:rsidR="00180294">
              <w:rPr>
                <w:rFonts w:cs="Arial"/>
                <w:sz w:val="20"/>
                <w:szCs w:val="20"/>
                <w:lang w:val="nl-NL"/>
              </w:rPr>
              <w:t xml:space="preserve"> de instelling van een Raadgevende Interparlementaire Beneluxraad</w:t>
            </w:r>
            <w:r w:rsidR="000E2927">
              <w:rPr>
                <w:rFonts w:cs="Arial"/>
                <w:sz w:val="20"/>
                <w:szCs w:val="20"/>
                <w:lang w:val="nl-NL"/>
              </w:rPr>
              <w:t xml:space="preserve">; </w:t>
            </w:r>
            <w:r w:rsidRPr="00CB74A5" w:rsidR="00180294">
              <w:rPr>
                <w:rFonts w:cs="Arial"/>
                <w:sz w:val="20"/>
                <w:szCs w:val="20"/>
                <w:lang w:val="nl-NL"/>
              </w:rPr>
              <w:t xml:space="preserve">Brussel, 5 november </w:t>
            </w:r>
            <w:r w:rsidRPr="00CB74A5">
              <w:rPr>
                <w:rFonts w:cs="Arial"/>
                <w:sz w:val="20"/>
                <w:szCs w:val="20"/>
                <w:lang w:val="nl-NL"/>
              </w:rPr>
              <w:t>1955</w:t>
            </w:r>
          </w:p>
          <w:p w:rsidRPr="00CB74A5" w:rsidR="004D1EFF" w:rsidP="0007006F" w:rsidRDefault="00180294">
            <w:pPr>
              <w:tabs>
                <w:tab w:val="left" w:pos="426"/>
              </w:tabs>
              <w:spacing w:line="240" w:lineRule="atLeast"/>
              <w:rPr>
                <w:rFonts w:cs="Arial"/>
                <w:sz w:val="20"/>
                <w:szCs w:val="20"/>
                <w:lang w:val="nl-NL"/>
              </w:rPr>
            </w:pPr>
            <w:r w:rsidRPr="00CB74A5">
              <w:rPr>
                <w:rFonts w:cs="Arial"/>
                <w:sz w:val="20"/>
                <w:szCs w:val="20"/>
                <w:lang w:val="nl-NL"/>
              </w:rPr>
              <w:t xml:space="preserve"> (Trb. 1955, 159)</w:t>
            </w:r>
          </w:p>
        </w:tc>
      </w:tr>
      <w:tr w:rsidRPr="00072F2C"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180294">
            <w:pPr>
              <w:tabs>
                <w:tab w:val="left" w:pos="426"/>
              </w:tabs>
              <w:spacing w:line="240" w:lineRule="atLeast"/>
              <w:rPr>
                <w:rFonts w:cs="Arial"/>
                <w:b/>
                <w:sz w:val="20"/>
                <w:szCs w:val="20"/>
                <w:lang w:val="nl-NL"/>
              </w:rPr>
            </w:pPr>
            <w:r w:rsidRPr="00CB74A5">
              <w:rPr>
                <w:rFonts w:cs="Arial"/>
                <w:b/>
                <w:sz w:val="20"/>
                <w:szCs w:val="20"/>
                <w:lang w:val="nl-NL"/>
              </w:rPr>
              <w:t xml:space="preserve">Deel 1 - </w:t>
            </w:r>
            <w:r w:rsidRPr="00CB74A5" w:rsidR="004D1EFF">
              <w:rPr>
                <w:rFonts w:cs="Arial"/>
                <w:b/>
                <w:sz w:val="20"/>
                <w:szCs w:val="20"/>
                <w:lang w:val="nl-NL"/>
              </w:rPr>
              <w:t>Begripsbepalingen</w:t>
            </w: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1</w:t>
            </w:r>
          </w:p>
        </w:tc>
        <w:tc>
          <w:tcPr>
            <w:tcW w:w="5281"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55A53" w:rsidR="004D1EFF" w:rsidTr="006A5B4B">
        <w:tc>
          <w:tcPr>
            <w:tcW w:w="4219" w:type="dxa"/>
          </w:tcPr>
          <w:p w:rsidRPr="00CB74A5" w:rsidR="004D1EFF" w:rsidP="0007006F" w:rsidRDefault="00180294">
            <w:pPr>
              <w:tabs>
                <w:tab w:val="left" w:pos="426"/>
              </w:tabs>
              <w:spacing w:line="240" w:lineRule="atLeast"/>
              <w:rPr>
                <w:rFonts w:cs="Arial"/>
                <w:b/>
                <w:sz w:val="20"/>
                <w:szCs w:val="20"/>
                <w:lang w:val="nl-NL"/>
              </w:rPr>
            </w:pPr>
            <w:r w:rsidRPr="00CB74A5">
              <w:rPr>
                <w:rFonts w:cs="Arial"/>
                <w:b/>
                <w:sz w:val="20"/>
                <w:szCs w:val="20"/>
                <w:lang w:val="nl-NL"/>
              </w:rPr>
              <w:t xml:space="preserve">Deel 2 - </w:t>
            </w:r>
            <w:r w:rsidRPr="00CB74A5" w:rsidR="004D1EFF">
              <w:rPr>
                <w:rFonts w:cs="Arial"/>
                <w:b/>
                <w:sz w:val="20"/>
                <w:szCs w:val="20"/>
                <w:lang w:val="nl-NL"/>
              </w:rPr>
              <w:t>Instelling, samenstelling en reikwijdte</w:t>
            </w: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55A53"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2</w:t>
            </w:r>
            <w:r w:rsidRPr="00CB74A5" w:rsidR="00E442B0">
              <w:rPr>
                <w:rFonts w:cs="Arial"/>
                <w:sz w:val="20"/>
                <w:szCs w:val="20"/>
                <w:lang w:val="nl-NL"/>
              </w:rPr>
              <w:t>, eerste lid</w:t>
            </w:r>
          </w:p>
        </w:tc>
        <w:tc>
          <w:tcPr>
            <w:tcW w:w="5281" w:type="dxa"/>
          </w:tcPr>
          <w:p w:rsidRPr="00CB74A5" w:rsidR="004D1EFF" w:rsidP="0007006F" w:rsidRDefault="00E442B0">
            <w:pPr>
              <w:tabs>
                <w:tab w:val="left" w:pos="426"/>
              </w:tabs>
              <w:spacing w:line="240" w:lineRule="atLeast"/>
              <w:rPr>
                <w:rFonts w:cs="Arial"/>
                <w:sz w:val="20"/>
                <w:szCs w:val="20"/>
                <w:lang w:val="nl-NL"/>
              </w:rPr>
            </w:pPr>
            <w:r w:rsidRPr="00CB74A5">
              <w:rPr>
                <w:rFonts w:cs="Arial"/>
                <w:sz w:val="20"/>
                <w:szCs w:val="20"/>
                <w:lang w:val="nl-NL"/>
              </w:rPr>
              <w:t>-----</w:t>
            </w:r>
          </w:p>
        </w:tc>
      </w:tr>
      <w:tr w:rsidRPr="00CB74A5" w:rsidR="00E442B0" w:rsidTr="006A5B4B">
        <w:tc>
          <w:tcPr>
            <w:tcW w:w="4219" w:type="dxa"/>
          </w:tcPr>
          <w:p w:rsidRPr="00CB74A5" w:rsidR="00E442B0" w:rsidP="0007006F" w:rsidRDefault="00E442B0">
            <w:pPr>
              <w:tabs>
                <w:tab w:val="left" w:pos="426"/>
              </w:tabs>
              <w:spacing w:line="240" w:lineRule="atLeast"/>
              <w:rPr>
                <w:rFonts w:cs="Arial"/>
                <w:sz w:val="20"/>
                <w:szCs w:val="20"/>
                <w:lang w:val="nl-NL"/>
              </w:rPr>
            </w:pPr>
            <w:r w:rsidRPr="00CB74A5">
              <w:rPr>
                <w:rFonts w:cs="Arial"/>
                <w:sz w:val="20"/>
                <w:szCs w:val="20"/>
                <w:lang w:val="nl-NL"/>
              </w:rPr>
              <w:t>Artikel 2, tweede lid</w:t>
            </w:r>
          </w:p>
        </w:tc>
        <w:tc>
          <w:tcPr>
            <w:tcW w:w="5281" w:type="dxa"/>
          </w:tcPr>
          <w:p w:rsidRPr="00CB74A5" w:rsidR="00E442B0" w:rsidP="0007006F" w:rsidRDefault="00E442B0">
            <w:pPr>
              <w:tabs>
                <w:tab w:val="left" w:pos="426"/>
              </w:tabs>
              <w:spacing w:line="240" w:lineRule="atLeast"/>
              <w:rPr>
                <w:rFonts w:cs="Arial"/>
                <w:sz w:val="20"/>
                <w:szCs w:val="20"/>
                <w:lang w:val="nl-NL"/>
              </w:rPr>
            </w:pPr>
            <w:r w:rsidRPr="00CB74A5">
              <w:rPr>
                <w:rFonts w:cs="Arial"/>
                <w:sz w:val="20"/>
                <w:szCs w:val="20"/>
                <w:lang w:val="nl-NL"/>
              </w:rPr>
              <w:t>Artikel 1</w:t>
            </w:r>
          </w:p>
        </w:tc>
      </w:tr>
      <w:tr w:rsidRPr="00CB74A5" w:rsidR="00DE7034" w:rsidTr="006A5B4B">
        <w:tc>
          <w:tcPr>
            <w:tcW w:w="4219" w:type="dxa"/>
          </w:tcPr>
          <w:p w:rsidRPr="00CB74A5" w:rsidR="00DE7034" w:rsidP="0007006F" w:rsidRDefault="00DE7034">
            <w:pPr>
              <w:tabs>
                <w:tab w:val="left" w:pos="426"/>
              </w:tabs>
              <w:spacing w:line="240" w:lineRule="atLeast"/>
              <w:rPr>
                <w:rFonts w:cs="Arial"/>
                <w:sz w:val="20"/>
                <w:szCs w:val="20"/>
                <w:lang w:val="nl-NL"/>
              </w:rPr>
            </w:pPr>
            <w:r>
              <w:rPr>
                <w:rFonts w:cs="Arial"/>
                <w:sz w:val="20"/>
                <w:szCs w:val="20"/>
                <w:lang w:val="nl-NL"/>
              </w:rPr>
              <w:t>Artikel 2, derde lid</w:t>
            </w:r>
          </w:p>
        </w:tc>
        <w:tc>
          <w:tcPr>
            <w:tcW w:w="5281" w:type="dxa"/>
          </w:tcPr>
          <w:p w:rsidRPr="00CB74A5" w:rsidR="00DE7034" w:rsidP="0037375E" w:rsidRDefault="00DE7034">
            <w:pPr>
              <w:tabs>
                <w:tab w:val="left" w:pos="426"/>
              </w:tabs>
              <w:spacing w:line="240" w:lineRule="atLeast"/>
              <w:rPr>
                <w:rFonts w:cs="Arial"/>
                <w:sz w:val="20"/>
                <w:szCs w:val="20"/>
                <w:lang w:val="nl-NL"/>
              </w:rPr>
            </w:pPr>
            <w:r>
              <w:rPr>
                <w:rFonts w:cs="Arial"/>
                <w:sz w:val="20"/>
                <w:szCs w:val="20"/>
                <w:lang w:val="nl-NL"/>
              </w:rPr>
              <w:t>-----</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3</w:t>
            </w:r>
          </w:p>
        </w:tc>
        <w:tc>
          <w:tcPr>
            <w:tcW w:w="5281" w:type="dxa"/>
          </w:tcPr>
          <w:p w:rsidRPr="00CB74A5" w:rsidR="004D1EFF" w:rsidP="0037375E" w:rsidRDefault="0037375E">
            <w:pPr>
              <w:tabs>
                <w:tab w:val="left" w:pos="426"/>
              </w:tabs>
              <w:spacing w:line="240" w:lineRule="atLeast"/>
              <w:rPr>
                <w:rFonts w:cs="Arial"/>
                <w:sz w:val="20"/>
                <w:szCs w:val="20"/>
                <w:lang w:val="nl-NL"/>
              </w:rPr>
            </w:pPr>
            <w:r w:rsidRPr="00CB74A5">
              <w:rPr>
                <w:rFonts w:cs="Arial"/>
                <w:sz w:val="20"/>
                <w:szCs w:val="20"/>
                <w:lang w:val="nl-NL"/>
              </w:rPr>
              <w:t>Artikel 3</w:t>
            </w:r>
            <w:r w:rsidRPr="00CB74A5" w:rsidR="00E442B0">
              <w:rPr>
                <w:rFonts w:cs="Arial"/>
                <w:sz w:val="20"/>
                <w:szCs w:val="20"/>
                <w:lang w:val="nl-NL"/>
              </w:rPr>
              <w:t xml:space="preserve"> (eerste alinea)</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180294">
            <w:pPr>
              <w:tabs>
                <w:tab w:val="left" w:pos="426"/>
              </w:tabs>
              <w:spacing w:line="240" w:lineRule="atLeast"/>
              <w:rPr>
                <w:rFonts w:cs="Arial"/>
                <w:b/>
                <w:sz w:val="20"/>
                <w:szCs w:val="20"/>
                <w:lang w:val="nl-NL"/>
              </w:rPr>
            </w:pPr>
            <w:r w:rsidRPr="00CB74A5">
              <w:rPr>
                <w:rFonts w:cs="Arial"/>
                <w:b/>
                <w:sz w:val="20"/>
                <w:szCs w:val="20"/>
                <w:lang w:val="nl-NL"/>
              </w:rPr>
              <w:t xml:space="preserve">Deel 3 - </w:t>
            </w:r>
            <w:r w:rsidRPr="00CB74A5" w:rsidR="004D1EFF">
              <w:rPr>
                <w:rFonts w:cs="Arial"/>
                <w:b/>
                <w:sz w:val="20"/>
                <w:szCs w:val="20"/>
                <w:lang w:val="nl-NL"/>
              </w:rPr>
              <w:t>Bevoegdheden</w:t>
            </w: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4</w:t>
            </w:r>
          </w:p>
        </w:tc>
        <w:tc>
          <w:tcPr>
            <w:tcW w:w="5281" w:type="dxa"/>
          </w:tcPr>
          <w:p w:rsidRPr="00CB74A5" w:rsidR="004D1EFF" w:rsidP="007D48E7" w:rsidRDefault="004D1EFF">
            <w:pPr>
              <w:tabs>
                <w:tab w:val="left" w:pos="426"/>
              </w:tabs>
              <w:spacing w:line="240" w:lineRule="atLeast"/>
              <w:rPr>
                <w:rFonts w:cs="Arial"/>
                <w:sz w:val="20"/>
                <w:szCs w:val="20"/>
                <w:lang w:val="nl-NL"/>
              </w:rPr>
            </w:pPr>
            <w:r w:rsidRPr="00CB74A5">
              <w:rPr>
                <w:rFonts w:cs="Arial"/>
                <w:sz w:val="20"/>
                <w:szCs w:val="20"/>
                <w:lang w:val="nl-NL"/>
              </w:rPr>
              <w:t>Artikel 3</w:t>
            </w:r>
            <w:r w:rsidRPr="00CB74A5" w:rsidR="00E442B0">
              <w:rPr>
                <w:rFonts w:cs="Arial"/>
                <w:sz w:val="20"/>
                <w:szCs w:val="20"/>
                <w:lang w:val="nl-NL"/>
              </w:rPr>
              <w:t xml:space="preserve"> (</w:t>
            </w:r>
            <w:r w:rsidR="007D48E7">
              <w:rPr>
                <w:rFonts w:cs="Arial"/>
                <w:sz w:val="20"/>
                <w:szCs w:val="20"/>
                <w:lang w:val="nl-NL"/>
              </w:rPr>
              <w:t>tweede</w:t>
            </w:r>
            <w:r w:rsidRPr="00CB74A5" w:rsidR="00E442B0">
              <w:rPr>
                <w:rFonts w:cs="Arial"/>
                <w:sz w:val="20"/>
                <w:szCs w:val="20"/>
                <w:lang w:val="nl-NL"/>
              </w:rPr>
              <w:t xml:space="preserve"> alinea)</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5</w:t>
            </w:r>
          </w:p>
        </w:tc>
        <w:tc>
          <w:tcPr>
            <w:tcW w:w="5281"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6</w:t>
            </w:r>
          </w:p>
        </w:tc>
        <w:tc>
          <w:tcPr>
            <w:tcW w:w="5281"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7</w:t>
            </w:r>
          </w:p>
        </w:tc>
        <w:tc>
          <w:tcPr>
            <w:tcW w:w="5281"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8</w:t>
            </w:r>
          </w:p>
        </w:tc>
        <w:tc>
          <w:tcPr>
            <w:tcW w:w="5281" w:type="dxa"/>
          </w:tcPr>
          <w:p w:rsidRPr="00CB74A5" w:rsidR="004D1EFF" w:rsidP="0007006F" w:rsidRDefault="00624B1F">
            <w:pPr>
              <w:tabs>
                <w:tab w:val="left" w:pos="426"/>
              </w:tabs>
              <w:spacing w:line="240" w:lineRule="atLeast"/>
              <w:rPr>
                <w:rFonts w:cs="Arial"/>
                <w:sz w:val="20"/>
                <w:szCs w:val="20"/>
                <w:lang w:val="nl-NL"/>
              </w:rPr>
            </w:pPr>
            <w:r w:rsidRPr="00CB74A5">
              <w:rPr>
                <w:rFonts w:cs="Arial"/>
                <w:sz w:val="20"/>
                <w:szCs w:val="20"/>
                <w:lang w:val="nl-NL"/>
              </w:rPr>
              <w:t>Artikel 4 (eerste alinea)</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180294">
            <w:pPr>
              <w:tabs>
                <w:tab w:val="left" w:pos="426"/>
              </w:tabs>
              <w:spacing w:line="240" w:lineRule="atLeast"/>
              <w:rPr>
                <w:rFonts w:cs="Arial"/>
                <w:b/>
                <w:sz w:val="20"/>
                <w:szCs w:val="20"/>
                <w:lang w:val="nl-NL"/>
              </w:rPr>
            </w:pPr>
            <w:r w:rsidRPr="00CB74A5">
              <w:rPr>
                <w:rFonts w:cs="Arial"/>
                <w:b/>
                <w:sz w:val="20"/>
                <w:szCs w:val="20"/>
                <w:lang w:val="nl-NL"/>
              </w:rPr>
              <w:t xml:space="preserve">Deel 4 - </w:t>
            </w:r>
            <w:r w:rsidRPr="00CB74A5" w:rsidR="004D1EFF">
              <w:rPr>
                <w:rFonts w:cs="Arial"/>
                <w:b/>
                <w:sz w:val="20"/>
                <w:szCs w:val="20"/>
                <w:lang w:val="nl-NL"/>
              </w:rPr>
              <w:t>Werkwijze</w:t>
            </w: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p>
        </w:tc>
        <w:tc>
          <w:tcPr>
            <w:tcW w:w="5281" w:type="dxa"/>
          </w:tcPr>
          <w:p w:rsidRPr="00CB74A5" w:rsidR="004D1EFF" w:rsidP="0007006F" w:rsidRDefault="004D1EFF">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9</w:t>
            </w:r>
          </w:p>
        </w:tc>
        <w:tc>
          <w:tcPr>
            <w:tcW w:w="5281"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2</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10</w:t>
            </w:r>
            <w:r w:rsidRPr="00CB74A5" w:rsidR="00AC238C">
              <w:rPr>
                <w:rFonts w:cs="Arial"/>
                <w:sz w:val="20"/>
                <w:szCs w:val="20"/>
                <w:lang w:val="nl-NL"/>
              </w:rPr>
              <w:t>, eerste</w:t>
            </w:r>
            <w:r w:rsidR="00BA5786">
              <w:rPr>
                <w:rFonts w:cs="Arial"/>
                <w:sz w:val="20"/>
                <w:szCs w:val="20"/>
                <w:lang w:val="nl-NL"/>
              </w:rPr>
              <w:t xml:space="preserve"> lid</w:t>
            </w:r>
          </w:p>
        </w:tc>
        <w:tc>
          <w:tcPr>
            <w:tcW w:w="5281" w:type="dxa"/>
          </w:tcPr>
          <w:p w:rsidRPr="00CB74A5" w:rsidR="004D1EFF" w:rsidP="0007006F" w:rsidRDefault="00BA5786">
            <w:pPr>
              <w:tabs>
                <w:tab w:val="left" w:pos="426"/>
              </w:tabs>
              <w:spacing w:line="240" w:lineRule="atLeast"/>
              <w:rPr>
                <w:rFonts w:cs="Arial"/>
                <w:sz w:val="20"/>
                <w:szCs w:val="20"/>
                <w:lang w:val="nl-NL"/>
              </w:rPr>
            </w:pPr>
            <w:r>
              <w:rPr>
                <w:rFonts w:cs="Arial"/>
                <w:sz w:val="20"/>
                <w:szCs w:val="20"/>
                <w:lang w:val="nl-NL"/>
              </w:rPr>
              <w:t>------</w:t>
            </w:r>
          </w:p>
        </w:tc>
      </w:tr>
      <w:tr w:rsidRPr="00BA5786" w:rsidR="00BA5786" w:rsidTr="006A5B4B">
        <w:tc>
          <w:tcPr>
            <w:tcW w:w="4219" w:type="dxa"/>
          </w:tcPr>
          <w:p w:rsidRPr="00CB74A5" w:rsidR="00BA5786" w:rsidP="0007006F" w:rsidRDefault="00BA5786">
            <w:pPr>
              <w:tabs>
                <w:tab w:val="left" w:pos="426"/>
              </w:tabs>
              <w:spacing w:line="240" w:lineRule="atLeast"/>
              <w:rPr>
                <w:rFonts w:cs="Arial"/>
                <w:sz w:val="20"/>
                <w:szCs w:val="20"/>
                <w:lang w:val="nl-NL"/>
              </w:rPr>
            </w:pPr>
            <w:r w:rsidRPr="00CB74A5">
              <w:rPr>
                <w:rFonts w:cs="Arial"/>
                <w:sz w:val="20"/>
                <w:szCs w:val="20"/>
                <w:lang w:val="nl-NL"/>
              </w:rPr>
              <w:t>Artikel 10</w:t>
            </w:r>
            <w:r>
              <w:rPr>
                <w:rFonts w:cs="Arial"/>
                <w:sz w:val="20"/>
                <w:szCs w:val="20"/>
                <w:lang w:val="nl-NL"/>
              </w:rPr>
              <w:t xml:space="preserve">, </w:t>
            </w:r>
            <w:r w:rsidRPr="00CB74A5">
              <w:rPr>
                <w:rFonts w:cs="Arial"/>
                <w:sz w:val="20"/>
                <w:szCs w:val="20"/>
                <w:lang w:val="nl-NL"/>
              </w:rPr>
              <w:t>tweede lid</w:t>
            </w:r>
          </w:p>
        </w:tc>
        <w:tc>
          <w:tcPr>
            <w:tcW w:w="5281" w:type="dxa"/>
          </w:tcPr>
          <w:p w:rsidRPr="00CB74A5" w:rsidR="00BA5786" w:rsidP="0007006F" w:rsidRDefault="00BA5786">
            <w:pPr>
              <w:tabs>
                <w:tab w:val="left" w:pos="426"/>
              </w:tabs>
              <w:spacing w:line="240" w:lineRule="atLeast"/>
              <w:rPr>
                <w:rFonts w:cs="Arial"/>
                <w:sz w:val="20"/>
                <w:szCs w:val="20"/>
                <w:lang w:val="nl-NL"/>
              </w:rPr>
            </w:pPr>
            <w:r w:rsidRPr="00CB74A5">
              <w:rPr>
                <w:rFonts w:cs="Arial"/>
                <w:sz w:val="20"/>
                <w:szCs w:val="20"/>
                <w:lang w:val="nl-NL"/>
              </w:rPr>
              <w:t>Artikel 8</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10</w:t>
            </w:r>
            <w:r w:rsidRPr="00CB74A5" w:rsidR="00AC238C">
              <w:rPr>
                <w:rFonts w:cs="Arial"/>
                <w:sz w:val="20"/>
                <w:szCs w:val="20"/>
                <w:lang w:val="nl-NL"/>
              </w:rPr>
              <w:t>, derde lid</w:t>
            </w:r>
          </w:p>
        </w:tc>
        <w:tc>
          <w:tcPr>
            <w:tcW w:w="5281" w:type="dxa"/>
          </w:tcPr>
          <w:p w:rsidRPr="00CB74A5" w:rsidR="004D1EFF" w:rsidP="0007006F" w:rsidRDefault="00AC238C">
            <w:pPr>
              <w:tabs>
                <w:tab w:val="left" w:pos="426"/>
              </w:tabs>
              <w:spacing w:line="240" w:lineRule="atLeast"/>
              <w:rPr>
                <w:rFonts w:cs="Arial"/>
                <w:sz w:val="20"/>
                <w:szCs w:val="20"/>
                <w:lang w:val="nl-NL"/>
              </w:rPr>
            </w:pPr>
            <w:r w:rsidRPr="00CB74A5">
              <w:rPr>
                <w:rFonts w:cs="Arial"/>
                <w:sz w:val="20"/>
                <w:szCs w:val="20"/>
                <w:lang w:val="nl-NL"/>
              </w:rPr>
              <w:t>Artikel 7</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11</w:t>
            </w:r>
          </w:p>
        </w:tc>
        <w:tc>
          <w:tcPr>
            <w:tcW w:w="5281"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 xml:space="preserve">Artikel 5 </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12</w:t>
            </w:r>
          </w:p>
        </w:tc>
        <w:tc>
          <w:tcPr>
            <w:tcW w:w="5281"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11</w:t>
            </w:r>
          </w:p>
        </w:tc>
      </w:tr>
      <w:tr w:rsidRPr="00CB74A5" w:rsidR="004D1EFF" w:rsidTr="006A5B4B">
        <w:tc>
          <w:tcPr>
            <w:tcW w:w="4219" w:type="dxa"/>
          </w:tcPr>
          <w:p w:rsidRPr="00CB74A5" w:rsidR="004D1EFF" w:rsidP="0007006F" w:rsidRDefault="004D1EFF">
            <w:pPr>
              <w:tabs>
                <w:tab w:val="left" w:pos="426"/>
              </w:tabs>
              <w:spacing w:line="240" w:lineRule="atLeast"/>
              <w:rPr>
                <w:rFonts w:cs="Arial"/>
                <w:sz w:val="20"/>
                <w:szCs w:val="20"/>
                <w:lang w:val="nl-NL"/>
              </w:rPr>
            </w:pPr>
            <w:r w:rsidRPr="00CB74A5">
              <w:rPr>
                <w:rFonts w:cs="Arial"/>
                <w:sz w:val="20"/>
                <w:szCs w:val="20"/>
                <w:lang w:val="nl-NL"/>
              </w:rPr>
              <w:t>Artikel 13</w:t>
            </w:r>
          </w:p>
        </w:tc>
        <w:tc>
          <w:tcPr>
            <w:tcW w:w="5281" w:type="dxa"/>
          </w:tcPr>
          <w:p w:rsidRPr="00CB74A5" w:rsidR="004D1EFF" w:rsidP="0007006F" w:rsidRDefault="00E474EC">
            <w:pPr>
              <w:tabs>
                <w:tab w:val="left" w:pos="426"/>
              </w:tabs>
              <w:spacing w:line="240" w:lineRule="atLeast"/>
              <w:rPr>
                <w:rFonts w:cs="Arial"/>
                <w:sz w:val="20"/>
                <w:szCs w:val="20"/>
                <w:lang w:val="nl-NL"/>
              </w:rPr>
            </w:pPr>
            <w:r w:rsidRPr="00CB74A5">
              <w:rPr>
                <w:rFonts w:cs="Arial"/>
                <w:sz w:val="20"/>
                <w:szCs w:val="20"/>
                <w:lang w:val="nl-NL"/>
              </w:rPr>
              <w:t>Artikel 10</w:t>
            </w:r>
          </w:p>
        </w:tc>
      </w:tr>
      <w:tr w:rsidRPr="00CB74A5" w:rsidR="00E474EC" w:rsidTr="006A5B4B">
        <w:tc>
          <w:tcPr>
            <w:tcW w:w="4219" w:type="dxa"/>
          </w:tcPr>
          <w:p w:rsidRPr="00CB74A5" w:rsidR="00E474EC" w:rsidP="0007006F" w:rsidRDefault="00E474EC">
            <w:pPr>
              <w:tabs>
                <w:tab w:val="left" w:pos="426"/>
              </w:tabs>
              <w:spacing w:line="240" w:lineRule="atLeast"/>
              <w:rPr>
                <w:rFonts w:cs="Arial"/>
                <w:sz w:val="20"/>
                <w:szCs w:val="20"/>
                <w:lang w:val="nl-NL"/>
              </w:rPr>
            </w:pPr>
            <w:r w:rsidRPr="00CB74A5">
              <w:rPr>
                <w:rFonts w:cs="Arial"/>
                <w:sz w:val="20"/>
                <w:szCs w:val="20"/>
                <w:lang w:val="nl-NL"/>
              </w:rPr>
              <w:t>Artikel 14</w:t>
            </w:r>
          </w:p>
        </w:tc>
        <w:tc>
          <w:tcPr>
            <w:tcW w:w="5281" w:type="dxa"/>
          </w:tcPr>
          <w:p w:rsidRPr="00CB74A5" w:rsidR="00E474EC" w:rsidP="0007006F" w:rsidRDefault="0014408E">
            <w:pPr>
              <w:tabs>
                <w:tab w:val="left" w:pos="426"/>
              </w:tabs>
              <w:spacing w:line="240" w:lineRule="atLeast"/>
              <w:rPr>
                <w:rFonts w:cs="Arial"/>
                <w:sz w:val="20"/>
                <w:szCs w:val="20"/>
                <w:lang w:val="nl-NL"/>
              </w:rPr>
            </w:pPr>
            <w:r w:rsidRPr="00CB74A5">
              <w:rPr>
                <w:rFonts w:cs="Arial"/>
                <w:sz w:val="20"/>
                <w:szCs w:val="20"/>
                <w:lang w:val="nl-NL"/>
              </w:rPr>
              <w:t>Artikel 10</w:t>
            </w:r>
          </w:p>
        </w:tc>
      </w:tr>
      <w:tr w:rsidRPr="00CB74A5" w:rsidR="00E474EC" w:rsidTr="006A5B4B">
        <w:tc>
          <w:tcPr>
            <w:tcW w:w="4219" w:type="dxa"/>
          </w:tcPr>
          <w:p w:rsidRPr="00CB74A5" w:rsidR="00E474EC" w:rsidP="0007006F" w:rsidRDefault="00E474EC">
            <w:pPr>
              <w:tabs>
                <w:tab w:val="left" w:pos="426"/>
              </w:tabs>
              <w:spacing w:line="240" w:lineRule="atLeast"/>
              <w:rPr>
                <w:rFonts w:cs="Arial"/>
                <w:sz w:val="20"/>
                <w:szCs w:val="20"/>
                <w:lang w:val="nl-NL"/>
              </w:rPr>
            </w:pPr>
            <w:r w:rsidRPr="00CB74A5">
              <w:rPr>
                <w:rFonts w:cs="Arial"/>
                <w:sz w:val="20"/>
                <w:szCs w:val="20"/>
                <w:lang w:val="nl-NL"/>
              </w:rPr>
              <w:t>Artikel 15</w:t>
            </w:r>
          </w:p>
        </w:tc>
        <w:tc>
          <w:tcPr>
            <w:tcW w:w="5281" w:type="dxa"/>
          </w:tcPr>
          <w:p w:rsidRPr="00CB74A5" w:rsidR="00E474EC" w:rsidP="0007006F" w:rsidRDefault="00E474EC">
            <w:pPr>
              <w:tabs>
                <w:tab w:val="left" w:pos="426"/>
              </w:tabs>
              <w:spacing w:line="240" w:lineRule="atLeast"/>
              <w:rPr>
                <w:rFonts w:cs="Arial"/>
                <w:sz w:val="20"/>
                <w:szCs w:val="20"/>
                <w:lang w:val="nl-NL"/>
              </w:rPr>
            </w:pPr>
            <w:r w:rsidRPr="00CB74A5">
              <w:rPr>
                <w:rFonts w:cs="Arial"/>
                <w:sz w:val="20"/>
                <w:szCs w:val="20"/>
                <w:lang w:val="nl-NL"/>
              </w:rPr>
              <w:t>Artikel 9</w:t>
            </w:r>
          </w:p>
        </w:tc>
      </w:tr>
      <w:tr w:rsidRPr="00CB74A5" w:rsidR="00E474EC" w:rsidTr="006A5B4B">
        <w:tc>
          <w:tcPr>
            <w:tcW w:w="4219" w:type="dxa"/>
          </w:tcPr>
          <w:p w:rsidRPr="00CB74A5" w:rsidR="00E474EC" w:rsidP="0007006F" w:rsidRDefault="00E474EC">
            <w:pPr>
              <w:tabs>
                <w:tab w:val="left" w:pos="426"/>
              </w:tabs>
              <w:spacing w:line="240" w:lineRule="atLeast"/>
              <w:rPr>
                <w:rFonts w:cs="Arial"/>
                <w:sz w:val="20"/>
                <w:szCs w:val="20"/>
                <w:lang w:val="nl-NL"/>
              </w:rPr>
            </w:pPr>
          </w:p>
        </w:tc>
        <w:tc>
          <w:tcPr>
            <w:tcW w:w="5281" w:type="dxa"/>
          </w:tcPr>
          <w:p w:rsidRPr="00CB74A5" w:rsidR="00E474EC" w:rsidP="0007006F" w:rsidRDefault="00E474EC">
            <w:pPr>
              <w:tabs>
                <w:tab w:val="left" w:pos="426"/>
              </w:tabs>
              <w:spacing w:line="240" w:lineRule="atLeast"/>
              <w:rPr>
                <w:rFonts w:cs="Arial"/>
                <w:sz w:val="20"/>
                <w:szCs w:val="20"/>
                <w:lang w:val="nl-NL"/>
              </w:rPr>
            </w:pPr>
          </w:p>
        </w:tc>
      </w:tr>
      <w:tr w:rsidRPr="00CB74A5" w:rsidR="00E474EC" w:rsidTr="006A5B4B">
        <w:tc>
          <w:tcPr>
            <w:tcW w:w="4219" w:type="dxa"/>
          </w:tcPr>
          <w:p w:rsidRPr="00CB74A5" w:rsidR="00E474EC" w:rsidP="0007006F" w:rsidRDefault="00180294">
            <w:pPr>
              <w:tabs>
                <w:tab w:val="left" w:pos="426"/>
              </w:tabs>
              <w:spacing w:line="240" w:lineRule="atLeast"/>
              <w:rPr>
                <w:rFonts w:cs="Arial"/>
                <w:b/>
                <w:sz w:val="20"/>
                <w:szCs w:val="20"/>
                <w:lang w:val="nl-NL"/>
              </w:rPr>
            </w:pPr>
            <w:r w:rsidRPr="00CB74A5">
              <w:rPr>
                <w:rFonts w:cs="Arial"/>
                <w:b/>
                <w:sz w:val="20"/>
                <w:szCs w:val="20"/>
                <w:lang w:val="nl-NL"/>
              </w:rPr>
              <w:t xml:space="preserve">Deel 5 - </w:t>
            </w:r>
            <w:r w:rsidRPr="00CB74A5" w:rsidR="00E474EC">
              <w:rPr>
                <w:rFonts w:cs="Arial"/>
                <w:b/>
                <w:sz w:val="20"/>
                <w:szCs w:val="20"/>
                <w:lang w:val="nl-NL"/>
              </w:rPr>
              <w:t>Slotbepalingen</w:t>
            </w:r>
          </w:p>
        </w:tc>
        <w:tc>
          <w:tcPr>
            <w:tcW w:w="5281" w:type="dxa"/>
          </w:tcPr>
          <w:p w:rsidRPr="00CB74A5" w:rsidR="00E474EC" w:rsidP="0007006F" w:rsidRDefault="00E474EC">
            <w:pPr>
              <w:tabs>
                <w:tab w:val="left" w:pos="426"/>
              </w:tabs>
              <w:spacing w:line="240" w:lineRule="atLeast"/>
              <w:rPr>
                <w:rFonts w:cs="Arial"/>
                <w:sz w:val="20"/>
                <w:szCs w:val="20"/>
                <w:lang w:val="nl-NL"/>
              </w:rPr>
            </w:pPr>
          </w:p>
        </w:tc>
      </w:tr>
      <w:tr w:rsidRPr="00CB74A5" w:rsidR="00E474EC" w:rsidTr="006A5B4B">
        <w:tc>
          <w:tcPr>
            <w:tcW w:w="4219" w:type="dxa"/>
          </w:tcPr>
          <w:p w:rsidRPr="00CB74A5" w:rsidR="00E474EC" w:rsidP="0007006F" w:rsidRDefault="00E474EC">
            <w:pPr>
              <w:tabs>
                <w:tab w:val="left" w:pos="426"/>
              </w:tabs>
              <w:spacing w:line="240" w:lineRule="atLeast"/>
              <w:rPr>
                <w:rFonts w:cs="Arial"/>
                <w:sz w:val="20"/>
                <w:szCs w:val="20"/>
                <w:lang w:val="nl-NL"/>
              </w:rPr>
            </w:pPr>
          </w:p>
        </w:tc>
        <w:tc>
          <w:tcPr>
            <w:tcW w:w="5281" w:type="dxa"/>
          </w:tcPr>
          <w:p w:rsidRPr="00CB74A5" w:rsidR="00E474EC" w:rsidP="0007006F" w:rsidRDefault="00E474EC">
            <w:pPr>
              <w:tabs>
                <w:tab w:val="left" w:pos="426"/>
              </w:tabs>
              <w:spacing w:line="240" w:lineRule="atLeast"/>
              <w:rPr>
                <w:rFonts w:cs="Arial"/>
                <w:sz w:val="20"/>
                <w:szCs w:val="20"/>
                <w:lang w:val="nl-NL"/>
              </w:rPr>
            </w:pPr>
          </w:p>
        </w:tc>
      </w:tr>
      <w:tr w:rsidRPr="00CB74A5" w:rsidR="00E474EC" w:rsidTr="006A5B4B">
        <w:tc>
          <w:tcPr>
            <w:tcW w:w="4219" w:type="dxa"/>
          </w:tcPr>
          <w:p w:rsidRPr="00CB74A5" w:rsidR="00E474EC" w:rsidP="007D48E7" w:rsidRDefault="00E474EC">
            <w:pPr>
              <w:tabs>
                <w:tab w:val="left" w:pos="426"/>
              </w:tabs>
              <w:spacing w:line="240" w:lineRule="atLeast"/>
              <w:rPr>
                <w:rFonts w:cs="Arial"/>
                <w:sz w:val="20"/>
                <w:szCs w:val="20"/>
                <w:lang w:val="nl-NL"/>
              </w:rPr>
            </w:pPr>
            <w:r w:rsidRPr="00CB74A5">
              <w:rPr>
                <w:rFonts w:cs="Arial"/>
                <w:sz w:val="20"/>
                <w:szCs w:val="20"/>
                <w:lang w:val="nl-NL"/>
              </w:rPr>
              <w:t>Artikel 16 (overgangs</w:t>
            </w:r>
            <w:r w:rsidR="007D48E7">
              <w:rPr>
                <w:rFonts w:cs="Arial"/>
                <w:sz w:val="20"/>
                <w:szCs w:val="20"/>
                <w:lang w:val="nl-NL"/>
              </w:rPr>
              <w:t>bepaling</w:t>
            </w:r>
            <w:r w:rsidRPr="00CB74A5">
              <w:rPr>
                <w:rFonts w:cs="Arial"/>
                <w:sz w:val="20"/>
                <w:szCs w:val="20"/>
                <w:lang w:val="nl-NL"/>
              </w:rPr>
              <w:t>)</w:t>
            </w:r>
          </w:p>
        </w:tc>
        <w:tc>
          <w:tcPr>
            <w:tcW w:w="5281" w:type="dxa"/>
          </w:tcPr>
          <w:p w:rsidRPr="00CB74A5" w:rsidR="00E474EC" w:rsidP="0007006F" w:rsidRDefault="00E474EC">
            <w:pPr>
              <w:tabs>
                <w:tab w:val="left" w:pos="426"/>
              </w:tabs>
              <w:spacing w:line="240" w:lineRule="atLeast"/>
              <w:rPr>
                <w:rFonts w:cs="Arial"/>
                <w:sz w:val="20"/>
                <w:szCs w:val="20"/>
                <w:lang w:val="nl-NL"/>
              </w:rPr>
            </w:pPr>
            <w:r w:rsidRPr="00CB74A5">
              <w:rPr>
                <w:rFonts w:cs="Arial"/>
                <w:sz w:val="20"/>
                <w:szCs w:val="20"/>
                <w:lang w:val="nl-NL"/>
              </w:rPr>
              <w:t>-----</w:t>
            </w:r>
          </w:p>
        </w:tc>
      </w:tr>
      <w:tr w:rsidRPr="00CB74A5" w:rsidR="00E474EC" w:rsidTr="006A5B4B">
        <w:tc>
          <w:tcPr>
            <w:tcW w:w="4219" w:type="dxa"/>
          </w:tcPr>
          <w:p w:rsidRPr="00CB74A5" w:rsidR="00E474EC" w:rsidP="0007006F" w:rsidRDefault="00E474EC">
            <w:pPr>
              <w:tabs>
                <w:tab w:val="left" w:pos="426"/>
              </w:tabs>
              <w:spacing w:line="240" w:lineRule="atLeast"/>
              <w:rPr>
                <w:rFonts w:cs="Arial"/>
                <w:sz w:val="20"/>
                <w:szCs w:val="20"/>
                <w:lang w:val="nl-NL"/>
              </w:rPr>
            </w:pPr>
            <w:r w:rsidRPr="00CB74A5">
              <w:rPr>
                <w:rFonts w:cs="Arial"/>
                <w:sz w:val="20"/>
                <w:szCs w:val="20"/>
                <w:lang w:val="nl-NL"/>
              </w:rPr>
              <w:t>Artikel 17 (toepassingsgebied)</w:t>
            </w:r>
          </w:p>
        </w:tc>
        <w:tc>
          <w:tcPr>
            <w:tcW w:w="5281" w:type="dxa"/>
          </w:tcPr>
          <w:p w:rsidRPr="00CB74A5" w:rsidR="00E474EC" w:rsidP="007D48E7" w:rsidRDefault="00E474EC">
            <w:pPr>
              <w:tabs>
                <w:tab w:val="left" w:pos="426"/>
              </w:tabs>
              <w:spacing w:line="240" w:lineRule="atLeast"/>
              <w:rPr>
                <w:rFonts w:cs="Arial"/>
                <w:sz w:val="20"/>
                <w:szCs w:val="20"/>
                <w:lang w:val="nl-NL"/>
              </w:rPr>
            </w:pPr>
            <w:r w:rsidRPr="00CB74A5">
              <w:rPr>
                <w:rFonts w:cs="Arial"/>
                <w:sz w:val="20"/>
                <w:szCs w:val="20"/>
                <w:lang w:val="nl-NL"/>
              </w:rPr>
              <w:t>Artikel 12 (</w:t>
            </w:r>
            <w:r w:rsidR="007D48E7">
              <w:rPr>
                <w:rFonts w:cs="Arial"/>
                <w:sz w:val="20"/>
                <w:szCs w:val="20"/>
                <w:lang w:val="nl-NL"/>
              </w:rPr>
              <w:t xml:space="preserve">vierde </w:t>
            </w:r>
            <w:r w:rsidRPr="00CB74A5">
              <w:rPr>
                <w:rFonts w:cs="Arial"/>
                <w:sz w:val="20"/>
                <w:szCs w:val="20"/>
                <w:lang w:val="nl-NL"/>
              </w:rPr>
              <w:t>alinea)</w:t>
            </w:r>
          </w:p>
        </w:tc>
      </w:tr>
      <w:tr w:rsidRPr="00CB74A5" w:rsidR="00E474EC" w:rsidTr="006A5B4B">
        <w:tc>
          <w:tcPr>
            <w:tcW w:w="4219" w:type="dxa"/>
          </w:tcPr>
          <w:p w:rsidRPr="00CB74A5" w:rsidR="00E474EC" w:rsidP="0007006F" w:rsidRDefault="00E474EC">
            <w:pPr>
              <w:tabs>
                <w:tab w:val="left" w:pos="426"/>
              </w:tabs>
              <w:spacing w:line="240" w:lineRule="atLeast"/>
              <w:rPr>
                <w:rFonts w:cs="Arial"/>
                <w:sz w:val="20"/>
                <w:szCs w:val="20"/>
                <w:lang w:val="nl-NL"/>
              </w:rPr>
            </w:pPr>
            <w:r w:rsidRPr="00CB74A5">
              <w:rPr>
                <w:rFonts w:cs="Arial"/>
                <w:sz w:val="20"/>
                <w:szCs w:val="20"/>
                <w:lang w:val="nl-NL"/>
              </w:rPr>
              <w:t>Artikel 18 (opzegging)</w:t>
            </w:r>
          </w:p>
        </w:tc>
        <w:tc>
          <w:tcPr>
            <w:tcW w:w="5281" w:type="dxa"/>
          </w:tcPr>
          <w:p w:rsidRPr="00CB74A5" w:rsidR="00E474EC" w:rsidP="007D48E7" w:rsidRDefault="00E474EC">
            <w:pPr>
              <w:tabs>
                <w:tab w:val="left" w:pos="426"/>
              </w:tabs>
              <w:spacing w:line="240" w:lineRule="atLeast"/>
              <w:rPr>
                <w:rFonts w:cs="Arial"/>
                <w:sz w:val="20"/>
                <w:szCs w:val="20"/>
                <w:lang w:val="nl-NL"/>
              </w:rPr>
            </w:pPr>
            <w:r w:rsidRPr="00CB74A5">
              <w:rPr>
                <w:rFonts w:cs="Arial"/>
                <w:sz w:val="20"/>
                <w:szCs w:val="20"/>
                <w:lang w:val="nl-NL"/>
              </w:rPr>
              <w:t>Artikel 12 (</w:t>
            </w:r>
            <w:r w:rsidR="007D48E7">
              <w:rPr>
                <w:rFonts w:cs="Arial"/>
                <w:sz w:val="20"/>
                <w:szCs w:val="20"/>
                <w:lang w:val="nl-NL"/>
              </w:rPr>
              <w:t xml:space="preserve">derde </w:t>
            </w:r>
            <w:r w:rsidRPr="00CB74A5">
              <w:rPr>
                <w:rFonts w:cs="Arial"/>
                <w:sz w:val="20"/>
                <w:szCs w:val="20"/>
                <w:lang w:val="nl-NL"/>
              </w:rPr>
              <w:t>alinea)</w:t>
            </w:r>
          </w:p>
        </w:tc>
      </w:tr>
      <w:tr w:rsidRPr="00C55A53" w:rsidR="00E474EC" w:rsidTr="006A5B4B">
        <w:tc>
          <w:tcPr>
            <w:tcW w:w="4219" w:type="dxa"/>
          </w:tcPr>
          <w:p w:rsidRPr="00CB74A5" w:rsidR="00E474EC" w:rsidP="0007006F" w:rsidRDefault="00E474EC">
            <w:pPr>
              <w:tabs>
                <w:tab w:val="left" w:pos="426"/>
              </w:tabs>
              <w:spacing w:line="240" w:lineRule="atLeast"/>
              <w:rPr>
                <w:rFonts w:cs="Arial"/>
                <w:sz w:val="20"/>
                <w:szCs w:val="20"/>
                <w:lang w:val="nl-NL"/>
              </w:rPr>
            </w:pPr>
            <w:r w:rsidRPr="00CB74A5">
              <w:rPr>
                <w:rFonts w:cs="Arial"/>
                <w:sz w:val="20"/>
                <w:szCs w:val="20"/>
                <w:lang w:val="nl-NL"/>
              </w:rPr>
              <w:t>Artikel 19 (depositaris, aanvaarding)</w:t>
            </w:r>
          </w:p>
        </w:tc>
        <w:tc>
          <w:tcPr>
            <w:tcW w:w="5281" w:type="dxa"/>
          </w:tcPr>
          <w:p w:rsidRPr="00CB74A5" w:rsidR="00E474EC" w:rsidP="0007006F" w:rsidRDefault="00E474EC">
            <w:pPr>
              <w:tabs>
                <w:tab w:val="left" w:pos="426"/>
              </w:tabs>
              <w:spacing w:line="240" w:lineRule="atLeast"/>
              <w:rPr>
                <w:rFonts w:cs="Arial"/>
                <w:sz w:val="20"/>
                <w:szCs w:val="20"/>
                <w:lang w:val="nl-NL"/>
              </w:rPr>
            </w:pPr>
            <w:r w:rsidRPr="00CB74A5">
              <w:rPr>
                <w:rFonts w:cs="Arial"/>
                <w:sz w:val="20"/>
                <w:szCs w:val="20"/>
                <w:lang w:val="nl-NL"/>
              </w:rPr>
              <w:t xml:space="preserve">Artikel 12 (eerste </w:t>
            </w:r>
            <w:r w:rsidR="007D48E7">
              <w:rPr>
                <w:rFonts w:cs="Arial"/>
                <w:sz w:val="20"/>
                <w:szCs w:val="20"/>
                <w:lang w:val="nl-NL"/>
              </w:rPr>
              <w:t xml:space="preserve">en </w:t>
            </w:r>
            <w:r w:rsidRPr="00CB74A5" w:rsidR="007D48E7">
              <w:rPr>
                <w:rFonts w:cs="Arial"/>
                <w:sz w:val="20"/>
                <w:szCs w:val="20"/>
                <w:lang w:val="nl-NL"/>
              </w:rPr>
              <w:t xml:space="preserve">tweede </w:t>
            </w:r>
            <w:r w:rsidRPr="00CB74A5">
              <w:rPr>
                <w:rFonts w:cs="Arial"/>
                <w:sz w:val="20"/>
                <w:szCs w:val="20"/>
                <w:lang w:val="nl-NL"/>
              </w:rPr>
              <w:t xml:space="preserve">alinea) </w:t>
            </w:r>
          </w:p>
        </w:tc>
      </w:tr>
      <w:tr w:rsidRPr="00C55A53" w:rsidR="00E474EC" w:rsidTr="006A5B4B">
        <w:tc>
          <w:tcPr>
            <w:tcW w:w="4219" w:type="dxa"/>
          </w:tcPr>
          <w:p w:rsidRPr="00CB74A5" w:rsidR="00E474EC" w:rsidP="0007006F" w:rsidRDefault="00E474EC">
            <w:pPr>
              <w:tabs>
                <w:tab w:val="left" w:pos="426"/>
              </w:tabs>
              <w:spacing w:line="240" w:lineRule="atLeast"/>
              <w:rPr>
                <w:rFonts w:cs="Arial"/>
                <w:sz w:val="20"/>
                <w:szCs w:val="20"/>
                <w:lang w:val="nl-NL"/>
              </w:rPr>
            </w:pPr>
          </w:p>
        </w:tc>
        <w:tc>
          <w:tcPr>
            <w:tcW w:w="5281" w:type="dxa"/>
          </w:tcPr>
          <w:p w:rsidRPr="00CB74A5" w:rsidR="00E474EC" w:rsidP="0007006F" w:rsidRDefault="00E474EC">
            <w:pPr>
              <w:tabs>
                <w:tab w:val="left" w:pos="426"/>
              </w:tabs>
              <w:spacing w:line="240" w:lineRule="atLeast"/>
              <w:rPr>
                <w:rFonts w:cs="Arial"/>
                <w:sz w:val="20"/>
                <w:szCs w:val="20"/>
                <w:lang w:val="nl-NL"/>
              </w:rPr>
            </w:pPr>
          </w:p>
        </w:tc>
      </w:tr>
      <w:tr w:rsidRPr="00CB74A5" w:rsidR="004D1EFF" w:rsidTr="006A5B4B">
        <w:tc>
          <w:tcPr>
            <w:tcW w:w="4219" w:type="dxa"/>
          </w:tcPr>
          <w:p w:rsidRPr="00CB74A5" w:rsidR="004D1EFF" w:rsidP="0007006F" w:rsidRDefault="00E474EC">
            <w:pPr>
              <w:tabs>
                <w:tab w:val="left" w:pos="426"/>
              </w:tabs>
              <w:spacing w:line="240" w:lineRule="atLeast"/>
              <w:rPr>
                <w:rFonts w:cs="Arial"/>
                <w:sz w:val="20"/>
                <w:szCs w:val="20"/>
                <w:lang w:val="nl-NL"/>
              </w:rPr>
            </w:pPr>
            <w:r w:rsidRPr="00CB74A5">
              <w:rPr>
                <w:rFonts w:cs="Arial"/>
                <w:sz w:val="20"/>
                <w:szCs w:val="20"/>
                <w:lang w:val="nl-NL"/>
              </w:rPr>
              <w:t>----</w:t>
            </w:r>
          </w:p>
        </w:tc>
        <w:tc>
          <w:tcPr>
            <w:tcW w:w="5281" w:type="dxa"/>
          </w:tcPr>
          <w:p w:rsidRPr="00CB74A5" w:rsidR="004D1EFF" w:rsidP="0007006F" w:rsidRDefault="004D1EFF">
            <w:pPr>
              <w:tabs>
                <w:tab w:val="left" w:pos="426"/>
              </w:tabs>
              <w:spacing w:line="240" w:lineRule="atLeast"/>
              <w:rPr>
                <w:rFonts w:cs="Arial"/>
                <w:sz w:val="20"/>
                <w:szCs w:val="20"/>
                <w:lang w:val="nl-NL"/>
              </w:rPr>
            </w:pPr>
          </w:p>
        </w:tc>
      </w:tr>
    </w:tbl>
    <w:p w:rsidRPr="00CB74A5" w:rsidR="0069078A" w:rsidP="0007006F" w:rsidRDefault="0069078A">
      <w:pPr>
        <w:tabs>
          <w:tab w:val="left" w:pos="426"/>
        </w:tabs>
        <w:spacing w:after="0" w:line="240" w:lineRule="atLeast"/>
        <w:rPr>
          <w:sz w:val="20"/>
          <w:szCs w:val="20"/>
          <w:lang w:val="nl-NL"/>
        </w:rPr>
      </w:pPr>
    </w:p>
    <w:sectPr w:rsidRPr="00CB74A5" w:rsidR="0069078A" w:rsidSect="00F331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45B" w:rsidRDefault="0046445B" w:rsidP="00993419">
      <w:pPr>
        <w:spacing w:after="0"/>
      </w:pPr>
      <w:r>
        <w:separator/>
      </w:r>
    </w:p>
  </w:endnote>
  <w:endnote w:type="continuationSeparator" w:id="0">
    <w:p w:rsidR="0046445B" w:rsidRDefault="0046445B" w:rsidP="009934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53" w:rsidRDefault="00C55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580749"/>
      <w:docPartObj>
        <w:docPartGallery w:val="Page Numbers (Bottom of Page)"/>
        <w:docPartUnique/>
      </w:docPartObj>
    </w:sdtPr>
    <w:sdtEndPr>
      <w:rPr>
        <w:noProof/>
      </w:rPr>
    </w:sdtEndPr>
    <w:sdtContent>
      <w:bookmarkStart w:id="0" w:name="_GoBack" w:displacedByCustomXml="prev"/>
      <w:bookmarkEnd w:id="0" w:displacedByCustomXml="prev"/>
      <w:p w:rsidR="00C55A53" w:rsidRDefault="00C55A53">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C55A53" w:rsidRDefault="00C55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B8" w:rsidRDefault="00F331B8">
    <w:pPr>
      <w:pStyle w:val="Footer"/>
      <w:pBdr>
        <w:bottom w:val="single" w:sz="12" w:space="1" w:color="auto"/>
      </w:pBdr>
      <w:rPr>
        <w:lang w:val="nl-NL"/>
      </w:rPr>
    </w:pPr>
  </w:p>
  <w:p w:rsidR="00F331B8" w:rsidRPr="00F331B8" w:rsidRDefault="00F331B8">
    <w:pPr>
      <w:pStyle w:val="Footer"/>
      <w:rPr>
        <w:lang w:val="nl-NL"/>
      </w:rPr>
    </w:pPr>
    <w:r w:rsidRPr="00F331B8">
      <w:rPr>
        <w:lang w:val="nl-NL"/>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45B" w:rsidRDefault="0046445B" w:rsidP="00993419">
      <w:pPr>
        <w:spacing w:after="0"/>
      </w:pPr>
      <w:r>
        <w:separator/>
      </w:r>
    </w:p>
  </w:footnote>
  <w:footnote w:type="continuationSeparator" w:id="0">
    <w:p w:rsidR="0046445B" w:rsidRDefault="0046445B" w:rsidP="009934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53" w:rsidRDefault="00C55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53" w:rsidRDefault="00C55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53" w:rsidRDefault="00C55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F76"/>
    <w:multiLevelType w:val="hybridMultilevel"/>
    <w:tmpl w:val="97121352"/>
    <w:lvl w:ilvl="0" w:tplc="05C6DAF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78A597F"/>
    <w:multiLevelType w:val="hybridMultilevel"/>
    <w:tmpl w:val="63E49DC8"/>
    <w:lvl w:ilvl="0" w:tplc="04130013">
      <w:start w:val="1"/>
      <w:numFmt w:val="upperRoman"/>
      <w:lvlText w:val="%1."/>
      <w:lvlJc w:val="righ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9FB6C1F"/>
    <w:multiLevelType w:val="hybridMultilevel"/>
    <w:tmpl w:val="360CBCAE"/>
    <w:lvl w:ilvl="0" w:tplc="6D98D97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235236"/>
    <w:multiLevelType w:val="hybridMultilevel"/>
    <w:tmpl w:val="7F82430A"/>
    <w:lvl w:ilvl="0" w:tplc="BD78480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ED353A"/>
    <w:multiLevelType w:val="hybridMultilevel"/>
    <w:tmpl w:val="6B96CB7A"/>
    <w:lvl w:ilvl="0" w:tplc="A90A699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2CF37F1"/>
    <w:multiLevelType w:val="hybridMultilevel"/>
    <w:tmpl w:val="B854EFF6"/>
    <w:lvl w:ilvl="0" w:tplc="E8907B4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43DE57DE"/>
    <w:multiLevelType w:val="hybridMultilevel"/>
    <w:tmpl w:val="CE202860"/>
    <w:lvl w:ilvl="0" w:tplc="A90A699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F8153AE"/>
    <w:multiLevelType w:val="multilevel"/>
    <w:tmpl w:val="FEC46C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5C9807CA"/>
    <w:multiLevelType w:val="hybridMultilevel"/>
    <w:tmpl w:val="1F58D548"/>
    <w:lvl w:ilvl="0" w:tplc="04130013">
      <w:start w:val="1"/>
      <w:numFmt w:val="upperRoman"/>
      <w:lvlText w:val="%1."/>
      <w:lvlJc w:val="righ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F8A69FC"/>
    <w:multiLevelType w:val="hybridMultilevel"/>
    <w:tmpl w:val="5AEC87E4"/>
    <w:lvl w:ilvl="0" w:tplc="980458FA">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665F1374"/>
    <w:multiLevelType w:val="hybridMultilevel"/>
    <w:tmpl w:val="5E42A7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C391AF0"/>
    <w:multiLevelType w:val="hybridMultilevel"/>
    <w:tmpl w:val="22FEABAA"/>
    <w:lvl w:ilvl="0" w:tplc="980458FA">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7E5E2892"/>
    <w:multiLevelType w:val="hybridMultilevel"/>
    <w:tmpl w:val="BA06062E"/>
    <w:lvl w:ilvl="0" w:tplc="FF3EA4B2">
      <w:start w:val="1"/>
      <w:numFmt w:val="decimal"/>
      <w:lvlText w:val="(%1)"/>
      <w:lvlJc w:val="left"/>
      <w:pPr>
        <w:ind w:left="375" w:hanging="37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2"/>
  </w:num>
  <w:num w:numId="3">
    <w:abstractNumId w:val="3"/>
  </w:num>
  <w:num w:numId="4">
    <w:abstractNumId w:val="7"/>
  </w:num>
  <w:num w:numId="5">
    <w:abstractNumId w:val="0"/>
  </w:num>
  <w:num w:numId="6">
    <w:abstractNumId w:val="12"/>
  </w:num>
  <w:num w:numId="7">
    <w:abstractNumId w:val="6"/>
  </w:num>
  <w:num w:numId="8">
    <w:abstractNumId w:val="4"/>
  </w:num>
  <w:num w:numId="9">
    <w:abstractNumId w:val="1"/>
  </w:num>
  <w:num w:numId="10">
    <w:abstractNumId w:val="5"/>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8D"/>
    <w:rsid w:val="00003C53"/>
    <w:rsid w:val="000060DC"/>
    <w:rsid w:val="0001255C"/>
    <w:rsid w:val="000208B2"/>
    <w:rsid w:val="00041425"/>
    <w:rsid w:val="0007006F"/>
    <w:rsid w:val="00072F2C"/>
    <w:rsid w:val="00073C58"/>
    <w:rsid w:val="000C34EF"/>
    <w:rsid w:val="000E2927"/>
    <w:rsid w:val="000E3122"/>
    <w:rsid w:val="000E6A8B"/>
    <w:rsid w:val="0011510B"/>
    <w:rsid w:val="00124136"/>
    <w:rsid w:val="00135FA3"/>
    <w:rsid w:val="00136188"/>
    <w:rsid w:val="0014408E"/>
    <w:rsid w:val="00180294"/>
    <w:rsid w:val="001B17B2"/>
    <w:rsid w:val="001C3D74"/>
    <w:rsid w:val="001C604B"/>
    <w:rsid w:val="001D7884"/>
    <w:rsid w:val="0020418D"/>
    <w:rsid w:val="00224CB3"/>
    <w:rsid w:val="00232D14"/>
    <w:rsid w:val="00240DC9"/>
    <w:rsid w:val="0024142C"/>
    <w:rsid w:val="002A6F79"/>
    <w:rsid w:val="002B0A41"/>
    <w:rsid w:val="00317900"/>
    <w:rsid w:val="003202B6"/>
    <w:rsid w:val="00334BC4"/>
    <w:rsid w:val="00353057"/>
    <w:rsid w:val="00356B39"/>
    <w:rsid w:val="0037375E"/>
    <w:rsid w:val="00377845"/>
    <w:rsid w:val="0038063B"/>
    <w:rsid w:val="00395D46"/>
    <w:rsid w:val="003A201D"/>
    <w:rsid w:val="003C29D4"/>
    <w:rsid w:val="003D6D65"/>
    <w:rsid w:val="003F1C4C"/>
    <w:rsid w:val="003F1D70"/>
    <w:rsid w:val="003F4899"/>
    <w:rsid w:val="00404B21"/>
    <w:rsid w:val="004208FF"/>
    <w:rsid w:val="004413D3"/>
    <w:rsid w:val="0046445B"/>
    <w:rsid w:val="0047533A"/>
    <w:rsid w:val="00490D31"/>
    <w:rsid w:val="00491D09"/>
    <w:rsid w:val="004A539D"/>
    <w:rsid w:val="004B251D"/>
    <w:rsid w:val="004C0D16"/>
    <w:rsid w:val="004D1EFF"/>
    <w:rsid w:val="004D28F5"/>
    <w:rsid w:val="004D76F1"/>
    <w:rsid w:val="004F3F43"/>
    <w:rsid w:val="00505F4C"/>
    <w:rsid w:val="00507DB8"/>
    <w:rsid w:val="00525FBC"/>
    <w:rsid w:val="005326E1"/>
    <w:rsid w:val="00534095"/>
    <w:rsid w:val="00552D3A"/>
    <w:rsid w:val="005A49F6"/>
    <w:rsid w:val="005B1B02"/>
    <w:rsid w:val="005D7738"/>
    <w:rsid w:val="005F491C"/>
    <w:rsid w:val="00610590"/>
    <w:rsid w:val="00612E54"/>
    <w:rsid w:val="00624B1F"/>
    <w:rsid w:val="00624DB9"/>
    <w:rsid w:val="00635D70"/>
    <w:rsid w:val="00640756"/>
    <w:rsid w:val="006560D7"/>
    <w:rsid w:val="00676D27"/>
    <w:rsid w:val="00682631"/>
    <w:rsid w:val="0068595C"/>
    <w:rsid w:val="0069078A"/>
    <w:rsid w:val="006A54F0"/>
    <w:rsid w:val="006A5B4B"/>
    <w:rsid w:val="006D0E00"/>
    <w:rsid w:val="006F034C"/>
    <w:rsid w:val="006F5485"/>
    <w:rsid w:val="006F6489"/>
    <w:rsid w:val="00713945"/>
    <w:rsid w:val="00714419"/>
    <w:rsid w:val="007210FC"/>
    <w:rsid w:val="00722737"/>
    <w:rsid w:val="0074448D"/>
    <w:rsid w:val="00765CA8"/>
    <w:rsid w:val="00775C72"/>
    <w:rsid w:val="007A043D"/>
    <w:rsid w:val="007A53E5"/>
    <w:rsid w:val="007B0888"/>
    <w:rsid w:val="007B5EF1"/>
    <w:rsid w:val="007B78F3"/>
    <w:rsid w:val="007C23D6"/>
    <w:rsid w:val="007C424B"/>
    <w:rsid w:val="007C4A4D"/>
    <w:rsid w:val="007D48E7"/>
    <w:rsid w:val="007E1B6F"/>
    <w:rsid w:val="008167B3"/>
    <w:rsid w:val="00817B5D"/>
    <w:rsid w:val="00843A31"/>
    <w:rsid w:val="00852F87"/>
    <w:rsid w:val="008747E7"/>
    <w:rsid w:val="00880E34"/>
    <w:rsid w:val="00895345"/>
    <w:rsid w:val="00896E25"/>
    <w:rsid w:val="008B08FE"/>
    <w:rsid w:val="008F5EC1"/>
    <w:rsid w:val="00900424"/>
    <w:rsid w:val="00903251"/>
    <w:rsid w:val="0090469D"/>
    <w:rsid w:val="0093007C"/>
    <w:rsid w:val="00944921"/>
    <w:rsid w:val="009514D7"/>
    <w:rsid w:val="00951A45"/>
    <w:rsid w:val="00954BE6"/>
    <w:rsid w:val="0099014D"/>
    <w:rsid w:val="00993419"/>
    <w:rsid w:val="009B13D5"/>
    <w:rsid w:val="009B2DFE"/>
    <w:rsid w:val="009B6100"/>
    <w:rsid w:val="009D63B8"/>
    <w:rsid w:val="009E41DE"/>
    <w:rsid w:val="009F482D"/>
    <w:rsid w:val="009F76D7"/>
    <w:rsid w:val="00A03A36"/>
    <w:rsid w:val="00A12DF6"/>
    <w:rsid w:val="00A250AE"/>
    <w:rsid w:val="00A54D89"/>
    <w:rsid w:val="00A77D67"/>
    <w:rsid w:val="00A83923"/>
    <w:rsid w:val="00A936D8"/>
    <w:rsid w:val="00AA3C5E"/>
    <w:rsid w:val="00AB6D16"/>
    <w:rsid w:val="00AC238C"/>
    <w:rsid w:val="00AD450E"/>
    <w:rsid w:val="00AD68DC"/>
    <w:rsid w:val="00AF4FE3"/>
    <w:rsid w:val="00B44836"/>
    <w:rsid w:val="00B549CE"/>
    <w:rsid w:val="00B571C7"/>
    <w:rsid w:val="00B62348"/>
    <w:rsid w:val="00B774AA"/>
    <w:rsid w:val="00BA5786"/>
    <w:rsid w:val="00BA6304"/>
    <w:rsid w:val="00BB2675"/>
    <w:rsid w:val="00BC21E9"/>
    <w:rsid w:val="00BD6A67"/>
    <w:rsid w:val="00BD7204"/>
    <w:rsid w:val="00BE5D96"/>
    <w:rsid w:val="00C10B99"/>
    <w:rsid w:val="00C128F4"/>
    <w:rsid w:val="00C1625A"/>
    <w:rsid w:val="00C2748C"/>
    <w:rsid w:val="00C54763"/>
    <w:rsid w:val="00C55A53"/>
    <w:rsid w:val="00C64C57"/>
    <w:rsid w:val="00C73737"/>
    <w:rsid w:val="00C856B0"/>
    <w:rsid w:val="00C87547"/>
    <w:rsid w:val="00C87D10"/>
    <w:rsid w:val="00C95156"/>
    <w:rsid w:val="00CA2A85"/>
    <w:rsid w:val="00CB74A5"/>
    <w:rsid w:val="00CD7DE0"/>
    <w:rsid w:val="00CE54DE"/>
    <w:rsid w:val="00CE557B"/>
    <w:rsid w:val="00D309B7"/>
    <w:rsid w:val="00D33055"/>
    <w:rsid w:val="00D616E9"/>
    <w:rsid w:val="00D7140D"/>
    <w:rsid w:val="00D75F0D"/>
    <w:rsid w:val="00D77661"/>
    <w:rsid w:val="00D937D6"/>
    <w:rsid w:val="00DA597F"/>
    <w:rsid w:val="00DC0587"/>
    <w:rsid w:val="00DC1ED6"/>
    <w:rsid w:val="00DD7DCC"/>
    <w:rsid w:val="00DE7034"/>
    <w:rsid w:val="00DF6E67"/>
    <w:rsid w:val="00E42A07"/>
    <w:rsid w:val="00E442B0"/>
    <w:rsid w:val="00E474EC"/>
    <w:rsid w:val="00E5545E"/>
    <w:rsid w:val="00E62973"/>
    <w:rsid w:val="00EB72BE"/>
    <w:rsid w:val="00ED0973"/>
    <w:rsid w:val="00EE4053"/>
    <w:rsid w:val="00EF404F"/>
    <w:rsid w:val="00F000A3"/>
    <w:rsid w:val="00F044DB"/>
    <w:rsid w:val="00F25FA5"/>
    <w:rsid w:val="00F331B8"/>
    <w:rsid w:val="00F4151F"/>
    <w:rsid w:val="00F908B3"/>
    <w:rsid w:val="00FA7A6F"/>
    <w:rsid w:val="00FB21E7"/>
    <w:rsid w:val="00FB551E"/>
    <w:rsid w:val="00FD2F75"/>
    <w:rsid w:val="00FE2F09"/>
    <w:rsid w:val="00FE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8A"/>
    <w:pPr>
      <w:ind w:left="720"/>
      <w:contextualSpacing/>
    </w:pPr>
  </w:style>
  <w:style w:type="table" w:styleId="TableGrid">
    <w:name w:val="Table Grid"/>
    <w:basedOn w:val="TableNormal"/>
    <w:uiPriority w:val="59"/>
    <w:rsid w:val="00404B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36188"/>
    <w:pPr>
      <w:widowControl w:val="0"/>
      <w:tabs>
        <w:tab w:val="left" w:pos="-56"/>
        <w:tab w:val="left" w:pos="2778"/>
        <w:tab w:val="left" w:pos="3344"/>
        <w:tab w:val="left" w:pos="3912"/>
        <w:tab w:val="left" w:pos="4478"/>
        <w:tab w:val="left" w:pos="5046"/>
        <w:tab w:val="left" w:pos="5612"/>
        <w:tab w:val="left" w:pos="6180"/>
      </w:tabs>
      <w:spacing w:after="0" w:line="288" w:lineRule="auto"/>
      <w:ind w:left="2778" w:hanging="2778"/>
    </w:pPr>
    <w:rPr>
      <w:rFonts w:ascii="CG Times" w:eastAsia="Times New Roman" w:hAnsi="CG Times" w:cs="Times New Roman"/>
      <w:snapToGrid w:val="0"/>
      <w:sz w:val="22"/>
      <w:szCs w:val="20"/>
      <w:lang w:val="nl-NL"/>
    </w:rPr>
  </w:style>
  <w:style w:type="character" w:customStyle="1" w:styleId="BodyTextIndentChar">
    <w:name w:val="Body Text Indent Char"/>
    <w:basedOn w:val="DefaultParagraphFont"/>
    <w:link w:val="BodyTextIndent"/>
    <w:rsid w:val="00136188"/>
    <w:rPr>
      <w:rFonts w:ascii="CG Times" w:eastAsia="Times New Roman" w:hAnsi="CG Times" w:cs="Times New Roman"/>
      <w:snapToGrid w:val="0"/>
      <w:sz w:val="22"/>
      <w:szCs w:val="20"/>
      <w:lang w:val="nl-NL"/>
    </w:rPr>
  </w:style>
  <w:style w:type="paragraph" w:styleId="Header">
    <w:name w:val="header"/>
    <w:basedOn w:val="Normal"/>
    <w:link w:val="HeaderChar"/>
    <w:uiPriority w:val="99"/>
    <w:unhideWhenUsed/>
    <w:rsid w:val="00993419"/>
    <w:pPr>
      <w:tabs>
        <w:tab w:val="center" w:pos="4536"/>
        <w:tab w:val="right" w:pos="9072"/>
      </w:tabs>
      <w:spacing w:after="0"/>
    </w:pPr>
  </w:style>
  <w:style w:type="character" w:customStyle="1" w:styleId="HeaderChar">
    <w:name w:val="Header Char"/>
    <w:basedOn w:val="DefaultParagraphFont"/>
    <w:link w:val="Header"/>
    <w:uiPriority w:val="99"/>
    <w:rsid w:val="00993419"/>
  </w:style>
  <w:style w:type="paragraph" w:styleId="Footer">
    <w:name w:val="footer"/>
    <w:basedOn w:val="Normal"/>
    <w:link w:val="FooterChar"/>
    <w:uiPriority w:val="99"/>
    <w:unhideWhenUsed/>
    <w:rsid w:val="00993419"/>
    <w:pPr>
      <w:tabs>
        <w:tab w:val="center" w:pos="4536"/>
        <w:tab w:val="right" w:pos="9072"/>
      </w:tabs>
      <w:spacing w:after="0"/>
    </w:pPr>
  </w:style>
  <w:style w:type="character" w:customStyle="1" w:styleId="FooterChar">
    <w:name w:val="Footer Char"/>
    <w:basedOn w:val="DefaultParagraphFont"/>
    <w:link w:val="Footer"/>
    <w:uiPriority w:val="99"/>
    <w:rsid w:val="00993419"/>
  </w:style>
  <w:style w:type="paragraph" w:styleId="BalloonText">
    <w:name w:val="Balloon Text"/>
    <w:basedOn w:val="Normal"/>
    <w:link w:val="BalloonTextChar"/>
    <w:uiPriority w:val="99"/>
    <w:semiHidden/>
    <w:unhideWhenUsed/>
    <w:rsid w:val="00BD6A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A67"/>
    <w:rPr>
      <w:rFonts w:ascii="Tahoma" w:hAnsi="Tahoma" w:cs="Tahoma"/>
      <w:sz w:val="16"/>
      <w:szCs w:val="16"/>
    </w:rPr>
  </w:style>
  <w:style w:type="character" w:styleId="Hyperlink">
    <w:name w:val="Hyperlink"/>
    <w:basedOn w:val="DefaultParagraphFont"/>
    <w:uiPriority w:val="99"/>
    <w:unhideWhenUsed/>
    <w:rsid w:val="000060DC"/>
    <w:rPr>
      <w:color w:val="0000FF" w:themeColor="hyperlink"/>
      <w:u w:val="single"/>
    </w:rPr>
  </w:style>
  <w:style w:type="character" w:styleId="FollowedHyperlink">
    <w:name w:val="FollowedHyperlink"/>
    <w:basedOn w:val="DefaultParagraphFont"/>
    <w:uiPriority w:val="99"/>
    <w:semiHidden/>
    <w:unhideWhenUsed/>
    <w:rsid w:val="00635D70"/>
    <w:rPr>
      <w:color w:val="800080" w:themeColor="followedHyperlink"/>
      <w:u w:val="single"/>
    </w:rPr>
  </w:style>
  <w:style w:type="character" w:styleId="CommentReference">
    <w:name w:val="annotation reference"/>
    <w:basedOn w:val="DefaultParagraphFont"/>
    <w:uiPriority w:val="99"/>
    <w:semiHidden/>
    <w:unhideWhenUsed/>
    <w:rsid w:val="00B774AA"/>
    <w:rPr>
      <w:sz w:val="16"/>
      <w:szCs w:val="16"/>
    </w:rPr>
  </w:style>
  <w:style w:type="paragraph" w:styleId="CommentText">
    <w:name w:val="annotation text"/>
    <w:basedOn w:val="Normal"/>
    <w:link w:val="CommentTextChar"/>
    <w:uiPriority w:val="99"/>
    <w:semiHidden/>
    <w:unhideWhenUsed/>
    <w:rsid w:val="00B774AA"/>
    <w:rPr>
      <w:sz w:val="20"/>
      <w:szCs w:val="20"/>
    </w:rPr>
  </w:style>
  <w:style w:type="character" w:customStyle="1" w:styleId="CommentTextChar">
    <w:name w:val="Comment Text Char"/>
    <w:basedOn w:val="DefaultParagraphFont"/>
    <w:link w:val="CommentText"/>
    <w:uiPriority w:val="99"/>
    <w:semiHidden/>
    <w:rsid w:val="00B774AA"/>
    <w:rPr>
      <w:sz w:val="20"/>
      <w:szCs w:val="20"/>
    </w:rPr>
  </w:style>
  <w:style w:type="paragraph" w:styleId="CommentSubject">
    <w:name w:val="annotation subject"/>
    <w:basedOn w:val="CommentText"/>
    <w:next w:val="CommentText"/>
    <w:link w:val="CommentSubjectChar"/>
    <w:uiPriority w:val="99"/>
    <w:semiHidden/>
    <w:unhideWhenUsed/>
    <w:rsid w:val="00B774AA"/>
    <w:rPr>
      <w:b/>
      <w:bCs/>
    </w:rPr>
  </w:style>
  <w:style w:type="character" w:customStyle="1" w:styleId="CommentSubjectChar">
    <w:name w:val="Comment Subject Char"/>
    <w:basedOn w:val="CommentTextChar"/>
    <w:link w:val="CommentSubject"/>
    <w:uiPriority w:val="99"/>
    <w:semiHidden/>
    <w:rsid w:val="00B774AA"/>
    <w:rPr>
      <w:b/>
      <w:bCs/>
      <w:sz w:val="20"/>
      <w:szCs w:val="20"/>
    </w:rPr>
  </w:style>
  <w:style w:type="paragraph" w:styleId="Revision">
    <w:name w:val="Revision"/>
    <w:hidden/>
    <w:uiPriority w:val="99"/>
    <w:semiHidden/>
    <w:rsid w:val="00B774AA"/>
    <w:pPr>
      <w:spacing w:after="0"/>
    </w:pPr>
  </w:style>
  <w:style w:type="paragraph" w:styleId="FootnoteText">
    <w:name w:val="footnote text"/>
    <w:basedOn w:val="Normal"/>
    <w:link w:val="FootnoteTextChar"/>
    <w:uiPriority w:val="99"/>
    <w:semiHidden/>
    <w:unhideWhenUsed/>
    <w:rsid w:val="002B0A41"/>
    <w:pPr>
      <w:spacing w:after="0"/>
    </w:pPr>
    <w:rPr>
      <w:sz w:val="20"/>
      <w:szCs w:val="20"/>
    </w:rPr>
  </w:style>
  <w:style w:type="character" w:customStyle="1" w:styleId="FootnoteTextChar">
    <w:name w:val="Footnote Text Char"/>
    <w:basedOn w:val="DefaultParagraphFont"/>
    <w:link w:val="FootnoteText"/>
    <w:uiPriority w:val="99"/>
    <w:semiHidden/>
    <w:rsid w:val="002B0A41"/>
    <w:rPr>
      <w:sz w:val="20"/>
      <w:szCs w:val="20"/>
    </w:rPr>
  </w:style>
  <w:style w:type="character" w:styleId="FootnoteReference">
    <w:name w:val="footnote reference"/>
    <w:basedOn w:val="DefaultParagraphFont"/>
    <w:uiPriority w:val="99"/>
    <w:semiHidden/>
    <w:unhideWhenUsed/>
    <w:rsid w:val="002B0A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8A"/>
    <w:pPr>
      <w:ind w:left="720"/>
      <w:contextualSpacing/>
    </w:pPr>
  </w:style>
  <w:style w:type="table" w:styleId="TableGrid">
    <w:name w:val="Table Grid"/>
    <w:basedOn w:val="TableNormal"/>
    <w:uiPriority w:val="59"/>
    <w:rsid w:val="00404B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36188"/>
    <w:pPr>
      <w:widowControl w:val="0"/>
      <w:tabs>
        <w:tab w:val="left" w:pos="-56"/>
        <w:tab w:val="left" w:pos="2778"/>
        <w:tab w:val="left" w:pos="3344"/>
        <w:tab w:val="left" w:pos="3912"/>
        <w:tab w:val="left" w:pos="4478"/>
        <w:tab w:val="left" w:pos="5046"/>
        <w:tab w:val="left" w:pos="5612"/>
        <w:tab w:val="left" w:pos="6180"/>
      </w:tabs>
      <w:spacing w:after="0" w:line="288" w:lineRule="auto"/>
      <w:ind w:left="2778" w:hanging="2778"/>
    </w:pPr>
    <w:rPr>
      <w:rFonts w:ascii="CG Times" w:eastAsia="Times New Roman" w:hAnsi="CG Times" w:cs="Times New Roman"/>
      <w:snapToGrid w:val="0"/>
      <w:sz w:val="22"/>
      <w:szCs w:val="20"/>
      <w:lang w:val="nl-NL"/>
    </w:rPr>
  </w:style>
  <w:style w:type="character" w:customStyle="1" w:styleId="BodyTextIndentChar">
    <w:name w:val="Body Text Indent Char"/>
    <w:basedOn w:val="DefaultParagraphFont"/>
    <w:link w:val="BodyTextIndent"/>
    <w:rsid w:val="00136188"/>
    <w:rPr>
      <w:rFonts w:ascii="CG Times" w:eastAsia="Times New Roman" w:hAnsi="CG Times" w:cs="Times New Roman"/>
      <w:snapToGrid w:val="0"/>
      <w:sz w:val="22"/>
      <w:szCs w:val="20"/>
      <w:lang w:val="nl-NL"/>
    </w:rPr>
  </w:style>
  <w:style w:type="paragraph" w:styleId="Header">
    <w:name w:val="header"/>
    <w:basedOn w:val="Normal"/>
    <w:link w:val="HeaderChar"/>
    <w:uiPriority w:val="99"/>
    <w:unhideWhenUsed/>
    <w:rsid w:val="00993419"/>
    <w:pPr>
      <w:tabs>
        <w:tab w:val="center" w:pos="4536"/>
        <w:tab w:val="right" w:pos="9072"/>
      </w:tabs>
      <w:spacing w:after="0"/>
    </w:pPr>
  </w:style>
  <w:style w:type="character" w:customStyle="1" w:styleId="HeaderChar">
    <w:name w:val="Header Char"/>
    <w:basedOn w:val="DefaultParagraphFont"/>
    <w:link w:val="Header"/>
    <w:uiPriority w:val="99"/>
    <w:rsid w:val="00993419"/>
  </w:style>
  <w:style w:type="paragraph" w:styleId="Footer">
    <w:name w:val="footer"/>
    <w:basedOn w:val="Normal"/>
    <w:link w:val="FooterChar"/>
    <w:uiPriority w:val="99"/>
    <w:unhideWhenUsed/>
    <w:rsid w:val="00993419"/>
    <w:pPr>
      <w:tabs>
        <w:tab w:val="center" w:pos="4536"/>
        <w:tab w:val="right" w:pos="9072"/>
      </w:tabs>
      <w:spacing w:after="0"/>
    </w:pPr>
  </w:style>
  <w:style w:type="character" w:customStyle="1" w:styleId="FooterChar">
    <w:name w:val="Footer Char"/>
    <w:basedOn w:val="DefaultParagraphFont"/>
    <w:link w:val="Footer"/>
    <w:uiPriority w:val="99"/>
    <w:rsid w:val="00993419"/>
  </w:style>
  <w:style w:type="paragraph" w:styleId="BalloonText">
    <w:name w:val="Balloon Text"/>
    <w:basedOn w:val="Normal"/>
    <w:link w:val="BalloonTextChar"/>
    <w:uiPriority w:val="99"/>
    <w:semiHidden/>
    <w:unhideWhenUsed/>
    <w:rsid w:val="00BD6A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A67"/>
    <w:rPr>
      <w:rFonts w:ascii="Tahoma" w:hAnsi="Tahoma" w:cs="Tahoma"/>
      <w:sz w:val="16"/>
      <w:szCs w:val="16"/>
    </w:rPr>
  </w:style>
  <w:style w:type="character" w:styleId="Hyperlink">
    <w:name w:val="Hyperlink"/>
    <w:basedOn w:val="DefaultParagraphFont"/>
    <w:uiPriority w:val="99"/>
    <w:unhideWhenUsed/>
    <w:rsid w:val="000060DC"/>
    <w:rPr>
      <w:color w:val="0000FF" w:themeColor="hyperlink"/>
      <w:u w:val="single"/>
    </w:rPr>
  </w:style>
  <w:style w:type="character" w:styleId="FollowedHyperlink">
    <w:name w:val="FollowedHyperlink"/>
    <w:basedOn w:val="DefaultParagraphFont"/>
    <w:uiPriority w:val="99"/>
    <w:semiHidden/>
    <w:unhideWhenUsed/>
    <w:rsid w:val="00635D70"/>
    <w:rPr>
      <w:color w:val="800080" w:themeColor="followedHyperlink"/>
      <w:u w:val="single"/>
    </w:rPr>
  </w:style>
  <w:style w:type="character" w:styleId="CommentReference">
    <w:name w:val="annotation reference"/>
    <w:basedOn w:val="DefaultParagraphFont"/>
    <w:uiPriority w:val="99"/>
    <w:semiHidden/>
    <w:unhideWhenUsed/>
    <w:rsid w:val="00B774AA"/>
    <w:rPr>
      <w:sz w:val="16"/>
      <w:szCs w:val="16"/>
    </w:rPr>
  </w:style>
  <w:style w:type="paragraph" w:styleId="CommentText">
    <w:name w:val="annotation text"/>
    <w:basedOn w:val="Normal"/>
    <w:link w:val="CommentTextChar"/>
    <w:uiPriority w:val="99"/>
    <w:semiHidden/>
    <w:unhideWhenUsed/>
    <w:rsid w:val="00B774AA"/>
    <w:rPr>
      <w:sz w:val="20"/>
      <w:szCs w:val="20"/>
    </w:rPr>
  </w:style>
  <w:style w:type="character" w:customStyle="1" w:styleId="CommentTextChar">
    <w:name w:val="Comment Text Char"/>
    <w:basedOn w:val="DefaultParagraphFont"/>
    <w:link w:val="CommentText"/>
    <w:uiPriority w:val="99"/>
    <w:semiHidden/>
    <w:rsid w:val="00B774AA"/>
    <w:rPr>
      <w:sz w:val="20"/>
      <w:szCs w:val="20"/>
    </w:rPr>
  </w:style>
  <w:style w:type="paragraph" w:styleId="CommentSubject">
    <w:name w:val="annotation subject"/>
    <w:basedOn w:val="CommentText"/>
    <w:next w:val="CommentText"/>
    <w:link w:val="CommentSubjectChar"/>
    <w:uiPriority w:val="99"/>
    <w:semiHidden/>
    <w:unhideWhenUsed/>
    <w:rsid w:val="00B774AA"/>
    <w:rPr>
      <w:b/>
      <w:bCs/>
    </w:rPr>
  </w:style>
  <w:style w:type="character" w:customStyle="1" w:styleId="CommentSubjectChar">
    <w:name w:val="Comment Subject Char"/>
    <w:basedOn w:val="CommentTextChar"/>
    <w:link w:val="CommentSubject"/>
    <w:uiPriority w:val="99"/>
    <w:semiHidden/>
    <w:rsid w:val="00B774AA"/>
    <w:rPr>
      <w:b/>
      <w:bCs/>
      <w:sz w:val="20"/>
      <w:szCs w:val="20"/>
    </w:rPr>
  </w:style>
  <w:style w:type="paragraph" w:styleId="Revision">
    <w:name w:val="Revision"/>
    <w:hidden/>
    <w:uiPriority w:val="99"/>
    <w:semiHidden/>
    <w:rsid w:val="00B774AA"/>
    <w:pPr>
      <w:spacing w:after="0"/>
    </w:pPr>
  </w:style>
  <w:style w:type="paragraph" w:styleId="FootnoteText">
    <w:name w:val="footnote text"/>
    <w:basedOn w:val="Normal"/>
    <w:link w:val="FootnoteTextChar"/>
    <w:uiPriority w:val="99"/>
    <w:semiHidden/>
    <w:unhideWhenUsed/>
    <w:rsid w:val="002B0A41"/>
    <w:pPr>
      <w:spacing w:after="0"/>
    </w:pPr>
    <w:rPr>
      <w:sz w:val="20"/>
      <w:szCs w:val="20"/>
    </w:rPr>
  </w:style>
  <w:style w:type="character" w:customStyle="1" w:styleId="FootnoteTextChar">
    <w:name w:val="Footnote Text Char"/>
    <w:basedOn w:val="DefaultParagraphFont"/>
    <w:link w:val="FootnoteText"/>
    <w:uiPriority w:val="99"/>
    <w:semiHidden/>
    <w:rsid w:val="002B0A41"/>
    <w:rPr>
      <w:sz w:val="20"/>
      <w:szCs w:val="20"/>
    </w:rPr>
  </w:style>
  <w:style w:type="character" w:styleId="FootnoteReference">
    <w:name w:val="footnote reference"/>
    <w:basedOn w:val="DefaultParagraphFont"/>
    <w:uiPriority w:val="99"/>
    <w:semiHidden/>
    <w:unhideWhenUsed/>
    <w:rsid w:val="002B0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2369</ap:Words>
  <ap:Characters>13031</ap:Characters>
  <ap:DocSecurity>0</ap:DocSecurity>
  <ap:Lines>108</ap:Lines>
  <ap:Paragraphs>30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15370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2015-04-21T10:02:00.0000000Z</lastPrinted>
  <dcterms:created xsi:type="dcterms:W3CDTF">2015-04-30T14:10:00.0000000Z</dcterms:created>
  <dcterms:modified xsi:type="dcterms:W3CDTF">2015-04-30T14:10:00.0000000Z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0x010100EB0D3E45CD44F14582A50ECC60342DFA</vt:lpwstr>
  </property>
</Properties>
</file>