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F69E7" w:rsidR="00B43A79" w:rsidP="006B23B7" w:rsidRDefault="00B43A79" w14:paraId="5C6AA9E2" w14:textId="2FF8E2FC">
      <w:pPr>
        <w:spacing w:after="0"/>
        <w:rPr>
          <w:b/>
          <w:bCs/>
          <w:lang w:val="nl-NL"/>
        </w:rPr>
      </w:pPr>
      <w:bookmarkStart w:name="_GoBack" w:id="0"/>
      <w:bookmarkEnd w:id="0"/>
      <w:r w:rsidRPr="00FF69E7">
        <w:rPr>
          <w:b/>
          <w:bCs/>
          <w:lang w:val="nl-NL"/>
        </w:rPr>
        <w:t xml:space="preserve">GEANNOTEERDE AGENDA </w:t>
      </w:r>
      <w:r w:rsidR="00076B79">
        <w:rPr>
          <w:b/>
          <w:bCs/>
          <w:lang w:val="nl-NL"/>
        </w:rPr>
        <w:t xml:space="preserve">VAN DE </w:t>
      </w:r>
      <w:r w:rsidRPr="00FF69E7">
        <w:rPr>
          <w:b/>
          <w:bCs/>
          <w:lang w:val="nl-NL"/>
        </w:rPr>
        <w:t xml:space="preserve">EUROPESE RAAD VAN </w:t>
      </w:r>
      <w:r w:rsidR="006B23B7">
        <w:rPr>
          <w:b/>
          <w:bCs/>
          <w:lang w:val="nl-NL"/>
        </w:rPr>
        <w:t>19 EN 20 MAART</w:t>
      </w:r>
      <w:r w:rsidR="002D5264">
        <w:rPr>
          <w:b/>
          <w:bCs/>
          <w:lang w:val="nl-NL"/>
        </w:rPr>
        <w:t xml:space="preserve"> 2015</w:t>
      </w:r>
    </w:p>
    <w:p w:rsidR="00076B79" w:rsidP="00404A92" w:rsidRDefault="00076B79" w14:paraId="030417B3" w14:textId="77777777">
      <w:pPr>
        <w:spacing w:after="0"/>
        <w:rPr>
          <w:b/>
          <w:bCs/>
          <w:lang w:val="nl-NL"/>
        </w:rPr>
      </w:pPr>
    </w:p>
    <w:p w:rsidR="00C8399A" w:rsidP="00C8399A" w:rsidRDefault="00C8399A" w14:paraId="394D1AF4" w14:textId="77777777">
      <w:pPr>
        <w:spacing w:after="0"/>
        <w:rPr>
          <w:b/>
          <w:bCs/>
          <w:lang w:val="nl-NL"/>
        </w:rPr>
      </w:pPr>
      <w:r>
        <w:rPr>
          <w:b/>
          <w:bCs/>
          <w:lang w:val="nl-NL"/>
        </w:rPr>
        <w:t>Europees Semester</w:t>
      </w:r>
    </w:p>
    <w:p w:rsidR="00C8399A" w:rsidP="009D0EFE" w:rsidRDefault="00C8399A" w14:paraId="5E0FDF53" w14:textId="7285B5FB">
      <w:pPr>
        <w:spacing w:after="0"/>
        <w:rPr>
          <w:szCs w:val="18"/>
          <w:lang w:val="nl-NL"/>
        </w:rPr>
      </w:pPr>
      <w:r>
        <w:rPr>
          <w:szCs w:val="18"/>
          <w:lang w:val="nl-NL"/>
        </w:rPr>
        <w:t xml:space="preserve">Conform de Strategische Agenda van </w:t>
      </w:r>
      <w:r w:rsidR="00A76548">
        <w:rPr>
          <w:szCs w:val="18"/>
          <w:lang w:val="nl-NL"/>
        </w:rPr>
        <w:t>de</w:t>
      </w:r>
      <w:r>
        <w:rPr>
          <w:szCs w:val="18"/>
          <w:lang w:val="nl-NL"/>
        </w:rPr>
        <w:t xml:space="preserve"> Europese Raad </w:t>
      </w:r>
      <w:r w:rsidR="00B744CB">
        <w:rPr>
          <w:szCs w:val="18"/>
          <w:lang w:val="nl-NL"/>
        </w:rPr>
        <w:t xml:space="preserve">(ER) </w:t>
      </w:r>
      <w:r>
        <w:rPr>
          <w:szCs w:val="18"/>
          <w:lang w:val="nl-NL"/>
        </w:rPr>
        <w:t>zijn groei en banen centrale prioriteiten van de ER voor de komende jaren. In dat licht zal d</w:t>
      </w:r>
      <w:r w:rsidRPr="003F2D52">
        <w:rPr>
          <w:szCs w:val="18"/>
          <w:lang w:val="nl-NL"/>
        </w:rPr>
        <w:t>e E</w:t>
      </w:r>
      <w:r w:rsidR="00B744CB">
        <w:rPr>
          <w:szCs w:val="18"/>
          <w:lang w:val="nl-NL"/>
        </w:rPr>
        <w:t>R</w:t>
      </w:r>
      <w:r w:rsidRPr="003F2D52">
        <w:rPr>
          <w:szCs w:val="18"/>
          <w:lang w:val="nl-NL"/>
        </w:rPr>
        <w:t xml:space="preserve"> de eerste fase van het Europees Semester 2015 afsluiten. De </w:t>
      </w:r>
      <w:r>
        <w:rPr>
          <w:szCs w:val="18"/>
          <w:lang w:val="nl-NL"/>
        </w:rPr>
        <w:t>ER</w:t>
      </w:r>
      <w:r w:rsidRPr="003F2D52">
        <w:rPr>
          <w:szCs w:val="18"/>
          <w:lang w:val="nl-NL"/>
        </w:rPr>
        <w:t xml:space="preserve"> bespreekt de uitkomsten van de sinds december jl. in verschillende Raadsformaties gevoerde besprekingen in het kader van het Europees Semester 2015, op basis van de </w:t>
      </w:r>
      <w:proofErr w:type="spellStart"/>
      <w:r w:rsidRPr="003F2D52">
        <w:rPr>
          <w:szCs w:val="18"/>
          <w:lang w:val="nl-NL"/>
        </w:rPr>
        <w:t>Annual</w:t>
      </w:r>
      <w:proofErr w:type="spellEnd"/>
      <w:r w:rsidRPr="003F2D52">
        <w:rPr>
          <w:szCs w:val="18"/>
          <w:lang w:val="nl-NL"/>
        </w:rPr>
        <w:t xml:space="preserve"> </w:t>
      </w:r>
      <w:proofErr w:type="spellStart"/>
      <w:r w:rsidRPr="003F2D52">
        <w:rPr>
          <w:szCs w:val="18"/>
          <w:lang w:val="nl-NL"/>
        </w:rPr>
        <w:t>Growth</w:t>
      </w:r>
      <w:proofErr w:type="spellEnd"/>
      <w:r w:rsidRPr="003F2D52">
        <w:rPr>
          <w:szCs w:val="18"/>
          <w:lang w:val="nl-NL"/>
        </w:rPr>
        <w:t xml:space="preserve"> </w:t>
      </w:r>
      <w:proofErr w:type="spellStart"/>
      <w:r w:rsidRPr="003F2D52">
        <w:rPr>
          <w:szCs w:val="18"/>
          <w:lang w:val="nl-NL"/>
        </w:rPr>
        <w:t>Strategy</w:t>
      </w:r>
      <w:proofErr w:type="spellEnd"/>
      <w:r w:rsidRPr="003F2D52">
        <w:rPr>
          <w:szCs w:val="18"/>
          <w:lang w:val="nl-NL"/>
        </w:rPr>
        <w:t xml:space="preserve">. Deze uitkomsten staan vermeld in </w:t>
      </w:r>
      <w:r w:rsidR="009D0EFE">
        <w:rPr>
          <w:szCs w:val="18"/>
          <w:lang w:val="nl-NL"/>
        </w:rPr>
        <w:t xml:space="preserve">het </w:t>
      </w:r>
      <w:proofErr w:type="spellStart"/>
      <w:r w:rsidRPr="003F2D52">
        <w:rPr>
          <w:i/>
          <w:iCs/>
          <w:szCs w:val="18"/>
          <w:lang w:val="nl-NL"/>
        </w:rPr>
        <w:t>Synthesis</w:t>
      </w:r>
      <w:proofErr w:type="spellEnd"/>
      <w:r w:rsidRPr="003F2D52">
        <w:rPr>
          <w:i/>
          <w:iCs/>
          <w:szCs w:val="18"/>
          <w:lang w:val="nl-NL"/>
        </w:rPr>
        <w:t xml:space="preserve"> Report </w:t>
      </w:r>
      <w:r w:rsidRPr="009D0EFE" w:rsidR="009D0EFE">
        <w:rPr>
          <w:szCs w:val="18"/>
          <w:lang w:val="nl-NL"/>
        </w:rPr>
        <w:t>(</w:t>
      </w:r>
      <w:proofErr w:type="spellStart"/>
      <w:r w:rsidR="009D0EFE">
        <w:rPr>
          <w:szCs w:val="18"/>
          <w:lang w:val="nl-NL"/>
        </w:rPr>
        <w:t>doc</w:t>
      </w:r>
      <w:proofErr w:type="spellEnd"/>
      <w:r w:rsidR="009D0EFE">
        <w:rPr>
          <w:szCs w:val="18"/>
          <w:lang w:val="nl-NL"/>
        </w:rPr>
        <w:t>. nr. 6538/15</w:t>
      </w:r>
      <w:r w:rsidRPr="009D0EFE" w:rsidR="009D0EFE">
        <w:rPr>
          <w:szCs w:val="18"/>
          <w:lang w:val="nl-NL"/>
        </w:rPr>
        <w:t>)</w:t>
      </w:r>
      <w:r w:rsidR="009D0EFE">
        <w:rPr>
          <w:szCs w:val="18"/>
          <w:lang w:val="nl-NL"/>
        </w:rPr>
        <w:t xml:space="preserve"> </w:t>
      </w:r>
      <w:r w:rsidRPr="003F2D52">
        <w:rPr>
          <w:szCs w:val="18"/>
          <w:lang w:val="nl-NL"/>
        </w:rPr>
        <w:t xml:space="preserve">van het voorzitterschap en een geactualiseerde </w:t>
      </w:r>
      <w:r w:rsidRPr="003F2D52">
        <w:rPr>
          <w:i/>
          <w:iCs/>
          <w:szCs w:val="18"/>
          <w:lang w:val="nl-NL"/>
        </w:rPr>
        <w:t xml:space="preserve">Road Map </w:t>
      </w:r>
      <w:r>
        <w:rPr>
          <w:szCs w:val="18"/>
          <w:lang w:val="nl-NL"/>
        </w:rPr>
        <w:t>(</w:t>
      </w:r>
      <w:proofErr w:type="spellStart"/>
      <w:r>
        <w:rPr>
          <w:szCs w:val="18"/>
          <w:lang w:val="nl-NL"/>
        </w:rPr>
        <w:t>doc</w:t>
      </w:r>
      <w:proofErr w:type="spellEnd"/>
      <w:r>
        <w:rPr>
          <w:szCs w:val="18"/>
          <w:lang w:val="nl-NL"/>
        </w:rPr>
        <w:t xml:space="preserve">. nr. 6543/15) </w:t>
      </w:r>
      <w:r w:rsidRPr="003F2D52">
        <w:rPr>
          <w:szCs w:val="18"/>
          <w:lang w:val="nl-NL"/>
        </w:rPr>
        <w:t>voor volgende stappen binnen het Semester 2015.</w:t>
      </w:r>
    </w:p>
    <w:p w:rsidR="00A76548" w:rsidP="00C8399A" w:rsidRDefault="00A76548" w14:paraId="3ED3C818" w14:textId="77777777">
      <w:pPr>
        <w:spacing w:after="0"/>
        <w:rPr>
          <w:szCs w:val="18"/>
          <w:lang w:val="nl-NL"/>
        </w:rPr>
      </w:pPr>
    </w:p>
    <w:p w:rsidRPr="003F2D52" w:rsidR="00C8399A" w:rsidP="00DD51D3" w:rsidRDefault="00C8399A" w14:paraId="21F76771" w14:textId="2D2B0504">
      <w:pPr>
        <w:rPr>
          <w:szCs w:val="18"/>
          <w:lang w:val="nl-NL"/>
        </w:rPr>
      </w:pPr>
      <w:r w:rsidRPr="003F2D52">
        <w:rPr>
          <w:szCs w:val="18"/>
          <w:lang w:val="nl-NL"/>
        </w:rPr>
        <w:t xml:space="preserve">Het kabinet onderschrijft de accenten die de Commissie heeft gelegd in de in november jl. gepubliceerde </w:t>
      </w:r>
      <w:proofErr w:type="spellStart"/>
      <w:r w:rsidRPr="003F2D52">
        <w:rPr>
          <w:szCs w:val="18"/>
          <w:lang w:val="nl-NL"/>
        </w:rPr>
        <w:t>Annual</w:t>
      </w:r>
      <w:proofErr w:type="spellEnd"/>
      <w:r w:rsidRPr="003F2D52">
        <w:rPr>
          <w:szCs w:val="18"/>
          <w:lang w:val="nl-NL"/>
        </w:rPr>
        <w:t xml:space="preserve"> </w:t>
      </w:r>
      <w:proofErr w:type="spellStart"/>
      <w:r w:rsidRPr="003F2D52">
        <w:rPr>
          <w:szCs w:val="18"/>
          <w:lang w:val="nl-NL"/>
        </w:rPr>
        <w:t>Growth</w:t>
      </w:r>
      <w:proofErr w:type="spellEnd"/>
      <w:r w:rsidRPr="003F2D52">
        <w:rPr>
          <w:szCs w:val="18"/>
          <w:lang w:val="nl-NL"/>
        </w:rPr>
        <w:t xml:space="preserve"> Survey (doc.nr. COM(2014)902)</w:t>
      </w:r>
      <w:r w:rsidR="00A76548">
        <w:rPr>
          <w:szCs w:val="18"/>
          <w:lang w:val="nl-NL"/>
        </w:rPr>
        <w:t>,</w:t>
      </w:r>
      <w:r w:rsidRPr="003F2D52">
        <w:rPr>
          <w:szCs w:val="18"/>
          <w:lang w:val="nl-NL"/>
        </w:rPr>
        <w:t xml:space="preserve"> op het belang van gezonde overheidsfinanciën, structurele hervormingen en investeringen, alsmede de onlosmakelijke samenhang tussen deze elementen om </w:t>
      </w:r>
      <w:r w:rsidR="00023F5F">
        <w:rPr>
          <w:szCs w:val="18"/>
          <w:lang w:val="nl-NL"/>
        </w:rPr>
        <w:t xml:space="preserve">de </w:t>
      </w:r>
      <w:r w:rsidRPr="003F2D52">
        <w:rPr>
          <w:szCs w:val="18"/>
          <w:lang w:val="nl-NL"/>
        </w:rPr>
        <w:t xml:space="preserve">Europese </w:t>
      </w:r>
      <w:r w:rsidR="00DD51D3">
        <w:rPr>
          <w:szCs w:val="18"/>
          <w:lang w:val="nl-NL"/>
        </w:rPr>
        <w:t>groei</w:t>
      </w:r>
      <w:r w:rsidRPr="003F2D52">
        <w:rPr>
          <w:szCs w:val="18"/>
          <w:lang w:val="nl-NL"/>
        </w:rPr>
        <w:t>, werkgelegenheid en concurrentiekracht te bevorderen. Het is van mening dat dit moet worden ondersteund door een verdere verdieping van de interne markt.</w:t>
      </w:r>
      <w:r w:rsidR="00A76548">
        <w:rPr>
          <w:szCs w:val="18"/>
          <w:lang w:val="nl-NL"/>
        </w:rPr>
        <w:t xml:space="preserve"> </w:t>
      </w:r>
      <w:r w:rsidRPr="003F2D52" w:rsidR="00A76548">
        <w:rPr>
          <w:szCs w:val="18"/>
          <w:lang w:val="nl-NL"/>
        </w:rPr>
        <w:t>Het kabinet is voorstander van een strikte handhaving van het Stabiliteits- en Groeipact en volledige toepassing van de mogelijkheden die geboden worden door de Macro-Economische Onevenwichtighedenprocedure voor het stimuleren van de implementatie van structurele hervormingen.</w:t>
      </w:r>
      <w:r w:rsidRPr="00A76548" w:rsidR="00A76548">
        <w:rPr>
          <w:szCs w:val="18"/>
          <w:lang w:val="nl-NL"/>
        </w:rPr>
        <w:t xml:space="preserve"> </w:t>
      </w:r>
      <w:r w:rsidR="00A76548">
        <w:rPr>
          <w:szCs w:val="18"/>
          <w:lang w:val="nl-NL"/>
        </w:rPr>
        <w:t>Voorts zal de Europese Raad stilstaan bij de vorderingen die zijn gemaakt bij de totstandkoming van het Europees Fonds voor Strategische Investeringen (EFSI).</w:t>
      </w:r>
    </w:p>
    <w:p w:rsidR="00C8399A" w:rsidP="00C8399A" w:rsidRDefault="00C8399A" w14:paraId="2B48304B" w14:textId="77777777">
      <w:pPr>
        <w:spacing w:after="0"/>
        <w:rPr>
          <w:b/>
          <w:bCs/>
          <w:lang w:val="nl-NL"/>
        </w:rPr>
      </w:pPr>
      <w:r>
        <w:rPr>
          <w:b/>
          <w:bCs/>
          <w:lang w:val="nl-NL"/>
        </w:rPr>
        <w:t>TTIP</w:t>
      </w:r>
    </w:p>
    <w:p w:rsidRPr="008B0268" w:rsidR="00C8399A" w:rsidP="00B744CB" w:rsidRDefault="00C8399A" w14:paraId="0B7189B6" w14:textId="154568F2">
      <w:pPr>
        <w:rPr>
          <w:szCs w:val="18"/>
          <w:lang w:val="nl-NL"/>
        </w:rPr>
      </w:pPr>
      <w:r w:rsidRPr="008B0268">
        <w:rPr>
          <w:szCs w:val="18"/>
          <w:lang w:val="nl-NL"/>
        </w:rPr>
        <w:t xml:space="preserve">De Europese Raad zal spreken over de onderhandelingen over het </w:t>
      </w:r>
      <w:proofErr w:type="spellStart"/>
      <w:r w:rsidRPr="009F54A6">
        <w:rPr>
          <w:i/>
          <w:szCs w:val="18"/>
          <w:lang w:val="nl-NL"/>
        </w:rPr>
        <w:t>Transatlantic</w:t>
      </w:r>
      <w:proofErr w:type="spellEnd"/>
      <w:r w:rsidRPr="009F54A6">
        <w:rPr>
          <w:i/>
          <w:szCs w:val="18"/>
          <w:lang w:val="nl-NL"/>
        </w:rPr>
        <w:t xml:space="preserve"> Trade &amp; Investment Partnership</w:t>
      </w:r>
      <w:r w:rsidRPr="008B0268">
        <w:rPr>
          <w:szCs w:val="18"/>
          <w:lang w:val="nl-NL"/>
        </w:rPr>
        <w:t xml:space="preserve"> (TTIP). Tijdens de start van de onderhandelingen hebben zowel de EU als de VS de ambitie uitgesproken de TTIP-onderhandelingen af te ronden voor het einde van de tweede termijn van President Obama. Afronding </w:t>
      </w:r>
      <w:r w:rsidR="00B744CB">
        <w:rPr>
          <w:szCs w:val="18"/>
          <w:lang w:val="nl-NL"/>
        </w:rPr>
        <w:t xml:space="preserve">voor het </w:t>
      </w:r>
      <w:r w:rsidRPr="008B0268">
        <w:rPr>
          <w:szCs w:val="18"/>
          <w:lang w:val="nl-NL"/>
        </w:rPr>
        <w:t xml:space="preserve">einde </w:t>
      </w:r>
      <w:r w:rsidR="00B744CB">
        <w:rPr>
          <w:szCs w:val="18"/>
          <w:lang w:val="nl-NL"/>
        </w:rPr>
        <w:t xml:space="preserve">van </w:t>
      </w:r>
      <w:r w:rsidRPr="008B0268">
        <w:rPr>
          <w:szCs w:val="18"/>
          <w:lang w:val="nl-NL"/>
        </w:rPr>
        <w:t xml:space="preserve">dit jaar </w:t>
      </w:r>
      <w:r w:rsidR="00B744CB">
        <w:rPr>
          <w:szCs w:val="18"/>
          <w:lang w:val="nl-NL"/>
        </w:rPr>
        <w:t>vergt nog zeer aanzienlijke inspanningen</w:t>
      </w:r>
      <w:r w:rsidRPr="008B0268">
        <w:rPr>
          <w:szCs w:val="18"/>
          <w:lang w:val="nl-NL"/>
        </w:rPr>
        <w:t xml:space="preserve">. </w:t>
      </w:r>
    </w:p>
    <w:p w:rsidRPr="008B0268" w:rsidR="00C8399A" w:rsidP="00C8399A" w:rsidRDefault="00C8399A" w14:paraId="1DBCC424" w14:textId="25339266">
      <w:pPr>
        <w:rPr>
          <w:szCs w:val="18"/>
          <w:lang w:val="nl-NL"/>
        </w:rPr>
      </w:pPr>
      <w:r w:rsidRPr="008B0268">
        <w:rPr>
          <w:szCs w:val="18"/>
          <w:lang w:val="nl-NL"/>
        </w:rPr>
        <w:t>Het kabinet zet in op een ambitieus akkoord. De EU en de VS zijn de grootste handelspartners ter wereld en zijn samen goed voor 50% van het BNP van de wereld en 33% van de handel</w:t>
      </w:r>
      <w:r w:rsidR="00B744CB">
        <w:rPr>
          <w:szCs w:val="18"/>
          <w:lang w:val="nl-NL"/>
        </w:rPr>
        <w:t>. Juist Nederland zal – met zijn</w:t>
      </w:r>
      <w:r w:rsidRPr="008B0268">
        <w:rPr>
          <w:szCs w:val="18"/>
          <w:lang w:val="nl-NL"/>
        </w:rPr>
        <w:t xml:space="preserve"> open en export-georiënteerde economie - veel voordeel hebben van TTIP. Niet alleen zijn de Nederlandse en de Amerikaanse economieën al nauw met elkaar verbonden, ook vormt de aantrekkende wereld- en Europese economie de stuwende kracht achter de groei van de Nederlandse economie via een toenemende export. </w:t>
      </w:r>
    </w:p>
    <w:p w:rsidRPr="008B0268" w:rsidR="00C8399A" w:rsidP="00C8399A" w:rsidRDefault="00B744CB" w14:paraId="6DBD5551" w14:textId="15213F8F">
      <w:pPr>
        <w:rPr>
          <w:szCs w:val="18"/>
          <w:lang w:val="nl-NL"/>
        </w:rPr>
      </w:pPr>
      <w:r w:rsidRPr="008B0268">
        <w:rPr>
          <w:szCs w:val="18"/>
          <w:lang w:val="nl-NL"/>
        </w:rPr>
        <w:t>Het kabinet steunt een snelle afronding van de onderhandelingen, maar is tegelijkertijd van mening dat kwaliteit boven snelheid gaat.</w:t>
      </w:r>
      <w:r>
        <w:rPr>
          <w:szCs w:val="18"/>
          <w:lang w:val="nl-NL"/>
        </w:rPr>
        <w:t xml:space="preserve"> </w:t>
      </w:r>
      <w:r w:rsidRPr="008B0268" w:rsidR="00C8399A">
        <w:rPr>
          <w:szCs w:val="18"/>
          <w:lang w:val="nl-NL"/>
        </w:rPr>
        <w:t xml:space="preserve">Transparantie en participatie van alle stakeholders is cruciaal voor het welslagen van de onderhandelingen. Het kabinet juicht het dan ook toe dat Commissaris </w:t>
      </w:r>
      <w:proofErr w:type="spellStart"/>
      <w:r w:rsidRPr="008B0268" w:rsidR="00C8399A">
        <w:rPr>
          <w:szCs w:val="18"/>
          <w:lang w:val="nl-NL"/>
        </w:rPr>
        <w:t>Malmström</w:t>
      </w:r>
      <w:proofErr w:type="spellEnd"/>
      <w:r w:rsidRPr="008B0268" w:rsidR="00C8399A">
        <w:rPr>
          <w:szCs w:val="18"/>
          <w:lang w:val="nl-NL"/>
        </w:rPr>
        <w:t xml:space="preserve"> dit punt voortvarend heeft opgepakt. Transparantie blijft een continu aandachtspunt van het kabinet en Nederland zal zich hier voor blijven inzetten.</w:t>
      </w:r>
    </w:p>
    <w:p w:rsidR="00B6529B" w:rsidP="00404A92" w:rsidRDefault="006B23B7" w14:paraId="29071DDF" w14:textId="07DF2849">
      <w:pPr>
        <w:spacing w:after="0"/>
        <w:rPr>
          <w:b/>
          <w:bCs/>
          <w:lang w:val="nl-NL"/>
        </w:rPr>
      </w:pPr>
      <w:r>
        <w:rPr>
          <w:b/>
          <w:bCs/>
          <w:lang w:val="nl-NL"/>
        </w:rPr>
        <w:t>Energie-Unie</w:t>
      </w:r>
    </w:p>
    <w:p w:rsidRPr="00C4423F" w:rsidR="00C4423F" w:rsidP="00294EB7" w:rsidRDefault="00C4423F" w14:paraId="3BEA5032" w14:textId="132FE084">
      <w:pPr>
        <w:rPr>
          <w:lang w:val="nl-NL"/>
        </w:rPr>
      </w:pPr>
      <w:r w:rsidRPr="00C4423F">
        <w:rPr>
          <w:lang w:val="nl-NL"/>
        </w:rPr>
        <w:t xml:space="preserve">De </w:t>
      </w:r>
      <w:r w:rsidR="00A76548">
        <w:rPr>
          <w:lang w:val="nl-NL"/>
        </w:rPr>
        <w:t>ER heeft het onderwerp energie de afgelopen jaren veelvuldig besproken. De verschillende componenten komen terug in</w:t>
      </w:r>
      <w:r w:rsidRPr="00C4423F">
        <w:rPr>
          <w:lang w:val="nl-NL"/>
        </w:rPr>
        <w:t xml:space="preserve"> de recent uitgebrachte Commissiemededeling over de Energie Unie (document nummer COM (2015)80). </w:t>
      </w:r>
      <w:r w:rsidR="00A76548">
        <w:rPr>
          <w:lang w:val="nl-NL"/>
        </w:rPr>
        <w:t>De ER zal hierover van gedachten wisselen.</w:t>
      </w:r>
      <w:r w:rsidRPr="00C4423F" w:rsidR="00C8399A">
        <w:rPr>
          <w:lang w:val="nl-NL"/>
        </w:rPr>
        <w:t xml:space="preserve"> </w:t>
      </w:r>
      <w:r w:rsidRPr="00C4423F">
        <w:rPr>
          <w:lang w:val="nl-NL"/>
        </w:rPr>
        <w:t>In aanloop naar deze ER heeft d</w:t>
      </w:r>
      <w:r w:rsidRPr="00C4423F">
        <w:rPr>
          <w:szCs w:val="18"/>
          <w:lang w:val="nl-NL"/>
        </w:rPr>
        <w:t>e Commissie haar mededeling in meerdere Raden gepresente</w:t>
      </w:r>
      <w:r w:rsidR="00822C9A">
        <w:rPr>
          <w:szCs w:val="18"/>
          <w:lang w:val="nl-NL"/>
        </w:rPr>
        <w:t xml:space="preserve">erd (Energieraad, Milieuraad, </w:t>
      </w:r>
      <w:r w:rsidRPr="00C4423F">
        <w:rPr>
          <w:szCs w:val="18"/>
          <w:lang w:val="nl-NL"/>
        </w:rPr>
        <w:t xml:space="preserve">Raad voor Concurrentievermogen). Verdere inhoudelijke bespreking zal plaatsvinden in de relevante </w:t>
      </w:r>
      <w:proofErr w:type="spellStart"/>
      <w:r w:rsidRPr="00C4423F">
        <w:rPr>
          <w:szCs w:val="18"/>
          <w:lang w:val="nl-NL"/>
        </w:rPr>
        <w:t>vakraden</w:t>
      </w:r>
      <w:proofErr w:type="spellEnd"/>
      <w:r w:rsidRPr="00C4423F">
        <w:rPr>
          <w:szCs w:val="18"/>
          <w:lang w:val="nl-NL"/>
        </w:rPr>
        <w:t xml:space="preserve"> na deze ER, waarbij de voorstellen primair in de Energieraad worden behandeld. </w:t>
      </w:r>
      <w:r w:rsidRPr="00C4423F">
        <w:rPr>
          <w:lang w:val="nl-NL"/>
        </w:rPr>
        <w:t xml:space="preserve">Het Lets voorzitterschap zet er op in tijdens de Energieraad van 8 juni 2015 raadsconclusies over de Energie Unie aan te nemen. </w:t>
      </w:r>
      <w:r w:rsidRPr="00C4423F">
        <w:rPr>
          <w:szCs w:val="18"/>
          <w:lang w:val="nl-NL"/>
        </w:rPr>
        <w:t xml:space="preserve">Daaraan voorafgaand zal uw Kamer de uitgewerkte kabinetspositie ten aanzien van de mededeling toegaan via een </w:t>
      </w:r>
      <w:r w:rsidRPr="00C4423F">
        <w:rPr>
          <w:lang w:val="nl-NL"/>
        </w:rPr>
        <w:t xml:space="preserve">BNC-fiche. </w:t>
      </w:r>
    </w:p>
    <w:p w:rsidRPr="00C4423F" w:rsidR="00C4423F" w:rsidP="00294EB7" w:rsidRDefault="00C4423F" w14:paraId="2F083A59" w14:textId="77777777">
      <w:pPr>
        <w:rPr>
          <w:lang w:val="nl-NL"/>
        </w:rPr>
      </w:pPr>
      <w:r w:rsidRPr="00C4423F">
        <w:rPr>
          <w:lang w:val="nl-NL"/>
        </w:rPr>
        <w:t xml:space="preserve">De Commissie beoogt met de Energie Unie te zorgen voor een betaalbare energievoorziening, het verminderen van de energieafhankelijkheid van de EU en te zorgen voor een toekomstbestendig klimaatbeleid. Om dit te bereiken gaat </w:t>
      </w:r>
      <w:r w:rsidRPr="00C4423F">
        <w:rPr>
          <w:rFonts w:eastAsia="Calibri"/>
          <w:szCs w:val="18"/>
          <w:lang w:val="nl-NL"/>
        </w:rPr>
        <w:t xml:space="preserve">de mededeling over de Energie Unie in op vijf dimensies, die onderling verbonden zijn: het verbeteren van de energievoorzieningszekerheid, het voltooien van de interne energiemarkt, het verminderen van de energievraag, het CO2-vrij maken van de EU-energiemix, en onderzoek en innovatie in de energiesector. </w:t>
      </w:r>
    </w:p>
    <w:p w:rsidR="0073612F" w:rsidP="0073612F" w:rsidRDefault="00C4423F" w14:paraId="2CE3602A" w14:textId="7F98876A">
      <w:pPr>
        <w:spacing w:after="0"/>
        <w:rPr>
          <w:rFonts w:eastAsia="Calibri"/>
          <w:szCs w:val="18"/>
          <w:lang w:val="nl-NL"/>
        </w:rPr>
      </w:pPr>
      <w:r w:rsidRPr="00C4423F">
        <w:rPr>
          <w:rFonts w:eastAsia="Calibri"/>
          <w:szCs w:val="18"/>
          <w:lang w:val="nl-NL"/>
        </w:rPr>
        <w:lastRenderedPageBreak/>
        <w:t xml:space="preserve">De voltooiing van de interne energiemarkt is voor het kabinet de basis van een Energie Unie. Voor verbetering van de Europese energievoorzieningszekerheid zijn de combinatie van een goed werkende interne energiemarkt met een daarbij passende energie-infrastructuur, de verdere verduurzaming van de energievoorziening en een ambitieus klimaat- en energiepakket essentieel. Ten slotte </w:t>
      </w:r>
      <w:r w:rsidR="00A76548">
        <w:rPr>
          <w:rFonts w:eastAsia="Calibri"/>
          <w:szCs w:val="18"/>
          <w:lang w:val="nl-NL"/>
        </w:rPr>
        <w:t>is</w:t>
      </w:r>
      <w:r w:rsidRPr="00C4423F">
        <w:rPr>
          <w:rFonts w:eastAsia="Calibri"/>
          <w:szCs w:val="18"/>
          <w:lang w:val="nl-NL"/>
        </w:rPr>
        <w:t xml:space="preserve"> het kabinet </w:t>
      </w:r>
      <w:r w:rsidR="00A76548">
        <w:rPr>
          <w:rFonts w:eastAsia="Calibri"/>
          <w:szCs w:val="18"/>
          <w:lang w:val="nl-NL"/>
        </w:rPr>
        <w:t>van mening</w:t>
      </w:r>
      <w:r w:rsidRPr="00C4423F">
        <w:rPr>
          <w:rFonts w:eastAsia="Calibri"/>
          <w:szCs w:val="18"/>
          <w:lang w:val="nl-NL"/>
        </w:rPr>
        <w:t xml:space="preserve"> dat er nog veel te winnen is door meer werk te maken van grensoverschrijdende regionale samenwerking, bijvoorbeeld op het gebied van het inpassen van duurzame energie, leveringszekerheid en de genoemde verdere verbetering van de interne markt.</w:t>
      </w:r>
    </w:p>
    <w:p w:rsidR="008422C0" w:rsidP="00404A92" w:rsidRDefault="008422C0" w14:paraId="723A099B" w14:textId="77777777">
      <w:pPr>
        <w:spacing w:after="0"/>
        <w:rPr>
          <w:b/>
          <w:bCs/>
          <w:lang w:val="nl-NL"/>
        </w:rPr>
      </w:pPr>
    </w:p>
    <w:p w:rsidR="006B23B7" w:rsidP="00404A92" w:rsidRDefault="006B23B7" w14:paraId="43409705" w14:textId="662FBF30">
      <w:pPr>
        <w:spacing w:after="0"/>
        <w:rPr>
          <w:b/>
          <w:bCs/>
          <w:lang w:val="nl-NL"/>
        </w:rPr>
      </w:pPr>
      <w:r>
        <w:rPr>
          <w:b/>
          <w:bCs/>
          <w:lang w:val="nl-NL"/>
        </w:rPr>
        <w:t>Voorbereiding Top Oostelijk Partnerschap</w:t>
      </w:r>
      <w:r w:rsidR="00EF1D79">
        <w:rPr>
          <w:b/>
          <w:bCs/>
          <w:lang w:val="nl-NL"/>
        </w:rPr>
        <w:t xml:space="preserve"> </w:t>
      </w:r>
    </w:p>
    <w:p w:rsidR="006113FB" w:rsidP="00B744CB" w:rsidRDefault="00E15EC3" w14:paraId="790E9822" w14:textId="1F3BB9B9">
      <w:pPr>
        <w:spacing w:after="0"/>
        <w:rPr>
          <w:lang w:val="nl-NL"/>
        </w:rPr>
      </w:pPr>
      <w:r w:rsidRPr="00220730">
        <w:rPr>
          <w:lang w:val="nl-NL"/>
        </w:rPr>
        <w:t xml:space="preserve">Tijdens </w:t>
      </w:r>
      <w:r>
        <w:rPr>
          <w:rFonts w:hint="eastAsia"/>
          <w:lang w:val="nl-NL" w:eastAsia="ja-JP"/>
        </w:rPr>
        <w:t>de ER</w:t>
      </w:r>
      <w:r w:rsidR="00E8414C">
        <w:rPr>
          <w:lang w:val="nl-NL"/>
        </w:rPr>
        <w:t xml:space="preserve"> za</w:t>
      </w:r>
      <w:r w:rsidR="00E8414C">
        <w:rPr>
          <w:rFonts w:hint="eastAsia"/>
          <w:lang w:val="nl-NL" w:eastAsia="ja-JP"/>
        </w:rPr>
        <w:t xml:space="preserve">l </w:t>
      </w:r>
      <w:r>
        <w:rPr>
          <w:lang w:val="nl-NL"/>
        </w:rPr>
        <w:t xml:space="preserve">worden </w:t>
      </w:r>
      <w:r w:rsidR="00E8414C">
        <w:rPr>
          <w:rFonts w:hint="eastAsia"/>
          <w:lang w:val="nl-NL" w:eastAsia="ja-JP"/>
        </w:rPr>
        <w:t xml:space="preserve">gesproken over </w:t>
      </w:r>
      <w:r w:rsidRPr="00220730">
        <w:rPr>
          <w:lang w:val="nl-NL"/>
        </w:rPr>
        <w:t xml:space="preserve">de voorbereiding van de vierde Top van het Oostelijk Partnerschap (OP), die op 21 en 22 mei </w:t>
      </w:r>
      <w:r w:rsidR="008422C0">
        <w:rPr>
          <w:lang w:val="nl-NL"/>
        </w:rPr>
        <w:t xml:space="preserve">a.s. </w:t>
      </w:r>
      <w:r w:rsidRPr="00220730">
        <w:rPr>
          <w:lang w:val="nl-NL"/>
        </w:rPr>
        <w:t>in Riga word</w:t>
      </w:r>
      <w:r>
        <w:rPr>
          <w:lang w:val="nl-NL"/>
        </w:rPr>
        <w:t xml:space="preserve">t </w:t>
      </w:r>
      <w:r w:rsidRPr="00220730">
        <w:rPr>
          <w:lang w:val="nl-NL"/>
        </w:rPr>
        <w:t xml:space="preserve">gehouden. </w:t>
      </w:r>
      <w:r w:rsidR="00B07B94">
        <w:rPr>
          <w:lang w:val="nl-NL"/>
        </w:rPr>
        <w:t>D</w:t>
      </w:r>
      <w:r w:rsidR="00B07B94">
        <w:rPr>
          <w:rFonts w:hint="eastAsia"/>
          <w:lang w:val="nl-NL" w:eastAsia="ja-JP"/>
        </w:rPr>
        <w:t xml:space="preserve">e ER </w:t>
      </w:r>
      <w:r w:rsidR="00B07B94">
        <w:rPr>
          <w:lang w:val="nl-NL" w:eastAsia="ja-JP"/>
        </w:rPr>
        <w:t>zal</w:t>
      </w:r>
      <w:r w:rsidR="00B07B94">
        <w:rPr>
          <w:rFonts w:hint="eastAsia"/>
          <w:lang w:val="nl-NL" w:eastAsia="ja-JP"/>
        </w:rPr>
        <w:t xml:space="preserve"> de inhoudelijke contouren voor de OP-top </w:t>
      </w:r>
      <w:r w:rsidR="00B07B94">
        <w:rPr>
          <w:lang w:val="nl-NL" w:eastAsia="ja-JP"/>
        </w:rPr>
        <w:t>uitzetten</w:t>
      </w:r>
      <w:r w:rsidR="00B07B94">
        <w:rPr>
          <w:rFonts w:hint="eastAsia"/>
          <w:lang w:val="nl-NL" w:eastAsia="ja-JP"/>
        </w:rPr>
        <w:t>.</w:t>
      </w:r>
      <w:r w:rsidR="0023741D">
        <w:rPr>
          <w:lang w:val="nl-NL" w:eastAsia="ja-JP"/>
        </w:rPr>
        <w:t xml:space="preserve"> </w:t>
      </w:r>
      <w:r w:rsidR="00C52FFF">
        <w:rPr>
          <w:lang w:val="nl-NL"/>
        </w:rPr>
        <w:t xml:space="preserve">Voor </w:t>
      </w:r>
      <w:r w:rsidR="00686A8D">
        <w:rPr>
          <w:lang w:val="nl-NL"/>
        </w:rPr>
        <w:t>het kabinet</w:t>
      </w:r>
      <w:r w:rsidRPr="00AC597E" w:rsidR="00C52FFF">
        <w:rPr>
          <w:lang w:val="nl-NL"/>
        </w:rPr>
        <w:t xml:space="preserve"> </w:t>
      </w:r>
      <w:r w:rsidR="00C52FFF">
        <w:rPr>
          <w:lang w:val="nl-NL"/>
        </w:rPr>
        <w:t>dient de Top in het teken te staan van de consolidering van het OP. De bijeenkomst in Riga biedt een gelegenheid om wat tot op heden met het OP is bereikt te herbevestigen en te versterken. Tegen de achtergrond van de onrust in de OP-regio, in het bijzonder het conflict in Oost-Oekraïne, moet van de Top een sterke politieke boodschap van steun uitgaan naar de OP-partners. De Top in Riga biedt een goede gelegenheid het transformatieproces en de daarmee gepaard gaande hervormingen te helpen bevorderen. Voor het kabinet zou de Top de stand van zaken op moeten nemen in de samenwerking met de OP-landen, in het bijzonder</w:t>
      </w:r>
      <w:r w:rsidRPr="00AC597E" w:rsidR="00C52FFF">
        <w:rPr>
          <w:lang w:val="nl-NL"/>
        </w:rPr>
        <w:t xml:space="preserve"> de uitvoering van de afspraken uit </w:t>
      </w:r>
      <w:r w:rsidRPr="00220730" w:rsidR="00C52FFF">
        <w:rPr>
          <w:lang w:val="nl-NL"/>
        </w:rPr>
        <w:t>de Associatieakkoorden van de EU met Georgië</w:t>
      </w:r>
      <w:r w:rsidR="00C52FFF">
        <w:rPr>
          <w:lang w:val="nl-NL"/>
        </w:rPr>
        <w:t>, Moldavië en Oekraïne.</w:t>
      </w:r>
      <w:r w:rsidR="00E6145E">
        <w:rPr>
          <w:lang w:val="nl-NL"/>
        </w:rPr>
        <w:t xml:space="preserve"> </w:t>
      </w:r>
      <w:r w:rsidR="006113FB">
        <w:rPr>
          <w:lang w:val="nl-NL"/>
        </w:rPr>
        <w:t xml:space="preserve">Tijdens de bespreking in de Raad zal ook de voortgang van de nationale ratificatieprocessen worden bezien. Het kabinet beschouwt ratificatie van de Associatieakkoorden als </w:t>
      </w:r>
      <w:r w:rsidRPr="00AC597E" w:rsidR="006113FB">
        <w:rPr>
          <w:lang w:val="nl-NL"/>
        </w:rPr>
        <w:t>een politieke prior</w:t>
      </w:r>
      <w:r w:rsidR="006113FB">
        <w:rPr>
          <w:lang w:val="nl-NL"/>
        </w:rPr>
        <w:t xml:space="preserve">iteit en </w:t>
      </w:r>
      <w:r w:rsidR="00C8399A">
        <w:rPr>
          <w:lang w:val="nl-NL"/>
        </w:rPr>
        <w:t>hoopt</w:t>
      </w:r>
      <w:r w:rsidRPr="00AC597E" w:rsidR="006113FB">
        <w:rPr>
          <w:lang w:val="nl-NL"/>
        </w:rPr>
        <w:t xml:space="preserve"> </w:t>
      </w:r>
      <w:r w:rsidR="00A76548">
        <w:rPr>
          <w:lang w:val="nl-NL"/>
        </w:rPr>
        <w:t xml:space="preserve">dat </w:t>
      </w:r>
      <w:r w:rsidRPr="00AC597E" w:rsidR="006113FB">
        <w:rPr>
          <w:lang w:val="nl-NL"/>
        </w:rPr>
        <w:t xml:space="preserve">dit proces voor de OP-Top in Riga </w:t>
      </w:r>
      <w:r w:rsidR="00A76548">
        <w:rPr>
          <w:lang w:val="nl-NL"/>
        </w:rPr>
        <w:t>zal zijn</w:t>
      </w:r>
      <w:r w:rsidRPr="00AC597E" w:rsidR="006113FB">
        <w:rPr>
          <w:lang w:val="nl-NL"/>
        </w:rPr>
        <w:t xml:space="preserve"> afgerond.</w:t>
      </w:r>
      <w:r w:rsidR="006113FB">
        <w:rPr>
          <w:lang w:val="nl-NL"/>
        </w:rPr>
        <w:t xml:space="preserve"> </w:t>
      </w:r>
    </w:p>
    <w:p w:rsidR="006113FB" w:rsidP="00C52FFF" w:rsidRDefault="006113FB" w14:paraId="5C7917BE" w14:textId="77777777">
      <w:pPr>
        <w:spacing w:after="0"/>
        <w:rPr>
          <w:lang w:val="nl-NL"/>
        </w:rPr>
      </w:pPr>
    </w:p>
    <w:p w:rsidR="00C52FFF" w:rsidP="00B744CB" w:rsidRDefault="00E6145E" w14:paraId="0682BB05" w14:textId="500FBFC5">
      <w:pPr>
        <w:spacing w:after="0"/>
        <w:rPr>
          <w:lang w:val="nl-NL"/>
        </w:rPr>
      </w:pPr>
      <w:r>
        <w:rPr>
          <w:lang w:val="nl-NL"/>
        </w:rPr>
        <w:t>Ten aanzien van</w:t>
      </w:r>
      <w:r w:rsidRPr="00AC597E" w:rsidR="00C52FFF">
        <w:rPr>
          <w:lang w:val="nl-NL"/>
        </w:rPr>
        <w:t xml:space="preserve"> de visumtrajecten van een aantal OP-landen</w:t>
      </w:r>
      <w:r>
        <w:rPr>
          <w:lang w:val="nl-NL"/>
        </w:rPr>
        <w:t xml:space="preserve"> staan voor het kabinet</w:t>
      </w:r>
      <w:r w:rsidRPr="00AC597E" w:rsidR="00C52FFF">
        <w:rPr>
          <w:lang w:val="nl-NL"/>
        </w:rPr>
        <w:t xml:space="preserve"> de voorwaarden voorop</w:t>
      </w:r>
      <w:r w:rsidR="00C52FFF">
        <w:rPr>
          <w:lang w:val="nl-NL"/>
        </w:rPr>
        <w:t>:</w:t>
      </w:r>
      <w:r>
        <w:rPr>
          <w:lang w:val="nl-NL"/>
        </w:rPr>
        <w:t xml:space="preserve"> l</w:t>
      </w:r>
      <w:r w:rsidRPr="00AC597E" w:rsidR="00C52FFF">
        <w:rPr>
          <w:lang w:val="nl-NL"/>
        </w:rPr>
        <w:t>anden zullen aan alle vereisten moet</w:t>
      </w:r>
      <w:r w:rsidR="00C52FFF">
        <w:rPr>
          <w:lang w:val="nl-NL"/>
        </w:rPr>
        <w:t>en</w:t>
      </w:r>
      <w:r w:rsidRPr="00AC597E" w:rsidR="00C52FFF">
        <w:rPr>
          <w:lang w:val="nl-NL"/>
        </w:rPr>
        <w:t xml:space="preserve"> voldoen om</w:t>
      </w:r>
      <w:r w:rsidR="00571F5C">
        <w:rPr>
          <w:lang w:val="nl-NL"/>
        </w:rPr>
        <w:t xml:space="preserve"> hiervoor</w:t>
      </w:r>
      <w:r w:rsidRPr="00AC597E" w:rsidR="00C52FFF">
        <w:rPr>
          <w:lang w:val="nl-NL"/>
        </w:rPr>
        <w:t xml:space="preserve"> in aanmerking te komen.</w:t>
      </w:r>
      <w:r w:rsidR="00C52FFF">
        <w:rPr>
          <w:lang w:val="nl-NL"/>
        </w:rPr>
        <w:t xml:space="preserve"> Nederland zal benadrukken dat het van belang is geen valse verwachtingen te wekken. </w:t>
      </w:r>
      <w:r w:rsidRPr="00AC597E" w:rsidR="00C52FFF">
        <w:rPr>
          <w:lang w:val="nl-NL"/>
        </w:rPr>
        <w:t xml:space="preserve">Het OP is geen voorportaal voor </w:t>
      </w:r>
      <w:r w:rsidR="00C52FFF">
        <w:rPr>
          <w:lang w:val="nl-NL"/>
        </w:rPr>
        <w:t>EU-</w:t>
      </w:r>
      <w:r w:rsidRPr="00AC597E" w:rsidR="00C52FFF">
        <w:rPr>
          <w:lang w:val="nl-NL"/>
        </w:rPr>
        <w:t>lidmaatschap.</w:t>
      </w:r>
      <w:r w:rsidR="00C52FFF">
        <w:rPr>
          <w:lang w:val="nl-NL"/>
        </w:rPr>
        <w:t xml:space="preserve"> De EU moet </w:t>
      </w:r>
      <w:r w:rsidRPr="00AC597E" w:rsidR="00C52FFF">
        <w:rPr>
          <w:lang w:val="nl-NL"/>
        </w:rPr>
        <w:t>vasthoud</w:t>
      </w:r>
      <w:r w:rsidR="00C52FFF">
        <w:rPr>
          <w:lang w:val="nl-NL"/>
        </w:rPr>
        <w:t>en</w:t>
      </w:r>
      <w:r w:rsidRPr="00AC597E" w:rsidR="00C52FFF">
        <w:rPr>
          <w:lang w:val="nl-NL"/>
        </w:rPr>
        <w:t xml:space="preserve"> aan</w:t>
      </w:r>
      <w:r w:rsidR="00C52FFF">
        <w:rPr>
          <w:lang w:val="nl-NL"/>
        </w:rPr>
        <w:t xml:space="preserve"> de eigen strategie en het belang van volledige </w:t>
      </w:r>
      <w:r w:rsidRPr="00AC597E" w:rsidR="00C52FFF">
        <w:rPr>
          <w:lang w:val="nl-NL"/>
        </w:rPr>
        <w:t>implementatie van de associatieakkoorden</w:t>
      </w:r>
      <w:r w:rsidR="00C52FFF">
        <w:rPr>
          <w:lang w:val="nl-NL"/>
        </w:rPr>
        <w:t xml:space="preserve"> benadrukken, die </w:t>
      </w:r>
      <w:r w:rsidRPr="00AC597E" w:rsidR="00C52FFF">
        <w:rPr>
          <w:lang w:val="nl-NL"/>
        </w:rPr>
        <w:t xml:space="preserve">een ambitieuze hervormingsagenda </w:t>
      </w:r>
      <w:r w:rsidR="00C52FFF">
        <w:rPr>
          <w:lang w:val="nl-NL"/>
        </w:rPr>
        <w:t xml:space="preserve">omvatten </w:t>
      </w:r>
      <w:r w:rsidRPr="00AC597E" w:rsidR="00C52FFF">
        <w:rPr>
          <w:lang w:val="nl-NL"/>
        </w:rPr>
        <w:t xml:space="preserve">en daarmee een </w:t>
      </w:r>
      <w:r w:rsidR="00C52FFF">
        <w:rPr>
          <w:lang w:val="nl-NL"/>
        </w:rPr>
        <w:t xml:space="preserve">significante </w:t>
      </w:r>
      <w:r w:rsidRPr="00AC597E" w:rsidR="00C52FFF">
        <w:rPr>
          <w:lang w:val="nl-NL"/>
        </w:rPr>
        <w:t>toenadering tot de EU.</w:t>
      </w:r>
      <w:r w:rsidR="00C52FFF">
        <w:rPr>
          <w:lang w:val="nl-NL"/>
        </w:rPr>
        <w:t xml:space="preserve"> </w:t>
      </w:r>
      <w:r w:rsidRPr="00220730" w:rsidR="00C52FFF">
        <w:rPr>
          <w:lang w:val="nl-NL"/>
        </w:rPr>
        <w:t xml:space="preserve">Mede op basis van </w:t>
      </w:r>
      <w:r w:rsidR="00C52FFF">
        <w:rPr>
          <w:lang w:val="nl-NL"/>
        </w:rPr>
        <w:t>het oriëntatiedebat i</w:t>
      </w:r>
      <w:r w:rsidRPr="00220730" w:rsidR="00C52FFF">
        <w:rPr>
          <w:lang w:val="nl-NL"/>
        </w:rPr>
        <w:t xml:space="preserve">n </w:t>
      </w:r>
      <w:r w:rsidR="00C52FFF">
        <w:rPr>
          <w:lang w:val="nl-NL"/>
        </w:rPr>
        <w:t>de ER</w:t>
      </w:r>
      <w:r w:rsidRPr="00220730" w:rsidR="00C52FFF">
        <w:rPr>
          <w:lang w:val="nl-NL"/>
        </w:rPr>
        <w:t xml:space="preserve"> zal het kabinet zijn </w:t>
      </w:r>
      <w:r w:rsidR="00C52FFF">
        <w:rPr>
          <w:lang w:val="nl-NL"/>
        </w:rPr>
        <w:t xml:space="preserve">definitieve </w:t>
      </w:r>
      <w:r w:rsidRPr="00220730" w:rsidR="00C52FFF">
        <w:rPr>
          <w:lang w:val="nl-NL"/>
        </w:rPr>
        <w:t>inzet voor de Top bepalen</w:t>
      </w:r>
      <w:r w:rsidR="00C52FFF">
        <w:rPr>
          <w:lang w:val="nl-NL"/>
        </w:rPr>
        <w:t>, waarover u</w:t>
      </w:r>
      <w:r w:rsidRPr="00AC597E" w:rsidR="00C52FFF">
        <w:rPr>
          <w:lang w:val="nl-NL"/>
        </w:rPr>
        <w:t xml:space="preserve">w Kamer voorafgaand aan de Top per brief </w:t>
      </w:r>
      <w:r w:rsidR="00C52FFF">
        <w:rPr>
          <w:lang w:val="nl-NL"/>
        </w:rPr>
        <w:t>zal worden geïnformeerd</w:t>
      </w:r>
      <w:r w:rsidRPr="00220730" w:rsidR="00C52FFF">
        <w:rPr>
          <w:lang w:val="nl-NL"/>
        </w:rPr>
        <w:t>.</w:t>
      </w:r>
    </w:p>
    <w:p w:rsidR="006B23B7" w:rsidP="00404A92" w:rsidRDefault="006B23B7" w14:paraId="5951D9F1" w14:textId="77777777">
      <w:pPr>
        <w:spacing w:after="0"/>
        <w:rPr>
          <w:b/>
          <w:bCs/>
          <w:lang w:val="nl-NL" w:eastAsia="ja-JP"/>
        </w:rPr>
      </w:pPr>
    </w:p>
    <w:p w:rsidR="006B23B7" w:rsidP="00404A92" w:rsidRDefault="006B23B7" w14:paraId="2573E856" w14:textId="48FFE07D">
      <w:pPr>
        <w:spacing w:after="0"/>
        <w:rPr>
          <w:b/>
          <w:bCs/>
          <w:lang w:val="nl-NL"/>
        </w:rPr>
      </w:pPr>
      <w:r>
        <w:rPr>
          <w:b/>
          <w:bCs/>
          <w:lang w:val="nl-NL"/>
        </w:rPr>
        <w:t>Oekraïne/Rusland</w:t>
      </w:r>
      <w:r w:rsidR="005974C6">
        <w:rPr>
          <w:b/>
          <w:bCs/>
          <w:lang w:val="nl-NL"/>
        </w:rPr>
        <w:t xml:space="preserve"> </w:t>
      </w:r>
    </w:p>
    <w:p w:rsidR="00822C9A" w:rsidP="00B744CB" w:rsidRDefault="00B744CB" w14:paraId="235A9944" w14:textId="563B5A63">
      <w:pPr>
        <w:spacing w:after="0"/>
        <w:rPr>
          <w:lang w:val="nl-NL"/>
        </w:rPr>
      </w:pPr>
      <w:r>
        <w:rPr>
          <w:bCs/>
          <w:lang w:val="nl-NL"/>
        </w:rPr>
        <w:t>De E</w:t>
      </w:r>
      <w:r w:rsidR="00A76548">
        <w:rPr>
          <w:bCs/>
          <w:lang w:val="nl-NL"/>
        </w:rPr>
        <w:t xml:space="preserve">R zal de stand van zaken bespreken ten aanzien van het conflict in Oost-Oekraïne, in het bijzonder de implementatie van de Minsk-afspraken. </w:t>
      </w:r>
      <w:r w:rsidRPr="00081B2F" w:rsidR="009A043B">
        <w:rPr>
          <w:bCs/>
          <w:lang w:val="nl-NL"/>
        </w:rPr>
        <w:t>Hoewel enige positieve ontwikkelingen g</w:t>
      </w:r>
      <w:r w:rsidR="009A043B">
        <w:rPr>
          <w:bCs/>
          <w:lang w:val="nl-NL"/>
        </w:rPr>
        <w:t>econstateerd zijn in Oost-Oekraï</w:t>
      </w:r>
      <w:r w:rsidRPr="00081B2F" w:rsidR="009A043B">
        <w:rPr>
          <w:bCs/>
          <w:lang w:val="nl-NL"/>
        </w:rPr>
        <w:t xml:space="preserve">ne, </w:t>
      </w:r>
      <w:r w:rsidR="00FB53D4">
        <w:rPr>
          <w:bCs/>
          <w:lang w:val="nl-NL"/>
        </w:rPr>
        <w:t>waren de</w:t>
      </w:r>
      <w:r w:rsidRPr="00081B2F" w:rsidR="009A043B">
        <w:rPr>
          <w:bCs/>
          <w:lang w:val="nl-NL"/>
        </w:rPr>
        <w:t xml:space="preserve"> EU</w:t>
      </w:r>
      <w:r w:rsidR="00FB53D4">
        <w:rPr>
          <w:bCs/>
          <w:lang w:val="nl-NL"/>
        </w:rPr>
        <w:t>-</w:t>
      </w:r>
      <w:r w:rsidRPr="00081B2F" w:rsidR="009A043B">
        <w:rPr>
          <w:bCs/>
          <w:lang w:val="nl-NL"/>
        </w:rPr>
        <w:t xml:space="preserve">lidstaten het er </w:t>
      </w:r>
      <w:r w:rsidR="00FB53D4">
        <w:rPr>
          <w:bCs/>
          <w:lang w:val="nl-NL"/>
        </w:rPr>
        <w:t>tijdens de informele Raad Buitenlandse Zaken (</w:t>
      </w:r>
      <w:proofErr w:type="spellStart"/>
      <w:r w:rsidR="00FB53D4">
        <w:rPr>
          <w:bCs/>
          <w:lang w:val="nl-NL"/>
        </w:rPr>
        <w:t>Gymnich</w:t>
      </w:r>
      <w:proofErr w:type="spellEnd"/>
      <w:r w:rsidR="00FB53D4">
        <w:rPr>
          <w:bCs/>
          <w:lang w:val="nl-NL"/>
        </w:rPr>
        <w:t xml:space="preserve">) van 6-7 maart </w:t>
      </w:r>
      <w:r w:rsidR="00686A8D">
        <w:rPr>
          <w:bCs/>
          <w:lang w:val="nl-NL"/>
        </w:rPr>
        <w:t xml:space="preserve">jl. </w:t>
      </w:r>
      <w:r w:rsidRPr="00081B2F" w:rsidR="009A043B">
        <w:rPr>
          <w:bCs/>
          <w:lang w:val="nl-NL"/>
        </w:rPr>
        <w:t>over eens dat nog geen sprake is van een volledige implementatie van de Minsk-afspraken. Ook de Secretaris-Generaal van de OVSE, die bij de</w:t>
      </w:r>
      <w:r w:rsidR="009A043B">
        <w:rPr>
          <w:bCs/>
          <w:lang w:val="nl-NL"/>
        </w:rPr>
        <w:t xml:space="preserve"> </w:t>
      </w:r>
      <w:proofErr w:type="spellStart"/>
      <w:r w:rsidR="009A043B">
        <w:rPr>
          <w:bCs/>
          <w:lang w:val="nl-NL"/>
        </w:rPr>
        <w:t>Gymnich</w:t>
      </w:r>
      <w:proofErr w:type="spellEnd"/>
      <w:r w:rsidRPr="00081B2F" w:rsidR="009A043B">
        <w:rPr>
          <w:bCs/>
          <w:lang w:val="nl-NL"/>
        </w:rPr>
        <w:t xml:space="preserve"> bijeenkomst aanwezig was, bevestigde dit</w:t>
      </w:r>
      <w:r w:rsidR="009A043B">
        <w:rPr>
          <w:bCs/>
          <w:lang w:val="nl-NL"/>
        </w:rPr>
        <w:t>.</w:t>
      </w:r>
      <w:r w:rsidR="00B331C5">
        <w:rPr>
          <w:bCs/>
          <w:lang w:val="nl-NL"/>
        </w:rPr>
        <w:t xml:space="preserve"> </w:t>
      </w:r>
      <w:r w:rsidR="00B052BB">
        <w:rPr>
          <w:lang w:val="nl-NL"/>
        </w:rPr>
        <w:t>H</w:t>
      </w:r>
      <w:r w:rsidR="00880660">
        <w:rPr>
          <w:lang w:val="nl-NL"/>
        </w:rPr>
        <w:t>et k</w:t>
      </w:r>
      <w:r w:rsidR="00B052BB">
        <w:rPr>
          <w:lang w:val="nl-NL"/>
        </w:rPr>
        <w:t xml:space="preserve">abinet </w:t>
      </w:r>
      <w:r w:rsidRPr="00822C9A" w:rsidR="00822C9A">
        <w:rPr>
          <w:lang w:val="nl-NL"/>
        </w:rPr>
        <w:t>onderschrij</w:t>
      </w:r>
      <w:r w:rsidR="00B052BB">
        <w:rPr>
          <w:lang w:val="nl-NL"/>
        </w:rPr>
        <w:t>ft</w:t>
      </w:r>
      <w:r w:rsidRPr="00822C9A" w:rsidR="00822C9A">
        <w:rPr>
          <w:lang w:val="nl-NL"/>
        </w:rPr>
        <w:t xml:space="preserve"> de belangrijke rol van de OVSE in de naleving van de Minsk-afspraken en de noodzaak tot versterking en verlenging van de missie</w:t>
      </w:r>
      <w:r w:rsidR="00B052BB">
        <w:rPr>
          <w:lang w:val="nl-NL"/>
        </w:rPr>
        <w:t xml:space="preserve"> evenals </w:t>
      </w:r>
      <w:r w:rsidRPr="00822C9A" w:rsidR="00822C9A">
        <w:rPr>
          <w:lang w:val="nl-NL"/>
        </w:rPr>
        <w:t>goede toegang voor OVSE waarnemers tot alle gebieden.</w:t>
      </w:r>
    </w:p>
    <w:p w:rsidRPr="00822C9A" w:rsidR="00B331C5" w:rsidP="00B331C5" w:rsidRDefault="00B331C5" w14:paraId="0265BC96" w14:textId="77777777">
      <w:pPr>
        <w:spacing w:after="0"/>
        <w:rPr>
          <w:lang w:val="nl-NL"/>
        </w:rPr>
      </w:pPr>
    </w:p>
    <w:p w:rsidRPr="00081B2F" w:rsidR="009A043B" w:rsidP="009A043B" w:rsidRDefault="009A043B" w14:paraId="5AC9B049" w14:textId="7CB12BD5">
      <w:pPr>
        <w:spacing w:after="0"/>
        <w:rPr>
          <w:bCs/>
          <w:lang w:val="nl-NL"/>
        </w:rPr>
      </w:pPr>
      <w:r>
        <w:rPr>
          <w:bCs/>
          <w:lang w:val="nl-NL"/>
        </w:rPr>
        <w:t>Het k</w:t>
      </w:r>
      <w:r w:rsidRPr="00081B2F">
        <w:rPr>
          <w:bCs/>
          <w:lang w:val="nl-NL"/>
        </w:rPr>
        <w:t xml:space="preserve">abinet acht het van het grootse belang dat het huidige positieve momentum wordt benut door partijen om te komen tot een duurzame politieke oplossing van het conflict via dialoog. Tegelijkertijd </w:t>
      </w:r>
      <w:r>
        <w:rPr>
          <w:bCs/>
          <w:lang w:val="nl-NL"/>
        </w:rPr>
        <w:t xml:space="preserve">benadrukt </w:t>
      </w:r>
      <w:r w:rsidR="00B744CB">
        <w:rPr>
          <w:bCs/>
          <w:lang w:val="nl-NL"/>
        </w:rPr>
        <w:t>het k</w:t>
      </w:r>
      <w:r w:rsidRPr="00081B2F">
        <w:rPr>
          <w:bCs/>
          <w:lang w:val="nl-NL"/>
        </w:rPr>
        <w:t>abinet dat zolang niet alle Minsk-afspraken voll</w:t>
      </w:r>
      <w:r>
        <w:rPr>
          <w:bCs/>
          <w:lang w:val="nl-NL"/>
        </w:rPr>
        <w:t>edig zijn geï</w:t>
      </w:r>
      <w:r w:rsidRPr="00081B2F">
        <w:rPr>
          <w:bCs/>
          <w:lang w:val="nl-NL"/>
        </w:rPr>
        <w:t xml:space="preserve">mplementeerd de druk op alle partijen gehandhaafd dient te blijven, </w:t>
      </w:r>
      <w:r>
        <w:rPr>
          <w:bCs/>
          <w:lang w:val="nl-NL"/>
        </w:rPr>
        <w:t>i</w:t>
      </w:r>
      <w:r w:rsidRPr="00081B2F">
        <w:rPr>
          <w:bCs/>
          <w:lang w:val="nl-NL"/>
        </w:rPr>
        <w:t xml:space="preserve">n het geval van Rusland en de separatisten in de vorm van sancties. Mocht de situatie ter plekke onverhoopt verslechteren dan sluit </w:t>
      </w:r>
      <w:r>
        <w:rPr>
          <w:bCs/>
          <w:lang w:val="nl-NL"/>
        </w:rPr>
        <w:t xml:space="preserve">het kabinet </w:t>
      </w:r>
      <w:r w:rsidRPr="00081B2F">
        <w:rPr>
          <w:bCs/>
          <w:lang w:val="nl-NL"/>
        </w:rPr>
        <w:t>additionele maatregelen niet uit.</w:t>
      </w:r>
      <w:r>
        <w:rPr>
          <w:bCs/>
          <w:lang w:val="nl-NL"/>
        </w:rPr>
        <w:t xml:space="preserve"> Het kabinet benadrukt hierbij het belang van het behouden van EU-eenheid. </w:t>
      </w:r>
    </w:p>
    <w:p w:rsidRPr="00081B2F" w:rsidR="00081B2F" w:rsidP="00081B2F" w:rsidRDefault="00081B2F" w14:paraId="48BF7D6C" w14:textId="77777777">
      <w:pPr>
        <w:spacing w:after="0"/>
        <w:rPr>
          <w:bCs/>
          <w:lang w:val="nl-NL"/>
        </w:rPr>
      </w:pPr>
    </w:p>
    <w:p w:rsidR="006B23B7" w:rsidP="00C55D80" w:rsidRDefault="006B23B7" w14:paraId="55D00563" w14:textId="0710FBAD">
      <w:pPr>
        <w:spacing w:after="0"/>
        <w:rPr>
          <w:b/>
          <w:bCs/>
          <w:lang w:val="nl-NL"/>
        </w:rPr>
      </w:pPr>
      <w:r>
        <w:rPr>
          <w:b/>
          <w:bCs/>
          <w:lang w:val="nl-NL"/>
        </w:rPr>
        <w:t>Libië</w:t>
      </w:r>
    </w:p>
    <w:p w:rsidR="00CB0EF9" w:rsidP="00B744CB" w:rsidRDefault="005C6128" w14:paraId="53B8E2A3" w14:textId="56B99D9F">
      <w:pPr>
        <w:rPr>
          <w:szCs w:val="18"/>
          <w:lang w:val="nl-NL"/>
        </w:rPr>
      </w:pPr>
      <w:r>
        <w:rPr>
          <w:lang w:val="nl-NL"/>
        </w:rPr>
        <w:t xml:space="preserve">In navolging </w:t>
      </w:r>
      <w:r w:rsidR="004922F3">
        <w:rPr>
          <w:lang w:val="nl-NL"/>
        </w:rPr>
        <w:t>van</w:t>
      </w:r>
      <w:r>
        <w:rPr>
          <w:lang w:val="nl-NL"/>
        </w:rPr>
        <w:t xml:space="preserve"> </w:t>
      </w:r>
      <w:proofErr w:type="spellStart"/>
      <w:r>
        <w:rPr>
          <w:lang w:val="nl-NL"/>
        </w:rPr>
        <w:t>Gymnich</w:t>
      </w:r>
      <w:proofErr w:type="spellEnd"/>
      <w:r>
        <w:rPr>
          <w:lang w:val="nl-NL"/>
        </w:rPr>
        <w:t xml:space="preserve"> (6 en 7 maart) en de Raad Buitenlandse Zaken (16 maart) zal de E</w:t>
      </w:r>
      <w:r w:rsidR="00B744CB">
        <w:rPr>
          <w:lang w:val="nl-NL"/>
        </w:rPr>
        <w:t>R</w:t>
      </w:r>
      <w:r w:rsidR="00B04E47">
        <w:rPr>
          <w:lang w:val="nl-NL"/>
        </w:rPr>
        <w:t xml:space="preserve"> </w:t>
      </w:r>
      <w:r>
        <w:rPr>
          <w:lang w:val="nl-NL"/>
        </w:rPr>
        <w:t>spreken over de laatste ontwikkelingen in Libië</w:t>
      </w:r>
      <w:r w:rsidR="009E3B61">
        <w:rPr>
          <w:lang w:val="nl-NL"/>
        </w:rPr>
        <w:t xml:space="preserve"> en</w:t>
      </w:r>
      <w:r w:rsidR="00CB0EF9">
        <w:rPr>
          <w:lang w:val="nl-NL"/>
        </w:rPr>
        <w:t xml:space="preserve"> over verdere inzet van de internationale gemeenschap</w:t>
      </w:r>
      <w:r w:rsidR="00FF1180">
        <w:rPr>
          <w:lang w:val="nl-NL"/>
        </w:rPr>
        <w:t xml:space="preserve"> </w:t>
      </w:r>
      <w:r w:rsidR="00CB0EF9">
        <w:rPr>
          <w:lang w:val="nl-NL"/>
        </w:rPr>
        <w:t>in Libië</w:t>
      </w:r>
      <w:r w:rsidR="009E3B61">
        <w:rPr>
          <w:lang w:val="nl-NL"/>
        </w:rPr>
        <w:t>. D</w:t>
      </w:r>
      <w:r w:rsidR="00CB0EF9">
        <w:rPr>
          <w:lang w:val="nl-NL"/>
        </w:rPr>
        <w:t xml:space="preserve">aarbij </w:t>
      </w:r>
      <w:r w:rsidR="009E3B61">
        <w:rPr>
          <w:lang w:val="nl-NL"/>
        </w:rPr>
        <w:t xml:space="preserve">staan </w:t>
      </w:r>
      <w:r w:rsidR="00CB0EF9">
        <w:rPr>
          <w:lang w:val="nl-NL"/>
        </w:rPr>
        <w:t>steun voor de politieke dialoog van VN-speciaal vertegenwoordiger L</w:t>
      </w:r>
      <w:r w:rsidR="00EF4410">
        <w:rPr>
          <w:lang w:val="nl-NL"/>
        </w:rPr>
        <w:t>eó</w:t>
      </w:r>
      <w:r w:rsidR="00CB0EF9">
        <w:rPr>
          <w:lang w:val="nl-NL"/>
        </w:rPr>
        <w:t xml:space="preserve">n centraal. </w:t>
      </w:r>
      <w:r w:rsidR="00CB0EF9">
        <w:rPr>
          <w:szCs w:val="18"/>
          <w:lang w:val="nl-NL"/>
        </w:rPr>
        <w:t>In dit kader zal de E</w:t>
      </w:r>
      <w:r w:rsidR="00B744CB">
        <w:rPr>
          <w:szCs w:val="18"/>
          <w:lang w:val="nl-NL"/>
        </w:rPr>
        <w:t xml:space="preserve">R </w:t>
      </w:r>
      <w:r w:rsidR="00CB0EF9">
        <w:rPr>
          <w:szCs w:val="18"/>
          <w:lang w:val="nl-NL"/>
        </w:rPr>
        <w:t>mogelijk richting geven aan de wijze waarop de EU het welslagen van de onderhandelingen van León kan bevorderen en een duurzame politieke oplossing kan ondersteunen.</w:t>
      </w:r>
    </w:p>
    <w:p w:rsidR="00DD51D3" w:rsidP="00DD51D3" w:rsidRDefault="00DD51D3" w14:paraId="6C115E09" w14:textId="77777777">
      <w:pPr>
        <w:spacing w:after="0"/>
        <w:rPr>
          <w:lang w:val="nl-NL"/>
        </w:rPr>
      </w:pPr>
    </w:p>
    <w:p w:rsidR="00DD51D3" w:rsidRDefault="00DD51D3" w14:paraId="5EBC54E4" w14:textId="77777777">
      <w:pPr>
        <w:rPr>
          <w:lang w:val="nl-NL"/>
        </w:rPr>
      </w:pPr>
      <w:r>
        <w:rPr>
          <w:lang w:val="nl-NL"/>
        </w:rPr>
        <w:br w:type="page"/>
      </w:r>
    </w:p>
    <w:p w:rsidRPr="00DD51D3" w:rsidR="00DD51D3" w:rsidP="00DD51D3" w:rsidRDefault="00DD51D3" w14:paraId="1D651369" w14:textId="71518085">
      <w:pPr>
        <w:spacing w:after="0"/>
        <w:rPr>
          <w:b/>
          <w:bCs/>
          <w:lang w:val="nl-NL"/>
        </w:rPr>
      </w:pPr>
      <w:r>
        <w:rPr>
          <w:b/>
          <w:bCs/>
          <w:lang w:val="nl-NL"/>
        </w:rPr>
        <w:lastRenderedPageBreak/>
        <w:t>Tripartite Sociale Top</w:t>
      </w:r>
    </w:p>
    <w:p w:rsidRPr="00DD51D3" w:rsidR="00DD51D3" w:rsidP="00DD51D3" w:rsidRDefault="00DD51D3" w14:paraId="18736136" w14:textId="77777777">
      <w:pPr>
        <w:spacing w:after="0"/>
        <w:rPr>
          <w:lang w:val="nl-NL"/>
        </w:rPr>
      </w:pPr>
      <w:r w:rsidRPr="00DD51D3">
        <w:rPr>
          <w:lang w:val="nl-NL"/>
        </w:rPr>
        <w:t>En marge van de Europese Raad vindt een regulier overleg met sociale partners plaats, de zogeheten Tripartite Sociale Top. Tijdens deze bijeenkomst zijn de sociale partners in de gelegenheid hun input te geven richting de Europese instellingen over de Europese economie. Hieraan nemen de voorzitters van de Europese Raad en de Europese Commissie deel, net als de huidige voorzitter van de Raad, Letland, en de twee aankomende voorzitterschappen. Nederland zal dus, net als Luxemburg, ook deelnemen aan deze bijeenkomst en worden vertegenwoordigd door de Minister van Sociale Zaken en Werkgelegenheid.</w:t>
      </w:r>
    </w:p>
    <w:p w:rsidR="00DD51D3" w:rsidP="00B744CB" w:rsidRDefault="00DD51D3" w14:paraId="30FCE0F0" w14:textId="77777777">
      <w:pPr>
        <w:rPr>
          <w:lang w:val="nl-NL"/>
        </w:rPr>
      </w:pPr>
    </w:p>
    <w:sectPr w:rsidR="00DD51D3">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F5B8B" w14:textId="77777777" w:rsidR="00BE52B1" w:rsidRDefault="00BE52B1" w:rsidP="003C3884">
      <w:pPr>
        <w:spacing w:after="0"/>
      </w:pPr>
      <w:r>
        <w:separator/>
      </w:r>
    </w:p>
  </w:endnote>
  <w:endnote w:type="continuationSeparator" w:id="0">
    <w:p w14:paraId="5AFDA02F" w14:textId="77777777" w:rsidR="00BE52B1" w:rsidRDefault="00BE52B1" w:rsidP="003C3884">
      <w:pPr>
        <w:spacing w:after="0"/>
      </w:pPr>
      <w:r>
        <w:continuationSeparator/>
      </w:r>
    </w:p>
  </w:endnote>
  <w:endnote w:type="continuationNotice" w:id="1">
    <w:p w14:paraId="7822188B" w14:textId="77777777" w:rsidR="00BE52B1" w:rsidRDefault="00BE52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1CE11" w14:textId="77777777" w:rsidR="00BE52B1" w:rsidRDefault="00BE52B1" w:rsidP="003C3884">
      <w:pPr>
        <w:spacing w:after="0"/>
      </w:pPr>
      <w:r>
        <w:separator/>
      </w:r>
    </w:p>
  </w:footnote>
  <w:footnote w:type="continuationSeparator" w:id="0">
    <w:p w14:paraId="0F4D48A9" w14:textId="77777777" w:rsidR="00BE52B1" w:rsidRDefault="00BE52B1" w:rsidP="003C3884">
      <w:pPr>
        <w:spacing w:after="0"/>
      </w:pPr>
      <w:r>
        <w:continuationSeparator/>
      </w:r>
    </w:p>
  </w:footnote>
  <w:footnote w:type="continuationNotice" w:id="1">
    <w:p w14:paraId="67788A04" w14:textId="77777777" w:rsidR="00BE52B1" w:rsidRDefault="00BE52B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459D"/>
    <w:multiLevelType w:val="hybridMultilevel"/>
    <w:tmpl w:val="602608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2AB81B1B"/>
    <w:multiLevelType w:val="hybridMultilevel"/>
    <w:tmpl w:val="5C8CBCAC"/>
    <w:lvl w:ilvl="0" w:tplc="4D541D7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42928A8"/>
    <w:multiLevelType w:val="hybridMultilevel"/>
    <w:tmpl w:val="EA9C141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nsid w:val="51560F6E"/>
    <w:multiLevelType w:val="hybridMultilevel"/>
    <w:tmpl w:val="27E4B10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5AC44E6D"/>
    <w:multiLevelType w:val="hybridMultilevel"/>
    <w:tmpl w:val="C7163ADA"/>
    <w:lvl w:ilvl="0" w:tplc="4F5AA4B8">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5FC675ED"/>
    <w:multiLevelType w:val="hybridMultilevel"/>
    <w:tmpl w:val="9E441EF2"/>
    <w:lvl w:ilvl="0" w:tplc="CEB201B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D730504"/>
    <w:multiLevelType w:val="hybridMultilevel"/>
    <w:tmpl w:val="535E9B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NotTrackFormatting/>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84"/>
    <w:rsid w:val="00007F34"/>
    <w:rsid w:val="00011E98"/>
    <w:rsid w:val="000201D3"/>
    <w:rsid w:val="00023F5F"/>
    <w:rsid w:val="00024D14"/>
    <w:rsid w:val="0003082C"/>
    <w:rsid w:val="00031402"/>
    <w:rsid w:val="00033248"/>
    <w:rsid w:val="00033B95"/>
    <w:rsid w:val="00045C7D"/>
    <w:rsid w:val="00050873"/>
    <w:rsid w:val="0005301B"/>
    <w:rsid w:val="00054AF2"/>
    <w:rsid w:val="00055AF8"/>
    <w:rsid w:val="00056978"/>
    <w:rsid w:val="000717A2"/>
    <w:rsid w:val="0007420C"/>
    <w:rsid w:val="00076B79"/>
    <w:rsid w:val="00076BDE"/>
    <w:rsid w:val="0007713A"/>
    <w:rsid w:val="00081B2F"/>
    <w:rsid w:val="00086767"/>
    <w:rsid w:val="00095744"/>
    <w:rsid w:val="000965DA"/>
    <w:rsid w:val="0009668E"/>
    <w:rsid w:val="000A2DF6"/>
    <w:rsid w:val="000A7413"/>
    <w:rsid w:val="000A7612"/>
    <w:rsid w:val="000A7D2A"/>
    <w:rsid w:val="000B07CE"/>
    <w:rsid w:val="000B3FE0"/>
    <w:rsid w:val="000B55CE"/>
    <w:rsid w:val="000C2301"/>
    <w:rsid w:val="000C2464"/>
    <w:rsid w:val="000C3A5C"/>
    <w:rsid w:val="000D2A03"/>
    <w:rsid w:val="000D5C5A"/>
    <w:rsid w:val="000E1DC9"/>
    <w:rsid w:val="000E2E0A"/>
    <w:rsid w:val="000E43E9"/>
    <w:rsid w:val="000F01E4"/>
    <w:rsid w:val="000F0E3E"/>
    <w:rsid w:val="000F3CC5"/>
    <w:rsid w:val="000F5E84"/>
    <w:rsid w:val="000F63C7"/>
    <w:rsid w:val="00102E8E"/>
    <w:rsid w:val="00114552"/>
    <w:rsid w:val="001145C9"/>
    <w:rsid w:val="00115A28"/>
    <w:rsid w:val="00121B02"/>
    <w:rsid w:val="00127839"/>
    <w:rsid w:val="00131804"/>
    <w:rsid w:val="001319A9"/>
    <w:rsid w:val="00132CA0"/>
    <w:rsid w:val="00132DE2"/>
    <w:rsid w:val="00135517"/>
    <w:rsid w:val="00142597"/>
    <w:rsid w:val="001461E7"/>
    <w:rsid w:val="001531FC"/>
    <w:rsid w:val="00156DA1"/>
    <w:rsid w:val="00160242"/>
    <w:rsid w:val="0016619F"/>
    <w:rsid w:val="0017623D"/>
    <w:rsid w:val="00177777"/>
    <w:rsid w:val="0019252A"/>
    <w:rsid w:val="001A3D44"/>
    <w:rsid w:val="001A7833"/>
    <w:rsid w:val="001A7E87"/>
    <w:rsid w:val="001B3C55"/>
    <w:rsid w:val="001C0F38"/>
    <w:rsid w:val="001C1169"/>
    <w:rsid w:val="001C5DF5"/>
    <w:rsid w:val="001E7D21"/>
    <w:rsid w:val="001F1445"/>
    <w:rsid w:val="001F32D7"/>
    <w:rsid w:val="001F38B6"/>
    <w:rsid w:val="001F6109"/>
    <w:rsid w:val="002037A6"/>
    <w:rsid w:val="00206E25"/>
    <w:rsid w:val="00207108"/>
    <w:rsid w:val="002139EE"/>
    <w:rsid w:val="002171E2"/>
    <w:rsid w:val="00217C39"/>
    <w:rsid w:val="0022147E"/>
    <w:rsid w:val="002249E8"/>
    <w:rsid w:val="0023065B"/>
    <w:rsid w:val="002359CE"/>
    <w:rsid w:val="0023741D"/>
    <w:rsid w:val="0024203D"/>
    <w:rsid w:val="0024291D"/>
    <w:rsid w:val="002429E6"/>
    <w:rsid w:val="00245694"/>
    <w:rsid w:val="002529F1"/>
    <w:rsid w:val="00252E20"/>
    <w:rsid w:val="00253EF0"/>
    <w:rsid w:val="00255066"/>
    <w:rsid w:val="00260153"/>
    <w:rsid w:val="0027140A"/>
    <w:rsid w:val="002736CA"/>
    <w:rsid w:val="00276461"/>
    <w:rsid w:val="00277A59"/>
    <w:rsid w:val="00283A62"/>
    <w:rsid w:val="002930E9"/>
    <w:rsid w:val="00294EB7"/>
    <w:rsid w:val="002A33E5"/>
    <w:rsid w:val="002A3AAD"/>
    <w:rsid w:val="002B2877"/>
    <w:rsid w:val="002C568B"/>
    <w:rsid w:val="002C7EB4"/>
    <w:rsid w:val="002D23AD"/>
    <w:rsid w:val="002D39C7"/>
    <w:rsid w:val="002D5264"/>
    <w:rsid w:val="002D5BC9"/>
    <w:rsid w:val="002E084B"/>
    <w:rsid w:val="002E6165"/>
    <w:rsid w:val="002E7D3C"/>
    <w:rsid w:val="002F0C0F"/>
    <w:rsid w:val="002F1BE1"/>
    <w:rsid w:val="002F21BC"/>
    <w:rsid w:val="002F3749"/>
    <w:rsid w:val="002F3E57"/>
    <w:rsid w:val="002F554F"/>
    <w:rsid w:val="00300087"/>
    <w:rsid w:val="00300B75"/>
    <w:rsid w:val="00304D6F"/>
    <w:rsid w:val="0031034D"/>
    <w:rsid w:val="00311CBE"/>
    <w:rsid w:val="00314AB3"/>
    <w:rsid w:val="00315A09"/>
    <w:rsid w:val="00321AE4"/>
    <w:rsid w:val="003231FE"/>
    <w:rsid w:val="0032481E"/>
    <w:rsid w:val="00333988"/>
    <w:rsid w:val="00336462"/>
    <w:rsid w:val="00341197"/>
    <w:rsid w:val="0034530A"/>
    <w:rsid w:val="00351BBF"/>
    <w:rsid w:val="00364114"/>
    <w:rsid w:val="00375850"/>
    <w:rsid w:val="00375EF1"/>
    <w:rsid w:val="003763D2"/>
    <w:rsid w:val="00377A18"/>
    <w:rsid w:val="00390853"/>
    <w:rsid w:val="00391699"/>
    <w:rsid w:val="0039171C"/>
    <w:rsid w:val="00392E69"/>
    <w:rsid w:val="003A5D66"/>
    <w:rsid w:val="003B0CF9"/>
    <w:rsid w:val="003C3884"/>
    <w:rsid w:val="003C4F13"/>
    <w:rsid w:val="003D4452"/>
    <w:rsid w:val="003D45C0"/>
    <w:rsid w:val="003E0160"/>
    <w:rsid w:val="003E297A"/>
    <w:rsid w:val="003E2DE8"/>
    <w:rsid w:val="003E37DC"/>
    <w:rsid w:val="003F112F"/>
    <w:rsid w:val="003F2D52"/>
    <w:rsid w:val="00401A39"/>
    <w:rsid w:val="00401C3A"/>
    <w:rsid w:val="00403D9F"/>
    <w:rsid w:val="00404A92"/>
    <w:rsid w:val="0040769C"/>
    <w:rsid w:val="00410C45"/>
    <w:rsid w:val="00414DFA"/>
    <w:rsid w:val="00415A9D"/>
    <w:rsid w:val="004205C6"/>
    <w:rsid w:val="00420CF4"/>
    <w:rsid w:val="004229A0"/>
    <w:rsid w:val="00423D95"/>
    <w:rsid w:val="00443F8C"/>
    <w:rsid w:val="00446510"/>
    <w:rsid w:val="004601FF"/>
    <w:rsid w:val="0046240A"/>
    <w:rsid w:val="00466A51"/>
    <w:rsid w:val="00473039"/>
    <w:rsid w:val="00484D55"/>
    <w:rsid w:val="00485D60"/>
    <w:rsid w:val="004922F3"/>
    <w:rsid w:val="004A12E1"/>
    <w:rsid w:val="004A678A"/>
    <w:rsid w:val="004B3F2C"/>
    <w:rsid w:val="004C160A"/>
    <w:rsid w:val="004C3263"/>
    <w:rsid w:val="004C395A"/>
    <w:rsid w:val="004C42D6"/>
    <w:rsid w:val="004C49C5"/>
    <w:rsid w:val="004D0765"/>
    <w:rsid w:val="004E1C28"/>
    <w:rsid w:val="004E3F31"/>
    <w:rsid w:val="004E4589"/>
    <w:rsid w:val="004F17E7"/>
    <w:rsid w:val="004F2E6F"/>
    <w:rsid w:val="004F3578"/>
    <w:rsid w:val="005026C2"/>
    <w:rsid w:val="00503195"/>
    <w:rsid w:val="0051438D"/>
    <w:rsid w:val="0052303A"/>
    <w:rsid w:val="00526782"/>
    <w:rsid w:val="0053200D"/>
    <w:rsid w:val="00540225"/>
    <w:rsid w:val="0054773C"/>
    <w:rsid w:val="005526CD"/>
    <w:rsid w:val="0055487B"/>
    <w:rsid w:val="00563DBC"/>
    <w:rsid w:val="00566ABF"/>
    <w:rsid w:val="00567E7C"/>
    <w:rsid w:val="00571F5C"/>
    <w:rsid w:val="005816DE"/>
    <w:rsid w:val="00593817"/>
    <w:rsid w:val="00595334"/>
    <w:rsid w:val="00595B4C"/>
    <w:rsid w:val="005974C6"/>
    <w:rsid w:val="005A4C2D"/>
    <w:rsid w:val="005B2FAE"/>
    <w:rsid w:val="005B31F9"/>
    <w:rsid w:val="005C07E0"/>
    <w:rsid w:val="005C17FB"/>
    <w:rsid w:val="005C6128"/>
    <w:rsid w:val="005C6D13"/>
    <w:rsid w:val="005C6E86"/>
    <w:rsid w:val="005F1256"/>
    <w:rsid w:val="005F2FFE"/>
    <w:rsid w:val="005F777E"/>
    <w:rsid w:val="0060207C"/>
    <w:rsid w:val="00602CFD"/>
    <w:rsid w:val="00605174"/>
    <w:rsid w:val="006113FB"/>
    <w:rsid w:val="00614058"/>
    <w:rsid w:val="00614AED"/>
    <w:rsid w:val="00615FF5"/>
    <w:rsid w:val="00625996"/>
    <w:rsid w:val="0062661C"/>
    <w:rsid w:val="00626DD6"/>
    <w:rsid w:val="0064117B"/>
    <w:rsid w:val="006526DD"/>
    <w:rsid w:val="006527D9"/>
    <w:rsid w:val="00653F14"/>
    <w:rsid w:val="006645DB"/>
    <w:rsid w:val="006651EE"/>
    <w:rsid w:val="006719CB"/>
    <w:rsid w:val="00675688"/>
    <w:rsid w:val="00677147"/>
    <w:rsid w:val="0068005F"/>
    <w:rsid w:val="0068441D"/>
    <w:rsid w:val="00686A8D"/>
    <w:rsid w:val="00687819"/>
    <w:rsid w:val="006A691E"/>
    <w:rsid w:val="006B23B7"/>
    <w:rsid w:val="006C514A"/>
    <w:rsid w:val="006C5F11"/>
    <w:rsid w:val="006C766A"/>
    <w:rsid w:val="006C7CB2"/>
    <w:rsid w:val="006D1825"/>
    <w:rsid w:val="006E1489"/>
    <w:rsid w:val="006E263E"/>
    <w:rsid w:val="006F47BC"/>
    <w:rsid w:val="006F4C46"/>
    <w:rsid w:val="006F5539"/>
    <w:rsid w:val="00714F16"/>
    <w:rsid w:val="00716D2D"/>
    <w:rsid w:val="00720B36"/>
    <w:rsid w:val="00721E5E"/>
    <w:rsid w:val="00726056"/>
    <w:rsid w:val="00730525"/>
    <w:rsid w:val="0073612F"/>
    <w:rsid w:val="00736606"/>
    <w:rsid w:val="00744E69"/>
    <w:rsid w:val="00751FF2"/>
    <w:rsid w:val="007546C6"/>
    <w:rsid w:val="007607BC"/>
    <w:rsid w:val="00767DD4"/>
    <w:rsid w:val="00773673"/>
    <w:rsid w:val="007807E1"/>
    <w:rsid w:val="0078408E"/>
    <w:rsid w:val="00784350"/>
    <w:rsid w:val="00784790"/>
    <w:rsid w:val="00786EB3"/>
    <w:rsid w:val="0079057D"/>
    <w:rsid w:val="00793A1B"/>
    <w:rsid w:val="007951EC"/>
    <w:rsid w:val="007A05C1"/>
    <w:rsid w:val="007A1594"/>
    <w:rsid w:val="007A407C"/>
    <w:rsid w:val="007A5803"/>
    <w:rsid w:val="007B4645"/>
    <w:rsid w:val="007B7691"/>
    <w:rsid w:val="007B79ED"/>
    <w:rsid w:val="007C391E"/>
    <w:rsid w:val="007C418B"/>
    <w:rsid w:val="007C4581"/>
    <w:rsid w:val="007C563B"/>
    <w:rsid w:val="007C70DA"/>
    <w:rsid w:val="007D13C6"/>
    <w:rsid w:val="007D20DD"/>
    <w:rsid w:val="007D7427"/>
    <w:rsid w:val="007D7AD6"/>
    <w:rsid w:val="007E1901"/>
    <w:rsid w:val="007E1A1E"/>
    <w:rsid w:val="007E33B4"/>
    <w:rsid w:val="007F1F0D"/>
    <w:rsid w:val="008049E8"/>
    <w:rsid w:val="008101EB"/>
    <w:rsid w:val="00814793"/>
    <w:rsid w:val="008156A8"/>
    <w:rsid w:val="00822C9A"/>
    <w:rsid w:val="0082724F"/>
    <w:rsid w:val="00832F93"/>
    <w:rsid w:val="0083411B"/>
    <w:rsid w:val="0084011C"/>
    <w:rsid w:val="008422C0"/>
    <w:rsid w:val="00843321"/>
    <w:rsid w:val="008452AB"/>
    <w:rsid w:val="00846E89"/>
    <w:rsid w:val="00847237"/>
    <w:rsid w:val="00852ECA"/>
    <w:rsid w:val="008608DF"/>
    <w:rsid w:val="00862DD4"/>
    <w:rsid w:val="008719FD"/>
    <w:rsid w:val="00872B4F"/>
    <w:rsid w:val="00874C9C"/>
    <w:rsid w:val="00875F87"/>
    <w:rsid w:val="00880660"/>
    <w:rsid w:val="008841A1"/>
    <w:rsid w:val="0088454C"/>
    <w:rsid w:val="008863AA"/>
    <w:rsid w:val="00887019"/>
    <w:rsid w:val="0089719D"/>
    <w:rsid w:val="008A10D0"/>
    <w:rsid w:val="008B0268"/>
    <w:rsid w:val="008B7144"/>
    <w:rsid w:val="008C3379"/>
    <w:rsid w:val="008C366A"/>
    <w:rsid w:val="008C50B0"/>
    <w:rsid w:val="008C7B2D"/>
    <w:rsid w:val="008D2C4F"/>
    <w:rsid w:val="008D4D05"/>
    <w:rsid w:val="008F5B72"/>
    <w:rsid w:val="008F6C89"/>
    <w:rsid w:val="008F7643"/>
    <w:rsid w:val="00905B3D"/>
    <w:rsid w:val="00912502"/>
    <w:rsid w:val="00915616"/>
    <w:rsid w:val="00916557"/>
    <w:rsid w:val="00917A61"/>
    <w:rsid w:val="00922F96"/>
    <w:rsid w:val="009231F8"/>
    <w:rsid w:val="00924321"/>
    <w:rsid w:val="0092719C"/>
    <w:rsid w:val="009338B9"/>
    <w:rsid w:val="00940DE3"/>
    <w:rsid w:val="009424E1"/>
    <w:rsid w:val="009438ED"/>
    <w:rsid w:val="009568FA"/>
    <w:rsid w:val="00957AB6"/>
    <w:rsid w:val="0096208A"/>
    <w:rsid w:val="00965076"/>
    <w:rsid w:val="00970BC7"/>
    <w:rsid w:val="009827FC"/>
    <w:rsid w:val="00982891"/>
    <w:rsid w:val="009843D5"/>
    <w:rsid w:val="00985A43"/>
    <w:rsid w:val="00994798"/>
    <w:rsid w:val="009970EC"/>
    <w:rsid w:val="009A043B"/>
    <w:rsid w:val="009A0672"/>
    <w:rsid w:val="009A1845"/>
    <w:rsid w:val="009A4580"/>
    <w:rsid w:val="009A5335"/>
    <w:rsid w:val="009A57FF"/>
    <w:rsid w:val="009B0C90"/>
    <w:rsid w:val="009B4EB7"/>
    <w:rsid w:val="009C188A"/>
    <w:rsid w:val="009C1F48"/>
    <w:rsid w:val="009C2500"/>
    <w:rsid w:val="009C624B"/>
    <w:rsid w:val="009D0EFE"/>
    <w:rsid w:val="009D68D3"/>
    <w:rsid w:val="009E05A4"/>
    <w:rsid w:val="009E10D2"/>
    <w:rsid w:val="009E29A8"/>
    <w:rsid w:val="009E3B61"/>
    <w:rsid w:val="009F1FD5"/>
    <w:rsid w:val="009F274D"/>
    <w:rsid w:val="009F3486"/>
    <w:rsid w:val="009F5068"/>
    <w:rsid w:val="009F54A6"/>
    <w:rsid w:val="009F5993"/>
    <w:rsid w:val="00A006EC"/>
    <w:rsid w:val="00A03E59"/>
    <w:rsid w:val="00A068B4"/>
    <w:rsid w:val="00A146B4"/>
    <w:rsid w:val="00A22D1D"/>
    <w:rsid w:val="00A2514C"/>
    <w:rsid w:val="00A2553C"/>
    <w:rsid w:val="00A27237"/>
    <w:rsid w:val="00A35F0A"/>
    <w:rsid w:val="00A37CAD"/>
    <w:rsid w:val="00A4490F"/>
    <w:rsid w:val="00A529CD"/>
    <w:rsid w:val="00A53BC9"/>
    <w:rsid w:val="00A55521"/>
    <w:rsid w:val="00A57982"/>
    <w:rsid w:val="00A619A0"/>
    <w:rsid w:val="00A632E3"/>
    <w:rsid w:val="00A64060"/>
    <w:rsid w:val="00A7065B"/>
    <w:rsid w:val="00A76548"/>
    <w:rsid w:val="00A76A58"/>
    <w:rsid w:val="00A84C1D"/>
    <w:rsid w:val="00A854D3"/>
    <w:rsid w:val="00A8626C"/>
    <w:rsid w:val="00A86A74"/>
    <w:rsid w:val="00A92A84"/>
    <w:rsid w:val="00A9382B"/>
    <w:rsid w:val="00A94168"/>
    <w:rsid w:val="00AA0A5C"/>
    <w:rsid w:val="00AB0967"/>
    <w:rsid w:val="00AB12D8"/>
    <w:rsid w:val="00AC38C9"/>
    <w:rsid w:val="00AD01A6"/>
    <w:rsid w:val="00AD3781"/>
    <w:rsid w:val="00AE1577"/>
    <w:rsid w:val="00AE25BA"/>
    <w:rsid w:val="00AE4084"/>
    <w:rsid w:val="00AF1640"/>
    <w:rsid w:val="00AF2C6B"/>
    <w:rsid w:val="00B00AF9"/>
    <w:rsid w:val="00B03670"/>
    <w:rsid w:val="00B04E47"/>
    <w:rsid w:val="00B052BB"/>
    <w:rsid w:val="00B07B94"/>
    <w:rsid w:val="00B11165"/>
    <w:rsid w:val="00B166E1"/>
    <w:rsid w:val="00B331C5"/>
    <w:rsid w:val="00B364BC"/>
    <w:rsid w:val="00B41E78"/>
    <w:rsid w:val="00B43A79"/>
    <w:rsid w:val="00B51B57"/>
    <w:rsid w:val="00B51FF6"/>
    <w:rsid w:val="00B53787"/>
    <w:rsid w:val="00B549C9"/>
    <w:rsid w:val="00B566A6"/>
    <w:rsid w:val="00B6155A"/>
    <w:rsid w:val="00B6529B"/>
    <w:rsid w:val="00B70266"/>
    <w:rsid w:val="00B744CB"/>
    <w:rsid w:val="00B774D8"/>
    <w:rsid w:val="00B94804"/>
    <w:rsid w:val="00B94C00"/>
    <w:rsid w:val="00B96539"/>
    <w:rsid w:val="00B96690"/>
    <w:rsid w:val="00BA27B9"/>
    <w:rsid w:val="00BA3F6D"/>
    <w:rsid w:val="00BA49A1"/>
    <w:rsid w:val="00BA5EF1"/>
    <w:rsid w:val="00BB46B6"/>
    <w:rsid w:val="00BC0A58"/>
    <w:rsid w:val="00BC3EFA"/>
    <w:rsid w:val="00BD0AAB"/>
    <w:rsid w:val="00BD6A22"/>
    <w:rsid w:val="00BE52B1"/>
    <w:rsid w:val="00BE6A82"/>
    <w:rsid w:val="00BF1D45"/>
    <w:rsid w:val="00BF3848"/>
    <w:rsid w:val="00C0630D"/>
    <w:rsid w:val="00C0791E"/>
    <w:rsid w:val="00C11EAF"/>
    <w:rsid w:val="00C11EF1"/>
    <w:rsid w:val="00C13986"/>
    <w:rsid w:val="00C14E8A"/>
    <w:rsid w:val="00C22006"/>
    <w:rsid w:val="00C251D6"/>
    <w:rsid w:val="00C26145"/>
    <w:rsid w:val="00C34962"/>
    <w:rsid w:val="00C34BC0"/>
    <w:rsid w:val="00C37D11"/>
    <w:rsid w:val="00C40ADC"/>
    <w:rsid w:val="00C4423F"/>
    <w:rsid w:val="00C50390"/>
    <w:rsid w:val="00C52C33"/>
    <w:rsid w:val="00C52FFF"/>
    <w:rsid w:val="00C55D80"/>
    <w:rsid w:val="00C565EE"/>
    <w:rsid w:val="00C60318"/>
    <w:rsid w:val="00C618C2"/>
    <w:rsid w:val="00C65C26"/>
    <w:rsid w:val="00C6638B"/>
    <w:rsid w:val="00C70EA3"/>
    <w:rsid w:val="00C77C83"/>
    <w:rsid w:val="00C80056"/>
    <w:rsid w:val="00C8318C"/>
    <w:rsid w:val="00C8399A"/>
    <w:rsid w:val="00C849B1"/>
    <w:rsid w:val="00C9320A"/>
    <w:rsid w:val="00CA02F0"/>
    <w:rsid w:val="00CA5397"/>
    <w:rsid w:val="00CA7DEB"/>
    <w:rsid w:val="00CB0EF9"/>
    <w:rsid w:val="00CB1EAB"/>
    <w:rsid w:val="00CB4BDF"/>
    <w:rsid w:val="00CC1E6F"/>
    <w:rsid w:val="00CC2A2F"/>
    <w:rsid w:val="00CC658E"/>
    <w:rsid w:val="00CC6C30"/>
    <w:rsid w:val="00CD0772"/>
    <w:rsid w:val="00CD5C22"/>
    <w:rsid w:val="00CE214B"/>
    <w:rsid w:val="00CF3C16"/>
    <w:rsid w:val="00CF72B4"/>
    <w:rsid w:val="00D02990"/>
    <w:rsid w:val="00D02B6C"/>
    <w:rsid w:val="00D02C00"/>
    <w:rsid w:val="00D048E8"/>
    <w:rsid w:val="00D0553E"/>
    <w:rsid w:val="00D13035"/>
    <w:rsid w:val="00D14F96"/>
    <w:rsid w:val="00D17272"/>
    <w:rsid w:val="00D200F7"/>
    <w:rsid w:val="00D20F25"/>
    <w:rsid w:val="00D238AD"/>
    <w:rsid w:val="00D309B7"/>
    <w:rsid w:val="00D32E6B"/>
    <w:rsid w:val="00D3607C"/>
    <w:rsid w:val="00D446C6"/>
    <w:rsid w:val="00D44BFF"/>
    <w:rsid w:val="00D47D6F"/>
    <w:rsid w:val="00D5549F"/>
    <w:rsid w:val="00D5754E"/>
    <w:rsid w:val="00D863F6"/>
    <w:rsid w:val="00D90BE7"/>
    <w:rsid w:val="00D92374"/>
    <w:rsid w:val="00D95FB0"/>
    <w:rsid w:val="00DA08F1"/>
    <w:rsid w:val="00DA53E9"/>
    <w:rsid w:val="00DB2D78"/>
    <w:rsid w:val="00DB357D"/>
    <w:rsid w:val="00DB3BE6"/>
    <w:rsid w:val="00DB6506"/>
    <w:rsid w:val="00DC14DA"/>
    <w:rsid w:val="00DC5E4E"/>
    <w:rsid w:val="00DD09CB"/>
    <w:rsid w:val="00DD1AD5"/>
    <w:rsid w:val="00DD51D3"/>
    <w:rsid w:val="00DD5203"/>
    <w:rsid w:val="00DD5523"/>
    <w:rsid w:val="00DE2507"/>
    <w:rsid w:val="00DE35EF"/>
    <w:rsid w:val="00DF1BAF"/>
    <w:rsid w:val="00DF68D6"/>
    <w:rsid w:val="00DF6FD1"/>
    <w:rsid w:val="00E0779E"/>
    <w:rsid w:val="00E1173B"/>
    <w:rsid w:val="00E13CC8"/>
    <w:rsid w:val="00E15EC3"/>
    <w:rsid w:val="00E213B8"/>
    <w:rsid w:val="00E24209"/>
    <w:rsid w:val="00E31CFE"/>
    <w:rsid w:val="00E31F53"/>
    <w:rsid w:val="00E364E9"/>
    <w:rsid w:val="00E50A02"/>
    <w:rsid w:val="00E52D01"/>
    <w:rsid w:val="00E54FD6"/>
    <w:rsid w:val="00E60DE2"/>
    <w:rsid w:val="00E6145E"/>
    <w:rsid w:val="00E627B0"/>
    <w:rsid w:val="00E62BD9"/>
    <w:rsid w:val="00E67565"/>
    <w:rsid w:val="00E67AF7"/>
    <w:rsid w:val="00E719B8"/>
    <w:rsid w:val="00E76AE7"/>
    <w:rsid w:val="00E77DDA"/>
    <w:rsid w:val="00E823E4"/>
    <w:rsid w:val="00E8414C"/>
    <w:rsid w:val="00E94A9A"/>
    <w:rsid w:val="00E965F7"/>
    <w:rsid w:val="00EA386E"/>
    <w:rsid w:val="00EB0A05"/>
    <w:rsid w:val="00EB28C0"/>
    <w:rsid w:val="00EC0F61"/>
    <w:rsid w:val="00EC1170"/>
    <w:rsid w:val="00EC12FC"/>
    <w:rsid w:val="00EC6457"/>
    <w:rsid w:val="00EC6B9F"/>
    <w:rsid w:val="00EC725B"/>
    <w:rsid w:val="00EC78AD"/>
    <w:rsid w:val="00ED44ED"/>
    <w:rsid w:val="00EE1B91"/>
    <w:rsid w:val="00EF1D79"/>
    <w:rsid w:val="00EF4410"/>
    <w:rsid w:val="00EF4D8A"/>
    <w:rsid w:val="00F040A5"/>
    <w:rsid w:val="00F1536E"/>
    <w:rsid w:val="00F17C3B"/>
    <w:rsid w:val="00F27480"/>
    <w:rsid w:val="00F36B25"/>
    <w:rsid w:val="00F45388"/>
    <w:rsid w:val="00F46ED1"/>
    <w:rsid w:val="00F55118"/>
    <w:rsid w:val="00F627E1"/>
    <w:rsid w:val="00F638ED"/>
    <w:rsid w:val="00F64C71"/>
    <w:rsid w:val="00F70ED9"/>
    <w:rsid w:val="00F7426C"/>
    <w:rsid w:val="00F81636"/>
    <w:rsid w:val="00F8345F"/>
    <w:rsid w:val="00F862A6"/>
    <w:rsid w:val="00F92843"/>
    <w:rsid w:val="00FA1895"/>
    <w:rsid w:val="00FA4331"/>
    <w:rsid w:val="00FA77BC"/>
    <w:rsid w:val="00FB4A7F"/>
    <w:rsid w:val="00FB53D4"/>
    <w:rsid w:val="00FC4CAB"/>
    <w:rsid w:val="00FC5BE6"/>
    <w:rsid w:val="00FD07C0"/>
    <w:rsid w:val="00FD3558"/>
    <w:rsid w:val="00FE4175"/>
    <w:rsid w:val="00FE7182"/>
    <w:rsid w:val="00FF1180"/>
    <w:rsid w:val="00FF194C"/>
    <w:rsid w:val="00FF69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C3884"/>
    <w:pPr>
      <w:tabs>
        <w:tab w:val="center" w:pos="4513"/>
        <w:tab w:val="right" w:pos="9026"/>
      </w:tabs>
      <w:spacing w:after="0"/>
    </w:pPr>
  </w:style>
  <w:style w:type="character" w:customStyle="1" w:styleId="KoptekstChar">
    <w:name w:val="Koptekst Char"/>
    <w:basedOn w:val="Standaardalinea-lettertype"/>
    <w:link w:val="Koptekst"/>
    <w:uiPriority w:val="99"/>
    <w:rsid w:val="003C3884"/>
  </w:style>
  <w:style w:type="paragraph" w:styleId="Voettekst">
    <w:name w:val="footer"/>
    <w:basedOn w:val="Standaard"/>
    <w:link w:val="VoettekstChar"/>
    <w:uiPriority w:val="99"/>
    <w:unhideWhenUsed/>
    <w:rsid w:val="003C3884"/>
    <w:pPr>
      <w:tabs>
        <w:tab w:val="center" w:pos="4513"/>
        <w:tab w:val="right" w:pos="9026"/>
      </w:tabs>
      <w:spacing w:after="0"/>
    </w:pPr>
  </w:style>
  <w:style w:type="character" w:customStyle="1" w:styleId="VoettekstChar">
    <w:name w:val="Voettekst Char"/>
    <w:basedOn w:val="Standaardalinea-lettertype"/>
    <w:link w:val="Voettekst"/>
    <w:uiPriority w:val="99"/>
    <w:rsid w:val="003C3884"/>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3C3884"/>
    <w:pPr>
      <w:ind w:left="720"/>
      <w:contextualSpacing/>
    </w:pPr>
  </w:style>
  <w:style w:type="paragraph" w:styleId="Normaalweb">
    <w:name w:val="Normal (Web)"/>
    <w:basedOn w:val="Standaard"/>
    <w:uiPriority w:val="99"/>
    <w:unhideWhenUsed/>
    <w:rsid w:val="00321AE4"/>
    <w:rPr>
      <w:rFonts w:ascii="Times New Roman" w:hAnsi="Times New Roman" w:cs="Times New Roman"/>
      <w:sz w:val="24"/>
      <w:szCs w:val="24"/>
    </w:rPr>
  </w:style>
  <w:style w:type="paragraph" w:styleId="Tekstzonderopmaak">
    <w:name w:val="Plain Text"/>
    <w:basedOn w:val="Standaard"/>
    <w:link w:val="TekstzonderopmaakChar"/>
    <w:unhideWhenUsed/>
    <w:rsid w:val="002A33E5"/>
    <w:pPr>
      <w:spacing w:after="0"/>
    </w:pPr>
    <w:rPr>
      <w:rFonts w:ascii="Calibri" w:hAnsi="Calibri" w:cs="Calibri"/>
      <w:sz w:val="22"/>
      <w:lang w:val="nl-NL"/>
    </w:rPr>
  </w:style>
  <w:style w:type="character" w:customStyle="1" w:styleId="TekstzonderopmaakChar">
    <w:name w:val="Tekst zonder opmaak Char"/>
    <w:basedOn w:val="Standaardalinea-lettertype"/>
    <w:link w:val="Tekstzonderopmaak"/>
    <w:rsid w:val="002A33E5"/>
    <w:rPr>
      <w:rFonts w:ascii="Calibri" w:hAnsi="Calibri" w:cs="Calibri"/>
      <w:sz w:val="22"/>
      <w:lang w:val="nl-NL"/>
    </w:rPr>
  </w:style>
  <w:style w:type="paragraph" w:customStyle="1" w:styleId="Body">
    <w:name w:val="Body"/>
    <w:rsid w:val="002A33E5"/>
    <w:pPr>
      <w:pBdr>
        <w:top w:val="nil"/>
        <w:left w:val="nil"/>
        <w:bottom w:val="nil"/>
        <w:right w:val="nil"/>
        <w:between w:val="nil"/>
        <w:bar w:val="nil"/>
      </w:pBdr>
    </w:pPr>
    <w:rPr>
      <w:rFonts w:eastAsia="Arial Unicode MS" w:hAnsi="Arial Unicode MS" w:cs="Arial Unicode MS"/>
      <w:color w:val="000000"/>
      <w:szCs w:val="18"/>
      <w:u w:color="000000"/>
      <w:bdr w:val="nil"/>
      <w:lang w:val="nl-NL" w:eastAsia="nl-NL"/>
    </w:rPr>
  </w:style>
  <w:style w:type="paragraph" w:styleId="Geenafstand">
    <w:name w:val="No Spacing"/>
    <w:rsid w:val="002A33E5"/>
    <w:pPr>
      <w:pBdr>
        <w:top w:val="nil"/>
        <w:left w:val="nil"/>
        <w:bottom w:val="nil"/>
        <w:right w:val="nil"/>
        <w:between w:val="nil"/>
        <w:bar w:val="nil"/>
      </w:pBdr>
      <w:spacing w:after="0"/>
    </w:pPr>
    <w:rPr>
      <w:rFonts w:ascii="Times New Roman" w:eastAsia="Arial Unicode MS" w:hAnsi="Arial Unicode MS" w:cs="Arial Unicode MS"/>
      <w:color w:val="000000"/>
      <w:sz w:val="24"/>
      <w:szCs w:val="24"/>
      <w:u w:color="000000"/>
      <w:bdr w:val="nil"/>
      <w:lang w:val="nl-NL" w:eastAsia="nl-NL"/>
    </w:rPr>
  </w:style>
  <w:style w:type="paragraph" w:styleId="Ballontekst">
    <w:name w:val="Balloon Text"/>
    <w:basedOn w:val="Standaard"/>
    <w:link w:val="BallontekstChar"/>
    <w:uiPriority w:val="99"/>
    <w:semiHidden/>
    <w:unhideWhenUsed/>
    <w:rsid w:val="00132DE2"/>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2DE2"/>
    <w:rPr>
      <w:rFonts w:ascii="Tahoma" w:hAnsi="Tahoma" w:cs="Tahoma"/>
      <w:sz w:val="16"/>
      <w:szCs w:val="16"/>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054AF2"/>
  </w:style>
  <w:style w:type="character" w:styleId="Verwijzingopmerking">
    <w:name w:val="annotation reference"/>
    <w:basedOn w:val="Standaardalinea-lettertype"/>
    <w:uiPriority w:val="99"/>
    <w:semiHidden/>
    <w:unhideWhenUsed/>
    <w:rsid w:val="00736606"/>
    <w:rPr>
      <w:sz w:val="16"/>
      <w:szCs w:val="16"/>
    </w:rPr>
  </w:style>
  <w:style w:type="paragraph" w:styleId="Tekstopmerking">
    <w:name w:val="annotation text"/>
    <w:basedOn w:val="Standaard"/>
    <w:link w:val="TekstopmerkingChar"/>
    <w:uiPriority w:val="99"/>
    <w:semiHidden/>
    <w:unhideWhenUsed/>
    <w:rsid w:val="00736606"/>
    <w:rPr>
      <w:sz w:val="20"/>
      <w:szCs w:val="20"/>
    </w:rPr>
  </w:style>
  <w:style w:type="character" w:customStyle="1" w:styleId="TekstopmerkingChar">
    <w:name w:val="Tekst opmerking Char"/>
    <w:basedOn w:val="Standaardalinea-lettertype"/>
    <w:link w:val="Tekstopmerking"/>
    <w:uiPriority w:val="99"/>
    <w:semiHidden/>
    <w:rsid w:val="00736606"/>
    <w:rPr>
      <w:sz w:val="20"/>
      <w:szCs w:val="20"/>
    </w:rPr>
  </w:style>
  <w:style w:type="paragraph" w:styleId="Onderwerpvanopmerking">
    <w:name w:val="annotation subject"/>
    <w:basedOn w:val="Tekstopmerking"/>
    <w:next w:val="Tekstopmerking"/>
    <w:link w:val="OnderwerpvanopmerkingChar"/>
    <w:uiPriority w:val="99"/>
    <w:semiHidden/>
    <w:unhideWhenUsed/>
    <w:rsid w:val="00736606"/>
    <w:rPr>
      <w:b/>
      <w:bCs/>
    </w:rPr>
  </w:style>
  <w:style w:type="character" w:customStyle="1" w:styleId="OnderwerpvanopmerkingChar">
    <w:name w:val="Onderwerp van opmerking Char"/>
    <w:basedOn w:val="TekstopmerkingChar"/>
    <w:link w:val="Onderwerpvanopmerking"/>
    <w:uiPriority w:val="99"/>
    <w:semiHidden/>
    <w:rsid w:val="00736606"/>
    <w:rPr>
      <w:b/>
      <w:bCs/>
      <w:sz w:val="20"/>
      <w:szCs w:val="20"/>
    </w:rPr>
  </w:style>
  <w:style w:type="paragraph" w:customStyle="1" w:styleId="Text3">
    <w:name w:val="Text 3"/>
    <w:basedOn w:val="Standaard"/>
    <w:rsid w:val="00DA53E9"/>
    <w:pPr>
      <w:spacing w:after="0"/>
      <w:ind w:left="1701"/>
      <w:outlineLvl w:val="2"/>
    </w:pPr>
    <w:rPr>
      <w:rFonts w:ascii="Times New Roman" w:eastAsia="Times New Roman" w:hAnsi="Times New Roman" w:cs="Times New Roman"/>
      <w:sz w:val="24"/>
      <w:szCs w:val="24"/>
      <w:lang w:val="en-GB"/>
    </w:rPr>
  </w:style>
  <w:style w:type="paragraph" w:customStyle="1" w:styleId="Default">
    <w:name w:val="Default"/>
    <w:rsid w:val="00011E98"/>
    <w:pPr>
      <w:autoSpaceDE w:val="0"/>
      <w:autoSpaceDN w:val="0"/>
      <w:adjustRightInd w:val="0"/>
      <w:spacing w:after="0"/>
    </w:pPr>
    <w:rPr>
      <w:rFonts w:cs="Verdana"/>
      <w:color w:val="000000"/>
      <w:sz w:val="24"/>
      <w:szCs w:val="24"/>
      <w:lang w:val="nl-NL"/>
    </w:rPr>
  </w:style>
  <w:style w:type="paragraph" w:styleId="Revisie">
    <w:name w:val="Revision"/>
    <w:hidden/>
    <w:uiPriority w:val="99"/>
    <w:semiHidden/>
    <w:rsid w:val="000C230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C3884"/>
    <w:pPr>
      <w:tabs>
        <w:tab w:val="center" w:pos="4513"/>
        <w:tab w:val="right" w:pos="9026"/>
      </w:tabs>
      <w:spacing w:after="0"/>
    </w:pPr>
  </w:style>
  <w:style w:type="character" w:customStyle="1" w:styleId="KoptekstChar">
    <w:name w:val="Koptekst Char"/>
    <w:basedOn w:val="Standaardalinea-lettertype"/>
    <w:link w:val="Koptekst"/>
    <w:uiPriority w:val="99"/>
    <w:rsid w:val="003C3884"/>
  </w:style>
  <w:style w:type="paragraph" w:styleId="Voettekst">
    <w:name w:val="footer"/>
    <w:basedOn w:val="Standaard"/>
    <w:link w:val="VoettekstChar"/>
    <w:uiPriority w:val="99"/>
    <w:unhideWhenUsed/>
    <w:rsid w:val="003C3884"/>
    <w:pPr>
      <w:tabs>
        <w:tab w:val="center" w:pos="4513"/>
        <w:tab w:val="right" w:pos="9026"/>
      </w:tabs>
      <w:spacing w:after="0"/>
    </w:pPr>
  </w:style>
  <w:style w:type="character" w:customStyle="1" w:styleId="VoettekstChar">
    <w:name w:val="Voettekst Char"/>
    <w:basedOn w:val="Standaardalinea-lettertype"/>
    <w:link w:val="Voettekst"/>
    <w:uiPriority w:val="99"/>
    <w:rsid w:val="003C3884"/>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3C3884"/>
    <w:pPr>
      <w:ind w:left="720"/>
      <w:contextualSpacing/>
    </w:pPr>
  </w:style>
  <w:style w:type="paragraph" w:styleId="Normaalweb">
    <w:name w:val="Normal (Web)"/>
    <w:basedOn w:val="Standaard"/>
    <w:uiPriority w:val="99"/>
    <w:unhideWhenUsed/>
    <w:rsid w:val="00321AE4"/>
    <w:rPr>
      <w:rFonts w:ascii="Times New Roman" w:hAnsi="Times New Roman" w:cs="Times New Roman"/>
      <w:sz w:val="24"/>
      <w:szCs w:val="24"/>
    </w:rPr>
  </w:style>
  <w:style w:type="paragraph" w:styleId="Tekstzonderopmaak">
    <w:name w:val="Plain Text"/>
    <w:basedOn w:val="Standaard"/>
    <w:link w:val="TekstzonderopmaakChar"/>
    <w:unhideWhenUsed/>
    <w:rsid w:val="002A33E5"/>
    <w:pPr>
      <w:spacing w:after="0"/>
    </w:pPr>
    <w:rPr>
      <w:rFonts w:ascii="Calibri" w:hAnsi="Calibri" w:cs="Calibri"/>
      <w:sz w:val="22"/>
      <w:lang w:val="nl-NL"/>
    </w:rPr>
  </w:style>
  <w:style w:type="character" w:customStyle="1" w:styleId="TekstzonderopmaakChar">
    <w:name w:val="Tekst zonder opmaak Char"/>
    <w:basedOn w:val="Standaardalinea-lettertype"/>
    <w:link w:val="Tekstzonderopmaak"/>
    <w:rsid w:val="002A33E5"/>
    <w:rPr>
      <w:rFonts w:ascii="Calibri" w:hAnsi="Calibri" w:cs="Calibri"/>
      <w:sz w:val="22"/>
      <w:lang w:val="nl-NL"/>
    </w:rPr>
  </w:style>
  <w:style w:type="paragraph" w:customStyle="1" w:styleId="Body">
    <w:name w:val="Body"/>
    <w:rsid w:val="002A33E5"/>
    <w:pPr>
      <w:pBdr>
        <w:top w:val="nil"/>
        <w:left w:val="nil"/>
        <w:bottom w:val="nil"/>
        <w:right w:val="nil"/>
        <w:between w:val="nil"/>
        <w:bar w:val="nil"/>
      </w:pBdr>
    </w:pPr>
    <w:rPr>
      <w:rFonts w:eastAsia="Arial Unicode MS" w:hAnsi="Arial Unicode MS" w:cs="Arial Unicode MS"/>
      <w:color w:val="000000"/>
      <w:szCs w:val="18"/>
      <w:u w:color="000000"/>
      <w:bdr w:val="nil"/>
      <w:lang w:val="nl-NL" w:eastAsia="nl-NL"/>
    </w:rPr>
  </w:style>
  <w:style w:type="paragraph" w:styleId="Geenafstand">
    <w:name w:val="No Spacing"/>
    <w:rsid w:val="002A33E5"/>
    <w:pPr>
      <w:pBdr>
        <w:top w:val="nil"/>
        <w:left w:val="nil"/>
        <w:bottom w:val="nil"/>
        <w:right w:val="nil"/>
        <w:between w:val="nil"/>
        <w:bar w:val="nil"/>
      </w:pBdr>
      <w:spacing w:after="0"/>
    </w:pPr>
    <w:rPr>
      <w:rFonts w:ascii="Times New Roman" w:eastAsia="Arial Unicode MS" w:hAnsi="Arial Unicode MS" w:cs="Arial Unicode MS"/>
      <w:color w:val="000000"/>
      <w:sz w:val="24"/>
      <w:szCs w:val="24"/>
      <w:u w:color="000000"/>
      <w:bdr w:val="nil"/>
      <w:lang w:val="nl-NL" w:eastAsia="nl-NL"/>
    </w:rPr>
  </w:style>
  <w:style w:type="paragraph" w:styleId="Ballontekst">
    <w:name w:val="Balloon Text"/>
    <w:basedOn w:val="Standaard"/>
    <w:link w:val="BallontekstChar"/>
    <w:uiPriority w:val="99"/>
    <w:semiHidden/>
    <w:unhideWhenUsed/>
    <w:rsid w:val="00132DE2"/>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2DE2"/>
    <w:rPr>
      <w:rFonts w:ascii="Tahoma" w:hAnsi="Tahoma" w:cs="Tahoma"/>
      <w:sz w:val="16"/>
      <w:szCs w:val="16"/>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054AF2"/>
  </w:style>
  <w:style w:type="character" w:styleId="Verwijzingopmerking">
    <w:name w:val="annotation reference"/>
    <w:basedOn w:val="Standaardalinea-lettertype"/>
    <w:uiPriority w:val="99"/>
    <w:semiHidden/>
    <w:unhideWhenUsed/>
    <w:rsid w:val="00736606"/>
    <w:rPr>
      <w:sz w:val="16"/>
      <w:szCs w:val="16"/>
    </w:rPr>
  </w:style>
  <w:style w:type="paragraph" w:styleId="Tekstopmerking">
    <w:name w:val="annotation text"/>
    <w:basedOn w:val="Standaard"/>
    <w:link w:val="TekstopmerkingChar"/>
    <w:uiPriority w:val="99"/>
    <w:semiHidden/>
    <w:unhideWhenUsed/>
    <w:rsid w:val="00736606"/>
    <w:rPr>
      <w:sz w:val="20"/>
      <w:szCs w:val="20"/>
    </w:rPr>
  </w:style>
  <w:style w:type="character" w:customStyle="1" w:styleId="TekstopmerkingChar">
    <w:name w:val="Tekst opmerking Char"/>
    <w:basedOn w:val="Standaardalinea-lettertype"/>
    <w:link w:val="Tekstopmerking"/>
    <w:uiPriority w:val="99"/>
    <w:semiHidden/>
    <w:rsid w:val="00736606"/>
    <w:rPr>
      <w:sz w:val="20"/>
      <w:szCs w:val="20"/>
    </w:rPr>
  </w:style>
  <w:style w:type="paragraph" w:styleId="Onderwerpvanopmerking">
    <w:name w:val="annotation subject"/>
    <w:basedOn w:val="Tekstopmerking"/>
    <w:next w:val="Tekstopmerking"/>
    <w:link w:val="OnderwerpvanopmerkingChar"/>
    <w:uiPriority w:val="99"/>
    <w:semiHidden/>
    <w:unhideWhenUsed/>
    <w:rsid w:val="00736606"/>
    <w:rPr>
      <w:b/>
      <w:bCs/>
    </w:rPr>
  </w:style>
  <w:style w:type="character" w:customStyle="1" w:styleId="OnderwerpvanopmerkingChar">
    <w:name w:val="Onderwerp van opmerking Char"/>
    <w:basedOn w:val="TekstopmerkingChar"/>
    <w:link w:val="Onderwerpvanopmerking"/>
    <w:uiPriority w:val="99"/>
    <w:semiHidden/>
    <w:rsid w:val="00736606"/>
    <w:rPr>
      <w:b/>
      <w:bCs/>
      <w:sz w:val="20"/>
      <w:szCs w:val="20"/>
    </w:rPr>
  </w:style>
  <w:style w:type="paragraph" w:customStyle="1" w:styleId="Text3">
    <w:name w:val="Text 3"/>
    <w:basedOn w:val="Standaard"/>
    <w:rsid w:val="00DA53E9"/>
    <w:pPr>
      <w:spacing w:after="0"/>
      <w:ind w:left="1701"/>
      <w:outlineLvl w:val="2"/>
    </w:pPr>
    <w:rPr>
      <w:rFonts w:ascii="Times New Roman" w:eastAsia="Times New Roman" w:hAnsi="Times New Roman" w:cs="Times New Roman"/>
      <w:sz w:val="24"/>
      <w:szCs w:val="24"/>
      <w:lang w:val="en-GB"/>
    </w:rPr>
  </w:style>
  <w:style w:type="paragraph" w:customStyle="1" w:styleId="Default">
    <w:name w:val="Default"/>
    <w:rsid w:val="00011E98"/>
    <w:pPr>
      <w:autoSpaceDE w:val="0"/>
      <w:autoSpaceDN w:val="0"/>
      <w:adjustRightInd w:val="0"/>
      <w:spacing w:after="0"/>
    </w:pPr>
    <w:rPr>
      <w:rFonts w:cs="Verdana"/>
      <w:color w:val="000000"/>
      <w:sz w:val="24"/>
      <w:szCs w:val="24"/>
      <w:lang w:val="nl-NL"/>
    </w:rPr>
  </w:style>
  <w:style w:type="paragraph" w:styleId="Revisie">
    <w:name w:val="Revision"/>
    <w:hidden/>
    <w:uiPriority w:val="99"/>
    <w:semiHidden/>
    <w:rsid w:val="000C230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256">
      <w:bodyDiv w:val="1"/>
      <w:marLeft w:val="0"/>
      <w:marRight w:val="0"/>
      <w:marTop w:val="0"/>
      <w:marBottom w:val="0"/>
      <w:divBdr>
        <w:top w:val="none" w:sz="0" w:space="0" w:color="auto"/>
        <w:left w:val="none" w:sz="0" w:space="0" w:color="auto"/>
        <w:bottom w:val="none" w:sz="0" w:space="0" w:color="auto"/>
        <w:right w:val="none" w:sz="0" w:space="0" w:color="auto"/>
      </w:divBdr>
    </w:div>
    <w:div w:id="36593827">
      <w:bodyDiv w:val="1"/>
      <w:marLeft w:val="0"/>
      <w:marRight w:val="0"/>
      <w:marTop w:val="0"/>
      <w:marBottom w:val="0"/>
      <w:divBdr>
        <w:top w:val="none" w:sz="0" w:space="0" w:color="auto"/>
        <w:left w:val="none" w:sz="0" w:space="0" w:color="auto"/>
        <w:bottom w:val="none" w:sz="0" w:space="0" w:color="auto"/>
        <w:right w:val="none" w:sz="0" w:space="0" w:color="auto"/>
      </w:divBdr>
    </w:div>
    <w:div w:id="154927459">
      <w:bodyDiv w:val="1"/>
      <w:marLeft w:val="0"/>
      <w:marRight w:val="0"/>
      <w:marTop w:val="0"/>
      <w:marBottom w:val="0"/>
      <w:divBdr>
        <w:top w:val="none" w:sz="0" w:space="0" w:color="auto"/>
        <w:left w:val="none" w:sz="0" w:space="0" w:color="auto"/>
        <w:bottom w:val="none" w:sz="0" w:space="0" w:color="auto"/>
        <w:right w:val="none" w:sz="0" w:space="0" w:color="auto"/>
      </w:divBdr>
    </w:div>
    <w:div w:id="210850954">
      <w:bodyDiv w:val="1"/>
      <w:marLeft w:val="0"/>
      <w:marRight w:val="0"/>
      <w:marTop w:val="0"/>
      <w:marBottom w:val="0"/>
      <w:divBdr>
        <w:top w:val="none" w:sz="0" w:space="0" w:color="auto"/>
        <w:left w:val="none" w:sz="0" w:space="0" w:color="auto"/>
        <w:bottom w:val="none" w:sz="0" w:space="0" w:color="auto"/>
        <w:right w:val="none" w:sz="0" w:space="0" w:color="auto"/>
      </w:divBdr>
    </w:div>
    <w:div w:id="297688387">
      <w:bodyDiv w:val="1"/>
      <w:marLeft w:val="0"/>
      <w:marRight w:val="0"/>
      <w:marTop w:val="0"/>
      <w:marBottom w:val="0"/>
      <w:divBdr>
        <w:top w:val="none" w:sz="0" w:space="0" w:color="auto"/>
        <w:left w:val="none" w:sz="0" w:space="0" w:color="auto"/>
        <w:bottom w:val="none" w:sz="0" w:space="0" w:color="auto"/>
        <w:right w:val="none" w:sz="0" w:space="0" w:color="auto"/>
      </w:divBdr>
    </w:div>
    <w:div w:id="318659813">
      <w:bodyDiv w:val="1"/>
      <w:marLeft w:val="0"/>
      <w:marRight w:val="0"/>
      <w:marTop w:val="0"/>
      <w:marBottom w:val="0"/>
      <w:divBdr>
        <w:top w:val="none" w:sz="0" w:space="0" w:color="auto"/>
        <w:left w:val="none" w:sz="0" w:space="0" w:color="auto"/>
        <w:bottom w:val="none" w:sz="0" w:space="0" w:color="auto"/>
        <w:right w:val="none" w:sz="0" w:space="0" w:color="auto"/>
      </w:divBdr>
    </w:div>
    <w:div w:id="342391823">
      <w:bodyDiv w:val="1"/>
      <w:marLeft w:val="0"/>
      <w:marRight w:val="0"/>
      <w:marTop w:val="0"/>
      <w:marBottom w:val="0"/>
      <w:divBdr>
        <w:top w:val="none" w:sz="0" w:space="0" w:color="auto"/>
        <w:left w:val="none" w:sz="0" w:space="0" w:color="auto"/>
        <w:bottom w:val="none" w:sz="0" w:space="0" w:color="auto"/>
        <w:right w:val="none" w:sz="0" w:space="0" w:color="auto"/>
      </w:divBdr>
    </w:div>
    <w:div w:id="356584125">
      <w:bodyDiv w:val="1"/>
      <w:marLeft w:val="0"/>
      <w:marRight w:val="0"/>
      <w:marTop w:val="0"/>
      <w:marBottom w:val="0"/>
      <w:divBdr>
        <w:top w:val="none" w:sz="0" w:space="0" w:color="auto"/>
        <w:left w:val="none" w:sz="0" w:space="0" w:color="auto"/>
        <w:bottom w:val="none" w:sz="0" w:space="0" w:color="auto"/>
        <w:right w:val="none" w:sz="0" w:space="0" w:color="auto"/>
      </w:divBdr>
    </w:div>
    <w:div w:id="422914301">
      <w:bodyDiv w:val="1"/>
      <w:marLeft w:val="0"/>
      <w:marRight w:val="0"/>
      <w:marTop w:val="0"/>
      <w:marBottom w:val="0"/>
      <w:divBdr>
        <w:top w:val="none" w:sz="0" w:space="0" w:color="auto"/>
        <w:left w:val="none" w:sz="0" w:space="0" w:color="auto"/>
        <w:bottom w:val="none" w:sz="0" w:space="0" w:color="auto"/>
        <w:right w:val="none" w:sz="0" w:space="0" w:color="auto"/>
      </w:divBdr>
    </w:div>
    <w:div w:id="452290550">
      <w:bodyDiv w:val="1"/>
      <w:marLeft w:val="0"/>
      <w:marRight w:val="0"/>
      <w:marTop w:val="0"/>
      <w:marBottom w:val="0"/>
      <w:divBdr>
        <w:top w:val="none" w:sz="0" w:space="0" w:color="auto"/>
        <w:left w:val="none" w:sz="0" w:space="0" w:color="auto"/>
        <w:bottom w:val="none" w:sz="0" w:space="0" w:color="auto"/>
        <w:right w:val="none" w:sz="0" w:space="0" w:color="auto"/>
      </w:divBdr>
    </w:div>
    <w:div w:id="454755777">
      <w:bodyDiv w:val="1"/>
      <w:marLeft w:val="0"/>
      <w:marRight w:val="0"/>
      <w:marTop w:val="0"/>
      <w:marBottom w:val="0"/>
      <w:divBdr>
        <w:top w:val="none" w:sz="0" w:space="0" w:color="auto"/>
        <w:left w:val="none" w:sz="0" w:space="0" w:color="auto"/>
        <w:bottom w:val="none" w:sz="0" w:space="0" w:color="auto"/>
        <w:right w:val="none" w:sz="0" w:space="0" w:color="auto"/>
      </w:divBdr>
    </w:div>
    <w:div w:id="471483523">
      <w:bodyDiv w:val="1"/>
      <w:marLeft w:val="0"/>
      <w:marRight w:val="0"/>
      <w:marTop w:val="0"/>
      <w:marBottom w:val="0"/>
      <w:divBdr>
        <w:top w:val="none" w:sz="0" w:space="0" w:color="auto"/>
        <w:left w:val="none" w:sz="0" w:space="0" w:color="auto"/>
        <w:bottom w:val="none" w:sz="0" w:space="0" w:color="auto"/>
        <w:right w:val="none" w:sz="0" w:space="0" w:color="auto"/>
      </w:divBdr>
    </w:div>
    <w:div w:id="479467188">
      <w:bodyDiv w:val="1"/>
      <w:marLeft w:val="0"/>
      <w:marRight w:val="0"/>
      <w:marTop w:val="0"/>
      <w:marBottom w:val="0"/>
      <w:divBdr>
        <w:top w:val="none" w:sz="0" w:space="0" w:color="auto"/>
        <w:left w:val="none" w:sz="0" w:space="0" w:color="auto"/>
        <w:bottom w:val="none" w:sz="0" w:space="0" w:color="auto"/>
        <w:right w:val="none" w:sz="0" w:space="0" w:color="auto"/>
      </w:divBdr>
    </w:div>
    <w:div w:id="535002278">
      <w:bodyDiv w:val="1"/>
      <w:marLeft w:val="0"/>
      <w:marRight w:val="0"/>
      <w:marTop w:val="0"/>
      <w:marBottom w:val="0"/>
      <w:divBdr>
        <w:top w:val="none" w:sz="0" w:space="0" w:color="auto"/>
        <w:left w:val="none" w:sz="0" w:space="0" w:color="auto"/>
        <w:bottom w:val="none" w:sz="0" w:space="0" w:color="auto"/>
        <w:right w:val="none" w:sz="0" w:space="0" w:color="auto"/>
      </w:divBdr>
    </w:div>
    <w:div w:id="578834964">
      <w:bodyDiv w:val="1"/>
      <w:marLeft w:val="0"/>
      <w:marRight w:val="0"/>
      <w:marTop w:val="0"/>
      <w:marBottom w:val="0"/>
      <w:divBdr>
        <w:top w:val="none" w:sz="0" w:space="0" w:color="auto"/>
        <w:left w:val="none" w:sz="0" w:space="0" w:color="auto"/>
        <w:bottom w:val="none" w:sz="0" w:space="0" w:color="auto"/>
        <w:right w:val="none" w:sz="0" w:space="0" w:color="auto"/>
      </w:divBdr>
    </w:div>
    <w:div w:id="630212043">
      <w:bodyDiv w:val="1"/>
      <w:marLeft w:val="0"/>
      <w:marRight w:val="0"/>
      <w:marTop w:val="0"/>
      <w:marBottom w:val="0"/>
      <w:divBdr>
        <w:top w:val="none" w:sz="0" w:space="0" w:color="auto"/>
        <w:left w:val="none" w:sz="0" w:space="0" w:color="auto"/>
        <w:bottom w:val="none" w:sz="0" w:space="0" w:color="auto"/>
        <w:right w:val="none" w:sz="0" w:space="0" w:color="auto"/>
      </w:divBdr>
    </w:div>
    <w:div w:id="884760711">
      <w:bodyDiv w:val="1"/>
      <w:marLeft w:val="0"/>
      <w:marRight w:val="0"/>
      <w:marTop w:val="0"/>
      <w:marBottom w:val="0"/>
      <w:divBdr>
        <w:top w:val="none" w:sz="0" w:space="0" w:color="auto"/>
        <w:left w:val="none" w:sz="0" w:space="0" w:color="auto"/>
        <w:bottom w:val="none" w:sz="0" w:space="0" w:color="auto"/>
        <w:right w:val="none" w:sz="0" w:space="0" w:color="auto"/>
      </w:divBdr>
    </w:div>
    <w:div w:id="953486594">
      <w:bodyDiv w:val="1"/>
      <w:marLeft w:val="0"/>
      <w:marRight w:val="0"/>
      <w:marTop w:val="0"/>
      <w:marBottom w:val="0"/>
      <w:divBdr>
        <w:top w:val="none" w:sz="0" w:space="0" w:color="auto"/>
        <w:left w:val="none" w:sz="0" w:space="0" w:color="auto"/>
        <w:bottom w:val="none" w:sz="0" w:space="0" w:color="auto"/>
        <w:right w:val="none" w:sz="0" w:space="0" w:color="auto"/>
      </w:divBdr>
    </w:div>
    <w:div w:id="1206991835">
      <w:bodyDiv w:val="1"/>
      <w:marLeft w:val="0"/>
      <w:marRight w:val="0"/>
      <w:marTop w:val="0"/>
      <w:marBottom w:val="0"/>
      <w:divBdr>
        <w:top w:val="none" w:sz="0" w:space="0" w:color="auto"/>
        <w:left w:val="none" w:sz="0" w:space="0" w:color="auto"/>
        <w:bottom w:val="none" w:sz="0" w:space="0" w:color="auto"/>
        <w:right w:val="none" w:sz="0" w:space="0" w:color="auto"/>
      </w:divBdr>
    </w:div>
    <w:div w:id="1235628914">
      <w:bodyDiv w:val="1"/>
      <w:marLeft w:val="0"/>
      <w:marRight w:val="0"/>
      <w:marTop w:val="0"/>
      <w:marBottom w:val="0"/>
      <w:divBdr>
        <w:top w:val="none" w:sz="0" w:space="0" w:color="auto"/>
        <w:left w:val="none" w:sz="0" w:space="0" w:color="auto"/>
        <w:bottom w:val="none" w:sz="0" w:space="0" w:color="auto"/>
        <w:right w:val="none" w:sz="0" w:space="0" w:color="auto"/>
      </w:divBdr>
    </w:div>
    <w:div w:id="1240941835">
      <w:bodyDiv w:val="1"/>
      <w:marLeft w:val="0"/>
      <w:marRight w:val="0"/>
      <w:marTop w:val="0"/>
      <w:marBottom w:val="0"/>
      <w:divBdr>
        <w:top w:val="none" w:sz="0" w:space="0" w:color="auto"/>
        <w:left w:val="none" w:sz="0" w:space="0" w:color="auto"/>
        <w:bottom w:val="none" w:sz="0" w:space="0" w:color="auto"/>
        <w:right w:val="none" w:sz="0" w:space="0" w:color="auto"/>
      </w:divBdr>
    </w:div>
    <w:div w:id="1272053973">
      <w:bodyDiv w:val="1"/>
      <w:marLeft w:val="0"/>
      <w:marRight w:val="0"/>
      <w:marTop w:val="0"/>
      <w:marBottom w:val="0"/>
      <w:divBdr>
        <w:top w:val="none" w:sz="0" w:space="0" w:color="auto"/>
        <w:left w:val="none" w:sz="0" w:space="0" w:color="auto"/>
        <w:bottom w:val="none" w:sz="0" w:space="0" w:color="auto"/>
        <w:right w:val="none" w:sz="0" w:space="0" w:color="auto"/>
      </w:divBdr>
    </w:div>
    <w:div w:id="1449155489">
      <w:bodyDiv w:val="1"/>
      <w:marLeft w:val="0"/>
      <w:marRight w:val="0"/>
      <w:marTop w:val="0"/>
      <w:marBottom w:val="0"/>
      <w:divBdr>
        <w:top w:val="none" w:sz="0" w:space="0" w:color="auto"/>
        <w:left w:val="none" w:sz="0" w:space="0" w:color="auto"/>
        <w:bottom w:val="none" w:sz="0" w:space="0" w:color="auto"/>
        <w:right w:val="none" w:sz="0" w:space="0" w:color="auto"/>
      </w:divBdr>
    </w:div>
    <w:div w:id="1639873306">
      <w:bodyDiv w:val="1"/>
      <w:marLeft w:val="0"/>
      <w:marRight w:val="0"/>
      <w:marTop w:val="0"/>
      <w:marBottom w:val="0"/>
      <w:divBdr>
        <w:top w:val="none" w:sz="0" w:space="0" w:color="auto"/>
        <w:left w:val="none" w:sz="0" w:space="0" w:color="auto"/>
        <w:bottom w:val="none" w:sz="0" w:space="0" w:color="auto"/>
        <w:right w:val="none" w:sz="0" w:space="0" w:color="auto"/>
      </w:divBdr>
    </w:div>
    <w:div w:id="1688827501">
      <w:bodyDiv w:val="1"/>
      <w:marLeft w:val="0"/>
      <w:marRight w:val="0"/>
      <w:marTop w:val="0"/>
      <w:marBottom w:val="0"/>
      <w:divBdr>
        <w:top w:val="none" w:sz="0" w:space="0" w:color="auto"/>
        <w:left w:val="none" w:sz="0" w:space="0" w:color="auto"/>
        <w:bottom w:val="none" w:sz="0" w:space="0" w:color="auto"/>
        <w:right w:val="none" w:sz="0" w:space="0" w:color="auto"/>
      </w:divBdr>
    </w:div>
    <w:div w:id="1806002956">
      <w:bodyDiv w:val="1"/>
      <w:marLeft w:val="0"/>
      <w:marRight w:val="0"/>
      <w:marTop w:val="0"/>
      <w:marBottom w:val="0"/>
      <w:divBdr>
        <w:top w:val="none" w:sz="0" w:space="0" w:color="auto"/>
        <w:left w:val="none" w:sz="0" w:space="0" w:color="auto"/>
        <w:bottom w:val="none" w:sz="0" w:space="0" w:color="auto"/>
        <w:right w:val="none" w:sz="0" w:space="0" w:color="auto"/>
      </w:divBdr>
    </w:div>
    <w:div w:id="1837917889">
      <w:bodyDiv w:val="1"/>
      <w:marLeft w:val="0"/>
      <w:marRight w:val="0"/>
      <w:marTop w:val="0"/>
      <w:marBottom w:val="0"/>
      <w:divBdr>
        <w:top w:val="none" w:sz="0" w:space="0" w:color="auto"/>
        <w:left w:val="none" w:sz="0" w:space="0" w:color="auto"/>
        <w:bottom w:val="none" w:sz="0" w:space="0" w:color="auto"/>
        <w:right w:val="none" w:sz="0" w:space="0" w:color="auto"/>
      </w:divBdr>
    </w:div>
    <w:div w:id="1852331314">
      <w:bodyDiv w:val="1"/>
      <w:marLeft w:val="0"/>
      <w:marRight w:val="0"/>
      <w:marTop w:val="0"/>
      <w:marBottom w:val="0"/>
      <w:divBdr>
        <w:top w:val="none" w:sz="0" w:space="0" w:color="auto"/>
        <w:left w:val="none" w:sz="0" w:space="0" w:color="auto"/>
        <w:bottom w:val="none" w:sz="0" w:space="0" w:color="auto"/>
        <w:right w:val="none" w:sz="0" w:space="0" w:color="auto"/>
      </w:divBdr>
    </w:div>
    <w:div w:id="2061049481">
      <w:bodyDiv w:val="1"/>
      <w:marLeft w:val="0"/>
      <w:marRight w:val="0"/>
      <w:marTop w:val="0"/>
      <w:marBottom w:val="0"/>
      <w:divBdr>
        <w:top w:val="none" w:sz="0" w:space="0" w:color="auto"/>
        <w:left w:val="none" w:sz="0" w:space="0" w:color="auto"/>
        <w:bottom w:val="none" w:sz="0" w:space="0" w:color="auto"/>
        <w:right w:val="none" w:sz="0" w:space="0" w:color="auto"/>
      </w:divBdr>
    </w:div>
    <w:div w:id="208583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microsoft.com/office/2007/relationships/stylesWithEffects" Target="stylesWithEffect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4.xml><?xml version="1.0" encoding="utf-8"?>
<ds:datastoreItem xmlns:ds="http://schemas.openxmlformats.org/officeDocument/2006/customXml" ds:itemID="{C4EE0367-288E-454C-91CD-87BA21D4FE23}">
  <ds:schemaRef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docProps/app.xml><?xml version="1.0" encoding="utf-8"?>
<ap:Properties xmlns:vt="http://schemas.openxmlformats.org/officeDocument/2006/docPropsVTypes" xmlns:ap="http://schemas.openxmlformats.org/officeDocument/2006/extended-properties">
  <ap:Pages>3</ap:Pages>
  <ap:Words>1452</ap:Words>
  <ap:Characters>7989</ap:Characters>
  <ap:DocSecurity>4</ap:DocSecurity>
  <ap:Lines>66</ap:Lines>
  <ap:Paragraphs>18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2015-03-11T08:48:00.0000000Z</lastPrinted>
  <dcterms:created xsi:type="dcterms:W3CDTF">2015-03-12T17:21:00.0000000Z</dcterms:created>
  <dcterms:modified xsi:type="dcterms:W3CDTF">2015-03-12T17:21:00.0000000Z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0x01010061A4EEEF67AC77448DD83D89DC8800C7</vt:lpwstr>
  </property>
</Properties>
</file>