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91" w:rsidP="001F0491" w:rsidRDefault="001F0491">
      <w:pPr>
        <w:rPr>
          <w:rFonts w:asciiTheme="minorHAnsi" w:hAnsiTheme="minorHAnsi" w:cstheme="minorBidi"/>
          <w:color w:val="1F497D" w:themeColor="dark2"/>
        </w:rPr>
      </w:pPr>
    </w:p>
    <w:p w:rsidR="001F0491" w:rsidP="001F0491" w:rsidRDefault="001F0491">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Kler de E.C.E.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3 december 2014 14:58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Beertema</w:t>
      </w:r>
      <w:proofErr w:type="spellEnd"/>
      <w:r>
        <w:rPr>
          <w:rFonts w:ascii="Tahoma" w:hAnsi="Tahoma" w:eastAsia="Times New Roman" w:cs="Tahoma"/>
          <w:sz w:val="20"/>
          <w:szCs w:val="20"/>
          <w:lang w:eastAsia="nl-NL"/>
        </w:rPr>
        <w:t xml:space="preserve"> H.; Bisschop, R.; Klaver J.; </w:t>
      </w:r>
      <w:proofErr w:type="spellStart"/>
      <w:r>
        <w:rPr>
          <w:rFonts w:ascii="Tahoma" w:hAnsi="Tahoma" w:eastAsia="Times New Roman" w:cs="Tahoma"/>
          <w:sz w:val="20"/>
          <w:szCs w:val="20"/>
          <w:lang w:eastAsia="nl-NL"/>
        </w:rPr>
        <w:t>Meenen</w:t>
      </w:r>
      <w:proofErr w:type="spellEnd"/>
      <w:r>
        <w:rPr>
          <w:rFonts w:ascii="Tahoma" w:hAnsi="Tahoma" w:eastAsia="Times New Roman" w:cs="Tahoma"/>
          <w:sz w:val="20"/>
          <w:szCs w:val="20"/>
          <w:lang w:eastAsia="nl-NL"/>
        </w:rPr>
        <w:t xml:space="preserve"> van P.; Rog, M.; Siderius T.E.; </w:t>
      </w:r>
      <w:proofErr w:type="spellStart"/>
      <w:r>
        <w:rPr>
          <w:rFonts w:ascii="Tahoma" w:hAnsi="Tahoma" w:eastAsia="Times New Roman" w:cs="Tahoma"/>
          <w:sz w:val="20"/>
          <w:szCs w:val="20"/>
          <w:lang w:eastAsia="nl-NL"/>
        </w:rPr>
        <w:t>Straus</w:t>
      </w:r>
      <w:proofErr w:type="spellEnd"/>
      <w:r>
        <w:rPr>
          <w:rFonts w:ascii="Tahoma" w:hAnsi="Tahoma" w:eastAsia="Times New Roman" w:cs="Tahoma"/>
          <w:sz w:val="20"/>
          <w:szCs w:val="20"/>
          <w:lang w:eastAsia="nl-NL"/>
        </w:rPr>
        <w:t xml:space="preserve"> K.; Voordewind J.S.; </w:t>
      </w:r>
      <w:proofErr w:type="spellStart"/>
      <w:r>
        <w:rPr>
          <w:rFonts w:ascii="Tahoma" w:hAnsi="Tahoma" w:eastAsia="Times New Roman" w:cs="Tahoma"/>
          <w:sz w:val="20"/>
          <w:szCs w:val="20"/>
          <w:lang w:eastAsia="nl-NL"/>
        </w:rPr>
        <w:t>Ypma</w:t>
      </w:r>
      <w:proofErr w:type="spellEnd"/>
      <w:r>
        <w:rPr>
          <w:rFonts w:ascii="Tahoma" w:hAnsi="Tahoma" w:eastAsia="Times New Roman" w:cs="Tahoma"/>
          <w:sz w:val="20"/>
          <w:szCs w:val="20"/>
          <w:lang w:eastAsia="nl-NL"/>
        </w:rPr>
        <w:t xml:space="preserve">, L.; Dijk van J.J. (Jasper); </w:t>
      </w:r>
      <w:proofErr w:type="spellStart"/>
      <w:r>
        <w:rPr>
          <w:rFonts w:ascii="Tahoma" w:hAnsi="Tahoma" w:eastAsia="Times New Roman" w:cs="Tahoma"/>
          <w:sz w:val="20"/>
          <w:szCs w:val="20"/>
          <w:lang w:eastAsia="nl-NL"/>
        </w:rPr>
        <w:t>Jadnanansing</w:t>
      </w:r>
      <w:proofErr w:type="spellEnd"/>
      <w:r>
        <w:rPr>
          <w:rFonts w:ascii="Tahoma" w:hAnsi="Tahoma" w:eastAsia="Times New Roman" w:cs="Tahoma"/>
          <w:sz w:val="20"/>
          <w:szCs w:val="20"/>
          <w:lang w:eastAsia="nl-NL"/>
        </w:rPr>
        <w:t xml:space="preserve"> T.; Klein N.; Lucas-Smeerdijk A.</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GC-Commissie-OCW-Fractiemedewerkers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Aankondiging OCW-Rondvraagpunt </w:t>
      </w:r>
      <w:proofErr w:type="spellStart"/>
      <w:r>
        <w:rPr>
          <w:rFonts w:ascii="Tahoma" w:hAnsi="Tahoma" w:eastAsia="Times New Roman" w:cs="Tahoma"/>
          <w:sz w:val="20"/>
          <w:szCs w:val="20"/>
          <w:lang w:eastAsia="nl-NL"/>
        </w:rPr>
        <w:t>vh</w:t>
      </w:r>
      <w:proofErr w:type="spellEnd"/>
      <w:r>
        <w:rPr>
          <w:rFonts w:ascii="Tahoma" w:hAnsi="Tahoma" w:eastAsia="Times New Roman" w:cs="Tahoma"/>
          <w:sz w:val="20"/>
          <w:szCs w:val="20"/>
          <w:lang w:eastAsia="nl-NL"/>
        </w:rPr>
        <w:t xml:space="preserve"> lid Siderius: verzoek gestanddoening toezegging </w:t>
      </w:r>
      <w:proofErr w:type="spellStart"/>
      <w:r>
        <w:rPr>
          <w:rFonts w:ascii="Tahoma" w:hAnsi="Tahoma" w:eastAsia="Times New Roman" w:cs="Tahoma"/>
          <w:sz w:val="20"/>
          <w:szCs w:val="20"/>
          <w:lang w:eastAsia="nl-NL"/>
        </w:rPr>
        <w:t>staatss</w:t>
      </w:r>
      <w:proofErr w:type="spellEnd"/>
      <w:r>
        <w:rPr>
          <w:rFonts w:ascii="Tahoma" w:hAnsi="Tahoma" w:eastAsia="Times New Roman" w:cs="Tahoma"/>
          <w:sz w:val="20"/>
          <w:szCs w:val="20"/>
          <w:lang w:eastAsia="nl-NL"/>
        </w:rPr>
        <w:t xml:space="preserve"> OCW inzake lijst afwijzingsgronden in het ondersteuningsprofiel van een mbo-instelling </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1F0491" w:rsidP="001F0491" w:rsidRDefault="001F0491"/>
    <w:p w:rsidR="001F0491" w:rsidP="001F0491" w:rsidRDefault="001F0491">
      <w:pPr>
        <w:rPr>
          <w:color w:val="1F497D"/>
        </w:rPr>
      </w:pPr>
      <w:r>
        <w:rPr>
          <w:color w:val="1F497D"/>
        </w:rPr>
        <w:t xml:space="preserve">Betreft: Aankondiging </w:t>
      </w:r>
      <w:r>
        <w:rPr>
          <w:color w:val="1F497D"/>
          <w:u w:val="single"/>
        </w:rPr>
        <w:t>Rondvraagpunt</w:t>
      </w:r>
      <w:r>
        <w:rPr>
          <w:color w:val="1F497D"/>
        </w:rPr>
        <w:t xml:space="preserve"> </w:t>
      </w:r>
      <w:proofErr w:type="spellStart"/>
      <w:r>
        <w:rPr>
          <w:color w:val="1F497D"/>
        </w:rPr>
        <w:t>vh</w:t>
      </w:r>
      <w:proofErr w:type="spellEnd"/>
      <w:r>
        <w:rPr>
          <w:color w:val="1F497D"/>
        </w:rPr>
        <w:t xml:space="preserve"> lid Siderius OCW-procedurevergadering, morgen 14.30 uur (</w:t>
      </w:r>
      <w:proofErr w:type="spellStart"/>
      <w:r>
        <w:rPr>
          <w:color w:val="1F497D"/>
        </w:rPr>
        <w:t>Klompezaal</w:t>
      </w:r>
      <w:proofErr w:type="spellEnd"/>
      <w:r>
        <w:rPr>
          <w:color w:val="1F497D"/>
        </w:rPr>
        <w:t xml:space="preserve">): </w:t>
      </w:r>
    </w:p>
    <w:p w:rsidR="001F0491" w:rsidP="001F0491" w:rsidRDefault="001F0491">
      <w:pPr>
        <w:rPr>
          <w:color w:val="1F497D"/>
        </w:rPr>
      </w:pPr>
      <w:r>
        <w:rPr>
          <w:color w:val="1F497D"/>
        </w:rPr>
        <w:t xml:space="preserve">verzoek gestanddoening </w:t>
      </w:r>
      <w:r>
        <w:rPr>
          <w:color w:val="1F497D"/>
          <w:highlight w:val="yellow"/>
        </w:rPr>
        <w:t>toezegging</w:t>
      </w:r>
      <w:r>
        <w:rPr>
          <w:color w:val="1F497D"/>
        </w:rPr>
        <w:t xml:space="preserve"> </w:t>
      </w:r>
      <w:proofErr w:type="spellStart"/>
      <w:r>
        <w:rPr>
          <w:color w:val="1F497D"/>
        </w:rPr>
        <w:t>staatss</w:t>
      </w:r>
      <w:proofErr w:type="spellEnd"/>
      <w:r>
        <w:rPr>
          <w:color w:val="1F497D"/>
        </w:rPr>
        <w:t xml:space="preserve"> OCW inzake lijst </w:t>
      </w:r>
      <w:r>
        <w:rPr>
          <w:color w:val="1F497D"/>
          <w:highlight w:val="yellow"/>
        </w:rPr>
        <w:t>afwijzingsgronden</w:t>
      </w:r>
      <w:r>
        <w:rPr>
          <w:color w:val="1F497D"/>
        </w:rPr>
        <w:t xml:space="preserve"> in het ondersteuningsprofiel van een </w:t>
      </w:r>
      <w:r>
        <w:rPr>
          <w:color w:val="1F497D"/>
          <w:highlight w:val="yellow"/>
        </w:rPr>
        <w:t>mbo-instelling</w:t>
      </w:r>
    </w:p>
    <w:p w:rsidR="001F0491" w:rsidP="001F0491" w:rsidRDefault="001F0491">
      <w:pPr>
        <w:rPr>
          <w:color w:val="1F497D"/>
        </w:rPr>
      </w:pPr>
      <w:r>
        <w:rPr>
          <w:color w:val="1F497D"/>
        </w:rPr>
        <w:t>(zie achtergrondinfo helemaal onderaan de mailwisseling).</w:t>
      </w:r>
    </w:p>
    <w:p w:rsidR="001F0491" w:rsidP="001F0491" w:rsidRDefault="001F0491">
      <w:pPr>
        <w:rPr>
          <w:color w:val="1F497D"/>
        </w:rPr>
      </w:pPr>
    </w:p>
    <w:p w:rsidR="001F0491" w:rsidP="001F0491" w:rsidRDefault="001F0491">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Siderius T.E.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3 december 2014 13:10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OCW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hyperlink w:history="1" r:id="rId6">
        <w:r>
          <w:rPr>
            <w:rStyle w:val="Hyperlink"/>
            <w:rFonts w:ascii="Tahoma" w:hAnsi="Tahoma" w:cs="Tahoma"/>
            <w:sz w:val="20"/>
            <w:szCs w:val="20"/>
            <w:lang w:eastAsia="nl-NL"/>
          </w:rPr>
          <w:t>eflentge@sp.nl</w:t>
        </w:r>
      </w:hyperlink>
      <w:r>
        <w:rPr>
          <w:rFonts w:ascii="Tahoma" w:hAnsi="Tahoma" w:cs="Tahoma"/>
          <w:sz w:val="20"/>
          <w:szCs w:val="20"/>
          <w:lang w:eastAsia="nl-NL"/>
        </w:rPr>
        <w:t xml:space="preserve">; </w:t>
      </w:r>
      <w:proofErr w:type="spellStart"/>
      <w:r>
        <w:rPr>
          <w:rFonts w:ascii="Tahoma" w:hAnsi="Tahoma" w:cs="Tahoma"/>
          <w:sz w:val="20"/>
          <w:szCs w:val="20"/>
          <w:lang w:eastAsia="nl-NL"/>
        </w:rPr>
        <w:t>Tjitske</w:t>
      </w:r>
      <w:proofErr w:type="spellEnd"/>
      <w:r>
        <w:rPr>
          <w:rFonts w:ascii="Tahoma" w:hAnsi="Tahoma" w:cs="Tahoma"/>
          <w:sz w:val="20"/>
          <w:szCs w:val="20"/>
          <w:lang w:eastAsia="nl-NL"/>
        </w:rPr>
        <w:t xml:space="preserve"> Siderius (</w:t>
      </w:r>
      <w:hyperlink w:history="1" r:id="rId7">
        <w:r>
          <w:rPr>
            <w:rStyle w:val="Hyperlink"/>
            <w:rFonts w:ascii="Tahoma" w:hAnsi="Tahoma" w:cs="Tahoma"/>
            <w:sz w:val="20"/>
            <w:szCs w:val="20"/>
            <w:lang w:eastAsia="nl-NL"/>
          </w:rPr>
          <w:t>tsiderius@sp.nl</w:t>
        </w:r>
      </w:hyperlink>
      <w:r>
        <w:rPr>
          <w:rFonts w:ascii="Tahoma" w:hAnsi="Tahoma" w:cs="Tahoma"/>
          <w:sz w:val="20"/>
          <w:szCs w:val="20"/>
          <w:lang w:eastAsia="nl-NL"/>
        </w:rPr>
        <w: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rondvraag PV</w:t>
      </w:r>
    </w:p>
    <w:p w:rsidR="001F0491" w:rsidP="001F0491" w:rsidRDefault="001F0491"/>
    <w:p w:rsidR="001F0491" w:rsidP="001F0491" w:rsidRDefault="001F0491">
      <w:pPr>
        <w:rPr>
          <w:rFonts w:ascii="Times New Roman" w:hAnsi="Times New Roman"/>
          <w:color w:val="000000"/>
        </w:rPr>
      </w:pPr>
      <w:r>
        <w:rPr>
          <w:rFonts w:ascii="Times New Roman" w:hAnsi="Times New Roman"/>
          <w:color w:val="000000"/>
        </w:rPr>
        <w:t>Beste griffier,</w:t>
      </w:r>
    </w:p>
    <w:p w:rsidR="001F0491" w:rsidP="001F0491" w:rsidRDefault="001F0491">
      <w:pPr>
        <w:rPr>
          <w:rFonts w:ascii="Times New Roman" w:hAnsi="Times New Roman"/>
          <w:color w:val="000000"/>
        </w:rPr>
      </w:pPr>
    </w:p>
    <w:p w:rsidR="001F0491" w:rsidP="001F0491" w:rsidRDefault="001F0491">
      <w:pPr>
        <w:rPr>
          <w:rFonts w:ascii="Times New Roman" w:hAnsi="Times New Roman"/>
          <w:color w:val="000000"/>
        </w:rPr>
      </w:pPr>
      <w:r>
        <w:rPr>
          <w:rFonts w:ascii="Times New Roman" w:hAnsi="Times New Roman"/>
          <w:color w:val="000000"/>
        </w:rPr>
        <w:t xml:space="preserve">Tijdens het vorige debat over Passend Onderwijs heeft de staatssecretaris toegezegd naar de lange lijst afwijzingsgronden in een ondersteuningsprofiel van een </w:t>
      </w:r>
      <w:proofErr w:type="spellStart"/>
      <w:r>
        <w:rPr>
          <w:rFonts w:ascii="Times New Roman" w:hAnsi="Times New Roman"/>
          <w:color w:val="000000"/>
        </w:rPr>
        <w:t>MBO-school</w:t>
      </w:r>
      <w:proofErr w:type="spellEnd"/>
      <w:r>
        <w:rPr>
          <w:rFonts w:ascii="Times New Roman" w:hAnsi="Times New Roman"/>
          <w:color w:val="000000"/>
        </w:rPr>
        <w:t xml:space="preserve"> te zullen kijken en hierop te reageren. Dat ondersteuningsprofiel is op 7 juli 2014 aan hem gestuurd. Ondanks diverse reminders heeft de SP tot op heden geen inhoudelijke reactie mogen ontvangen. Volgende week debatteren we opnieuw over het Passend Onderwijs. Het zou mooi zijn als de Kamer toch uiterlijk deze week een schriftelijke reactie mag ontvangen.</w:t>
      </w:r>
    </w:p>
    <w:p w:rsidR="001F0491" w:rsidP="001F0491" w:rsidRDefault="001F0491">
      <w:pPr>
        <w:spacing w:before="100" w:beforeAutospacing="1" w:after="100" w:afterAutospacing="1"/>
        <w:rPr>
          <w:rFonts w:ascii="Times New Roman" w:hAnsi="Times New Roman"/>
          <w:color w:val="000000"/>
          <w:lang w:eastAsia="nl-NL"/>
        </w:rPr>
      </w:pPr>
      <w:r>
        <w:rPr>
          <w:rFonts w:ascii="Times New Roman" w:hAnsi="Times New Roman"/>
          <w:color w:val="000000"/>
          <w:lang w:eastAsia="nl-NL"/>
        </w:rPr>
        <w:t xml:space="preserve">Vriendelijke groet, </w:t>
      </w:r>
    </w:p>
    <w:p w:rsidR="001F0491" w:rsidP="001F0491" w:rsidRDefault="001F0491">
      <w:pPr>
        <w:rPr>
          <w:rFonts w:ascii="Times New Roman" w:hAnsi="Times New Roman"/>
          <w:color w:val="000000"/>
          <w:lang w:eastAsia="nl-NL"/>
        </w:rPr>
      </w:pPr>
      <w:proofErr w:type="spellStart"/>
      <w:r>
        <w:rPr>
          <w:rFonts w:ascii="Times New Roman" w:hAnsi="Times New Roman"/>
          <w:color w:val="000000"/>
          <w:lang w:eastAsia="nl-NL"/>
        </w:rPr>
        <w:t>Tjitske</w:t>
      </w:r>
      <w:proofErr w:type="spellEnd"/>
      <w:r>
        <w:rPr>
          <w:rFonts w:ascii="Times New Roman" w:hAnsi="Times New Roman"/>
          <w:color w:val="000000"/>
          <w:lang w:eastAsia="nl-NL"/>
        </w:rPr>
        <w:t xml:space="preserve"> Siderius </w:t>
      </w:r>
      <w:r>
        <w:rPr>
          <w:rFonts w:ascii="Times New Roman" w:hAnsi="Times New Roman"/>
          <w:color w:val="000000"/>
          <w:lang w:eastAsia="nl-NL"/>
        </w:rPr>
        <w:br/>
        <w:t xml:space="preserve">SP Tweede Kamerlid </w:t>
      </w:r>
    </w:p>
    <w:p w:rsidR="001F0491" w:rsidP="001F0491" w:rsidRDefault="001F0491">
      <w:pPr>
        <w:rPr>
          <w:rFonts w:ascii="Times New Roman" w:hAnsi="Times New Roman"/>
          <w:color w:val="000000"/>
          <w:lang w:eastAsia="nl-NL"/>
        </w:rPr>
      </w:pPr>
      <w:r>
        <w:rPr>
          <w:rFonts w:ascii="Times New Roman" w:hAnsi="Times New Roman"/>
          <w:color w:val="000000"/>
          <w:lang w:eastAsia="nl-NL"/>
        </w:rPr>
        <w:t>Woordvoerder Jeugdzorg, Passend Onderwijs, Kinderopvang &amp; Thuiszorg</w:t>
      </w:r>
    </w:p>
    <w:p w:rsidR="001F0491" w:rsidP="001F0491" w:rsidRDefault="001F0491">
      <w:pPr>
        <w:rPr>
          <w:color w:val="1F497D"/>
        </w:rPr>
      </w:pPr>
    </w:p>
    <w:p w:rsidR="001F0491" w:rsidP="001F0491" w:rsidRDefault="001F0491">
      <w:pPr>
        <w:rPr>
          <w:color w:val="1F497D"/>
        </w:rPr>
      </w:pPr>
      <w:r>
        <w:rPr>
          <w:color w:val="1F497D"/>
        </w:rPr>
        <w:t>Ter info:</w:t>
      </w:r>
    </w:p>
    <w:p w:rsidR="001F0491" w:rsidP="001F0491" w:rsidRDefault="001F0491">
      <w:pPr>
        <w:rPr>
          <w:color w:val="1F497D"/>
        </w:rPr>
      </w:pPr>
    </w:p>
    <w:p w:rsidR="001F0491" w:rsidP="001F0491" w:rsidRDefault="001F0491">
      <w:pPr>
        <w:pStyle w:val="Lijstalinea"/>
        <w:numPr>
          <w:ilvl w:val="0"/>
          <w:numId w:val="1"/>
        </w:numPr>
        <w:rPr>
          <w:color w:val="1F497D"/>
        </w:rPr>
      </w:pPr>
      <w:r>
        <w:rPr>
          <w:color w:val="1F497D"/>
        </w:rPr>
        <w:t xml:space="preserve">Passage uit Kamerstuk 31 497, nr. 138: </w:t>
      </w:r>
      <w:r>
        <w:rPr>
          <w:rFonts w:ascii="Verdana" w:hAnsi="Verdana"/>
          <w:color w:val="000080"/>
          <w:sz w:val="17"/>
          <w:szCs w:val="17"/>
        </w:rPr>
        <w:t>Verslag van een algemeen overleg, gehouden op 3 juli 2014, over Passend onderwijs</w:t>
      </w:r>
    </w:p>
    <w:p w:rsidR="001F0491" w:rsidP="001F0491" w:rsidRDefault="001F0491">
      <w:pPr>
        <w:pStyle w:val="Lijstalinea"/>
        <w:numPr>
          <w:ilvl w:val="0"/>
          <w:numId w:val="1"/>
        </w:numPr>
        <w:rPr>
          <w:color w:val="1F497D"/>
        </w:rPr>
      </w:pPr>
      <w:r>
        <w:rPr>
          <w:color w:val="1F497D"/>
        </w:rPr>
        <w:t>Toezegging tijdens AO over  </w:t>
      </w:r>
      <w:proofErr w:type="spellStart"/>
      <w:r>
        <w:rPr>
          <w:sz w:val="20"/>
          <w:szCs w:val="20"/>
        </w:rPr>
        <w:t>ROC's</w:t>
      </w:r>
      <w:proofErr w:type="spellEnd"/>
      <w:r>
        <w:rPr>
          <w:sz w:val="20"/>
          <w:szCs w:val="20"/>
        </w:rPr>
        <w:t xml:space="preserve"> die kwetsbare jongeren niet aannemen voor een beroepsopleiding</w:t>
      </w:r>
    </w:p>
    <w:p w:rsidR="001F0491" w:rsidP="001F0491" w:rsidRDefault="001F0491">
      <w:pPr>
        <w:rPr>
          <w:color w:val="1F497D"/>
        </w:rPr>
      </w:pPr>
    </w:p>
    <w:p w:rsidR="001F0491" w:rsidP="001F0491" w:rsidRDefault="001F0491">
      <w:pPr>
        <w:rPr>
          <w:color w:val="1F497D"/>
        </w:rPr>
      </w:pPr>
      <w:r>
        <w:rPr>
          <w:b/>
          <w:bCs/>
          <w:color w:val="1F497D"/>
        </w:rPr>
        <w:t>Staatssecretaris Dekker</w:t>
      </w:r>
      <w:r>
        <w:rPr>
          <w:color w:val="1F497D"/>
        </w:rPr>
        <w:t>: De SP stelde een vraag over het mbo. Het mbo kent formeel niet iets wat lijkt op passend onderwijs met de zorgplicht die voor het funderend onderwijs geldt. Voor het mbo geldt de Wet gelijke behandeling. Op grond daarvan moeten mbo-instellingen onderzoeken of zij leerlingen kunnen toelaten en hebben zij ook de plicht om doeltreffend aanpassingen te doen. Alleen als er sprake is van onevenredige belasting zijn zij daar niet toe gehouden. Voor studenten die het gevoel hebben dat zij daarbij niet goed worden behandeld, bestaat er een beroepsmogelijkheid bij het College voor de Rechten van de Mens.</w:t>
      </w:r>
    </w:p>
    <w:p w:rsidR="001F0491" w:rsidP="001F0491" w:rsidRDefault="001F0491">
      <w:pPr>
        <w:rPr>
          <w:color w:val="1F497D"/>
        </w:rPr>
      </w:pPr>
      <w:r>
        <w:rPr>
          <w:b/>
          <w:bCs/>
          <w:color w:val="1F497D"/>
        </w:rPr>
        <w:t>Mevrouw Siderius</w:t>
      </w:r>
      <w:r>
        <w:rPr>
          <w:color w:val="1F497D"/>
        </w:rPr>
        <w:t xml:space="preserve"> (SP): Ik heb in mijn bijdrage een deel uit het onder-</w:t>
      </w:r>
      <w:proofErr w:type="spellStart"/>
      <w:r>
        <w:rPr>
          <w:color w:val="1F497D"/>
        </w:rPr>
        <w:t>steuningsprofiel</w:t>
      </w:r>
      <w:proofErr w:type="spellEnd"/>
      <w:r>
        <w:rPr>
          <w:color w:val="1F497D"/>
        </w:rPr>
        <w:t xml:space="preserve"> van het mbo voorgelezen, met een trits criteria waarop je niet wordt aangenomen bij de mbo-instelling in kwestie. Leerlingen die verpleegkundige zorg nodig hebben, leerlingen met een motorische beperking en </w:t>
      </w:r>
      <w:r>
        <w:rPr>
          <w:color w:val="1F497D"/>
        </w:rPr>
        <w:lastRenderedPageBreak/>
        <w:t xml:space="preserve">leerlingen, die zich niet zelfstandig kunnen handhaven en individuele begeleidingsmomenten nodig hebben, worden gewoon afgewezen, puur omdat ze een beperking hebben of een aandoening. Dan is het heel makkelijk om te zeggen: we hebben het College voor de Rechten van de Mens, ze moeten zich uiteindelijk daar maar melden. Wat vindt de Staatssecretaris van zo’n ondersteuningsprofiel? Kan dat volgens de Staatssecretaris door de beugel? </w:t>
      </w:r>
    </w:p>
    <w:p w:rsidR="001F0491" w:rsidP="001F0491" w:rsidRDefault="001F0491">
      <w:pPr>
        <w:rPr>
          <w:color w:val="1F497D"/>
        </w:rPr>
      </w:pPr>
      <w:r>
        <w:rPr>
          <w:b/>
          <w:bCs/>
          <w:color w:val="1F497D"/>
        </w:rPr>
        <w:t>Staatssecretaris Dekker</w:t>
      </w:r>
      <w:r>
        <w:rPr>
          <w:color w:val="1F497D"/>
        </w:rPr>
        <w:t xml:space="preserve">: Ik ken het document niet, waaruit u citeert. Is dat van een specifieke instelling? </w:t>
      </w:r>
    </w:p>
    <w:p w:rsidR="001F0491" w:rsidP="001F0491" w:rsidRDefault="001F0491">
      <w:pPr>
        <w:rPr>
          <w:color w:val="1F497D"/>
        </w:rPr>
      </w:pPr>
      <w:r>
        <w:rPr>
          <w:b/>
          <w:bCs/>
          <w:color w:val="1F497D"/>
        </w:rPr>
        <w:t>Mevrouw Siderius (SP)</w:t>
      </w:r>
      <w:r>
        <w:rPr>
          <w:color w:val="1F497D"/>
        </w:rPr>
        <w:t xml:space="preserve">: Ja. </w:t>
      </w:r>
    </w:p>
    <w:p w:rsidR="001F0491" w:rsidP="001F0491" w:rsidRDefault="001F0491">
      <w:pPr>
        <w:rPr>
          <w:color w:val="1F497D"/>
        </w:rPr>
      </w:pPr>
      <w:r>
        <w:rPr>
          <w:b/>
          <w:bCs/>
          <w:color w:val="1F497D"/>
        </w:rPr>
        <w:t>Staatssecretaris Dekker</w:t>
      </w:r>
      <w:r>
        <w:rPr>
          <w:color w:val="1F497D"/>
        </w:rPr>
        <w:t xml:space="preserve">: Het komt op mij over als veel te generiek. Ik zou wel willen weten waar het vandaan komt, dan konden we daar eens een gesprek gaan voeren. Het hangt helemaal af van de beperkingen die een leerling heeft of je uiteindelijk kunt zeggen: we zijn niet in staat die leerling toe te laten, omdat dit een onevenredige inspanning vereist. Kleine inspanningen die nodig zijn, moeten gewoon gedaan worden op basis van de Wet gelijke behandeling. </w:t>
      </w:r>
    </w:p>
    <w:p w:rsidR="001F0491" w:rsidP="001F0491" w:rsidRDefault="001F0491">
      <w:pPr>
        <w:rPr>
          <w:color w:val="1F497D"/>
        </w:rPr>
      </w:pPr>
      <w:r>
        <w:rPr>
          <w:b/>
          <w:bCs/>
          <w:color w:val="1F497D"/>
        </w:rPr>
        <w:t>Mevrouw Siderius (SP</w:t>
      </w:r>
      <w:r>
        <w:rPr>
          <w:color w:val="1F497D"/>
        </w:rPr>
        <w:t xml:space="preserve">): Ik ga hier geen namen noemen, maar ik ga dat voorbeeld na afloop van de vergadering aan de Staatssecretaris geven, in de hoop dat hij met die mbo-instelling in gesprek wil gaan. </w:t>
      </w:r>
    </w:p>
    <w:p w:rsidR="001F0491" w:rsidP="001F0491" w:rsidRDefault="001F0491">
      <w:pPr>
        <w:rPr>
          <w:color w:val="1F497D"/>
        </w:rPr>
      </w:pPr>
      <w:r>
        <w:rPr>
          <w:b/>
          <w:bCs/>
          <w:color w:val="1F497D"/>
        </w:rPr>
        <w:t>Staatssecretaris Dekker</w:t>
      </w:r>
      <w:r>
        <w:rPr>
          <w:color w:val="1F497D"/>
        </w:rPr>
        <w:t xml:space="preserve">: </w:t>
      </w:r>
      <w:r>
        <w:rPr>
          <w:color w:val="1F497D"/>
          <w:highlight w:val="yellow"/>
        </w:rPr>
        <w:t>Ik zal twee dingen doen</w:t>
      </w:r>
      <w:r>
        <w:rPr>
          <w:color w:val="1F497D"/>
        </w:rPr>
        <w:t>. Ik wil dat document goed bestuderen en ik zal de Minister vragen om contact op te nemen met de mbo-instelling in kwestie. Ik zal de Minister ook vragen om op sectorniveau te bezien of er niet een soort leidraad gemaakt kan worden, die voor alle mbo-instellingen helder kan aangeven hoe om te gaan met de Wet gelijke behandeling.</w:t>
      </w:r>
    </w:p>
    <w:p w:rsidR="001F0491" w:rsidP="001F0491" w:rsidRDefault="001F0491">
      <w:pPr>
        <w:rPr>
          <w:color w:val="1F497D"/>
        </w:rPr>
      </w:pPr>
    </w:p>
    <w:p w:rsidR="001F0491" w:rsidP="001F0491" w:rsidRDefault="001F0491">
      <w:pPr>
        <w:rPr>
          <w:color w:val="1F497D"/>
        </w:rPr>
      </w:pPr>
    </w:p>
    <w:tbl>
      <w:tblPr>
        <w:tblW w:w="0" w:type="auto"/>
        <w:tblCellSpacing w:w="15" w:type="dxa"/>
        <w:tblBorders>
          <w:top w:val="single" w:color="auto" w:sz="8" w:space="0"/>
          <w:left w:val="single" w:color="auto" w:sz="8" w:space="0"/>
          <w:bottom w:val="single" w:color="auto" w:sz="8" w:space="0"/>
          <w:right w:val="single" w:color="auto" w:sz="8" w:space="0"/>
        </w:tblBorders>
        <w:tblCellMar>
          <w:left w:w="0" w:type="dxa"/>
          <w:right w:w="0" w:type="dxa"/>
        </w:tblCellMar>
        <w:tblLook w:val="04A0" w:firstRow="1" w:lastRow="0" w:firstColumn="1" w:lastColumn="0" w:noHBand="0" w:noVBand="1"/>
      </w:tblPr>
      <w:tblGrid>
        <w:gridCol w:w="677"/>
        <w:gridCol w:w="3065"/>
        <w:gridCol w:w="5460"/>
      </w:tblGrid>
      <w:tr w:rsidR="001F0491" w:rsidTr="001F0491">
        <w:trPr>
          <w:tblCellSpacing w:w="15" w:type="dxa"/>
        </w:trPr>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1F0491" w:rsidRDefault="001F0491">
            <w:pPr>
              <w:rPr>
                <w:sz w:val="20"/>
                <w:szCs w:val="20"/>
              </w:rPr>
            </w:pPr>
            <w:r>
              <w:rPr>
                <w:sz w:val="20"/>
                <w:szCs w:val="20"/>
              </w:rPr>
              <w:t>9 okt 2014</w:t>
            </w:r>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1F0491" w:rsidRDefault="001F0491">
            <w:pPr>
              <w:rPr>
                <w:sz w:val="20"/>
                <w:szCs w:val="20"/>
              </w:rPr>
            </w:pPr>
            <w:proofErr w:type="spellStart"/>
            <w:r>
              <w:rPr>
                <w:sz w:val="20"/>
                <w:szCs w:val="20"/>
              </w:rPr>
              <w:t>ROC's</w:t>
            </w:r>
            <w:proofErr w:type="spellEnd"/>
            <w:r>
              <w:rPr>
                <w:sz w:val="20"/>
                <w:szCs w:val="20"/>
              </w:rPr>
              <w:t xml:space="preserve"> die kwetsbare jongeren niet aannemen voor een beroepsopleiding</w:t>
            </w:r>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1F0491" w:rsidRDefault="001F0491">
            <w:pPr>
              <w:pStyle w:val="Normaalweb"/>
              <w:rPr>
                <w:sz w:val="20"/>
                <w:szCs w:val="20"/>
              </w:rPr>
            </w:pPr>
            <w:r>
              <w:rPr>
                <w:sz w:val="20"/>
                <w:szCs w:val="20"/>
              </w:rPr>
              <w:t>Zoals eerder toegezegd ontvangt de Kamer in het najaar en plan van aanpak 'Kwetsbare jongeren'. Hierin zal ook aandacht worden besteed aan:</w:t>
            </w:r>
          </w:p>
          <w:p w:rsidR="001F0491" w:rsidRDefault="001F0491">
            <w:pPr>
              <w:pStyle w:val="Normaalweb"/>
              <w:rPr>
                <w:sz w:val="20"/>
                <w:szCs w:val="20"/>
              </w:rPr>
            </w:pPr>
            <w:r>
              <w:rPr>
                <w:sz w:val="20"/>
                <w:szCs w:val="20"/>
              </w:rPr>
              <w:t>-de zorgplicht in mbo;</w:t>
            </w:r>
          </w:p>
          <w:p w:rsidR="001F0491" w:rsidRDefault="001F0491">
            <w:pPr>
              <w:pStyle w:val="Normaalweb"/>
              <w:rPr>
                <w:sz w:val="20"/>
                <w:szCs w:val="20"/>
              </w:rPr>
            </w:pPr>
            <w:r>
              <w:rPr>
                <w:sz w:val="20"/>
                <w:szCs w:val="20"/>
              </w:rPr>
              <w:t>-de decentralisaties werk en zorg;</w:t>
            </w:r>
          </w:p>
          <w:p w:rsidR="001F0491" w:rsidRDefault="001F0491">
            <w:pPr>
              <w:pStyle w:val="Normaalweb"/>
              <w:rPr>
                <w:sz w:val="20"/>
                <w:szCs w:val="20"/>
              </w:rPr>
            </w:pPr>
            <w:r>
              <w:rPr>
                <w:sz w:val="20"/>
                <w:szCs w:val="20"/>
              </w:rPr>
              <w:t>-de afstemming beleidsvoornemens en inspectietoezicht en de mogelijkheden in te grijpen bij evidente gevallen van weigeringen om leerlingen aan te nemen.</w:t>
            </w:r>
          </w:p>
          <w:p w:rsidR="001F0491" w:rsidRDefault="001F0491">
            <w:pPr>
              <w:pStyle w:val="Normaalweb"/>
              <w:rPr>
                <w:sz w:val="20"/>
                <w:szCs w:val="20"/>
              </w:rPr>
            </w:pPr>
            <w:r>
              <w:rPr>
                <w:sz w:val="20"/>
                <w:szCs w:val="20"/>
              </w:rPr>
              <w:t>Er zal een duidelijk onderscheid worden gemaakt tussen de groepen leerlingen die:</w:t>
            </w:r>
          </w:p>
          <w:p w:rsidR="001F0491" w:rsidRDefault="001F0491">
            <w:pPr>
              <w:pStyle w:val="Normaalweb"/>
              <w:rPr>
                <w:sz w:val="20"/>
                <w:szCs w:val="20"/>
              </w:rPr>
            </w:pPr>
            <w:r>
              <w:rPr>
                <w:sz w:val="20"/>
                <w:szCs w:val="20"/>
              </w:rPr>
              <w:t>-(nog) niet kunnen</w:t>
            </w:r>
          </w:p>
          <w:p w:rsidR="001F0491" w:rsidRDefault="001F0491">
            <w:pPr>
              <w:pStyle w:val="Normaalweb"/>
              <w:rPr>
                <w:sz w:val="20"/>
                <w:szCs w:val="20"/>
              </w:rPr>
            </w:pPr>
            <w:r>
              <w:rPr>
                <w:sz w:val="20"/>
                <w:szCs w:val="20"/>
              </w:rPr>
              <w:t>-niet kunnen</w:t>
            </w:r>
          </w:p>
          <w:p w:rsidR="001F0491" w:rsidRDefault="001F0491">
            <w:pPr>
              <w:pStyle w:val="Normaalweb"/>
              <w:rPr>
                <w:sz w:val="20"/>
                <w:szCs w:val="20"/>
              </w:rPr>
            </w:pPr>
            <w:r>
              <w:rPr>
                <w:sz w:val="20"/>
                <w:szCs w:val="20"/>
              </w:rPr>
              <w:t>-niet willen.</w:t>
            </w:r>
          </w:p>
        </w:tc>
      </w:tr>
      <w:bookmarkEnd w:id="0"/>
    </w:tbl>
    <w:p w:rsidR="001F0491" w:rsidP="001F0491" w:rsidRDefault="001F0491">
      <w:pPr>
        <w:rPr>
          <w:color w:val="1F497D"/>
        </w:rPr>
      </w:pPr>
    </w:p>
    <w:p w:rsidR="00D443DF" w:rsidRDefault="00D443DF">
      <w:bookmarkStart w:name="_GoBack" w:id="1"/>
      <w:bookmarkEnd w:id="1"/>
    </w:p>
    <w:sectPr w:rsidR="00D443D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CD8"/>
    <w:multiLevelType w:val="hybridMultilevel"/>
    <w:tmpl w:val="49E098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91"/>
    <w:rsid w:val="00053433"/>
    <w:rsid w:val="000A094D"/>
    <w:rsid w:val="000B4D7F"/>
    <w:rsid w:val="00122935"/>
    <w:rsid w:val="00172B01"/>
    <w:rsid w:val="001F0491"/>
    <w:rsid w:val="00274247"/>
    <w:rsid w:val="002E35C1"/>
    <w:rsid w:val="00310549"/>
    <w:rsid w:val="004E1A0D"/>
    <w:rsid w:val="005962F9"/>
    <w:rsid w:val="005E4F03"/>
    <w:rsid w:val="007C161F"/>
    <w:rsid w:val="007E11B0"/>
    <w:rsid w:val="008674EC"/>
    <w:rsid w:val="00882B1D"/>
    <w:rsid w:val="0089477C"/>
    <w:rsid w:val="009A54E8"/>
    <w:rsid w:val="00A8278F"/>
    <w:rsid w:val="00A86E29"/>
    <w:rsid w:val="00AF0A8B"/>
    <w:rsid w:val="00B12DE2"/>
    <w:rsid w:val="00B23AF3"/>
    <w:rsid w:val="00B51EFA"/>
    <w:rsid w:val="00B94ECB"/>
    <w:rsid w:val="00BE58A6"/>
    <w:rsid w:val="00BF6CBA"/>
    <w:rsid w:val="00C123C4"/>
    <w:rsid w:val="00C45AD4"/>
    <w:rsid w:val="00D443DF"/>
    <w:rsid w:val="00DA1749"/>
    <w:rsid w:val="00DD3718"/>
    <w:rsid w:val="00E70D47"/>
    <w:rsid w:val="00E73EFC"/>
    <w:rsid w:val="00E82F4B"/>
    <w:rsid w:val="00E82FEF"/>
    <w:rsid w:val="00F12E9F"/>
    <w:rsid w:val="00F15420"/>
    <w:rsid w:val="00F4150B"/>
    <w:rsid w:val="00FC2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049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0491"/>
    <w:rPr>
      <w:color w:val="0000FF"/>
      <w:u w:val="single"/>
    </w:rPr>
  </w:style>
  <w:style w:type="paragraph" w:styleId="Normaalweb">
    <w:name w:val="Normal (Web)"/>
    <w:basedOn w:val="Standaard"/>
    <w:uiPriority w:val="99"/>
    <w:unhideWhenUsed/>
    <w:rsid w:val="001F0491"/>
    <w:pPr>
      <w:spacing w:before="100" w:beforeAutospacing="1" w:after="100" w:afterAutospacing="1"/>
    </w:pPr>
    <w:rPr>
      <w:rFonts w:ascii="Times New Roman" w:hAnsi="Times New Roman"/>
      <w:sz w:val="24"/>
      <w:szCs w:val="24"/>
      <w:lang w:eastAsia="nl-NL"/>
    </w:rPr>
  </w:style>
  <w:style w:type="paragraph" w:styleId="Lijstalinea">
    <w:name w:val="List Paragraph"/>
    <w:basedOn w:val="Standaard"/>
    <w:uiPriority w:val="34"/>
    <w:qFormat/>
    <w:rsid w:val="001F049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049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0491"/>
    <w:rPr>
      <w:color w:val="0000FF"/>
      <w:u w:val="single"/>
    </w:rPr>
  </w:style>
  <w:style w:type="paragraph" w:styleId="Normaalweb">
    <w:name w:val="Normal (Web)"/>
    <w:basedOn w:val="Standaard"/>
    <w:uiPriority w:val="99"/>
    <w:unhideWhenUsed/>
    <w:rsid w:val="001F0491"/>
    <w:pPr>
      <w:spacing w:before="100" w:beforeAutospacing="1" w:after="100" w:afterAutospacing="1"/>
    </w:pPr>
    <w:rPr>
      <w:rFonts w:ascii="Times New Roman" w:hAnsi="Times New Roman"/>
      <w:sz w:val="24"/>
      <w:szCs w:val="24"/>
      <w:lang w:eastAsia="nl-NL"/>
    </w:rPr>
  </w:style>
  <w:style w:type="paragraph" w:styleId="Lijstalinea">
    <w:name w:val="List Paragraph"/>
    <w:basedOn w:val="Standaard"/>
    <w:uiPriority w:val="34"/>
    <w:qFormat/>
    <w:rsid w:val="001F04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8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mailto:tsiderius@sp.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eflentge@sp.nl"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732</ap:Words>
  <ap:Characters>4315</ap:Characters>
  <ap:DocSecurity>0</ap:DocSecurity>
  <ap:Lines>35</ap:Lines>
  <ap:Paragraphs>10</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Van: Siderius T.E.  Verzonden: woensdag 3 december 2014 13:10 Aan: Commissie OCW</vt:lpstr>
    </vt:vector>
  </ap:TitlesOfParts>
  <ap:LinksUpToDate>false</ap:LinksUpToDate>
  <ap:CharactersWithSpaces>5037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2014-12-03T14:02:00.0000000Z</dcterms:created>
  <dcterms:modified xsi:type="dcterms:W3CDTF">2014-12-03T14:03:00.0000000Z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0x010100C7488C06BA5283438B034CDC61C2BBE4</vt:lpwstr>
  </property>
</Properties>
</file>