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B2EA1" w:rsidR="00A43539" w:rsidP="00123018" w:rsidRDefault="00EB2EA1">
      <w:pPr>
        <w:spacing w:line="360" w:lineRule="auto"/>
        <w:rPr>
          <w:rFonts w:ascii="Cambria" w:hAnsi="Cambria"/>
          <w:b/>
          <w:sz w:val="24"/>
          <w:szCs w:val="24"/>
        </w:rPr>
      </w:pPr>
      <w:r w:rsidRPr="00EB2EA1">
        <w:rPr>
          <w:rFonts w:ascii="Cambria" w:hAnsi="Cambria"/>
          <w:b/>
          <w:sz w:val="24"/>
          <w:szCs w:val="24"/>
        </w:rPr>
        <w:t>Verslag Financieel Stabiliteitscomité 4 november 2014</w:t>
      </w:r>
    </w:p>
    <w:p w:rsidR="000B597A" w:rsidP="00123018" w:rsidRDefault="000B597A">
      <w:pPr>
        <w:spacing w:line="360" w:lineRule="auto"/>
        <w:rPr>
          <w:rFonts w:ascii="Cambria" w:hAnsi="Cambria"/>
          <w:sz w:val="21"/>
          <w:szCs w:val="21"/>
        </w:rPr>
      </w:pPr>
    </w:p>
    <w:p w:rsidR="00EB2EA1" w:rsidP="00123018" w:rsidRDefault="00EB2EA1">
      <w:pPr>
        <w:spacing w:line="360" w:lineRule="auto"/>
        <w:rPr>
          <w:rFonts w:ascii="Cambria" w:hAnsi="Cambria"/>
          <w:sz w:val="21"/>
          <w:szCs w:val="21"/>
        </w:rPr>
      </w:pPr>
      <w:r>
        <w:rPr>
          <w:rFonts w:ascii="Cambria" w:hAnsi="Cambria"/>
          <w:sz w:val="21"/>
          <w:szCs w:val="21"/>
        </w:rPr>
        <w:t xml:space="preserve">Op 4 november </w:t>
      </w:r>
      <w:r w:rsidR="00DD7D86">
        <w:rPr>
          <w:rFonts w:ascii="Cambria" w:hAnsi="Cambria"/>
          <w:sz w:val="21"/>
          <w:szCs w:val="21"/>
        </w:rPr>
        <w:t xml:space="preserve">kwam </w:t>
      </w:r>
      <w:r>
        <w:rPr>
          <w:rFonts w:ascii="Cambria" w:hAnsi="Cambria"/>
          <w:sz w:val="21"/>
          <w:szCs w:val="21"/>
        </w:rPr>
        <w:t>het Financieel Stabiliteitscomité</w:t>
      </w:r>
      <w:r w:rsidR="00DD7D86">
        <w:rPr>
          <w:rFonts w:ascii="Cambria" w:hAnsi="Cambria"/>
          <w:sz w:val="21"/>
          <w:szCs w:val="21"/>
        </w:rPr>
        <w:t xml:space="preserve"> bijeen</w:t>
      </w:r>
      <w:r>
        <w:rPr>
          <w:rFonts w:ascii="Cambria" w:hAnsi="Cambria"/>
          <w:sz w:val="21"/>
          <w:szCs w:val="21"/>
        </w:rPr>
        <w:t xml:space="preserve">. </w:t>
      </w:r>
      <w:r w:rsidR="00430DEA">
        <w:rPr>
          <w:rFonts w:ascii="Cambria" w:hAnsi="Cambria"/>
          <w:sz w:val="21"/>
          <w:szCs w:val="21"/>
        </w:rPr>
        <w:t xml:space="preserve">Het comité bestaat uit </w:t>
      </w:r>
      <w:r>
        <w:rPr>
          <w:rFonts w:ascii="Cambria" w:hAnsi="Cambria"/>
          <w:sz w:val="21"/>
          <w:szCs w:val="21"/>
        </w:rPr>
        <w:t>vertegenwoordigers van DNB, AFM en het ministerie van Financiën. Daarnaast n</w:t>
      </w:r>
      <w:r w:rsidR="00472CBD">
        <w:rPr>
          <w:rFonts w:ascii="Cambria" w:hAnsi="Cambria"/>
          <w:sz w:val="21"/>
          <w:szCs w:val="21"/>
        </w:rPr>
        <w:t xml:space="preserve">eemt een </w:t>
      </w:r>
      <w:r w:rsidR="00B12819">
        <w:rPr>
          <w:rFonts w:ascii="Cambria" w:hAnsi="Cambria"/>
          <w:sz w:val="21"/>
          <w:szCs w:val="21"/>
        </w:rPr>
        <w:t xml:space="preserve">vertegenwoordiger van </w:t>
      </w:r>
      <w:r>
        <w:rPr>
          <w:rFonts w:ascii="Cambria" w:hAnsi="Cambria"/>
          <w:sz w:val="21"/>
          <w:szCs w:val="21"/>
        </w:rPr>
        <w:t xml:space="preserve">het CPB </w:t>
      </w:r>
      <w:r w:rsidR="00B12819">
        <w:rPr>
          <w:rFonts w:ascii="Cambria" w:hAnsi="Cambria"/>
          <w:sz w:val="21"/>
          <w:szCs w:val="21"/>
        </w:rPr>
        <w:t>deel als externe deskundige. De president van DNB zit de vergadering voor.</w:t>
      </w:r>
      <w:r w:rsidR="00DD7D86">
        <w:rPr>
          <w:rFonts w:ascii="Cambria" w:hAnsi="Cambria"/>
          <w:sz w:val="21"/>
          <w:szCs w:val="21"/>
        </w:rPr>
        <w:t xml:space="preserve"> Gesproken is over </w:t>
      </w:r>
      <w:r w:rsidR="008F0734">
        <w:rPr>
          <w:rFonts w:ascii="Cambria" w:hAnsi="Cambria"/>
          <w:sz w:val="21"/>
          <w:szCs w:val="21"/>
        </w:rPr>
        <w:t xml:space="preserve">de belangrijkste actuele risico’s, </w:t>
      </w:r>
      <w:r w:rsidR="00DD7D86">
        <w:rPr>
          <w:rFonts w:ascii="Cambria" w:hAnsi="Cambria"/>
          <w:sz w:val="21"/>
          <w:szCs w:val="21"/>
        </w:rPr>
        <w:t xml:space="preserve">de </w:t>
      </w:r>
      <w:r w:rsidRPr="00DD7D86" w:rsidR="00DD7D86">
        <w:rPr>
          <w:rFonts w:ascii="Cambria" w:hAnsi="Cambria"/>
          <w:i/>
          <w:sz w:val="21"/>
          <w:szCs w:val="21"/>
        </w:rPr>
        <w:t>loan-to-value</w:t>
      </w:r>
      <w:r w:rsidR="00DD7D86">
        <w:rPr>
          <w:rFonts w:ascii="Cambria" w:hAnsi="Cambria"/>
          <w:sz w:val="21"/>
          <w:szCs w:val="21"/>
        </w:rPr>
        <w:t xml:space="preserve"> </w:t>
      </w:r>
      <w:r w:rsidR="00212DCB">
        <w:rPr>
          <w:rFonts w:ascii="Cambria" w:hAnsi="Cambria"/>
          <w:sz w:val="21"/>
          <w:szCs w:val="21"/>
        </w:rPr>
        <w:t xml:space="preserve">(LTV) </w:t>
      </w:r>
      <w:r w:rsidR="00DD7D86">
        <w:rPr>
          <w:rFonts w:ascii="Cambria" w:hAnsi="Cambria"/>
          <w:sz w:val="21"/>
          <w:szCs w:val="21"/>
        </w:rPr>
        <w:t xml:space="preserve">limiet voor hypotheken, de aanbevelingen van de Financial Stability Board en het werkprogramma 2015. Aan de bespreking over </w:t>
      </w:r>
      <w:r w:rsidRPr="00212DCB" w:rsidR="00DD7D86">
        <w:rPr>
          <w:rFonts w:ascii="Cambria" w:hAnsi="Cambria"/>
          <w:sz w:val="21"/>
          <w:szCs w:val="21"/>
        </w:rPr>
        <w:t xml:space="preserve">de </w:t>
      </w:r>
      <w:r w:rsidRPr="00212DCB" w:rsidR="00212DCB">
        <w:rPr>
          <w:rFonts w:ascii="Cambria" w:hAnsi="Cambria"/>
          <w:sz w:val="21"/>
          <w:szCs w:val="21"/>
        </w:rPr>
        <w:t>LTV-</w:t>
      </w:r>
      <w:r w:rsidRPr="00212DCB" w:rsidR="00DD7D86">
        <w:rPr>
          <w:rFonts w:ascii="Cambria" w:hAnsi="Cambria"/>
          <w:sz w:val="21"/>
          <w:szCs w:val="21"/>
        </w:rPr>
        <w:t>limiet</w:t>
      </w:r>
      <w:r w:rsidR="00DD7D86">
        <w:rPr>
          <w:rFonts w:ascii="Cambria" w:hAnsi="Cambria"/>
          <w:sz w:val="21"/>
          <w:szCs w:val="21"/>
        </w:rPr>
        <w:t xml:space="preserve"> nam ook </w:t>
      </w:r>
      <w:r w:rsidR="000B597A">
        <w:rPr>
          <w:rFonts w:ascii="Cambria" w:hAnsi="Cambria"/>
          <w:sz w:val="21"/>
          <w:szCs w:val="21"/>
        </w:rPr>
        <w:t xml:space="preserve">een vertegenwoordiger van </w:t>
      </w:r>
      <w:r w:rsidR="00DD7D86">
        <w:rPr>
          <w:rFonts w:ascii="Cambria" w:hAnsi="Cambria"/>
          <w:sz w:val="21"/>
          <w:szCs w:val="21"/>
        </w:rPr>
        <w:t>het ministerie van BZK deel.</w:t>
      </w:r>
    </w:p>
    <w:p w:rsidR="00EB2EA1" w:rsidP="00123018" w:rsidRDefault="00EB2EA1">
      <w:pPr>
        <w:spacing w:line="360" w:lineRule="auto"/>
        <w:rPr>
          <w:rFonts w:ascii="Cambria" w:hAnsi="Cambria"/>
          <w:sz w:val="21"/>
          <w:szCs w:val="21"/>
        </w:rPr>
      </w:pPr>
    </w:p>
    <w:p w:rsidRPr="00162664" w:rsidR="008F0734" w:rsidP="008F0734" w:rsidRDefault="008F0734">
      <w:pPr>
        <w:spacing w:line="360" w:lineRule="auto"/>
        <w:rPr>
          <w:rFonts w:ascii="Cambria" w:hAnsi="Cambria"/>
          <w:b/>
          <w:sz w:val="21"/>
          <w:szCs w:val="21"/>
        </w:rPr>
      </w:pPr>
      <w:r w:rsidRPr="00162664">
        <w:rPr>
          <w:rFonts w:ascii="Cambria" w:hAnsi="Cambria"/>
          <w:b/>
          <w:sz w:val="21"/>
          <w:szCs w:val="21"/>
        </w:rPr>
        <w:t>Actuele risico’s</w:t>
      </w:r>
    </w:p>
    <w:p w:rsidR="008F0734" w:rsidP="008F0734" w:rsidRDefault="008F0734">
      <w:pPr>
        <w:spacing w:line="360" w:lineRule="auto"/>
        <w:rPr>
          <w:rFonts w:ascii="Cambria" w:hAnsi="Cambria"/>
          <w:sz w:val="21"/>
          <w:szCs w:val="21"/>
        </w:rPr>
      </w:pPr>
      <w:r>
        <w:rPr>
          <w:rFonts w:ascii="Cambria" w:hAnsi="Cambria"/>
          <w:sz w:val="21"/>
          <w:szCs w:val="21"/>
        </w:rPr>
        <w:t xml:space="preserve">Op basis van het Overzicht Financiële Stabiliteit heeft het comité de belangrijkste actuele risico’s voor de financiële stabiliteit in Nederland besproken. In lijn met het voorzichtige herstel van de Nederlandse economie zijn enkele binnenlandse risico’s afgenomen. Zo wijst de toename van het aantal woningtransacties en de kortere tijd dat woningen te koop staan op een </w:t>
      </w:r>
      <w:r w:rsidR="00D070AA">
        <w:rPr>
          <w:rFonts w:ascii="Cambria" w:hAnsi="Cambria"/>
          <w:sz w:val="21"/>
          <w:szCs w:val="21"/>
        </w:rPr>
        <w:t xml:space="preserve">pril </w:t>
      </w:r>
      <w:r>
        <w:rPr>
          <w:rFonts w:ascii="Cambria" w:hAnsi="Cambria"/>
          <w:sz w:val="21"/>
          <w:szCs w:val="21"/>
        </w:rPr>
        <w:t>herstel van de huizenmarkt. Ook de positie van de Nederlandse banken is verbeterd, wat wordt bevestigd door de positieve uitkomsten van de Comprehensive Assessment door de ECB. De Nederlandse verzekeringssector blijft kwetsbaar door de lage rente, de krimpende productie van individuele polissen en de onzekerheid over het dossier beleggingsverzekeringen.</w:t>
      </w:r>
    </w:p>
    <w:p w:rsidR="008F0734" w:rsidP="008F0734" w:rsidRDefault="008F0734">
      <w:pPr>
        <w:spacing w:line="360" w:lineRule="auto"/>
        <w:rPr>
          <w:rFonts w:ascii="Cambria" w:hAnsi="Cambria"/>
          <w:sz w:val="21"/>
          <w:szCs w:val="21"/>
        </w:rPr>
      </w:pPr>
    </w:p>
    <w:p w:rsidR="008F0734" w:rsidP="008F0734" w:rsidRDefault="00604080">
      <w:pPr>
        <w:spacing w:line="360" w:lineRule="auto"/>
        <w:rPr>
          <w:rFonts w:ascii="Cambria" w:hAnsi="Cambria"/>
          <w:sz w:val="21"/>
          <w:szCs w:val="21"/>
        </w:rPr>
      </w:pPr>
      <w:r>
        <w:rPr>
          <w:rFonts w:ascii="Cambria" w:hAnsi="Cambria"/>
          <w:sz w:val="21"/>
          <w:szCs w:val="21"/>
        </w:rPr>
        <w:t>De fragiliteit van het</w:t>
      </w:r>
      <w:r w:rsidR="008F0734">
        <w:rPr>
          <w:rFonts w:ascii="Cambria" w:hAnsi="Cambria"/>
          <w:sz w:val="21"/>
          <w:szCs w:val="21"/>
        </w:rPr>
        <w:t xml:space="preserve"> herstel in Europa vormt een neerwaarts risico voor de financiële stabiliteit. Bij nieuwe tegenvallers kan het sentiment op de financiële markten omslaan. Het ruime monetaire beleid van de ECB leidt tot nu toe nog niet tot een toename van de kredietverlening, maar vertaalt zich vooral in hogere aandelen- en obligatiekoersen. Hierdoor neemt het risico van zeepbelvorming en scherpe correcties toe. De lage inflatie kan het economisch</w:t>
      </w:r>
      <w:r>
        <w:rPr>
          <w:rFonts w:ascii="Cambria" w:hAnsi="Cambria"/>
          <w:sz w:val="21"/>
          <w:szCs w:val="21"/>
        </w:rPr>
        <w:t>e</w:t>
      </w:r>
      <w:r w:rsidR="008F0734">
        <w:rPr>
          <w:rFonts w:ascii="Cambria" w:hAnsi="Cambria"/>
          <w:sz w:val="21"/>
          <w:szCs w:val="21"/>
        </w:rPr>
        <w:t xml:space="preserve"> herstel verder afremmen doordat zij investeringen minder aantrekkelijk maakt en de afbouw van schulden bemoeilijkt. Het comité constateert dat de uitkomsten van de Comprehensive Assessment door de ECB in de markt goed zijn ontvangen en zo een bijdrage kunnen leveren aan het herstel van vertrouwen in de Europese bankensector.</w:t>
      </w:r>
    </w:p>
    <w:p w:rsidR="008F0734" w:rsidP="00123018" w:rsidRDefault="008F0734">
      <w:pPr>
        <w:spacing w:line="360" w:lineRule="auto"/>
        <w:rPr>
          <w:rFonts w:ascii="Cambria" w:hAnsi="Cambria"/>
          <w:sz w:val="21"/>
          <w:szCs w:val="21"/>
        </w:rPr>
      </w:pPr>
    </w:p>
    <w:p w:rsidRPr="00212DCB" w:rsidR="00430DEA" w:rsidP="00123018" w:rsidRDefault="00212DCB">
      <w:pPr>
        <w:spacing w:line="360" w:lineRule="auto"/>
        <w:rPr>
          <w:rFonts w:ascii="Cambria" w:hAnsi="Cambria"/>
          <w:b/>
          <w:sz w:val="21"/>
          <w:szCs w:val="21"/>
        </w:rPr>
      </w:pPr>
      <w:r w:rsidRPr="00212DCB">
        <w:rPr>
          <w:rFonts w:ascii="Cambria" w:hAnsi="Cambria"/>
          <w:b/>
          <w:sz w:val="21"/>
          <w:szCs w:val="21"/>
        </w:rPr>
        <w:t>LTV-</w:t>
      </w:r>
      <w:r w:rsidRPr="00212DCB" w:rsidR="00186F24">
        <w:rPr>
          <w:rFonts w:ascii="Cambria" w:hAnsi="Cambria"/>
          <w:b/>
          <w:sz w:val="21"/>
          <w:szCs w:val="21"/>
        </w:rPr>
        <w:t>limiet voor hypotheken</w:t>
      </w:r>
    </w:p>
    <w:p w:rsidRPr="00D25D15" w:rsidR="00DD7668" w:rsidP="00DD7668" w:rsidRDefault="006664DD">
      <w:pPr>
        <w:spacing w:line="360" w:lineRule="auto"/>
        <w:rPr>
          <w:rFonts w:ascii="Cambria" w:hAnsi="Cambria"/>
          <w:sz w:val="21"/>
          <w:szCs w:val="21"/>
        </w:rPr>
      </w:pPr>
      <w:r>
        <w:rPr>
          <w:rFonts w:ascii="Cambria" w:hAnsi="Cambria"/>
          <w:sz w:val="21"/>
          <w:szCs w:val="21"/>
        </w:rPr>
        <w:t>Ontwikkelingen op de</w:t>
      </w:r>
      <w:r w:rsidR="006516DE">
        <w:rPr>
          <w:rFonts w:ascii="Cambria" w:hAnsi="Cambria"/>
          <w:sz w:val="21"/>
          <w:szCs w:val="21"/>
        </w:rPr>
        <w:t xml:space="preserve"> Nederlandse woning- en hypotheekmarkt </w:t>
      </w:r>
      <w:r>
        <w:rPr>
          <w:rFonts w:ascii="Cambria" w:hAnsi="Cambria"/>
          <w:sz w:val="21"/>
          <w:szCs w:val="21"/>
        </w:rPr>
        <w:t>zijn van</w:t>
      </w:r>
      <w:r w:rsidR="006516DE">
        <w:rPr>
          <w:rFonts w:ascii="Cambria" w:hAnsi="Cambria"/>
          <w:sz w:val="21"/>
          <w:szCs w:val="21"/>
        </w:rPr>
        <w:t xml:space="preserve"> grote invloed op de financiële stabiliteit. Het comité heeft daarom </w:t>
      </w:r>
      <w:r w:rsidR="008D0EF9">
        <w:rPr>
          <w:rFonts w:ascii="Cambria" w:hAnsi="Cambria"/>
          <w:sz w:val="21"/>
          <w:szCs w:val="21"/>
        </w:rPr>
        <w:t>in eerdere vergaderingen al</w:t>
      </w:r>
      <w:r w:rsidR="006516DE">
        <w:rPr>
          <w:rFonts w:ascii="Cambria" w:hAnsi="Cambria"/>
          <w:sz w:val="21"/>
          <w:szCs w:val="21"/>
        </w:rPr>
        <w:t xml:space="preserve"> </w:t>
      </w:r>
      <w:r w:rsidR="002F04AD">
        <w:rPr>
          <w:rFonts w:ascii="Cambria" w:hAnsi="Cambria"/>
          <w:sz w:val="21"/>
          <w:szCs w:val="21"/>
        </w:rPr>
        <w:t xml:space="preserve">gesproken over </w:t>
      </w:r>
      <w:r w:rsidR="00084EB5">
        <w:rPr>
          <w:rFonts w:ascii="Cambria" w:hAnsi="Cambria"/>
          <w:sz w:val="21"/>
          <w:szCs w:val="21"/>
        </w:rPr>
        <w:t xml:space="preserve">de </w:t>
      </w:r>
      <w:r w:rsidR="00C30BAD">
        <w:rPr>
          <w:rFonts w:ascii="Cambria" w:hAnsi="Cambria"/>
          <w:sz w:val="21"/>
          <w:szCs w:val="21"/>
        </w:rPr>
        <w:t xml:space="preserve">randvoorwaarden voor een stabiele </w:t>
      </w:r>
      <w:r w:rsidR="00084EB5">
        <w:rPr>
          <w:rFonts w:ascii="Cambria" w:hAnsi="Cambria"/>
          <w:sz w:val="21"/>
          <w:szCs w:val="21"/>
        </w:rPr>
        <w:t xml:space="preserve">woning- en </w:t>
      </w:r>
      <w:r w:rsidR="00C30BAD">
        <w:rPr>
          <w:rFonts w:ascii="Cambria" w:hAnsi="Cambria"/>
          <w:sz w:val="21"/>
          <w:szCs w:val="21"/>
        </w:rPr>
        <w:t>hypotheekmarkt</w:t>
      </w:r>
      <w:r w:rsidR="002F04AD">
        <w:rPr>
          <w:rFonts w:ascii="Cambria" w:hAnsi="Cambria"/>
          <w:sz w:val="21"/>
          <w:szCs w:val="21"/>
        </w:rPr>
        <w:t>, en de rol van hypothecaire financieringsnormen daarbij</w:t>
      </w:r>
      <w:r w:rsidR="00604080">
        <w:rPr>
          <w:rFonts w:ascii="Cambria" w:hAnsi="Cambria"/>
          <w:sz w:val="21"/>
          <w:szCs w:val="21"/>
        </w:rPr>
        <w:t xml:space="preserve">. </w:t>
      </w:r>
      <w:r w:rsidR="00C30BAD">
        <w:rPr>
          <w:rFonts w:ascii="Cambria" w:hAnsi="Cambria"/>
          <w:sz w:val="21"/>
          <w:szCs w:val="21"/>
        </w:rPr>
        <w:t xml:space="preserve">In deze vergadering heeft het comité meer specifiek </w:t>
      </w:r>
      <w:r w:rsidR="0061491C">
        <w:rPr>
          <w:rFonts w:ascii="Cambria" w:hAnsi="Cambria"/>
          <w:sz w:val="21"/>
          <w:szCs w:val="21"/>
        </w:rPr>
        <w:t xml:space="preserve">gesproken over </w:t>
      </w:r>
      <w:r w:rsidR="008D0EF9">
        <w:rPr>
          <w:rFonts w:ascii="Cambria" w:hAnsi="Cambria"/>
          <w:sz w:val="21"/>
          <w:szCs w:val="21"/>
        </w:rPr>
        <w:t>het belang</w:t>
      </w:r>
      <w:r w:rsidR="00084EB5">
        <w:rPr>
          <w:rFonts w:ascii="Cambria" w:hAnsi="Cambria"/>
          <w:sz w:val="21"/>
          <w:szCs w:val="21"/>
        </w:rPr>
        <w:t xml:space="preserve"> van de </w:t>
      </w:r>
      <w:r w:rsidR="002F04AD">
        <w:rPr>
          <w:rFonts w:ascii="Cambria" w:hAnsi="Cambria"/>
          <w:sz w:val="21"/>
          <w:szCs w:val="21"/>
        </w:rPr>
        <w:t xml:space="preserve">verhouding tussen </w:t>
      </w:r>
      <w:r w:rsidR="00084EB5">
        <w:rPr>
          <w:rFonts w:ascii="Cambria" w:hAnsi="Cambria"/>
          <w:sz w:val="21"/>
          <w:szCs w:val="21"/>
        </w:rPr>
        <w:t xml:space="preserve">het hypotheekbedrag </w:t>
      </w:r>
      <w:r w:rsidR="002F04AD">
        <w:rPr>
          <w:rFonts w:ascii="Cambria" w:hAnsi="Cambria"/>
          <w:sz w:val="21"/>
          <w:szCs w:val="21"/>
        </w:rPr>
        <w:t xml:space="preserve">en </w:t>
      </w:r>
      <w:r w:rsidR="00084EB5">
        <w:rPr>
          <w:rFonts w:ascii="Cambria" w:hAnsi="Cambria"/>
          <w:sz w:val="21"/>
          <w:szCs w:val="21"/>
        </w:rPr>
        <w:t>de waarde van de woning</w:t>
      </w:r>
      <w:r w:rsidR="00B515E5">
        <w:rPr>
          <w:rFonts w:ascii="Cambria" w:hAnsi="Cambria"/>
          <w:sz w:val="21"/>
          <w:szCs w:val="21"/>
        </w:rPr>
        <w:t>, de LTV-limiet</w:t>
      </w:r>
      <w:r w:rsidR="00084EB5">
        <w:rPr>
          <w:rFonts w:ascii="Cambria" w:hAnsi="Cambria"/>
          <w:sz w:val="21"/>
          <w:szCs w:val="21"/>
        </w:rPr>
        <w:t>.</w:t>
      </w:r>
      <w:r w:rsidR="008D0EF9">
        <w:rPr>
          <w:rFonts w:ascii="Cambria" w:hAnsi="Cambria"/>
          <w:sz w:val="21"/>
          <w:szCs w:val="21"/>
        </w:rPr>
        <w:t xml:space="preserve"> </w:t>
      </w:r>
      <w:r w:rsidR="00084EB5">
        <w:rPr>
          <w:rFonts w:ascii="Cambria" w:hAnsi="Cambria"/>
          <w:sz w:val="21"/>
          <w:szCs w:val="21"/>
        </w:rPr>
        <w:t xml:space="preserve">De wettelijke LTV-limiet </w:t>
      </w:r>
      <w:r w:rsidR="00DE6678">
        <w:rPr>
          <w:rFonts w:ascii="Cambria" w:hAnsi="Cambria"/>
          <w:sz w:val="21"/>
          <w:szCs w:val="21"/>
        </w:rPr>
        <w:t xml:space="preserve">bij het afsluiten van de hypotheek </w:t>
      </w:r>
      <w:r w:rsidR="00084EB5">
        <w:rPr>
          <w:rFonts w:ascii="Cambria" w:hAnsi="Cambria"/>
          <w:sz w:val="21"/>
          <w:szCs w:val="21"/>
        </w:rPr>
        <w:t xml:space="preserve">bedraagt op dit moment 104% </w:t>
      </w:r>
      <w:r w:rsidR="00084EB5">
        <w:rPr>
          <w:rFonts w:ascii="Cambria" w:hAnsi="Cambria"/>
          <w:sz w:val="21"/>
          <w:szCs w:val="21"/>
        </w:rPr>
        <w:lastRenderedPageBreak/>
        <w:t xml:space="preserve">en wordt jaarlijks met één procentpunt verlaagd tot 100% in 2018. </w:t>
      </w:r>
      <w:r w:rsidR="002F04AD">
        <w:rPr>
          <w:rFonts w:ascii="Cambria" w:hAnsi="Cambria"/>
          <w:sz w:val="21"/>
          <w:szCs w:val="21"/>
        </w:rPr>
        <w:t xml:space="preserve">Recent hebben </w:t>
      </w:r>
      <w:r w:rsidR="00276B6B">
        <w:rPr>
          <w:rFonts w:ascii="Cambria" w:hAnsi="Cambria"/>
          <w:sz w:val="21"/>
          <w:szCs w:val="21"/>
        </w:rPr>
        <w:t>onder andere</w:t>
      </w:r>
      <w:r w:rsidR="002F04AD">
        <w:rPr>
          <w:rFonts w:ascii="Cambria" w:hAnsi="Cambria"/>
          <w:sz w:val="21"/>
          <w:szCs w:val="21"/>
        </w:rPr>
        <w:t xml:space="preserve"> het IMF en de Commissie Wijffels geadviseerd om de LTV-limiet na 2018 verder af te bouwen.</w:t>
      </w:r>
      <w:r w:rsidRPr="002A1F36" w:rsidR="002F04AD">
        <w:rPr>
          <w:rFonts w:ascii="Cambria" w:hAnsi="Cambria" w:eastAsia="Calibri" w:cs="Times New Roman"/>
          <w:bCs/>
          <w:sz w:val="21"/>
          <w:szCs w:val="21"/>
          <w:vertAlign w:val="superscript"/>
        </w:rPr>
        <w:footnoteReference w:id="1"/>
      </w:r>
      <w:r w:rsidR="002F04AD">
        <w:rPr>
          <w:rFonts w:ascii="Cambria" w:hAnsi="Cambria"/>
          <w:sz w:val="21"/>
          <w:szCs w:val="21"/>
        </w:rPr>
        <w:t xml:space="preserve"> In zijn visie op de Nederlandse bankensector heeft h</w:t>
      </w:r>
      <w:r w:rsidRPr="002A1F36" w:rsidR="002F04AD">
        <w:rPr>
          <w:rFonts w:ascii="Cambria" w:hAnsi="Cambria" w:eastAsia="Calibri" w:cs="Times New Roman"/>
          <w:sz w:val="21"/>
          <w:szCs w:val="21"/>
        </w:rPr>
        <w:t>et kabinet aangegeven dat een verdere verlaging van de LTV-limiet op termijn wenselijk is</w:t>
      </w:r>
      <w:r w:rsidR="008D5D10">
        <w:rPr>
          <w:rFonts w:ascii="Cambria" w:hAnsi="Cambria" w:eastAsia="Calibri" w:cs="Times New Roman"/>
          <w:sz w:val="21"/>
          <w:szCs w:val="21"/>
        </w:rPr>
        <w:t>, vanuit het oogpunt van consumentenbescherming, maar ook voor een meer gezonde bankbalans</w:t>
      </w:r>
      <w:r w:rsidRPr="002A1F36" w:rsidR="002F04AD">
        <w:rPr>
          <w:rFonts w:ascii="Cambria" w:hAnsi="Cambria" w:eastAsia="Calibri" w:cs="Times New Roman"/>
          <w:bCs/>
          <w:sz w:val="21"/>
          <w:szCs w:val="21"/>
        </w:rPr>
        <w:t>.</w:t>
      </w:r>
      <w:r w:rsidR="002F04AD">
        <w:rPr>
          <w:rFonts w:ascii="Cambria" w:hAnsi="Cambria" w:eastAsia="Calibri" w:cs="Times New Roman"/>
          <w:bCs/>
          <w:sz w:val="21"/>
          <w:szCs w:val="21"/>
        </w:rPr>
        <w:t xml:space="preserve"> Ook heeft het kabinet aangegeven bij robuust herstel van de woningmarkt nadere voorstellen hiertoe te zullen doen.</w:t>
      </w:r>
      <w:r w:rsidRPr="002A1F36" w:rsidR="00DD7D86">
        <w:rPr>
          <w:rFonts w:ascii="Cambria" w:hAnsi="Cambria" w:eastAsia="Calibri" w:cs="Times New Roman"/>
          <w:bCs/>
          <w:sz w:val="21"/>
          <w:szCs w:val="21"/>
          <w:vertAlign w:val="superscript"/>
        </w:rPr>
        <w:footnoteReference w:id="2"/>
      </w:r>
      <w:r w:rsidR="003A49DB">
        <w:rPr>
          <w:rFonts w:ascii="Cambria" w:hAnsi="Cambria" w:eastAsia="Calibri" w:cs="Times New Roman"/>
          <w:bCs/>
          <w:sz w:val="21"/>
          <w:szCs w:val="21"/>
        </w:rPr>
        <w:t xml:space="preserve"> </w:t>
      </w:r>
      <w:r w:rsidR="008D5D10">
        <w:rPr>
          <w:rFonts w:ascii="Cambria" w:hAnsi="Cambria" w:eastAsia="Calibri" w:cs="Times New Roman"/>
          <w:bCs/>
          <w:sz w:val="21"/>
          <w:szCs w:val="21"/>
        </w:rPr>
        <w:t xml:space="preserve">Het kabinet heeft hierbij onderkend dat </w:t>
      </w:r>
      <w:r w:rsidRPr="0067124B" w:rsidR="0067124B">
        <w:rPr>
          <w:rFonts w:ascii="Cambria" w:hAnsi="Cambria"/>
          <w:sz w:val="21"/>
          <w:szCs w:val="21"/>
        </w:rPr>
        <w:t>consumenten de mogelijkheid moeten hebben om voldoende bijeen te sparen om tot de aankoop van een huis te kunnen komen. Bij een verdere verlaging van de LTV</w:t>
      </w:r>
      <w:r w:rsidR="00F0630D">
        <w:rPr>
          <w:rFonts w:ascii="Cambria" w:hAnsi="Cambria"/>
          <w:sz w:val="21"/>
          <w:szCs w:val="21"/>
        </w:rPr>
        <w:t>-limiet</w:t>
      </w:r>
      <w:r w:rsidRPr="0067124B" w:rsidR="0067124B">
        <w:rPr>
          <w:rFonts w:ascii="Cambria" w:hAnsi="Cambria"/>
          <w:sz w:val="21"/>
          <w:szCs w:val="21"/>
        </w:rPr>
        <w:t xml:space="preserve"> dient derhalve ook zorgvuldig te worden gekeken naar de samenhang met de verplichte besparingen voor huishoudens.</w:t>
      </w:r>
    </w:p>
    <w:p w:rsidRPr="00D25D15" w:rsidR="003A49DB" w:rsidP="00123018" w:rsidRDefault="003A49DB">
      <w:pPr>
        <w:spacing w:line="360" w:lineRule="auto"/>
        <w:rPr>
          <w:rFonts w:ascii="Cambria" w:hAnsi="Cambria"/>
          <w:sz w:val="21"/>
          <w:szCs w:val="21"/>
        </w:rPr>
      </w:pPr>
    </w:p>
    <w:p w:rsidR="00357984" w:rsidP="002F04AD" w:rsidRDefault="0067124B">
      <w:pPr>
        <w:spacing w:line="360" w:lineRule="auto"/>
        <w:rPr>
          <w:rFonts w:ascii="Cambria" w:hAnsi="Cambria" w:eastAsia="Calibri" w:cs="Times New Roman"/>
          <w:sz w:val="21"/>
          <w:szCs w:val="21"/>
        </w:rPr>
      </w:pPr>
      <w:r w:rsidRPr="0067124B">
        <w:rPr>
          <w:rFonts w:ascii="Cambria" w:hAnsi="Cambria" w:eastAsia="Calibri" w:cs="Times New Roman"/>
          <w:sz w:val="21"/>
          <w:szCs w:val="21"/>
        </w:rPr>
        <w:t>De regering heeft in de afgelopen periode een aantal hervormingen doorgevoerd. Zo wordt de maximale hypotheekrenteaftrek in de hoogste belastingschijf geleidelijk afgebouwd</w:t>
      </w:r>
      <w:r w:rsidR="008D5D10">
        <w:rPr>
          <w:rFonts w:ascii="Cambria" w:hAnsi="Cambria" w:eastAsia="Calibri" w:cs="Times New Roman"/>
          <w:sz w:val="21"/>
          <w:szCs w:val="21"/>
        </w:rPr>
        <w:t xml:space="preserve"> en</w:t>
      </w:r>
      <w:r w:rsidRPr="0067124B">
        <w:rPr>
          <w:rFonts w:ascii="Cambria" w:hAnsi="Cambria" w:eastAsia="Calibri" w:cs="Times New Roman"/>
          <w:sz w:val="21"/>
          <w:szCs w:val="21"/>
        </w:rPr>
        <w:t xml:space="preserve"> bestaat er een verplichting om de hypotheek in </w:t>
      </w:r>
      <w:r w:rsidR="007876D1">
        <w:rPr>
          <w:rFonts w:ascii="Cambria" w:hAnsi="Cambria" w:eastAsia="Calibri" w:cs="Times New Roman"/>
          <w:sz w:val="21"/>
          <w:szCs w:val="21"/>
        </w:rPr>
        <w:t>30 jaar</w:t>
      </w:r>
      <w:r w:rsidRPr="0067124B">
        <w:rPr>
          <w:rFonts w:ascii="Cambria" w:hAnsi="Cambria" w:eastAsia="Calibri" w:cs="Times New Roman"/>
          <w:sz w:val="21"/>
          <w:szCs w:val="21"/>
        </w:rPr>
        <w:t xml:space="preserve"> volledig en ten</w:t>
      </w:r>
      <w:r w:rsidR="007876D1">
        <w:rPr>
          <w:rFonts w:ascii="Cambria" w:hAnsi="Cambria" w:eastAsia="Calibri" w:cs="Times New Roman"/>
          <w:sz w:val="21"/>
          <w:szCs w:val="21"/>
        </w:rPr>
        <w:t xml:space="preserve"> </w:t>
      </w:r>
      <w:r w:rsidRPr="0067124B">
        <w:rPr>
          <w:rFonts w:ascii="Cambria" w:hAnsi="Cambria" w:eastAsia="Calibri" w:cs="Times New Roman"/>
          <w:sz w:val="21"/>
          <w:szCs w:val="21"/>
        </w:rPr>
        <w:t xml:space="preserve">minste </w:t>
      </w:r>
      <w:hyperlink w:history="1" r:id="rId8">
        <w:r w:rsidRPr="0067124B">
          <w:rPr>
            <w:rFonts w:ascii="Cambria" w:hAnsi="Cambria" w:eastAsia="Calibri" w:cs="Times New Roman"/>
            <w:sz w:val="21"/>
            <w:szCs w:val="21"/>
          </w:rPr>
          <w:t>annuïtair</w:t>
        </w:r>
      </w:hyperlink>
      <w:r w:rsidRPr="0067124B">
        <w:rPr>
          <w:rFonts w:ascii="Cambria" w:hAnsi="Cambria" w:eastAsia="Calibri" w:cs="Times New Roman"/>
          <w:sz w:val="21"/>
          <w:szCs w:val="21"/>
        </w:rPr>
        <w:t xml:space="preserve"> af te lossen</w:t>
      </w:r>
      <w:r w:rsidR="00276B6B">
        <w:rPr>
          <w:rFonts w:ascii="Cambria" w:hAnsi="Cambria" w:eastAsia="Calibri" w:cs="Times New Roman"/>
          <w:sz w:val="21"/>
          <w:szCs w:val="21"/>
        </w:rPr>
        <w:t>, als men</w:t>
      </w:r>
      <w:r w:rsidR="00913B3F">
        <w:rPr>
          <w:rFonts w:ascii="Cambria" w:hAnsi="Cambria" w:eastAsia="Calibri" w:cs="Times New Roman"/>
          <w:sz w:val="21"/>
          <w:szCs w:val="21"/>
        </w:rPr>
        <w:t xml:space="preserve"> gebruik</w:t>
      </w:r>
      <w:r w:rsidR="00276B6B">
        <w:rPr>
          <w:rFonts w:ascii="Cambria" w:hAnsi="Cambria" w:eastAsia="Calibri" w:cs="Times New Roman"/>
          <w:sz w:val="21"/>
          <w:szCs w:val="21"/>
        </w:rPr>
        <w:t xml:space="preserve"> wil</w:t>
      </w:r>
      <w:r w:rsidR="00913B3F">
        <w:rPr>
          <w:rFonts w:ascii="Cambria" w:hAnsi="Cambria" w:eastAsia="Calibri" w:cs="Times New Roman"/>
          <w:sz w:val="21"/>
          <w:szCs w:val="21"/>
        </w:rPr>
        <w:t xml:space="preserve"> kunnen maken van de</w:t>
      </w:r>
      <w:r w:rsidRPr="0067124B">
        <w:rPr>
          <w:rFonts w:ascii="Cambria" w:hAnsi="Cambria" w:eastAsia="Calibri" w:cs="Times New Roman"/>
          <w:sz w:val="21"/>
          <w:szCs w:val="21"/>
        </w:rPr>
        <w:t xml:space="preserve"> hypotheekrenteaftrek. </w:t>
      </w:r>
      <w:r w:rsidR="00357984">
        <w:rPr>
          <w:rFonts w:ascii="Cambria" w:hAnsi="Cambria" w:eastAsia="Calibri" w:cs="Times New Roman"/>
          <w:sz w:val="21"/>
          <w:szCs w:val="21"/>
        </w:rPr>
        <w:t xml:space="preserve">Deze maatregelen stimuleren aflossing, wat de risico’s voor huishoudens mitigeert. </w:t>
      </w:r>
      <w:r w:rsidR="007876D1">
        <w:rPr>
          <w:rFonts w:ascii="Cambria" w:hAnsi="Cambria" w:eastAsia="Calibri" w:cs="Times New Roman"/>
          <w:sz w:val="21"/>
          <w:szCs w:val="21"/>
        </w:rPr>
        <w:t xml:space="preserve"> Daarnaast is ook de loan-to-income (LTI) norm aangescherpt en wettelijk verankerd</w:t>
      </w:r>
      <w:r w:rsidR="00E901CD">
        <w:rPr>
          <w:rFonts w:ascii="Cambria" w:hAnsi="Cambria" w:eastAsia="Calibri" w:cs="Times New Roman"/>
          <w:sz w:val="21"/>
          <w:szCs w:val="21"/>
        </w:rPr>
        <w:t>, die overkreditering tegengaat</w:t>
      </w:r>
      <w:r w:rsidR="007876D1">
        <w:rPr>
          <w:rFonts w:ascii="Cambria" w:hAnsi="Cambria" w:eastAsia="Calibri" w:cs="Times New Roman"/>
          <w:sz w:val="21"/>
          <w:szCs w:val="21"/>
        </w:rPr>
        <w:t>.</w:t>
      </w:r>
    </w:p>
    <w:p w:rsidR="00357984" w:rsidP="002F04AD" w:rsidRDefault="00357984">
      <w:pPr>
        <w:spacing w:line="360" w:lineRule="auto"/>
        <w:rPr>
          <w:rFonts w:ascii="Cambria" w:hAnsi="Cambria" w:eastAsia="Calibri" w:cs="Times New Roman"/>
          <w:sz w:val="21"/>
          <w:szCs w:val="21"/>
        </w:rPr>
      </w:pPr>
    </w:p>
    <w:p w:rsidR="00913B3F" w:rsidP="002F04AD" w:rsidRDefault="00913B3F">
      <w:pPr>
        <w:spacing w:line="360" w:lineRule="auto"/>
        <w:rPr>
          <w:rFonts w:ascii="Cambria" w:hAnsi="Cambria"/>
          <w:sz w:val="21"/>
          <w:szCs w:val="21"/>
        </w:rPr>
      </w:pPr>
      <w:r>
        <w:rPr>
          <w:rFonts w:ascii="Cambria" w:hAnsi="Cambria" w:eastAsia="Calibri" w:cs="Times New Roman"/>
          <w:sz w:val="21"/>
          <w:szCs w:val="21"/>
        </w:rPr>
        <w:t>Tegen deze achtergrond</w:t>
      </w:r>
      <w:r w:rsidR="00276B6B">
        <w:rPr>
          <w:rFonts w:ascii="Cambria" w:hAnsi="Cambria" w:eastAsia="Calibri" w:cs="Times New Roman"/>
          <w:sz w:val="21"/>
          <w:szCs w:val="21"/>
        </w:rPr>
        <w:t xml:space="preserve"> </w:t>
      </w:r>
      <w:r w:rsidR="002F04AD">
        <w:rPr>
          <w:rFonts w:ascii="Cambria" w:hAnsi="Cambria"/>
          <w:sz w:val="21"/>
          <w:szCs w:val="21"/>
        </w:rPr>
        <w:t xml:space="preserve">heeft het comité gesproken over de kosten en baten van </w:t>
      </w:r>
      <w:r w:rsidR="008D0EF9">
        <w:rPr>
          <w:rFonts w:ascii="Cambria" w:hAnsi="Cambria"/>
          <w:sz w:val="21"/>
          <w:szCs w:val="21"/>
        </w:rPr>
        <w:t xml:space="preserve">een </w:t>
      </w:r>
      <w:r w:rsidR="00D25D15">
        <w:rPr>
          <w:rFonts w:ascii="Cambria" w:hAnsi="Cambria"/>
          <w:sz w:val="21"/>
          <w:szCs w:val="21"/>
        </w:rPr>
        <w:t xml:space="preserve">verdere verlaging </w:t>
      </w:r>
      <w:r w:rsidR="00DE6678">
        <w:rPr>
          <w:rFonts w:ascii="Cambria" w:hAnsi="Cambria"/>
          <w:sz w:val="21"/>
          <w:szCs w:val="21"/>
        </w:rPr>
        <w:t xml:space="preserve">van de </w:t>
      </w:r>
      <w:r w:rsidR="008D0EF9">
        <w:rPr>
          <w:rFonts w:ascii="Cambria" w:hAnsi="Cambria"/>
          <w:sz w:val="21"/>
          <w:szCs w:val="21"/>
        </w:rPr>
        <w:t>LTV-limiet</w:t>
      </w:r>
      <w:r w:rsidR="002F04AD">
        <w:rPr>
          <w:rFonts w:ascii="Cambria" w:hAnsi="Cambria"/>
          <w:sz w:val="21"/>
          <w:szCs w:val="21"/>
        </w:rPr>
        <w:t xml:space="preserve">. </w:t>
      </w:r>
      <w:r w:rsidR="00A848C6">
        <w:rPr>
          <w:rFonts w:ascii="Cambria" w:hAnsi="Cambria"/>
          <w:sz w:val="21"/>
          <w:szCs w:val="21"/>
        </w:rPr>
        <w:t>Hierbij merkt het comité op dat de LTV-limiet in samenhang moet worden bezien met de hypotheekrenteaftrek</w:t>
      </w:r>
      <w:r w:rsidR="00DE6678">
        <w:rPr>
          <w:rFonts w:ascii="Cambria" w:hAnsi="Cambria"/>
          <w:sz w:val="21"/>
          <w:szCs w:val="21"/>
        </w:rPr>
        <w:t>,</w:t>
      </w:r>
      <w:r w:rsidR="00A848C6">
        <w:rPr>
          <w:rFonts w:ascii="Cambria" w:hAnsi="Cambria"/>
          <w:sz w:val="21"/>
          <w:szCs w:val="21"/>
        </w:rPr>
        <w:t xml:space="preserve"> de </w:t>
      </w:r>
      <w:r w:rsidR="00863519">
        <w:rPr>
          <w:rFonts w:ascii="Cambria" w:hAnsi="Cambria"/>
          <w:sz w:val="21"/>
          <w:szCs w:val="21"/>
        </w:rPr>
        <w:t xml:space="preserve">jaarlijks vastgestelde </w:t>
      </w:r>
      <w:r w:rsidR="00A848C6">
        <w:rPr>
          <w:rFonts w:ascii="Cambria" w:hAnsi="Cambria"/>
          <w:sz w:val="21"/>
          <w:szCs w:val="21"/>
        </w:rPr>
        <w:t>LTI-norm</w:t>
      </w:r>
      <w:r w:rsidR="00DE6678">
        <w:rPr>
          <w:rFonts w:ascii="Cambria" w:hAnsi="Cambria"/>
          <w:sz w:val="21"/>
          <w:szCs w:val="21"/>
        </w:rPr>
        <w:t xml:space="preserve"> en versterk</w:t>
      </w:r>
      <w:r w:rsidR="008D5D10">
        <w:rPr>
          <w:rFonts w:ascii="Cambria" w:hAnsi="Cambria"/>
          <w:sz w:val="21"/>
          <w:szCs w:val="21"/>
        </w:rPr>
        <w:t>t</w:t>
      </w:r>
      <w:r w:rsidR="00DE6678">
        <w:rPr>
          <w:rFonts w:ascii="Cambria" w:hAnsi="Cambria"/>
          <w:sz w:val="21"/>
          <w:szCs w:val="21"/>
        </w:rPr>
        <w:t xml:space="preserve">e marktprikkels </w:t>
      </w:r>
      <w:r w:rsidR="00276B6B">
        <w:rPr>
          <w:rFonts w:ascii="Cambria" w:hAnsi="Cambria"/>
          <w:sz w:val="21"/>
          <w:szCs w:val="21"/>
        </w:rPr>
        <w:t xml:space="preserve">om </w:t>
      </w:r>
      <w:r w:rsidR="00DE6678">
        <w:rPr>
          <w:rFonts w:ascii="Cambria" w:hAnsi="Cambria"/>
          <w:sz w:val="21"/>
          <w:szCs w:val="21"/>
        </w:rPr>
        <w:t>tot verantwoorde LTV</w:t>
      </w:r>
      <w:r w:rsidR="00276B6B">
        <w:rPr>
          <w:rFonts w:ascii="Cambria" w:hAnsi="Cambria"/>
          <w:sz w:val="21"/>
          <w:szCs w:val="21"/>
        </w:rPr>
        <w:t>’</w:t>
      </w:r>
      <w:r w:rsidR="00DE6678">
        <w:rPr>
          <w:rFonts w:ascii="Cambria" w:hAnsi="Cambria"/>
          <w:sz w:val="21"/>
          <w:szCs w:val="21"/>
        </w:rPr>
        <w:t>s</w:t>
      </w:r>
      <w:r w:rsidR="00276B6B">
        <w:rPr>
          <w:rFonts w:ascii="Cambria" w:hAnsi="Cambria"/>
          <w:sz w:val="21"/>
          <w:szCs w:val="21"/>
        </w:rPr>
        <w:t xml:space="preserve"> te komen</w:t>
      </w:r>
      <w:r w:rsidR="00A848C6">
        <w:rPr>
          <w:rFonts w:ascii="Cambria" w:hAnsi="Cambria"/>
          <w:sz w:val="21"/>
          <w:szCs w:val="21"/>
        </w:rPr>
        <w:t xml:space="preserve">, omdat deze ook van invloed zijn op de </w:t>
      </w:r>
      <w:r w:rsidR="007876D1">
        <w:rPr>
          <w:rFonts w:ascii="Cambria" w:hAnsi="Cambria"/>
          <w:sz w:val="21"/>
          <w:szCs w:val="21"/>
        </w:rPr>
        <w:t xml:space="preserve">genoemde </w:t>
      </w:r>
      <w:r w:rsidR="00A848C6">
        <w:rPr>
          <w:rFonts w:ascii="Cambria" w:hAnsi="Cambria"/>
          <w:sz w:val="21"/>
          <w:szCs w:val="21"/>
        </w:rPr>
        <w:t>risico’s op de woning- en hypotheekmarkt.</w:t>
      </w:r>
      <w:r w:rsidR="008D5D10">
        <w:rPr>
          <w:rFonts w:ascii="Cambria" w:hAnsi="Cambria"/>
          <w:sz w:val="21"/>
          <w:szCs w:val="21"/>
        </w:rPr>
        <w:t xml:space="preserve"> In deze context </w:t>
      </w:r>
      <w:r w:rsidR="007876D1">
        <w:rPr>
          <w:rFonts w:ascii="Cambria" w:hAnsi="Cambria"/>
          <w:sz w:val="21"/>
          <w:szCs w:val="21"/>
        </w:rPr>
        <w:t>constateert het comité</w:t>
      </w:r>
      <w:r w:rsidR="008D5D10">
        <w:rPr>
          <w:rFonts w:ascii="Cambria" w:hAnsi="Cambria"/>
          <w:sz w:val="21"/>
          <w:szCs w:val="21"/>
        </w:rPr>
        <w:t xml:space="preserve"> dat van de huidige vormgeving van de hypotheekrenteaftrek nog altijd een prikkel tot maximaal lenen uitgaat.</w:t>
      </w:r>
    </w:p>
    <w:p w:rsidR="008D5D10" w:rsidP="002F04AD" w:rsidRDefault="008D5D10">
      <w:pPr>
        <w:spacing w:line="360" w:lineRule="auto"/>
        <w:rPr>
          <w:rFonts w:ascii="Cambria" w:hAnsi="Cambria"/>
          <w:sz w:val="21"/>
          <w:szCs w:val="21"/>
        </w:rPr>
      </w:pPr>
    </w:p>
    <w:p w:rsidR="00951F94" w:rsidP="002F04AD" w:rsidRDefault="00D06BAC">
      <w:pPr>
        <w:spacing w:line="360" w:lineRule="auto"/>
        <w:rPr>
          <w:rFonts w:ascii="Cambria" w:hAnsi="Cambria"/>
          <w:sz w:val="21"/>
          <w:szCs w:val="21"/>
        </w:rPr>
      </w:pPr>
      <w:r>
        <w:rPr>
          <w:rFonts w:ascii="Cambria" w:hAnsi="Cambria"/>
          <w:sz w:val="21"/>
          <w:szCs w:val="21"/>
        </w:rPr>
        <w:t>Het comité is van mening dat e</w:t>
      </w:r>
      <w:r w:rsidR="00447B0D">
        <w:rPr>
          <w:rFonts w:ascii="Cambria" w:hAnsi="Cambria"/>
          <w:sz w:val="21"/>
          <w:szCs w:val="21"/>
        </w:rPr>
        <w:t xml:space="preserve">en </w:t>
      </w:r>
      <w:r w:rsidRPr="00F0630D" w:rsidR="00447B0D">
        <w:rPr>
          <w:rFonts w:ascii="Cambria" w:hAnsi="Cambria"/>
          <w:sz w:val="21"/>
          <w:szCs w:val="21"/>
        </w:rPr>
        <w:t>lagere LTV-limiet</w:t>
      </w:r>
      <w:r w:rsidR="00447B0D">
        <w:rPr>
          <w:rFonts w:ascii="Cambria" w:hAnsi="Cambria"/>
          <w:sz w:val="21"/>
          <w:szCs w:val="21"/>
        </w:rPr>
        <w:t xml:space="preserve"> de stabiliteit van de financiële sector en de economie </w:t>
      </w:r>
      <w:r>
        <w:rPr>
          <w:rFonts w:ascii="Cambria" w:hAnsi="Cambria"/>
          <w:sz w:val="21"/>
          <w:szCs w:val="21"/>
        </w:rPr>
        <w:t xml:space="preserve">kan </w:t>
      </w:r>
      <w:r w:rsidR="00447B0D">
        <w:rPr>
          <w:rFonts w:ascii="Cambria" w:hAnsi="Cambria"/>
          <w:sz w:val="21"/>
          <w:szCs w:val="21"/>
        </w:rPr>
        <w:t xml:space="preserve">versterken. </w:t>
      </w:r>
      <w:r w:rsidRPr="00F0630D" w:rsidR="008D5D10">
        <w:rPr>
          <w:rFonts w:ascii="Cambria" w:hAnsi="Cambria"/>
          <w:sz w:val="21"/>
          <w:szCs w:val="21"/>
        </w:rPr>
        <w:t xml:space="preserve">Hoewel </w:t>
      </w:r>
      <w:r w:rsidRPr="00F0630D" w:rsidR="00F0630D">
        <w:rPr>
          <w:rFonts w:ascii="Cambria" w:hAnsi="Cambria"/>
          <w:sz w:val="21"/>
          <w:szCs w:val="21"/>
        </w:rPr>
        <w:t>de causaliteit moeilijk is vast te stellen</w:t>
      </w:r>
      <w:r w:rsidR="008D5D10">
        <w:rPr>
          <w:rFonts w:ascii="Cambria" w:hAnsi="Cambria"/>
          <w:sz w:val="21"/>
          <w:szCs w:val="21"/>
        </w:rPr>
        <w:t>,</w:t>
      </w:r>
      <w:r w:rsidR="00D617DD">
        <w:rPr>
          <w:rFonts w:ascii="Cambria" w:hAnsi="Cambria"/>
          <w:sz w:val="21"/>
          <w:szCs w:val="21"/>
        </w:rPr>
        <w:t xml:space="preserve"> </w:t>
      </w:r>
      <w:r w:rsidR="00F0630D">
        <w:rPr>
          <w:rFonts w:ascii="Cambria" w:hAnsi="Cambria"/>
          <w:sz w:val="21"/>
          <w:szCs w:val="21"/>
        </w:rPr>
        <w:t>gaat</w:t>
      </w:r>
      <w:r w:rsidR="008D5D10">
        <w:rPr>
          <w:rFonts w:ascii="Cambria" w:hAnsi="Cambria"/>
          <w:sz w:val="21"/>
          <w:szCs w:val="21"/>
        </w:rPr>
        <w:t xml:space="preserve"> e</w:t>
      </w:r>
      <w:r w:rsidR="00447B0D">
        <w:rPr>
          <w:rFonts w:ascii="Cambria" w:hAnsi="Cambria"/>
          <w:sz w:val="21"/>
          <w:szCs w:val="21"/>
        </w:rPr>
        <w:t xml:space="preserve">en lagere schuldhefboom </w:t>
      </w:r>
      <w:r w:rsidR="0061491C">
        <w:rPr>
          <w:rFonts w:ascii="Cambria" w:hAnsi="Cambria"/>
          <w:sz w:val="21"/>
          <w:szCs w:val="21"/>
        </w:rPr>
        <w:t xml:space="preserve">van huishoudens </w:t>
      </w:r>
      <w:r w:rsidR="008D5D10">
        <w:rPr>
          <w:rFonts w:ascii="Cambria" w:hAnsi="Cambria"/>
          <w:sz w:val="21"/>
          <w:szCs w:val="21"/>
        </w:rPr>
        <w:t>gepaard met minder</w:t>
      </w:r>
      <w:r w:rsidR="00FD6DC0">
        <w:rPr>
          <w:rFonts w:ascii="Cambria" w:hAnsi="Cambria"/>
          <w:sz w:val="21"/>
          <w:szCs w:val="21"/>
        </w:rPr>
        <w:t xml:space="preserve"> </w:t>
      </w:r>
      <w:r w:rsidRPr="008D0EF9" w:rsidR="00447B0D">
        <w:rPr>
          <w:rFonts w:ascii="Cambria" w:hAnsi="Cambria"/>
          <w:sz w:val="21"/>
          <w:szCs w:val="21"/>
        </w:rPr>
        <w:t xml:space="preserve">sterke </w:t>
      </w:r>
      <w:r w:rsidRPr="008D0EF9" w:rsidR="008D0EF9">
        <w:rPr>
          <w:rFonts w:ascii="Cambria" w:hAnsi="Cambria"/>
          <w:sz w:val="21"/>
          <w:szCs w:val="21"/>
        </w:rPr>
        <w:t>schommelingen</w:t>
      </w:r>
      <w:r w:rsidRPr="008D0EF9" w:rsidR="00447B0D">
        <w:rPr>
          <w:rFonts w:ascii="Cambria" w:hAnsi="Cambria"/>
          <w:sz w:val="21"/>
          <w:szCs w:val="21"/>
        </w:rPr>
        <w:t xml:space="preserve"> op</w:t>
      </w:r>
      <w:r w:rsidR="00447B0D">
        <w:rPr>
          <w:rFonts w:ascii="Cambria" w:hAnsi="Cambria"/>
          <w:sz w:val="21"/>
          <w:szCs w:val="21"/>
        </w:rPr>
        <w:t xml:space="preserve"> de </w:t>
      </w:r>
      <w:r w:rsidR="00164A0B">
        <w:rPr>
          <w:rFonts w:ascii="Cambria" w:hAnsi="Cambria"/>
          <w:sz w:val="21"/>
          <w:szCs w:val="21"/>
        </w:rPr>
        <w:t>huizenmarkt</w:t>
      </w:r>
      <w:r w:rsidR="007876D1">
        <w:rPr>
          <w:rFonts w:ascii="Cambria" w:hAnsi="Cambria"/>
          <w:sz w:val="21"/>
          <w:szCs w:val="21"/>
        </w:rPr>
        <w:t xml:space="preserve">. </w:t>
      </w:r>
      <w:r w:rsidR="00B21234">
        <w:rPr>
          <w:rFonts w:ascii="Cambria" w:hAnsi="Cambria"/>
          <w:sz w:val="21"/>
          <w:szCs w:val="21"/>
        </w:rPr>
        <w:t>Dit draagt bij</w:t>
      </w:r>
      <w:r w:rsidR="007876D1">
        <w:rPr>
          <w:rFonts w:ascii="Cambria" w:hAnsi="Cambria"/>
          <w:sz w:val="21"/>
          <w:szCs w:val="21"/>
        </w:rPr>
        <w:t xml:space="preserve"> </w:t>
      </w:r>
      <w:r w:rsidR="00447B0D">
        <w:rPr>
          <w:rFonts w:ascii="Cambria" w:hAnsi="Cambria"/>
          <w:sz w:val="21"/>
          <w:szCs w:val="21"/>
        </w:rPr>
        <w:t xml:space="preserve">aan een meer gelijkmatige economische cyclus. Bovendien </w:t>
      </w:r>
      <w:r w:rsidR="0061491C">
        <w:rPr>
          <w:rFonts w:ascii="Cambria" w:hAnsi="Cambria"/>
          <w:sz w:val="21"/>
          <w:szCs w:val="21"/>
        </w:rPr>
        <w:t xml:space="preserve">neemt de kans af </w:t>
      </w:r>
      <w:r w:rsidR="00447B0D">
        <w:rPr>
          <w:rFonts w:ascii="Cambria" w:hAnsi="Cambria"/>
          <w:sz w:val="21"/>
          <w:szCs w:val="21"/>
        </w:rPr>
        <w:t xml:space="preserve">dat </w:t>
      </w:r>
      <w:r w:rsidR="008D0EF9">
        <w:rPr>
          <w:rFonts w:ascii="Cambria" w:hAnsi="Cambria"/>
          <w:sz w:val="21"/>
          <w:szCs w:val="21"/>
        </w:rPr>
        <w:t>huishoudens</w:t>
      </w:r>
      <w:r w:rsidR="00447B0D">
        <w:rPr>
          <w:rFonts w:ascii="Cambria" w:hAnsi="Cambria"/>
          <w:sz w:val="21"/>
          <w:szCs w:val="21"/>
        </w:rPr>
        <w:t xml:space="preserve"> onder</w:t>
      </w:r>
      <w:r w:rsidR="00472CBD">
        <w:rPr>
          <w:rFonts w:ascii="Cambria" w:hAnsi="Cambria"/>
          <w:sz w:val="21"/>
          <w:szCs w:val="21"/>
        </w:rPr>
        <w:t xml:space="preserve"> </w:t>
      </w:r>
      <w:r w:rsidR="00447B0D">
        <w:rPr>
          <w:rFonts w:ascii="Cambria" w:hAnsi="Cambria"/>
          <w:sz w:val="21"/>
          <w:szCs w:val="21"/>
        </w:rPr>
        <w:t>water kom</w:t>
      </w:r>
      <w:r w:rsidR="008D0EF9">
        <w:rPr>
          <w:rFonts w:ascii="Cambria" w:hAnsi="Cambria"/>
          <w:sz w:val="21"/>
          <w:szCs w:val="21"/>
        </w:rPr>
        <w:t>en</w:t>
      </w:r>
      <w:r w:rsidR="00447B0D">
        <w:rPr>
          <w:rFonts w:ascii="Cambria" w:hAnsi="Cambria"/>
          <w:sz w:val="21"/>
          <w:szCs w:val="21"/>
        </w:rPr>
        <w:t xml:space="preserve"> te staan na een huizenprijsdaling. </w:t>
      </w:r>
      <w:r w:rsidR="00F90E91">
        <w:rPr>
          <w:rFonts w:ascii="Cambria" w:hAnsi="Cambria"/>
          <w:sz w:val="21"/>
          <w:szCs w:val="21"/>
        </w:rPr>
        <w:t>Huishoudens di</w:t>
      </w:r>
      <w:r>
        <w:rPr>
          <w:rFonts w:ascii="Cambria" w:hAnsi="Cambria"/>
          <w:sz w:val="21"/>
          <w:szCs w:val="21"/>
        </w:rPr>
        <w:t>e</w:t>
      </w:r>
      <w:r w:rsidR="00F90E91">
        <w:rPr>
          <w:rFonts w:ascii="Cambria" w:hAnsi="Cambria"/>
          <w:sz w:val="21"/>
          <w:szCs w:val="21"/>
        </w:rPr>
        <w:t xml:space="preserve"> onder</w:t>
      </w:r>
      <w:r w:rsidR="00472CBD">
        <w:rPr>
          <w:rFonts w:ascii="Cambria" w:hAnsi="Cambria"/>
          <w:sz w:val="21"/>
          <w:szCs w:val="21"/>
        </w:rPr>
        <w:t xml:space="preserve"> </w:t>
      </w:r>
      <w:r w:rsidR="00F90E91">
        <w:rPr>
          <w:rFonts w:ascii="Cambria" w:hAnsi="Cambria"/>
          <w:sz w:val="21"/>
          <w:szCs w:val="21"/>
        </w:rPr>
        <w:t>water staan</w:t>
      </w:r>
      <w:r w:rsidR="009C7754">
        <w:rPr>
          <w:rFonts w:ascii="Cambria" w:hAnsi="Cambria"/>
          <w:sz w:val="21"/>
          <w:szCs w:val="21"/>
        </w:rPr>
        <w:t>,</w:t>
      </w:r>
      <w:r w:rsidR="008D5D10">
        <w:rPr>
          <w:rFonts w:ascii="Cambria" w:hAnsi="Cambria"/>
          <w:sz w:val="21"/>
          <w:szCs w:val="21"/>
        </w:rPr>
        <w:t xml:space="preserve"> zijn geneigd</w:t>
      </w:r>
      <w:r w:rsidR="00D617DD">
        <w:rPr>
          <w:rFonts w:ascii="Cambria" w:hAnsi="Cambria"/>
          <w:sz w:val="21"/>
          <w:szCs w:val="21"/>
        </w:rPr>
        <w:t xml:space="preserve"> </w:t>
      </w:r>
      <w:r w:rsidR="00472CBD">
        <w:rPr>
          <w:rFonts w:ascii="Cambria" w:hAnsi="Cambria"/>
          <w:sz w:val="21"/>
          <w:szCs w:val="21"/>
        </w:rPr>
        <w:t>minder uit te geven</w:t>
      </w:r>
      <w:r>
        <w:rPr>
          <w:rFonts w:ascii="Cambria" w:hAnsi="Cambria"/>
          <w:sz w:val="21"/>
          <w:szCs w:val="21"/>
        </w:rPr>
        <w:t xml:space="preserve"> en mind</w:t>
      </w:r>
      <w:r w:rsidR="00F90E91">
        <w:rPr>
          <w:rFonts w:ascii="Cambria" w:hAnsi="Cambria"/>
          <w:sz w:val="21"/>
          <w:szCs w:val="21"/>
        </w:rPr>
        <w:t>er sne</w:t>
      </w:r>
      <w:r>
        <w:rPr>
          <w:rFonts w:ascii="Cambria" w:hAnsi="Cambria"/>
          <w:sz w:val="21"/>
          <w:szCs w:val="21"/>
        </w:rPr>
        <w:t>l</w:t>
      </w:r>
      <w:r w:rsidR="00F90E91">
        <w:rPr>
          <w:rFonts w:ascii="Cambria" w:hAnsi="Cambria"/>
          <w:sz w:val="21"/>
          <w:szCs w:val="21"/>
        </w:rPr>
        <w:t xml:space="preserve"> te verhuizen, </w:t>
      </w:r>
      <w:r w:rsidR="00357984">
        <w:rPr>
          <w:rFonts w:ascii="Cambria" w:hAnsi="Cambria"/>
          <w:sz w:val="21"/>
          <w:szCs w:val="21"/>
        </w:rPr>
        <w:t>en</w:t>
      </w:r>
      <w:r w:rsidR="00D17892">
        <w:rPr>
          <w:rFonts w:ascii="Cambria" w:hAnsi="Cambria"/>
          <w:sz w:val="21"/>
          <w:szCs w:val="21"/>
        </w:rPr>
        <w:t xml:space="preserve"> kunnen</w:t>
      </w:r>
      <w:r w:rsidR="00357984">
        <w:rPr>
          <w:rFonts w:ascii="Cambria" w:hAnsi="Cambria"/>
          <w:sz w:val="21"/>
          <w:szCs w:val="21"/>
        </w:rPr>
        <w:t xml:space="preserve"> </w:t>
      </w:r>
      <w:r w:rsidR="00E901CD">
        <w:rPr>
          <w:rFonts w:ascii="Cambria" w:hAnsi="Cambria"/>
          <w:sz w:val="21"/>
          <w:szCs w:val="21"/>
        </w:rPr>
        <w:t xml:space="preserve">worden </w:t>
      </w:r>
      <w:r w:rsidR="00357984">
        <w:rPr>
          <w:rFonts w:ascii="Cambria" w:hAnsi="Cambria"/>
          <w:sz w:val="21"/>
          <w:szCs w:val="21"/>
        </w:rPr>
        <w:t xml:space="preserve">geconfronteerd met grote financiële problemen </w:t>
      </w:r>
      <w:r w:rsidR="00D17892">
        <w:rPr>
          <w:rFonts w:ascii="Cambria" w:hAnsi="Cambria"/>
          <w:sz w:val="21"/>
          <w:szCs w:val="21"/>
        </w:rPr>
        <w:t>bij werkloosheid</w:t>
      </w:r>
      <w:r w:rsidR="00357984">
        <w:rPr>
          <w:rFonts w:ascii="Cambria" w:hAnsi="Cambria"/>
          <w:sz w:val="21"/>
          <w:szCs w:val="21"/>
        </w:rPr>
        <w:t xml:space="preserve"> of echtscheiding</w:t>
      </w:r>
      <w:r w:rsidR="00E901CD">
        <w:rPr>
          <w:rFonts w:ascii="Cambria" w:hAnsi="Cambria"/>
          <w:sz w:val="21"/>
          <w:szCs w:val="21"/>
        </w:rPr>
        <w:t>. Deze effecten kunnen</w:t>
      </w:r>
      <w:r w:rsidR="00EB010E">
        <w:rPr>
          <w:rFonts w:ascii="Cambria" w:hAnsi="Cambria"/>
          <w:sz w:val="21"/>
          <w:szCs w:val="21"/>
        </w:rPr>
        <w:t xml:space="preserve"> leiden</w:t>
      </w:r>
      <w:r w:rsidR="0057514B">
        <w:rPr>
          <w:rFonts w:ascii="Cambria" w:hAnsi="Cambria"/>
          <w:sz w:val="21"/>
          <w:szCs w:val="21"/>
        </w:rPr>
        <w:t xml:space="preserve"> tot diepe</w:t>
      </w:r>
      <w:r w:rsidR="00EB010E">
        <w:rPr>
          <w:rFonts w:ascii="Cambria" w:hAnsi="Cambria"/>
          <w:sz w:val="21"/>
          <w:szCs w:val="21"/>
        </w:rPr>
        <w:t>re</w:t>
      </w:r>
      <w:r w:rsidR="0057514B">
        <w:rPr>
          <w:rFonts w:ascii="Cambria" w:hAnsi="Cambria"/>
          <w:sz w:val="21"/>
          <w:szCs w:val="21"/>
        </w:rPr>
        <w:t xml:space="preserve"> en langdurige</w:t>
      </w:r>
      <w:r w:rsidR="00EB010E">
        <w:rPr>
          <w:rFonts w:ascii="Cambria" w:hAnsi="Cambria"/>
          <w:sz w:val="21"/>
          <w:szCs w:val="21"/>
        </w:rPr>
        <w:t>re</w:t>
      </w:r>
      <w:r w:rsidR="0057514B">
        <w:rPr>
          <w:rFonts w:ascii="Cambria" w:hAnsi="Cambria"/>
          <w:sz w:val="21"/>
          <w:szCs w:val="21"/>
        </w:rPr>
        <w:t xml:space="preserve"> </w:t>
      </w:r>
      <w:r>
        <w:rPr>
          <w:rFonts w:ascii="Cambria" w:hAnsi="Cambria"/>
          <w:sz w:val="21"/>
          <w:szCs w:val="21"/>
        </w:rPr>
        <w:t>economische recessie</w:t>
      </w:r>
      <w:r w:rsidR="0057514B">
        <w:rPr>
          <w:rFonts w:ascii="Cambria" w:hAnsi="Cambria"/>
          <w:sz w:val="21"/>
          <w:szCs w:val="21"/>
        </w:rPr>
        <w:t>s</w:t>
      </w:r>
      <w:r w:rsidR="00D20FF0">
        <w:rPr>
          <w:rFonts w:ascii="Cambria" w:hAnsi="Cambria"/>
          <w:sz w:val="21"/>
          <w:szCs w:val="21"/>
        </w:rPr>
        <w:t xml:space="preserve">. </w:t>
      </w:r>
      <w:r>
        <w:rPr>
          <w:rFonts w:ascii="Cambria" w:hAnsi="Cambria"/>
          <w:sz w:val="21"/>
          <w:szCs w:val="21"/>
        </w:rPr>
        <w:t xml:space="preserve">De </w:t>
      </w:r>
      <w:r w:rsidR="0057514B">
        <w:rPr>
          <w:rFonts w:ascii="Cambria" w:hAnsi="Cambria"/>
          <w:sz w:val="21"/>
          <w:szCs w:val="21"/>
        </w:rPr>
        <w:t>recente economische ontwikkelingen in</w:t>
      </w:r>
      <w:r>
        <w:rPr>
          <w:rFonts w:ascii="Cambria" w:hAnsi="Cambria"/>
          <w:sz w:val="21"/>
          <w:szCs w:val="21"/>
        </w:rPr>
        <w:t xml:space="preserve"> Nederland illustre</w:t>
      </w:r>
      <w:r w:rsidR="0057514B">
        <w:rPr>
          <w:rFonts w:ascii="Cambria" w:hAnsi="Cambria"/>
          <w:sz w:val="21"/>
          <w:szCs w:val="21"/>
        </w:rPr>
        <w:t xml:space="preserve">ren </w:t>
      </w:r>
      <w:r>
        <w:rPr>
          <w:rFonts w:ascii="Cambria" w:hAnsi="Cambria"/>
          <w:sz w:val="21"/>
          <w:szCs w:val="21"/>
        </w:rPr>
        <w:t>dit.</w:t>
      </w:r>
      <w:r w:rsidR="00E9514C">
        <w:rPr>
          <w:rFonts w:ascii="Cambria" w:hAnsi="Cambria"/>
          <w:sz w:val="21"/>
          <w:szCs w:val="21"/>
        </w:rPr>
        <w:t xml:space="preserve"> </w:t>
      </w:r>
    </w:p>
    <w:p w:rsidR="00951F94" w:rsidP="002F04AD" w:rsidRDefault="00951F94">
      <w:pPr>
        <w:spacing w:line="360" w:lineRule="auto"/>
        <w:rPr>
          <w:rFonts w:ascii="Cambria" w:hAnsi="Cambria"/>
          <w:sz w:val="21"/>
          <w:szCs w:val="21"/>
        </w:rPr>
      </w:pPr>
    </w:p>
    <w:p w:rsidR="008D5D10" w:rsidP="002F04AD" w:rsidRDefault="008D5D10">
      <w:pPr>
        <w:spacing w:line="360" w:lineRule="auto"/>
        <w:rPr>
          <w:rFonts w:ascii="Cambria" w:hAnsi="Cambria"/>
          <w:sz w:val="21"/>
          <w:szCs w:val="21"/>
        </w:rPr>
      </w:pPr>
      <w:r>
        <w:rPr>
          <w:rFonts w:ascii="Cambria" w:hAnsi="Cambria"/>
          <w:sz w:val="21"/>
          <w:szCs w:val="21"/>
        </w:rPr>
        <w:lastRenderedPageBreak/>
        <w:t xml:space="preserve">Tegen het restschuldrisico bij verkoop kunnen huishoudens zich in </w:t>
      </w:r>
      <w:r w:rsidR="00EA48F7">
        <w:rPr>
          <w:rFonts w:ascii="Cambria" w:hAnsi="Cambria"/>
          <w:sz w:val="21"/>
          <w:szCs w:val="21"/>
        </w:rPr>
        <w:t xml:space="preserve">beginsel </w:t>
      </w:r>
      <w:r>
        <w:rPr>
          <w:rFonts w:ascii="Cambria" w:hAnsi="Cambria"/>
          <w:sz w:val="21"/>
          <w:szCs w:val="21"/>
        </w:rPr>
        <w:t>ook verzekeren. Deels doen zij dit al door de Nationale Hypotheekgarantie</w:t>
      </w:r>
      <w:r w:rsidR="00DC7B03">
        <w:rPr>
          <w:rFonts w:ascii="Cambria" w:hAnsi="Cambria"/>
          <w:sz w:val="21"/>
          <w:szCs w:val="21"/>
        </w:rPr>
        <w:t xml:space="preserve"> (NHG)</w:t>
      </w:r>
      <w:r>
        <w:rPr>
          <w:rFonts w:ascii="Cambria" w:hAnsi="Cambria"/>
          <w:sz w:val="21"/>
          <w:szCs w:val="21"/>
        </w:rPr>
        <w:t xml:space="preserve">, die het restschuldrisico in geval van werkloosheid of scheiding verzekert. </w:t>
      </w:r>
      <w:r w:rsidRPr="00B21234">
        <w:rPr>
          <w:rFonts w:ascii="Cambria" w:hAnsi="Cambria"/>
          <w:sz w:val="21"/>
          <w:szCs w:val="21"/>
        </w:rPr>
        <w:t xml:space="preserve">Een verzekering die ook bij niet-gedwongen verkoop het restschuldrisico afdekt, </w:t>
      </w:r>
      <w:r w:rsidRPr="00B21234" w:rsidR="00DC7B03">
        <w:rPr>
          <w:rFonts w:ascii="Cambria" w:hAnsi="Cambria"/>
          <w:sz w:val="21"/>
          <w:szCs w:val="21"/>
        </w:rPr>
        <w:t>zal</w:t>
      </w:r>
      <w:r w:rsidR="00EA48F7">
        <w:rPr>
          <w:rFonts w:ascii="Cambria" w:hAnsi="Cambria"/>
          <w:sz w:val="21"/>
          <w:szCs w:val="21"/>
        </w:rPr>
        <w:t xml:space="preserve"> echter</w:t>
      </w:r>
      <w:r w:rsidRPr="00B21234" w:rsidR="00DC7B03">
        <w:rPr>
          <w:rFonts w:ascii="Cambria" w:hAnsi="Cambria"/>
          <w:sz w:val="21"/>
          <w:szCs w:val="21"/>
        </w:rPr>
        <w:t xml:space="preserve"> </w:t>
      </w:r>
      <w:r w:rsidRPr="00B21234">
        <w:rPr>
          <w:rFonts w:ascii="Cambria" w:hAnsi="Cambria"/>
          <w:sz w:val="21"/>
          <w:szCs w:val="21"/>
        </w:rPr>
        <w:t xml:space="preserve">naar verwachting </w:t>
      </w:r>
      <w:r w:rsidRPr="00B21234" w:rsidR="00DC7B03">
        <w:rPr>
          <w:rFonts w:ascii="Cambria" w:hAnsi="Cambria"/>
          <w:sz w:val="21"/>
          <w:szCs w:val="21"/>
        </w:rPr>
        <w:t xml:space="preserve">zonder betrokkenheid van de overheid of </w:t>
      </w:r>
      <w:r w:rsidR="00B21234">
        <w:rPr>
          <w:rFonts w:ascii="Cambria" w:hAnsi="Cambria"/>
          <w:sz w:val="21"/>
          <w:szCs w:val="21"/>
        </w:rPr>
        <w:t>een</w:t>
      </w:r>
      <w:r w:rsidRPr="00B21234">
        <w:rPr>
          <w:rFonts w:ascii="Cambria" w:hAnsi="Cambria"/>
          <w:sz w:val="21"/>
          <w:szCs w:val="21"/>
        </w:rPr>
        <w:t xml:space="preserve"> eigen risico van de verzekeringnemer </w:t>
      </w:r>
      <w:r w:rsidRPr="00B21234" w:rsidR="00DC7B03">
        <w:rPr>
          <w:rFonts w:ascii="Cambria" w:hAnsi="Cambria"/>
          <w:sz w:val="21"/>
          <w:szCs w:val="21"/>
        </w:rPr>
        <w:t>niet tot stand komen</w:t>
      </w:r>
      <w:r w:rsidRPr="00B21234">
        <w:rPr>
          <w:rFonts w:ascii="Cambria" w:hAnsi="Cambria"/>
          <w:sz w:val="21"/>
          <w:szCs w:val="21"/>
        </w:rPr>
        <w:t>.</w:t>
      </w:r>
      <w:r w:rsidR="00B21234">
        <w:rPr>
          <w:rFonts w:ascii="Cambria" w:hAnsi="Cambria"/>
          <w:sz w:val="21"/>
          <w:szCs w:val="21"/>
        </w:rPr>
        <w:t xml:space="preserve"> Dit </w:t>
      </w:r>
      <w:r w:rsidRPr="00B21234" w:rsidR="00B21234">
        <w:rPr>
          <w:rFonts w:ascii="Cambria" w:hAnsi="Cambria"/>
          <w:sz w:val="21"/>
          <w:szCs w:val="21"/>
        </w:rPr>
        <w:t>vanwege het niet-idiosyncratische karakter van het risico</w:t>
      </w:r>
      <w:r w:rsidR="00B21234">
        <w:rPr>
          <w:rFonts w:ascii="Cambria" w:hAnsi="Cambria"/>
          <w:sz w:val="21"/>
          <w:szCs w:val="21"/>
        </w:rPr>
        <w:t xml:space="preserve"> en het belang van consistente prikkels.</w:t>
      </w:r>
    </w:p>
    <w:p w:rsidR="00260346" w:rsidP="002F04AD" w:rsidRDefault="00260346">
      <w:pPr>
        <w:spacing w:line="360" w:lineRule="auto"/>
        <w:rPr>
          <w:rFonts w:ascii="Cambria" w:hAnsi="Cambria"/>
          <w:sz w:val="21"/>
          <w:szCs w:val="21"/>
        </w:rPr>
      </w:pPr>
    </w:p>
    <w:p w:rsidR="00447B0D" w:rsidP="002F04AD" w:rsidRDefault="00134A47">
      <w:pPr>
        <w:spacing w:line="360" w:lineRule="auto"/>
        <w:rPr>
          <w:rFonts w:ascii="Cambria" w:hAnsi="Cambria"/>
          <w:sz w:val="21"/>
          <w:szCs w:val="21"/>
        </w:rPr>
      </w:pPr>
      <w:r>
        <w:rPr>
          <w:rFonts w:ascii="Cambria" w:hAnsi="Cambria"/>
          <w:sz w:val="21"/>
          <w:szCs w:val="21"/>
        </w:rPr>
        <w:t xml:space="preserve">Het comité benadrukt dat </w:t>
      </w:r>
      <w:r w:rsidR="00276B6B">
        <w:rPr>
          <w:rFonts w:ascii="Cambria" w:hAnsi="Cambria"/>
          <w:sz w:val="21"/>
          <w:szCs w:val="21"/>
        </w:rPr>
        <w:t xml:space="preserve">het </w:t>
      </w:r>
      <w:r>
        <w:rPr>
          <w:rFonts w:ascii="Cambria" w:hAnsi="Cambria"/>
          <w:sz w:val="21"/>
          <w:szCs w:val="21"/>
        </w:rPr>
        <w:t>LTV-beleid daadwerkelijk moet leiden tot een verminderde kwetsbaarheid van huishoudens voor huizenprijsdalingen. Daarom dient te worden voorkomen dat een verlaging van de LTV-limiet ertoe leidt dat huishoudens het resterende deel van de koopsom financieren met (duurder) consumptief krediet.</w:t>
      </w:r>
    </w:p>
    <w:p w:rsidR="00C61F29" w:rsidP="002F04AD" w:rsidRDefault="00C61F29">
      <w:pPr>
        <w:spacing w:line="360" w:lineRule="auto"/>
        <w:rPr>
          <w:rFonts w:ascii="Cambria" w:hAnsi="Cambria"/>
          <w:sz w:val="21"/>
          <w:szCs w:val="21"/>
        </w:rPr>
      </w:pPr>
    </w:p>
    <w:p w:rsidRPr="00461B03" w:rsidR="00134A47" w:rsidP="00461B03" w:rsidRDefault="00134A47">
      <w:pPr>
        <w:spacing w:line="360" w:lineRule="auto"/>
        <w:rPr>
          <w:rFonts w:ascii="Cambria" w:hAnsi="Cambria"/>
          <w:sz w:val="21"/>
          <w:szCs w:val="21"/>
        </w:rPr>
      </w:pPr>
      <w:r>
        <w:rPr>
          <w:rFonts w:ascii="Cambria" w:hAnsi="Cambria"/>
          <w:sz w:val="21"/>
          <w:szCs w:val="21"/>
        </w:rPr>
        <w:t>H</w:t>
      </w:r>
      <w:r w:rsidR="00C61F29">
        <w:rPr>
          <w:rFonts w:ascii="Cambria" w:hAnsi="Cambria"/>
          <w:sz w:val="21"/>
          <w:szCs w:val="21"/>
        </w:rPr>
        <w:t xml:space="preserve">et comité </w:t>
      </w:r>
      <w:r>
        <w:rPr>
          <w:rFonts w:ascii="Cambria" w:hAnsi="Cambria"/>
          <w:sz w:val="21"/>
          <w:szCs w:val="21"/>
        </w:rPr>
        <w:t xml:space="preserve">constateert </w:t>
      </w:r>
      <w:r w:rsidR="00A848C6">
        <w:rPr>
          <w:rFonts w:ascii="Cambria" w:hAnsi="Cambria"/>
          <w:sz w:val="21"/>
          <w:szCs w:val="21"/>
        </w:rPr>
        <w:t>dat een</w:t>
      </w:r>
      <w:r w:rsidR="00951F94">
        <w:rPr>
          <w:rFonts w:ascii="Cambria" w:hAnsi="Cambria"/>
          <w:sz w:val="21"/>
          <w:szCs w:val="21"/>
        </w:rPr>
        <w:t xml:space="preserve"> verlaging van de </w:t>
      </w:r>
      <w:r w:rsidR="00164A0B">
        <w:rPr>
          <w:rFonts w:ascii="Cambria" w:hAnsi="Cambria"/>
          <w:sz w:val="21"/>
          <w:szCs w:val="21"/>
        </w:rPr>
        <w:t xml:space="preserve">LTV-limiet </w:t>
      </w:r>
      <w:r w:rsidR="00951F94">
        <w:rPr>
          <w:rFonts w:ascii="Cambria" w:hAnsi="Cambria"/>
          <w:sz w:val="21"/>
          <w:szCs w:val="21"/>
        </w:rPr>
        <w:t>ook kosten met zich mee</w:t>
      </w:r>
      <w:r w:rsidR="00A848C6">
        <w:rPr>
          <w:rFonts w:ascii="Cambria" w:hAnsi="Cambria"/>
          <w:sz w:val="21"/>
          <w:szCs w:val="21"/>
        </w:rPr>
        <w:t>brengt</w:t>
      </w:r>
      <w:r w:rsidR="00426524">
        <w:rPr>
          <w:rFonts w:ascii="Cambria" w:hAnsi="Cambria"/>
          <w:sz w:val="21"/>
          <w:szCs w:val="21"/>
        </w:rPr>
        <w:t>.</w:t>
      </w:r>
      <w:r w:rsidR="00604080">
        <w:rPr>
          <w:rFonts w:ascii="Cambria" w:hAnsi="Cambria"/>
          <w:sz w:val="21"/>
          <w:szCs w:val="21"/>
        </w:rPr>
        <w:t xml:space="preserve"> </w:t>
      </w:r>
      <w:r w:rsidRPr="00EA48F7" w:rsidR="00426524">
        <w:rPr>
          <w:rFonts w:ascii="Cambria" w:hAnsi="Cambria"/>
          <w:sz w:val="21"/>
          <w:szCs w:val="21"/>
        </w:rPr>
        <w:t xml:space="preserve">Het beperkt </w:t>
      </w:r>
      <w:r w:rsidRPr="00EA48F7" w:rsidR="00C61F29">
        <w:rPr>
          <w:rFonts w:ascii="Cambria" w:hAnsi="Cambria"/>
          <w:sz w:val="21"/>
          <w:szCs w:val="21"/>
        </w:rPr>
        <w:t xml:space="preserve">voor een </w:t>
      </w:r>
      <w:r w:rsidRPr="00EA48F7" w:rsidR="00A848C6">
        <w:rPr>
          <w:rFonts w:ascii="Cambria" w:hAnsi="Cambria"/>
          <w:sz w:val="21"/>
          <w:szCs w:val="21"/>
        </w:rPr>
        <w:t xml:space="preserve">deel van de </w:t>
      </w:r>
      <w:r w:rsidRPr="00EA48F7" w:rsidR="00951F94">
        <w:rPr>
          <w:rFonts w:ascii="Cambria" w:hAnsi="Cambria"/>
          <w:sz w:val="21"/>
          <w:szCs w:val="21"/>
        </w:rPr>
        <w:t xml:space="preserve">starters </w:t>
      </w:r>
      <w:r w:rsidRPr="00EA48F7" w:rsidR="00426524">
        <w:rPr>
          <w:rFonts w:ascii="Cambria" w:hAnsi="Cambria"/>
          <w:sz w:val="21"/>
          <w:szCs w:val="21"/>
        </w:rPr>
        <w:t>de</w:t>
      </w:r>
      <w:r w:rsidRPr="00EA48F7" w:rsidR="00951F94">
        <w:rPr>
          <w:rFonts w:ascii="Cambria" w:hAnsi="Cambria"/>
          <w:sz w:val="21"/>
          <w:szCs w:val="21"/>
        </w:rPr>
        <w:t xml:space="preserve"> </w:t>
      </w:r>
      <w:r w:rsidRPr="00EA48F7" w:rsidR="00A848C6">
        <w:rPr>
          <w:rFonts w:ascii="Cambria" w:hAnsi="Cambria"/>
          <w:sz w:val="21"/>
          <w:szCs w:val="21"/>
        </w:rPr>
        <w:t>toegang tot een koopwoning</w:t>
      </w:r>
      <w:r w:rsidRPr="00EA48F7" w:rsidR="00E46CE8">
        <w:rPr>
          <w:rFonts w:ascii="Cambria" w:hAnsi="Cambria"/>
          <w:sz w:val="21"/>
          <w:szCs w:val="21"/>
        </w:rPr>
        <w:t>, omdat zij</w:t>
      </w:r>
      <w:r w:rsidRPr="00EA48F7" w:rsidR="00A848C6">
        <w:rPr>
          <w:rFonts w:ascii="Cambria" w:hAnsi="Cambria"/>
          <w:sz w:val="21"/>
          <w:szCs w:val="21"/>
        </w:rPr>
        <w:t xml:space="preserve"> </w:t>
      </w:r>
      <w:r w:rsidRPr="00EA48F7" w:rsidR="00C61F29">
        <w:rPr>
          <w:rFonts w:ascii="Cambria" w:hAnsi="Cambria"/>
          <w:sz w:val="21"/>
          <w:szCs w:val="21"/>
        </w:rPr>
        <w:t>meer eigen vermogen beschikbaar moeten hebben om een woning te kunnen kopen</w:t>
      </w:r>
      <w:r w:rsidRPr="00EA48F7" w:rsidR="00951F94">
        <w:rPr>
          <w:rFonts w:ascii="Cambria" w:hAnsi="Cambria"/>
          <w:sz w:val="21"/>
          <w:szCs w:val="21"/>
        </w:rPr>
        <w:t xml:space="preserve">. </w:t>
      </w:r>
      <w:r w:rsidRPr="00EA48F7" w:rsidR="00C61F29">
        <w:rPr>
          <w:rFonts w:ascii="Cambria" w:hAnsi="Cambria"/>
          <w:sz w:val="21"/>
          <w:szCs w:val="21"/>
        </w:rPr>
        <w:t xml:space="preserve">Ook </w:t>
      </w:r>
      <w:r w:rsidRPr="00EA48F7" w:rsidR="00951F94">
        <w:rPr>
          <w:rFonts w:ascii="Cambria" w:hAnsi="Cambria"/>
          <w:sz w:val="21"/>
          <w:szCs w:val="21"/>
        </w:rPr>
        <w:t xml:space="preserve">leidt een lagere LTV-limiet </w:t>
      </w:r>
      <w:r w:rsidRPr="002B4282" w:rsidR="00426524">
        <w:rPr>
          <w:rFonts w:ascii="Cambria" w:hAnsi="Cambria"/>
          <w:sz w:val="21"/>
          <w:szCs w:val="21"/>
        </w:rPr>
        <w:t xml:space="preserve">vooral </w:t>
      </w:r>
      <w:r w:rsidRPr="00BA676F" w:rsidR="00426524">
        <w:rPr>
          <w:rFonts w:ascii="Cambria" w:hAnsi="Cambria"/>
          <w:sz w:val="21"/>
          <w:szCs w:val="21"/>
        </w:rPr>
        <w:t xml:space="preserve">in de transitiefase </w:t>
      </w:r>
      <w:r w:rsidRPr="00BA676F" w:rsidR="00951F94">
        <w:rPr>
          <w:rFonts w:ascii="Cambria" w:hAnsi="Cambria"/>
          <w:sz w:val="21"/>
          <w:szCs w:val="21"/>
        </w:rPr>
        <w:t xml:space="preserve">tot minder transacties op de koopwoningmarkt en </w:t>
      </w:r>
      <w:r w:rsidRPr="00BA676F" w:rsidR="00426524">
        <w:rPr>
          <w:rFonts w:ascii="Cambria" w:hAnsi="Cambria"/>
          <w:sz w:val="21"/>
          <w:szCs w:val="21"/>
        </w:rPr>
        <w:t xml:space="preserve">structureel tot </w:t>
      </w:r>
      <w:r w:rsidRPr="00BA676F" w:rsidR="00951F94">
        <w:rPr>
          <w:rFonts w:ascii="Cambria" w:hAnsi="Cambria"/>
          <w:sz w:val="21"/>
          <w:szCs w:val="21"/>
        </w:rPr>
        <w:t>een grotere vraag naar huurwoningen.</w:t>
      </w:r>
      <w:r w:rsidR="00951F94">
        <w:rPr>
          <w:rFonts w:ascii="Cambria" w:hAnsi="Cambria"/>
          <w:sz w:val="21"/>
          <w:szCs w:val="21"/>
        </w:rPr>
        <w:t xml:space="preserve"> </w:t>
      </w:r>
      <w:r w:rsidR="00A2360C">
        <w:rPr>
          <w:rFonts w:ascii="Cambria" w:hAnsi="Cambria"/>
          <w:sz w:val="21"/>
          <w:szCs w:val="21"/>
        </w:rPr>
        <w:t>Een LTV-verlaging kan</w:t>
      </w:r>
      <w:r w:rsidRPr="00D617DD" w:rsidR="00D617DD">
        <w:rPr>
          <w:rFonts w:ascii="Cambria" w:hAnsi="Cambria"/>
          <w:sz w:val="21"/>
          <w:szCs w:val="21"/>
        </w:rPr>
        <w:t xml:space="preserve"> </w:t>
      </w:r>
      <w:r w:rsidR="00D617DD">
        <w:rPr>
          <w:rFonts w:ascii="Cambria" w:hAnsi="Cambria"/>
          <w:sz w:val="21"/>
          <w:szCs w:val="21"/>
        </w:rPr>
        <w:t xml:space="preserve">daarmee </w:t>
      </w:r>
      <w:r w:rsidRPr="00D617DD" w:rsidR="00D617DD">
        <w:rPr>
          <w:rFonts w:ascii="Cambria" w:hAnsi="Cambria"/>
          <w:sz w:val="21"/>
          <w:szCs w:val="21"/>
        </w:rPr>
        <w:t xml:space="preserve">op de korte termijn tot een groter tekort </w:t>
      </w:r>
      <w:r w:rsidR="00D617DD">
        <w:rPr>
          <w:rFonts w:ascii="Cambria" w:hAnsi="Cambria"/>
          <w:sz w:val="21"/>
          <w:szCs w:val="21"/>
        </w:rPr>
        <w:t xml:space="preserve">in het vrije huursegment </w:t>
      </w:r>
      <w:r w:rsidRPr="00D617DD" w:rsidR="00D617DD">
        <w:rPr>
          <w:rFonts w:ascii="Cambria" w:hAnsi="Cambria"/>
          <w:sz w:val="21"/>
          <w:szCs w:val="21"/>
        </w:rPr>
        <w:t xml:space="preserve">en </w:t>
      </w:r>
      <w:r w:rsidR="00276B6B">
        <w:rPr>
          <w:rFonts w:ascii="Cambria" w:hAnsi="Cambria"/>
          <w:sz w:val="21"/>
          <w:szCs w:val="21"/>
        </w:rPr>
        <w:t xml:space="preserve">tot </w:t>
      </w:r>
      <w:r w:rsidRPr="00D617DD" w:rsidR="00D617DD">
        <w:rPr>
          <w:rFonts w:ascii="Cambria" w:hAnsi="Cambria"/>
          <w:sz w:val="21"/>
          <w:szCs w:val="21"/>
        </w:rPr>
        <w:t>hogere</w:t>
      </w:r>
      <w:r w:rsidR="008D5D10">
        <w:rPr>
          <w:rFonts w:ascii="Cambria" w:hAnsi="Cambria"/>
          <w:sz w:val="21"/>
          <w:szCs w:val="21"/>
        </w:rPr>
        <w:t xml:space="preserve"> huren</w:t>
      </w:r>
      <w:r w:rsidRPr="00D617DD" w:rsidR="00D617DD">
        <w:rPr>
          <w:rFonts w:ascii="Cambria" w:hAnsi="Cambria"/>
          <w:sz w:val="21"/>
          <w:szCs w:val="21"/>
        </w:rPr>
        <w:t xml:space="preserve"> leiden</w:t>
      </w:r>
      <w:r w:rsidR="00C61F29">
        <w:rPr>
          <w:rFonts w:ascii="Cambria" w:hAnsi="Cambria"/>
          <w:sz w:val="21"/>
          <w:szCs w:val="21"/>
        </w:rPr>
        <w:t xml:space="preserve">, </w:t>
      </w:r>
      <w:r w:rsidR="00CC1945">
        <w:rPr>
          <w:rFonts w:ascii="Cambria" w:hAnsi="Cambria"/>
          <w:sz w:val="21"/>
          <w:szCs w:val="21"/>
        </w:rPr>
        <w:t>wat</w:t>
      </w:r>
      <w:r w:rsidR="00C61F29">
        <w:rPr>
          <w:rFonts w:ascii="Cambria" w:hAnsi="Cambria"/>
          <w:sz w:val="21"/>
          <w:szCs w:val="21"/>
        </w:rPr>
        <w:t xml:space="preserve"> het spaarvermogen van </w:t>
      </w:r>
      <w:r w:rsidR="00EA48F7">
        <w:rPr>
          <w:rFonts w:ascii="Cambria" w:hAnsi="Cambria"/>
          <w:sz w:val="21"/>
          <w:szCs w:val="21"/>
        </w:rPr>
        <w:t xml:space="preserve">potentiële starters </w:t>
      </w:r>
      <w:r w:rsidR="00C61F29">
        <w:rPr>
          <w:rFonts w:ascii="Cambria" w:hAnsi="Cambria"/>
          <w:sz w:val="21"/>
          <w:szCs w:val="21"/>
        </w:rPr>
        <w:t>beperkt</w:t>
      </w:r>
      <w:r w:rsidR="00D617DD">
        <w:rPr>
          <w:rFonts w:ascii="Cambria" w:hAnsi="Cambria"/>
          <w:sz w:val="21"/>
          <w:szCs w:val="21"/>
        </w:rPr>
        <w:t>.</w:t>
      </w:r>
      <w:r w:rsidRPr="008D5D10" w:rsidR="00C019C3">
        <w:rPr>
          <w:sz w:val="18"/>
        </w:rPr>
        <w:t xml:space="preserve"> </w:t>
      </w:r>
      <w:r w:rsidRPr="00EF1D2E" w:rsidR="008D5D10">
        <w:rPr>
          <w:rFonts w:ascii="Cambria" w:hAnsi="Cambria"/>
          <w:sz w:val="21"/>
          <w:szCs w:val="21"/>
        </w:rPr>
        <w:t xml:space="preserve">Een verlaging van </w:t>
      </w:r>
      <w:bookmarkStart w:name="_GoBack" w:id="0"/>
      <w:bookmarkEnd w:id="0"/>
      <w:r w:rsidRPr="00EF1D2E" w:rsidR="008D5D10">
        <w:rPr>
          <w:rFonts w:ascii="Cambria" w:hAnsi="Cambria"/>
          <w:sz w:val="21"/>
          <w:szCs w:val="21"/>
        </w:rPr>
        <w:t>de LTV</w:t>
      </w:r>
      <w:r w:rsidR="005F4C77">
        <w:rPr>
          <w:rFonts w:ascii="Cambria" w:hAnsi="Cambria"/>
          <w:sz w:val="21"/>
          <w:szCs w:val="21"/>
        </w:rPr>
        <w:t>-limiet</w:t>
      </w:r>
      <w:r w:rsidRPr="00EF1D2E" w:rsidR="008D5D10">
        <w:rPr>
          <w:rFonts w:ascii="Cambria" w:hAnsi="Cambria"/>
          <w:sz w:val="21"/>
          <w:szCs w:val="21"/>
        </w:rPr>
        <w:t xml:space="preserve"> zou daarom bij voorkeur geleidelijk moeten plaatsvinden.</w:t>
      </w:r>
      <w:r w:rsidR="008D5D10">
        <w:rPr>
          <w:rFonts w:ascii="Cambria" w:hAnsi="Cambria"/>
          <w:sz w:val="21"/>
          <w:szCs w:val="21"/>
        </w:rPr>
        <w:t xml:space="preserve"> </w:t>
      </w:r>
    </w:p>
    <w:p w:rsidRPr="00461B03" w:rsidR="00461B03" w:rsidP="00461B03" w:rsidRDefault="00461B03">
      <w:pPr>
        <w:spacing w:line="360" w:lineRule="auto"/>
        <w:rPr>
          <w:rFonts w:ascii="Cambria" w:hAnsi="Cambria"/>
          <w:sz w:val="21"/>
          <w:szCs w:val="21"/>
        </w:rPr>
      </w:pPr>
    </w:p>
    <w:p w:rsidR="00153641" w:rsidP="002F04AD" w:rsidRDefault="008D5D10">
      <w:pPr>
        <w:spacing w:line="360" w:lineRule="auto"/>
        <w:rPr>
          <w:rFonts w:ascii="Cambria" w:hAnsi="Cambria"/>
          <w:sz w:val="21"/>
          <w:szCs w:val="21"/>
        </w:rPr>
      </w:pPr>
      <w:r>
        <w:rPr>
          <w:rFonts w:ascii="Cambria" w:hAnsi="Cambria"/>
          <w:sz w:val="21"/>
          <w:szCs w:val="21"/>
        </w:rPr>
        <w:t>D</w:t>
      </w:r>
      <w:r w:rsidR="00951F94">
        <w:rPr>
          <w:rFonts w:ascii="Cambria" w:hAnsi="Cambria"/>
          <w:sz w:val="21"/>
          <w:szCs w:val="21"/>
        </w:rPr>
        <w:t xml:space="preserve">e omvang van deze effecten is </w:t>
      </w:r>
      <w:r w:rsidR="00426524">
        <w:rPr>
          <w:rFonts w:ascii="Cambria" w:hAnsi="Cambria"/>
          <w:sz w:val="21"/>
          <w:szCs w:val="21"/>
        </w:rPr>
        <w:t xml:space="preserve">onzeker en </w:t>
      </w:r>
      <w:r w:rsidR="00951F94">
        <w:rPr>
          <w:rFonts w:ascii="Cambria" w:hAnsi="Cambria"/>
          <w:sz w:val="21"/>
          <w:szCs w:val="21"/>
        </w:rPr>
        <w:t>sterk afhankelijk van het toekomstige spaar- en woongedrag van potentiële starters</w:t>
      </w:r>
      <w:r w:rsidR="00276B6B">
        <w:rPr>
          <w:rFonts w:ascii="Cambria" w:hAnsi="Cambria"/>
          <w:sz w:val="21"/>
          <w:szCs w:val="21"/>
        </w:rPr>
        <w:t>.</w:t>
      </w:r>
      <w:r w:rsidR="001E0674">
        <w:rPr>
          <w:rFonts w:ascii="Cambria" w:hAnsi="Cambria"/>
          <w:sz w:val="21"/>
          <w:szCs w:val="21"/>
        </w:rPr>
        <w:t xml:space="preserve"> </w:t>
      </w:r>
      <w:r w:rsidR="00951F94">
        <w:rPr>
          <w:rFonts w:ascii="Cambria" w:hAnsi="Cambria"/>
          <w:sz w:val="21"/>
          <w:szCs w:val="21"/>
        </w:rPr>
        <w:t>Tegelijk is een inschatting van deze effecten bepalend voor het vaststellen van het gewenste LTV-beleid na 2018 en het tempo waarin een</w:t>
      </w:r>
      <w:r w:rsidR="001E0674">
        <w:rPr>
          <w:rFonts w:ascii="Cambria" w:hAnsi="Cambria"/>
          <w:sz w:val="21"/>
          <w:szCs w:val="21"/>
        </w:rPr>
        <w:t xml:space="preserve"> </w:t>
      </w:r>
      <w:r w:rsidR="00951F94">
        <w:rPr>
          <w:rFonts w:ascii="Cambria" w:hAnsi="Cambria"/>
          <w:sz w:val="21"/>
          <w:szCs w:val="21"/>
        </w:rPr>
        <w:t xml:space="preserve">verdere verlaging zou kunnen plaatsvinden. Hierbij is van belang dat starters het benodigde bedrag binnen een redelijke termijn bijeen kunnen sparen en dat zij intussen desgewenst een huurwoning kunnen betrekken. Het comité constateert dat het kabinet verschillende maatregelen heeft genomen om het middensegment op de huurmarkt verder te ontwikkelen, maar </w:t>
      </w:r>
      <w:r w:rsidR="001E0674">
        <w:rPr>
          <w:rFonts w:ascii="Cambria" w:hAnsi="Cambria"/>
          <w:sz w:val="21"/>
          <w:szCs w:val="21"/>
        </w:rPr>
        <w:t xml:space="preserve">dat het tijd kost voordat deze maatregelen effect sorteren en </w:t>
      </w:r>
      <w:r w:rsidR="00951F94">
        <w:rPr>
          <w:rFonts w:ascii="Cambria" w:hAnsi="Cambria"/>
          <w:sz w:val="21"/>
          <w:szCs w:val="21"/>
        </w:rPr>
        <w:t xml:space="preserve">dat de </w:t>
      </w:r>
      <w:r w:rsidR="001E0674">
        <w:rPr>
          <w:rFonts w:ascii="Cambria" w:hAnsi="Cambria"/>
          <w:sz w:val="21"/>
          <w:szCs w:val="21"/>
        </w:rPr>
        <w:t xml:space="preserve">omvang van deze </w:t>
      </w:r>
      <w:r w:rsidR="00951F94">
        <w:rPr>
          <w:rFonts w:ascii="Cambria" w:hAnsi="Cambria"/>
          <w:sz w:val="21"/>
          <w:szCs w:val="21"/>
        </w:rPr>
        <w:t xml:space="preserve">effecten nog niet duidelijk </w:t>
      </w:r>
      <w:r w:rsidR="001E0674">
        <w:rPr>
          <w:rFonts w:ascii="Cambria" w:hAnsi="Cambria"/>
          <w:sz w:val="21"/>
          <w:szCs w:val="21"/>
        </w:rPr>
        <w:t>is</w:t>
      </w:r>
      <w:r w:rsidR="00951F94">
        <w:rPr>
          <w:rFonts w:ascii="Cambria" w:hAnsi="Cambria"/>
          <w:sz w:val="21"/>
          <w:szCs w:val="21"/>
        </w:rPr>
        <w:t xml:space="preserve">. Het comité concludeert dat voor een </w:t>
      </w:r>
      <w:r w:rsidR="001F17DD">
        <w:rPr>
          <w:rFonts w:ascii="Cambria" w:hAnsi="Cambria"/>
          <w:sz w:val="21"/>
          <w:szCs w:val="21"/>
        </w:rPr>
        <w:t>verdere discussie</w:t>
      </w:r>
      <w:r w:rsidR="00951F94">
        <w:rPr>
          <w:rFonts w:ascii="Cambria" w:hAnsi="Cambria"/>
          <w:sz w:val="21"/>
          <w:szCs w:val="21"/>
        </w:rPr>
        <w:t xml:space="preserve"> over het </w:t>
      </w:r>
      <w:r w:rsidR="001F17DD">
        <w:rPr>
          <w:rFonts w:ascii="Cambria" w:hAnsi="Cambria"/>
          <w:sz w:val="21"/>
          <w:szCs w:val="21"/>
        </w:rPr>
        <w:t xml:space="preserve">toekomstige </w:t>
      </w:r>
      <w:r w:rsidR="00951F94">
        <w:rPr>
          <w:rFonts w:ascii="Cambria" w:hAnsi="Cambria"/>
          <w:sz w:val="21"/>
          <w:szCs w:val="21"/>
        </w:rPr>
        <w:t>LTV-beleid nadere analyse nodig is van de spaarmogelijkheden van jonge huishoudens</w:t>
      </w:r>
      <w:r>
        <w:rPr>
          <w:rFonts w:ascii="Cambria" w:hAnsi="Cambria"/>
          <w:sz w:val="21"/>
          <w:szCs w:val="21"/>
        </w:rPr>
        <w:t xml:space="preserve">, </w:t>
      </w:r>
      <w:r w:rsidR="00951F94">
        <w:rPr>
          <w:rFonts w:ascii="Cambria" w:hAnsi="Cambria"/>
          <w:sz w:val="21"/>
          <w:szCs w:val="21"/>
        </w:rPr>
        <w:t>de mogelijkheden om het middensegment op de huurmarkt verder te ontwikkelen</w:t>
      </w:r>
      <w:r>
        <w:rPr>
          <w:rFonts w:ascii="Cambria" w:hAnsi="Cambria"/>
          <w:sz w:val="21"/>
          <w:szCs w:val="21"/>
        </w:rPr>
        <w:t xml:space="preserve">, en </w:t>
      </w:r>
      <w:r w:rsidR="005150BF">
        <w:rPr>
          <w:rFonts w:ascii="Cambria" w:hAnsi="Cambria"/>
          <w:sz w:val="21"/>
          <w:szCs w:val="21"/>
        </w:rPr>
        <w:t>de mogelijk</w:t>
      </w:r>
      <w:r w:rsidR="00134A47">
        <w:rPr>
          <w:rFonts w:ascii="Cambria" w:hAnsi="Cambria"/>
          <w:sz w:val="21"/>
          <w:szCs w:val="21"/>
        </w:rPr>
        <w:t>e beleidsmaatregelen</w:t>
      </w:r>
      <w:r w:rsidR="005150BF">
        <w:rPr>
          <w:rFonts w:ascii="Cambria" w:hAnsi="Cambria"/>
          <w:sz w:val="21"/>
          <w:szCs w:val="21"/>
        </w:rPr>
        <w:t xml:space="preserve"> om te voorkomen dat huishoudens </w:t>
      </w:r>
      <w:r w:rsidR="00134A47">
        <w:rPr>
          <w:rFonts w:ascii="Cambria" w:hAnsi="Cambria"/>
          <w:sz w:val="21"/>
          <w:szCs w:val="21"/>
        </w:rPr>
        <w:t>consumptief krediet als substituut voor hypothecair krediet zullen gebruiken</w:t>
      </w:r>
      <w:r w:rsidR="00951F94">
        <w:rPr>
          <w:rFonts w:ascii="Cambria" w:hAnsi="Cambria"/>
          <w:sz w:val="21"/>
          <w:szCs w:val="21"/>
        </w:rPr>
        <w:t>. In mei 2015 spreekt het comité verder over dit onderwerp.</w:t>
      </w:r>
    </w:p>
    <w:p w:rsidR="00A848C6" w:rsidP="002F04AD" w:rsidRDefault="00A848C6">
      <w:pPr>
        <w:spacing w:line="360" w:lineRule="auto"/>
        <w:rPr>
          <w:rFonts w:ascii="Cambria" w:hAnsi="Cambria"/>
          <w:sz w:val="21"/>
          <w:szCs w:val="21"/>
        </w:rPr>
      </w:pPr>
    </w:p>
    <w:p w:rsidRPr="00E66075" w:rsidR="00186F24" w:rsidP="002707B8" w:rsidRDefault="00E66075">
      <w:pPr>
        <w:spacing w:line="360" w:lineRule="auto"/>
        <w:rPr>
          <w:rFonts w:ascii="Cambria" w:hAnsi="Cambria"/>
          <w:b/>
          <w:sz w:val="21"/>
          <w:szCs w:val="21"/>
        </w:rPr>
      </w:pPr>
      <w:r w:rsidRPr="00E66075">
        <w:rPr>
          <w:rFonts w:ascii="Cambria" w:hAnsi="Cambria"/>
          <w:b/>
          <w:sz w:val="21"/>
          <w:szCs w:val="21"/>
        </w:rPr>
        <w:t xml:space="preserve">Aanbevelingen FSB </w:t>
      </w:r>
      <w:r w:rsidR="00EB010E">
        <w:rPr>
          <w:rFonts w:ascii="Cambria" w:hAnsi="Cambria"/>
          <w:b/>
          <w:i/>
          <w:sz w:val="21"/>
          <w:szCs w:val="21"/>
        </w:rPr>
        <w:t>Peer R</w:t>
      </w:r>
      <w:r w:rsidRPr="00FF79AD">
        <w:rPr>
          <w:rFonts w:ascii="Cambria" w:hAnsi="Cambria"/>
          <w:b/>
          <w:i/>
          <w:sz w:val="21"/>
          <w:szCs w:val="21"/>
        </w:rPr>
        <w:t>eview</w:t>
      </w:r>
    </w:p>
    <w:p w:rsidR="009F5EF6" w:rsidP="002707B8" w:rsidRDefault="00FF79AD">
      <w:pPr>
        <w:spacing w:line="360" w:lineRule="auto"/>
        <w:rPr>
          <w:rFonts w:ascii="Cambria" w:hAnsi="Cambria"/>
          <w:sz w:val="21"/>
          <w:szCs w:val="21"/>
        </w:rPr>
      </w:pPr>
      <w:r>
        <w:rPr>
          <w:rFonts w:ascii="Cambria" w:hAnsi="Cambria"/>
          <w:sz w:val="21"/>
          <w:szCs w:val="21"/>
        </w:rPr>
        <w:lastRenderedPageBreak/>
        <w:t xml:space="preserve">De Financial Stability Board (FSB) heeft in het kader van een </w:t>
      </w:r>
      <w:r w:rsidRPr="00FF79AD">
        <w:rPr>
          <w:rFonts w:ascii="Cambria" w:hAnsi="Cambria"/>
          <w:i/>
          <w:sz w:val="21"/>
          <w:szCs w:val="21"/>
        </w:rPr>
        <w:t>peer</w:t>
      </w:r>
      <w:r w:rsidR="00667685">
        <w:rPr>
          <w:rFonts w:ascii="Cambria" w:hAnsi="Cambria"/>
          <w:i/>
          <w:sz w:val="21"/>
          <w:szCs w:val="21"/>
        </w:rPr>
        <w:t xml:space="preserve"> </w:t>
      </w:r>
      <w:r w:rsidRPr="00FF79AD">
        <w:rPr>
          <w:rFonts w:ascii="Cambria" w:hAnsi="Cambria"/>
          <w:i/>
          <w:sz w:val="21"/>
          <w:szCs w:val="21"/>
        </w:rPr>
        <w:t>review</w:t>
      </w:r>
      <w:r>
        <w:rPr>
          <w:rFonts w:ascii="Cambria" w:hAnsi="Cambria"/>
          <w:sz w:val="21"/>
          <w:szCs w:val="21"/>
        </w:rPr>
        <w:t xml:space="preserve"> de inrichting van </w:t>
      </w:r>
      <w:r w:rsidR="00667685">
        <w:rPr>
          <w:rFonts w:ascii="Cambria" w:hAnsi="Cambria"/>
          <w:sz w:val="21"/>
          <w:szCs w:val="21"/>
        </w:rPr>
        <w:t>het macroprudentië</w:t>
      </w:r>
      <w:r>
        <w:rPr>
          <w:rFonts w:ascii="Cambria" w:hAnsi="Cambria"/>
          <w:sz w:val="21"/>
          <w:szCs w:val="21"/>
        </w:rPr>
        <w:t>l</w:t>
      </w:r>
      <w:r w:rsidR="00667685">
        <w:rPr>
          <w:rFonts w:ascii="Cambria" w:hAnsi="Cambria"/>
          <w:sz w:val="21"/>
          <w:szCs w:val="21"/>
        </w:rPr>
        <w:t>e</w:t>
      </w:r>
      <w:r>
        <w:rPr>
          <w:rFonts w:ascii="Cambria" w:hAnsi="Cambria"/>
          <w:sz w:val="21"/>
          <w:szCs w:val="21"/>
        </w:rPr>
        <w:t xml:space="preserve"> beleid in Nederland tegen het licht gehouden. </w:t>
      </w:r>
      <w:r w:rsidR="00667685">
        <w:rPr>
          <w:rFonts w:ascii="Cambria" w:hAnsi="Cambria"/>
          <w:sz w:val="21"/>
          <w:szCs w:val="21"/>
        </w:rPr>
        <w:t xml:space="preserve">De FSB is positief over de wijze waarop het macroprudentiële beleid in Nederland is vormgegeven. Enkele aanbevelingen om dit beleid verder te versterken hebben betrekking op </w:t>
      </w:r>
      <w:r>
        <w:rPr>
          <w:rFonts w:ascii="Cambria" w:hAnsi="Cambria"/>
          <w:sz w:val="21"/>
          <w:szCs w:val="21"/>
        </w:rPr>
        <w:t xml:space="preserve">de </w:t>
      </w:r>
      <w:r w:rsidR="009F5EF6">
        <w:rPr>
          <w:rFonts w:ascii="Cambria" w:hAnsi="Cambria"/>
          <w:sz w:val="21"/>
          <w:szCs w:val="21"/>
        </w:rPr>
        <w:t xml:space="preserve">formele positie en bevoegdheden </w:t>
      </w:r>
      <w:r>
        <w:rPr>
          <w:rFonts w:ascii="Cambria" w:hAnsi="Cambria"/>
          <w:sz w:val="21"/>
          <w:szCs w:val="21"/>
        </w:rPr>
        <w:t xml:space="preserve">van het </w:t>
      </w:r>
      <w:r w:rsidR="00BF73D6">
        <w:rPr>
          <w:rFonts w:ascii="Cambria" w:hAnsi="Cambria"/>
          <w:sz w:val="21"/>
          <w:szCs w:val="21"/>
        </w:rPr>
        <w:t>Financieel Stabiliteitscomité</w:t>
      </w:r>
      <w:r>
        <w:rPr>
          <w:rFonts w:ascii="Cambria" w:hAnsi="Cambria"/>
          <w:sz w:val="21"/>
          <w:szCs w:val="21"/>
        </w:rPr>
        <w:t xml:space="preserve">. </w:t>
      </w:r>
      <w:r w:rsidR="00BF73D6">
        <w:rPr>
          <w:rFonts w:ascii="Cambria" w:hAnsi="Cambria"/>
          <w:sz w:val="21"/>
          <w:szCs w:val="21"/>
        </w:rPr>
        <w:t>H</w:t>
      </w:r>
      <w:r w:rsidR="00667685">
        <w:rPr>
          <w:rFonts w:ascii="Cambria" w:hAnsi="Cambria"/>
          <w:sz w:val="21"/>
          <w:szCs w:val="21"/>
        </w:rPr>
        <w:t xml:space="preserve">et comité </w:t>
      </w:r>
      <w:r w:rsidR="008264DD">
        <w:rPr>
          <w:rFonts w:ascii="Cambria" w:hAnsi="Cambria"/>
          <w:sz w:val="21"/>
          <w:szCs w:val="21"/>
        </w:rPr>
        <w:t xml:space="preserve">erkent dat wettelijke verankering de positie van het comité kan versterken. Omdat de </w:t>
      </w:r>
      <w:r w:rsidR="00BF73D6">
        <w:rPr>
          <w:rFonts w:ascii="Cambria" w:hAnsi="Cambria"/>
          <w:sz w:val="21"/>
          <w:szCs w:val="21"/>
        </w:rPr>
        <w:t>huidige vormgeving in de praktijk goed werkbaar is</w:t>
      </w:r>
      <w:r w:rsidR="008264DD">
        <w:rPr>
          <w:rFonts w:ascii="Cambria" w:hAnsi="Cambria"/>
          <w:sz w:val="21"/>
          <w:szCs w:val="21"/>
        </w:rPr>
        <w:t>, is er geen noodzaak om dit op korte termijn te regelen. De FSB is daarnaast van mening dat aanbevelingen van het comité aan kracht kunnen winnen door de introductie van een ‘pas toe of leg uit’ regel.</w:t>
      </w:r>
    </w:p>
    <w:p w:rsidR="00E66075" w:rsidP="002707B8" w:rsidRDefault="008264DD">
      <w:pPr>
        <w:spacing w:line="360" w:lineRule="auto"/>
        <w:rPr>
          <w:rFonts w:ascii="Cambria" w:hAnsi="Cambria"/>
          <w:b/>
          <w:sz w:val="21"/>
          <w:szCs w:val="21"/>
        </w:rPr>
      </w:pPr>
      <w:r>
        <w:rPr>
          <w:rFonts w:ascii="Cambria" w:hAnsi="Cambria"/>
          <w:sz w:val="21"/>
          <w:szCs w:val="21"/>
        </w:rPr>
        <w:t>Het comité stelt vast dat</w:t>
      </w:r>
      <w:r w:rsidR="00B623A0">
        <w:rPr>
          <w:rFonts w:ascii="Cambria" w:hAnsi="Cambria"/>
          <w:sz w:val="21"/>
          <w:szCs w:val="21"/>
        </w:rPr>
        <w:t xml:space="preserve"> waarschuwingen en aanbevelingen </w:t>
      </w:r>
      <w:r>
        <w:rPr>
          <w:rFonts w:ascii="Cambria" w:hAnsi="Cambria"/>
          <w:sz w:val="21"/>
          <w:szCs w:val="21"/>
        </w:rPr>
        <w:t xml:space="preserve">van het comité, evenals de verslagen van de bijeenkomsten, </w:t>
      </w:r>
      <w:r w:rsidR="00B623A0">
        <w:rPr>
          <w:rFonts w:ascii="Cambria" w:hAnsi="Cambria"/>
          <w:sz w:val="21"/>
          <w:szCs w:val="21"/>
        </w:rPr>
        <w:t xml:space="preserve">in beginsel openbaar </w:t>
      </w:r>
      <w:r w:rsidR="000B597A">
        <w:rPr>
          <w:rFonts w:ascii="Cambria" w:hAnsi="Cambria"/>
          <w:sz w:val="21"/>
          <w:szCs w:val="21"/>
        </w:rPr>
        <w:t xml:space="preserve">zijn </w:t>
      </w:r>
      <w:r w:rsidR="00B623A0">
        <w:rPr>
          <w:rFonts w:ascii="Cambria" w:hAnsi="Cambria"/>
          <w:sz w:val="21"/>
          <w:szCs w:val="21"/>
        </w:rPr>
        <w:t xml:space="preserve">en door de minister van Financiën aan het parlement </w:t>
      </w:r>
      <w:r w:rsidR="000B597A">
        <w:rPr>
          <w:rFonts w:ascii="Cambria" w:hAnsi="Cambria"/>
          <w:sz w:val="21"/>
          <w:szCs w:val="21"/>
        </w:rPr>
        <w:t xml:space="preserve">worden </w:t>
      </w:r>
      <w:r w:rsidR="00B623A0">
        <w:rPr>
          <w:rFonts w:ascii="Cambria" w:hAnsi="Cambria"/>
          <w:sz w:val="21"/>
          <w:szCs w:val="21"/>
        </w:rPr>
        <w:t xml:space="preserve">gestuurd. Hierdoor ligt </w:t>
      </w:r>
      <w:r w:rsidR="0038763F">
        <w:rPr>
          <w:rFonts w:ascii="Cambria" w:hAnsi="Cambria"/>
          <w:sz w:val="21"/>
          <w:szCs w:val="21"/>
        </w:rPr>
        <w:t xml:space="preserve">het voor de hand dat degene </w:t>
      </w:r>
      <w:r w:rsidR="000B597A">
        <w:rPr>
          <w:rFonts w:ascii="Cambria" w:hAnsi="Cambria"/>
          <w:sz w:val="21"/>
          <w:szCs w:val="21"/>
        </w:rPr>
        <w:t>aan</w:t>
      </w:r>
      <w:r w:rsidR="0038763F">
        <w:rPr>
          <w:rFonts w:ascii="Cambria" w:hAnsi="Cambria"/>
          <w:sz w:val="21"/>
          <w:szCs w:val="21"/>
        </w:rPr>
        <w:t xml:space="preserve"> wie een aanbeveling is gericht daar ook op reageert. Het comité zal zich nader beraden op mogelijkheden om deze praktijk te formaliseren. </w:t>
      </w:r>
      <w:r>
        <w:rPr>
          <w:rFonts w:ascii="Cambria" w:hAnsi="Cambria"/>
          <w:sz w:val="21"/>
          <w:szCs w:val="21"/>
        </w:rPr>
        <w:t xml:space="preserve">Een formeel ‘pas toe of leg uit’ mechanisme </w:t>
      </w:r>
      <w:r w:rsidR="000B597A">
        <w:rPr>
          <w:rFonts w:ascii="Cambria" w:hAnsi="Cambria"/>
          <w:sz w:val="21"/>
          <w:szCs w:val="21"/>
        </w:rPr>
        <w:t>acht het comité</w:t>
      </w:r>
      <w:r>
        <w:rPr>
          <w:rFonts w:ascii="Cambria" w:hAnsi="Cambria"/>
          <w:sz w:val="21"/>
          <w:szCs w:val="21"/>
        </w:rPr>
        <w:t xml:space="preserve"> niet nodig.</w:t>
      </w:r>
    </w:p>
    <w:p w:rsidR="00E66075" w:rsidP="002707B8" w:rsidRDefault="00E66075">
      <w:pPr>
        <w:spacing w:line="360" w:lineRule="auto"/>
        <w:rPr>
          <w:rFonts w:ascii="Cambria" w:hAnsi="Cambria"/>
          <w:b/>
          <w:sz w:val="21"/>
          <w:szCs w:val="21"/>
        </w:rPr>
      </w:pPr>
    </w:p>
    <w:p w:rsidRPr="002707B8" w:rsidR="002707B8" w:rsidP="002707B8" w:rsidRDefault="00EB010E">
      <w:pPr>
        <w:spacing w:line="360" w:lineRule="auto"/>
        <w:rPr>
          <w:rFonts w:ascii="Cambria" w:hAnsi="Cambria"/>
          <w:b/>
          <w:sz w:val="21"/>
          <w:szCs w:val="21"/>
        </w:rPr>
      </w:pPr>
      <w:r>
        <w:rPr>
          <w:rFonts w:ascii="Cambria" w:hAnsi="Cambria"/>
          <w:b/>
          <w:sz w:val="21"/>
          <w:szCs w:val="21"/>
        </w:rPr>
        <w:t xml:space="preserve">FSC </w:t>
      </w:r>
      <w:r w:rsidRPr="002707B8" w:rsidR="002707B8">
        <w:rPr>
          <w:rFonts w:ascii="Cambria" w:hAnsi="Cambria"/>
          <w:b/>
          <w:sz w:val="21"/>
          <w:szCs w:val="21"/>
        </w:rPr>
        <w:t>Werkprogramma</w:t>
      </w:r>
      <w:r w:rsidR="002707B8">
        <w:rPr>
          <w:rFonts w:ascii="Cambria" w:hAnsi="Cambria"/>
          <w:b/>
          <w:sz w:val="21"/>
          <w:szCs w:val="21"/>
        </w:rPr>
        <w:t xml:space="preserve"> 2015</w:t>
      </w:r>
    </w:p>
    <w:p w:rsidRPr="00123018" w:rsidR="00430DEA" w:rsidP="00123018" w:rsidRDefault="002707B8">
      <w:pPr>
        <w:spacing w:line="360" w:lineRule="auto"/>
        <w:rPr>
          <w:rFonts w:ascii="Cambria" w:hAnsi="Cambria"/>
          <w:sz w:val="21"/>
          <w:szCs w:val="21"/>
        </w:rPr>
      </w:pPr>
      <w:r>
        <w:rPr>
          <w:rFonts w:ascii="Cambria" w:hAnsi="Cambria"/>
          <w:sz w:val="21"/>
          <w:szCs w:val="21"/>
        </w:rPr>
        <w:t xml:space="preserve">Het comité heeft </w:t>
      </w:r>
      <w:r w:rsidR="009C7754">
        <w:rPr>
          <w:rFonts w:ascii="Cambria" w:hAnsi="Cambria"/>
          <w:sz w:val="21"/>
          <w:szCs w:val="21"/>
        </w:rPr>
        <w:t xml:space="preserve">een selectie gemaakt van de onderwerpen </w:t>
      </w:r>
      <w:r w:rsidR="00E66075">
        <w:rPr>
          <w:rFonts w:ascii="Cambria" w:hAnsi="Cambria"/>
          <w:sz w:val="21"/>
          <w:szCs w:val="21"/>
        </w:rPr>
        <w:t xml:space="preserve">die het in de eerste helft van 2015 nader wil analyseren en bespreken. In zijn eerstvolgende vergadering (februari 2015) spreekt het comité </w:t>
      </w:r>
      <w:r w:rsidR="00472CBD">
        <w:rPr>
          <w:rFonts w:ascii="Cambria" w:hAnsi="Cambria"/>
          <w:sz w:val="21"/>
          <w:szCs w:val="21"/>
        </w:rPr>
        <w:t xml:space="preserve">– naast de reguliere bespreking over actuele risico’s – </w:t>
      </w:r>
      <w:r w:rsidR="00E66075">
        <w:rPr>
          <w:rFonts w:ascii="Cambria" w:hAnsi="Cambria"/>
          <w:sz w:val="21"/>
          <w:szCs w:val="21"/>
        </w:rPr>
        <w:t xml:space="preserve">over </w:t>
      </w:r>
      <w:r w:rsidR="003A0DC6">
        <w:rPr>
          <w:rFonts w:ascii="Cambria" w:hAnsi="Cambria"/>
          <w:sz w:val="21"/>
          <w:szCs w:val="21"/>
        </w:rPr>
        <w:t xml:space="preserve">de volgende drie onderwerpen: </w:t>
      </w:r>
      <w:r w:rsidR="00E66075">
        <w:rPr>
          <w:rFonts w:ascii="Cambria" w:hAnsi="Cambria"/>
          <w:sz w:val="21"/>
          <w:szCs w:val="21"/>
        </w:rPr>
        <w:t>cyberdreigingen</w:t>
      </w:r>
      <w:r w:rsidR="003A0DC6">
        <w:rPr>
          <w:rFonts w:ascii="Cambria" w:hAnsi="Cambria"/>
          <w:sz w:val="21"/>
          <w:szCs w:val="21"/>
        </w:rPr>
        <w:t xml:space="preserve">, de hervormingen van de OTC-derivatenmarkten en de systeemimplicaties daarvan, </w:t>
      </w:r>
      <w:r w:rsidR="00472CBD">
        <w:rPr>
          <w:rFonts w:ascii="Cambria" w:hAnsi="Cambria"/>
          <w:sz w:val="21"/>
          <w:szCs w:val="21"/>
        </w:rPr>
        <w:t>en de relatie tussen fiscalit</w:t>
      </w:r>
      <w:r w:rsidR="000B597A">
        <w:rPr>
          <w:rFonts w:ascii="Cambria" w:hAnsi="Cambria"/>
          <w:sz w:val="21"/>
          <w:szCs w:val="21"/>
        </w:rPr>
        <w:t xml:space="preserve">eit en financiële stabiliteit. </w:t>
      </w:r>
      <w:r w:rsidR="00472CBD">
        <w:rPr>
          <w:rFonts w:ascii="Cambria" w:hAnsi="Cambria"/>
          <w:sz w:val="21"/>
          <w:szCs w:val="21"/>
        </w:rPr>
        <w:t>Voor de vergadering van mei 2015 staat behalve de vervolgbespreking over de LTV-limiet ook een bespreking van de ontwikkelingen in de niet-gereguleerde financiële sector op de agenda.</w:t>
      </w:r>
    </w:p>
    <w:sectPr w:rsidRPr="00123018" w:rsidR="00430DEA" w:rsidSect="00E0087C">
      <w:footerReference w:type="default" r:id="rId9"/>
      <w:pgSz w:w="11906" w:h="16838"/>
      <w:pgMar w:top="1702" w:right="1558" w:bottom="1418" w:left="1474"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E0D" w:rsidRDefault="00FE2E0D" w:rsidP="000A2A03">
      <w:pPr>
        <w:spacing w:line="240" w:lineRule="auto"/>
      </w:pPr>
      <w:r>
        <w:separator/>
      </w:r>
    </w:p>
  </w:endnote>
  <w:endnote w:type="continuationSeparator" w:id="0">
    <w:p w:rsidR="00FE2E0D" w:rsidRDefault="00FE2E0D" w:rsidP="000A2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917063"/>
      <w:docPartObj>
        <w:docPartGallery w:val="Page Numbers (Bottom of Page)"/>
        <w:docPartUnique/>
      </w:docPartObj>
    </w:sdtPr>
    <w:sdtContent>
      <w:p w:rsidR="00CE3EB4" w:rsidRDefault="0063385B">
        <w:pPr>
          <w:pStyle w:val="Voettekst"/>
          <w:jc w:val="center"/>
        </w:pPr>
        <w:r>
          <w:fldChar w:fldCharType="begin"/>
        </w:r>
        <w:r w:rsidR="00E46CE8">
          <w:instrText>PAGE   \* MERGEFORMAT</w:instrText>
        </w:r>
        <w:r>
          <w:fldChar w:fldCharType="separate"/>
        </w:r>
        <w:r w:rsidR="00AE6BEA">
          <w:rPr>
            <w:noProof/>
          </w:rPr>
          <w:t>2</w:t>
        </w:r>
        <w:r>
          <w:rPr>
            <w:noProof/>
          </w:rPr>
          <w:fldChar w:fldCharType="end"/>
        </w:r>
      </w:p>
    </w:sdtContent>
  </w:sdt>
  <w:p w:rsidR="00CE3EB4" w:rsidRDefault="00CE3EB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E0D" w:rsidRDefault="00FE2E0D" w:rsidP="000A2A03">
      <w:pPr>
        <w:spacing w:line="240" w:lineRule="auto"/>
      </w:pPr>
      <w:r>
        <w:separator/>
      </w:r>
    </w:p>
  </w:footnote>
  <w:footnote w:type="continuationSeparator" w:id="0">
    <w:p w:rsidR="00FE2E0D" w:rsidRDefault="00FE2E0D" w:rsidP="000A2A03">
      <w:pPr>
        <w:spacing w:line="240" w:lineRule="auto"/>
      </w:pPr>
      <w:r>
        <w:continuationSeparator/>
      </w:r>
    </w:p>
  </w:footnote>
  <w:footnote w:id="1">
    <w:p w:rsidR="00CE3EB4" w:rsidRPr="002B5072" w:rsidRDefault="00CE3EB4" w:rsidP="002F04AD">
      <w:pPr>
        <w:pStyle w:val="Voetnoottekst"/>
        <w:spacing w:line="240" w:lineRule="auto"/>
      </w:pPr>
      <w:r w:rsidRPr="00CC2115">
        <w:rPr>
          <w:rStyle w:val="Voetnootmarkering"/>
          <w:rFonts w:ascii="Cambria" w:hAnsi="Cambria"/>
        </w:rPr>
        <w:footnoteRef/>
      </w:r>
      <w:r w:rsidRPr="00394B52">
        <w:rPr>
          <w:rFonts w:ascii="Cambria" w:hAnsi="Cambria"/>
        </w:rPr>
        <w:t xml:space="preserve"> </w:t>
      </w:r>
      <w:r>
        <w:rPr>
          <w:rFonts w:ascii="Cambria" w:hAnsi="Cambria"/>
        </w:rPr>
        <w:t xml:space="preserve">Zie </w:t>
      </w:r>
      <w:r w:rsidRPr="00394B52">
        <w:rPr>
          <w:rFonts w:ascii="Cambria" w:hAnsi="Cambria"/>
        </w:rPr>
        <w:t>IMF</w:t>
      </w:r>
      <w:r>
        <w:rPr>
          <w:rFonts w:ascii="Cambria" w:hAnsi="Cambria"/>
        </w:rPr>
        <w:t xml:space="preserve"> artikel IV statement</w:t>
      </w:r>
      <w:r w:rsidRPr="00394B52">
        <w:rPr>
          <w:rFonts w:ascii="Cambria" w:hAnsi="Cambria"/>
        </w:rPr>
        <w:t xml:space="preserve"> (2014), </w:t>
      </w:r>
      <w:r>
        <w:rPr>
          <w:rFonts w:ascii="Cambria" w:hAnsi="Cambria"/>
        </w:rPr>
        <w:t xml:space="preserve">rapport </w:t>
      </w:r>
      <w:r w:rsidRPr="00CC2115">
        <w:rPr>
          <w:rFonts w:ascii="Cambria" w:hAnsi="Cambria"/>
        </w:rPr>
        <w:t>Commissie Structuur Nederlandse Banken (2013)</w:t>
      </w:r>
    </w:p>
  </w:footnote>
  <w:footnote w:id="2">
    <w:p w:rsidR="00CE3EB4" w:rsidRPr="00CC2115" w:rsidRDefault="00CE3EB4" w:rsidP="00DD7D86">
      <w:pPr>
        <w:pStyle w:val="Voetnoottekst"/>
        <w:spacing w:line="240" w:lineRule="auto"/>
        <w:rPr>
          <w:rFonts w:ascii="Cambria" w:hAnsi="Cambria"/>
          <w:szCs w:val="16"/>
        </w:rPr>
      </w:pPr>
      <w:r>
        <w:rPr>
          <w:rStyle w:val="Voetnootmarkering"/>
        </w:rPr>
        <w:footnoteRef/>
      </w:r>
      <w:r>
        <w:t xml:space="preserve"> </w:t>
      </w:r>
      <w:r w:rsidRPr="00CC2115">
        <w:rPr>
          <w:rFonts w:ascii="Cambria" w:hAnsi="Cambria" w:cstheme="minorHAnsi"/>
          <w:szCs w:val="16"/>
        </w:rPr>
        <w:t>Zie Kabinetsvisie Nederland</w:t>
      </w:r>
      <w:r>
        <w:rPr>
          <w:rFonts w:ascii="Cambria" w:hAnsi="Cambria" w:cstheme="minorHAnsi"/>
          <w:szCs w:val="16"/>
        </w:rPr>
        <w:t>se bankensector, augustus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F7F646B"/>
    <w:multiLevelType w:val="hybridMultilevel"/>
    <w:tmpl w:val="6A5A7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09"/>
  <w:hyphenationZone w:val="425"/>
  <w:characterSpacingControl w:val="doNotCompress"/>
  <w:hdrShapeDefaults>
    <o:shapedefaults v:ext="edit" spidmax="30721"/>
  </w:hdrShapeDefaults>
  <w:footnotePr>
    <w:footnote w:id="-1"/>
    <w:footnote w:id="0"/>
  </w:footnotePr>
  <w:endnotePr>
    <w:endnote w:id="-1"/>
    <w:endnote w:id="0"/>
  </w:endnotePr>
  <w:compat/>
  <w:rsids>
    <w:rsidRoot w:val="00087126"/>
    <w:rsid w:val="0000337D"/>
    <w:rsid w:val="00022C24"/>
    <w:rsid w:val="000321B1"/>
    <w:rsid w:val="000369F2"/>
    <w:rsid w:val="000458BF"/>
    <w:rsid w:val="00067B8B"/>
    <w:rsid w:val="00067FBB"/>
    <w:rsid w:val="00070D11"/>
    <w:rsid w:val="00084EB5"/>
    <w:rsid w:val="00087126"/>
    <w:rsid w:val="000A2708"/>
    <w:rsid w:val="000A2A03"/>
    <w:rsid w:val="000B597A"/>
    <w:rsid w:val="000B6743"/>
    <w:rsid w:val="000D3551"/>
    <w:rsid w:val="000D36F9"/>
    <w:rsid w:val="000E3FE0"/>
    <w:rsid w:val="000E543C"/>
    <w:rsid w:val="000F4B62"/>
    <w:rsid w:val="00102AE8"/>
    <w:rsid w:val="00123018"/>
    <w:rsid w:val="00134A47"/>
    <w:rsid w:val="001526D4"/>
    <w:rsid w:val="00153641"/>
    <w:rsid w:val="00162664"/>
    <w:rsid w:val="00164A0B"/>
    <w:rsid w:val="00170FEB"/>
    <w:rsid w:val="001722E9"/>
    <w:rsid w:val="00186F24"/>
    <w:rsid w:val="00194CDB"/>
    <w:rsid w:val="001A0CE5"/>
    <w:rsid w:val="001B20B9"/>
    <w:rsid w:val="001B6FB1"/>
    <w:rsid w:val="001E0674"/>
    <w:rsid w:val="001F17DD"/>
    <w:rsid w:val="00212DCB"/>
    <w:rsid w:val="0021337D"/>
    <w:rsid w:val="0022666D"/>
    <w:rsid w:val="00245833"/>
    <w:rsid w:val="00260346"/>
    <w:rsid w:val="002707B8"/>
    <w:rsid w:val="0027294F"/>
    <w:rsid w:val="00276B6B"/>
    <w:rsid w:val="00276CD5"/>
    <w:rsid w:val="00282E10"/>
    <w:rsid w:val="0028552B"/>
    <w:rsid w:val="002B4282"/>
    <w:rsid w:val="002F04AD"/>
    <w:rsid w:val="002F4FE7"/>
    <w:rsid w:val="00306A62"/>
    <w:rsid w:val="003252FB"/>
    <w:rsid w:val="00334976"/>
    <w:rsid w:val="00342B6C"/>
    <w:rsid w:val="00347804"/>
    <w:rsid w:val="00357984"/>
    <w:rsid w:val="0038763F"/>
    <w:rsid w:val="003A0DC6"/>
    <w:rsid w:val="003A49DB"/>
    <w:rsid w:val="003A4D87"/>
    <w:rsid w:val="003B78F2"/>
    <w:rsid w:val="003C0CE7"/>
    <w:rsid w:val="003D0485"/>
    <w:rsid w:val="003F6E85"/>
    <w:rsid w:val="00426524"/>
    <w:rsid w:val="004269EF"/>
    <w:rsid w:val="00430DEA"/>
    <w:rsid w:val="00447B0D"/>
    <w:rsid w:val="00453D32"/>
    <w:rsid w:val="00461B03"/>
    <w:rsid w:val="00472CBD"/>
    <w:rsid w:val="00490378"/>
    <w:rsid w:val="004E4835"/>
    <w:rsid w:val="004F785D"/>
    <w:rsid w:val="00511696"/>
    <w:rsid w:val="0051444B"/>
    <w:rsid w:val="005150BF"/>
    <w:rsid w:val="0052670B"/>
    <w:rsid w:val="00535054"/>
    <w:rsid w:val="005527B9"/>
    <w:rsid w:val="00556BF1"/>
    <w:rsid w:val="0057514B"/>
    <w:rsid w:val="0059248E"/>
    <w:rsid w:val="00596F7B"/>
    <w:rsid w:val="005A4644"/>
    <w:rsid w:val="005C12DD"/>
    <w:rsid w:val="005F4C77"/>
    <w:rsid w:val="00604080"/>
    <w:rsid w:val="006070F7"/>
    <w:rsid w:val="0061491C"/>
    <w:rsid w:val="00617152"/>
    <w:rsid w:val="00624786"/>
    <w:rsid w:val="00625831"/>
    <w:rsid w:val="0063385B"/>
    <w:rsid w:val="00642BD3"/>
    <w:rsid w:val="006516DE"/>
    <w:rsid w:val="00655B3D"/>
    <w:rsid w:val="006664DD"/>
    <w:rsid w:val="00667685"/>
    <w:rsid w:val="0067124B"/>
    <w:rsid w:val="006823EB"/>
    <w:rsid w:val="00697967"/>
    <w:rsid w:val="006F070F"/>
    <w:rsid w:val="006F3C88"/>
    <w:rsid w:val="007501BE"/>
    <w:rsid w:val="007513D3"/>
    <w:rsid w:val="00777F98"/>
    <w:rsid w:val="007876D1"/>
    <w:rsid w:val="00796507"/>
    <w:rsid w:val="007B659D"/>
    <w:rsid w:val="007F1EBD"/>
    <w:rsid w:val="008264DD"/>
    <w:rsid w:val="00857E4C"/>
    <w:rsid w:val="00863519"/>
    <w:rsid w:val="008641CC"/>
    <w:rsid w:val="0089316B"/>
    <w:rsid w:val="008B4535"/>
    <w:rsid w:val="008C79B3"/>
    <w:rsid w:val="008D0EF9"/>
    <w:rsid w:val="008D5D10"/>
    <w:rsid w:val="008F0734"/>
    <w:rsid w:val="00913B3F"/>
    <w:rsid w:val="009147BF"/>
    <w:rsid w:val="00951F94"/>
    <w:rsid w:val="00955B85"/>
    <w:rsid w:val="00971DB5"/>
    <w:rsid w:val="00987CD5"/>
    <w:rsid w:val="009B5D9A"/>
    <w:rsid w:val="009C7754"/>
    <w:rsid w:val="009E3D1F"/>
    <w:rsid w:val="009F2EBC"/>
    <w:rsid w:val="009F36FD"/>
    <w:rsid w:val="009F5EF6"/>
    <w:rsid w:val="00A14848"/>
    <w:rsid w:val="00A2360C"/>
    <w:rsid w:val="00A31974"/>
    <w:rsid w:val="00A34B12"/>
    <w:rsid w:val="00A43539"/>
    <w:rsid w:val="00A72B58"/>
    <w:rsid w:val="00A848C6"/>
    <w:rsid w:val="00A95098"/>
    <w:rsid w:val="00AA7104"/>
    <w:rsid w:val="00AD60D4"/>
    <w:rsid w:val="00AE4836"/>
    <w:rsid w:val="00AE6BEA"/>
    <w:rsid w:val="00B12819"/>
    <w:rsid w:val="00B21234"/>
    <w:rsid w:val="00B224FD"/>
    <w:rsid w:val="00B42C94"/>
    <w:rsid w:val="00B515E5"/>
    <w:rsid w:val="00B623A0"/>
    <w:rsid w:val="00BA676F"/>
    <w:rsid w:val="00BB2BB6"/>
    <w:rsid w:val="00BF73D6"/>
    <w:rsid w:val="00C019C3"/>
    <w:rsid w:val="00C071BA"/>
    <w:rsid w:val="00C27A89"/>
    <w:rsid w:val="00C30BAD"/>
    <w:rsid w:val="00C31C05"/>
    <w:rsid w:val="00C3441D"/>
    <w:rsid w:val="00C61F29"/>
    <w:rsid w:val="00C82654"/>
    <w:rsid w:val="00C93A75"/>
    <w:rsid w:val="00CA45F8"/>
    <w:rsid w:val="00CB6E1E"/>
    <w:rsid w:val="00CC1945"/>
    <w:rsid w:val="00CD64A4"/>
    <w:rsid w:val="00CE3EB4"/>
    <w:rsid w:val="00CF4769"/>
    <w:rsid w:val="00D00598"/>
    <w:rsid w:val="00D0559D"/>
    <w:rsid w:val="00D06BAC"/>
    <w:rsid w:val="00D070AA"/>
    <w:rsid w:val="00D13BE5"/>
    <w:rsid w:val="00D17892"/>
    <w:rsid w:val="00D20FF0"/>
    <w:rsid w:val="00D21218"/>
    <w:rsid w:val="00D25D15"/>
    <w:rsid w:val="00D27A58"/>
    <w:rsid w:val="00D366B7"/>
    <w:rsid w:val="00D617DD"/>
    <w:rsid w:val="00DC7B03"/>
    <w:rsid w:val="00DD7668"/>
    <w:rsid w:val="00DD7D86"/>
    <w:rsid w:val="00DE6678"/>
    <w:rsid w:val="00E0087C"/>
    <w:rsid w:val="00E05E36"/>
    <w:rsid w:val="00E265AB"/>
    <w:rsid w:val="00E46CE8"/>
    <w:rsid w:val="00E61C18"/>
    <w:rsid w:val="00E66075"/>
    <w:rsid w:val="00E7266F"/>
    <w:rsid w:val="00E81517"/>
    <w:rsid w:val="00E901CD"/>
    <w:rsid w:val="00E9514C"/>
    <w:rsid w:val="00EA48F7"/>
    <w:rsid w:val="00EB010E"/>
    <w:rsid w:val="00EB2EA1"/>
    <w:rsid w:val="00EC37B7"/>
    <w:rsid w:val="00ED1905"/>
    <w:rsid w:val="00EE238F"/>
    <w:rsid w:val="00EE4B57"/>
    <w:rsid w:val="00EF1D2E"/>
    <w:rsid w:val="00F0630D"/>
    <w:rsid w:val="00F17945"/>
    <w:rsid w:val="00F33CDF"/>
    <w:rsid w:val="00F6785E"/>
    <w:rsid w:val="00F90D70"/>
    <w:rsid w:val="00F90E91"/>
    <w:rsid w:val="00F91E91"/>
    <w:rsid w:val="00F969F0"/>
    <w:rsid w:val="00FC277F"/>
    <w:rsid w:val="00FD6DC0"/>
    <w:rsid w:val="00FE235F"/>
    <w:rsid w:val="00FE2E0D"/>
    <w:rsid w:val="00FF79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elChar">
    <w:name w:val="Subtitel Char"/>
    <w:basedOn w:val="Standaardalinea-lettertype"/>
    <w:link w:val="Sub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character" w:styleId="Verwijzingopmerking">
    <w:name w:val="annotation reference"/>
    <w:basedOn w:val="Standaardalinea-lettertype"/>
    <w:uiPriority w:val="99"/>
    <w:semiHidden/>
    <w:unhideWhenUsed/>
    <w:rsid w:val="00BB2BB6"/>
    <w:rPr>
      <w:sz w:val="16"/>
      <w:szCs w:val="16"/>
    </w:rPr>
  </w:style>
  <w:style w:type="paragraph" w:styleId="Tekstopmerking">
    <w:name w:val="annotation text"/>
    <w:basedOn w:val="Standaard"/>
    <w:link w:val="TekstopmerkingChar"/>
    <w:uiPriority w:val="99"/>
    <w:semiHidden/>
    <w:unhideWhenUsed/>
    <w:rsid w:val="00BB2B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BB6"/>
    <w:rPr>
      <w:sz w:val="20"/>
      <w:szCs w:val="20"/>
    </w:rPr>
  </w:style>
  <w:style w:type="paragraph" w:styleId="Onderwerpvanopmerking">
    <w:name w:val="annotation subject"/>
    <w:basedOn w:val="Tekstopmerking"/>
    <w:next w:val="Tekstopmerking"/>
    <w:link w:val="OnderwerpvanopmerkingChar"/>
    <w:uiPriority w:val="99"/>
    <w:semiHidden/>
    <w:unhideWhenUsed/>
    <w:rsid w:val="00BB2BB6"/>
    <w:rPr>
      <w:b/>
      <w:bCs/>
    </w:rPr>
  </w:style>
  <w:style w:type="character" w:customStyle="1" w:styleId="OnderwerpvanopmerkingChar">
    <w:name w:val="Onderwerp van opmerking Char"/>
    <w:basedOn w:val="TekstopmerkingChar"/>
    <w:link w:val="Onderwerpvanopmerking"/>
    <w:uiPriority w:val="99"/>
    <w:semiHidden/>
    <w:rsid w:val="00BB2BB6"/>
    <w:rPr>
      <w:b/>
      <w:bCs/>
      <w:sz w:val="20"/>
      <w:szCs w:val="20"/>
    </w:rPr>
  </w:style>
  <w:style w:type="paragraph" w:styleId="Revisie">
    <w:name w:val="Revision"/>
    <w:hidden/>
    <w:uiPriority w:val="99"/>
    <w:semiHidden/>
    <w:rsid w:val="00BA67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character" w:styleId="Verwijzingopmerking">
    <w:name w:val="annotation reference"/>
    <w:basedOn w:val="Standaardalinea-lettertype"/>
    <w:uiPriority w:val="99"/>
    <w:semiHidden/>
    <w:unhideWhenUsed/>
    <w:rsid w:val="00BB2BB6"/>
    <w:rPr>
      <w:sz w:val="16"/>
      <w:szCs w:val="16"/>
    </w:rPr>
  </w:style>
  <w:style w:type="paragraph" w:styleId="Tekstopmerking">
    <w:name w:val="annotation text"/>
    <w:basedOn w:val="Standaard"/>
    <w:link w:val="TekstopmerkingChar"/>
    <w:uiPriority w:val="99"/>
    <w:semiHidden/>
    <w:unhideWhenUsed/>
    <w:rsid w:val="00BB2B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2BB6"/>
    <w:rPr>
      <w:sz w:val="20"/>
      <w:szCs w:val="20"/>
    </w:rPr>
  </w:style>
  <w:style w:type="paragraph" w:styleId="Onderwerpvanopmerking">
    <w:name w:val="annotation subject"/>
    <w:basedOn w:val="Tekstopmerking"/>
    <w:next w:val="Tekstopmerking"/>
    <w:link w:val="OnderwerpvanopmerkingChar"/>
    <w:uiPriority w:val="99"/>
    <w:semiHidden/>
    <w:unhideWhenUsed/>
    <w:rsid w:val="00BB2BB6"/>
    <w:rPr>
      <w:b/>
      <w:bCs/>
    </w:rPr>
  </w:style>
  <w:style w:type="character" w:customStyle="1" w:styleId="OnderwerpvanopmerkingChar">
    <w:name w:val="Onderwerp van opmerking Char"/>
    <w:basedOn w:val="TekstopmerkingChar"/>
    <w:link w:val="Onderwerpvanopmerking"/>
    <w:uiPriority w:val="99"/>
    <w:semiHidden/>
    <w:rsid w:val="00BB2BB6"/>
    <w:rPr>
      <w:b/>
      <w:bCs/>
      <w:sz w:val="20"/>
      <w:szCs w:val="20"/>
    </w:rPr>
  </w:style>
  <w:style w:type="paragraph" w:styleId="Revisie">
    <w:name w:val="Revision"/>
    <w:hidden/>
    <w:uiPriority w:val="99"/>
    <w:semiHidden/>
    <w:rsid w:val="00BA67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ijksoverheid.nl/documenten-en-publicaties/vragen-en-antwoorden/wat-is-een-hypotheek.html" TargetMode="External" Id="rId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stylesWithEffects" Target="stylesWithEffects.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1569</ap:Words>
  <ap:Characters>8633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2014-12-02T13:21:00.0000000Z</dcterms:created>
  <dcterms:modified xsi:type="dcterms:W3CDTF">2014-12-02T13:21:00.0000000Z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0x0101009DA8F8323BD470449B01DF88869E01BF</vt:lpwstr>
  </property>
</Properties>
</file>