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F3" w:rsidP="009F52F3" w:rsidRDefault="009F52F3">
      <w:r>
        <w:t>Geachte leden en plaatsvervangend leden van de vaste commissie voor Infrastructuur en Milieu,</w:t>
      </w:r>
    </w:p>
    <w:p w:rsidR="009F52F3" w:rsidP="009F52F3" w:rsidRDefault="009F52F3"/>
    <w:p w:rsidR="009F52F3" w:rsidP="009F52F3" w:rsidRDefault="009F52F3">
      <w:pPr>
        <w:rPr>
          <w:u w:val="single"/>
        </w:rPr>
      </w:pPr>
      <w:r>
        <w:rPr>
          <w:u w:val="single"/>
        </w:rPr>
        <w:t>Ter bespreking onder het agendapunt Rondvraag van de procedurevergadering van woensdag 26 november:</w:t>
      </w:r>
    </w:p>
    <w:p w:rsidR="009F52F3" w:rsidP="009F52F3" w:rsidRDefault="009F52F3"/>
    <w:p w:rsidR="009F52F3" w:rsidP="009F52F3" w:rsidRDefault="009F52F3">
      <w:r>
        <w:t>Van het lid Smaling (SP) is het voorstel ontvangen om:</w:t>
      </w:r>
    </w:p>
    <w:p w:rsidR="009F52F3" w:rsidP="009F52F3" w:rsidRDefault="009F52F3"/>
    <w:p w:rsidR="009F52F3" w:rsidP="009F52F3" w:rsidRDefault="009F52F3">
      <w:pPr>
        <w:pStyle w:val="Lijstalinea"/>
        <w:numPr>
          <w:ilvl w:val="0"/>
          <w:numId w:val="1"/>
        </w:numPr>
        <w:ind w:left="426" w:hanging="426"/>
      </w:pPr>
      <w:r>
        <w:t>Aan de staatssecretaris te vragen om de Kamer, vóór het einde van het Kerstreces 2014:</w:t>
      </w:r>
    </w:p>
    <w:p w:rsidR="009F52F3" w:rsidP="009F52F3" w:rsidRDefault="009F52F3">
      <w:pPr>
        <w:pStyle w:val="Lijstalinea"/>
        <w:ind w:left="426"/>
      </w:pPr>
    </w:p>
    <w:p w:rsidR="009F52F3" w:rsidP="009F52F3" w:rsidRDefault="009F52F3">
      <w:pPr>
        <w:pStyle w:val="Lijstalinea"/>
        <w:numPr>
          <w:ilvl w:val="0"/>
          <w:numId w:val="2"/>
        </w:numPr>
        <w:rPr>
          <w:color w:val="1F497D"/>
        </w:rPr>
      </w:pPr>
      <w:r>
        <w:t xml:space="preserve">te informeren over de hoofdlijnen van de vormgeving van ketenverantwoordelijkheid met betrekking tot veiligheid in de chemische sector zoals zij die voor zich ziet, vooruitlopend op de definitieve concrete invulling daarvan, die zij voornemens is vóór het zomerreces 2015 aan de Kamer te sturen (zie uitstelbrief d.d. 16 oktober 2014 </w:t>
      </w:r>
      <w:proofErr w:type="spellStart"/>
      <w:r>
        <w:t>terzake</w:t>
      </w:r>
      <w:proofErr w:type="spellEnd"/>
      <w:r>
        <w:t xml:space="preserve">, Kamerstuk </w:t>
      </w:r>
      <w:hyperlink w:tgtFrame="_self" w:history="1" r:id="rId6">
        <w:r>
          <w:rPr>
            <w:rStyle w:val="Hyperlink"/>
          </w:rPr>
          <w:t>26956-199</w:t>
        </w:r>
      </w:hyperlink>
      <w:r>
        <w:rPr>
          <w:color w:val="000080"/>
        </w:rPr>
        <w:t>)</w:t>
      </w:r>
    </w:p>
    <w:p w:rsidR="009F52F3" w:rsidP="009F52F3" w:rsidRDefault="009F52F3">
      <w:pPr>
        <w:pStyle w:val="Lijstalinea"/>
        <w:numPr>
          <w:ilvl w:val="0"/>
          <w:numId w:val="2"/>
        </w:numPr>
        <w:rPr>
          <w:color w:val="1F497D"/>
        </w:rPr>
      </w:pPr>
      <w:r>
        <w:t>een reactie te doen toekomen op het bericht “Chemiesector laks met regels”</w:t>
      </w:r>
      <w:r>
        <w:rPr>
          <w:color w:val="1F497D"/>
        </w:rPr>
        <w:t>(</w:t>
      </w:r>
      <w:hyperlink w:history="1" r:id="rId7">
        <w:r>
          <w:rPr>
            <w:rStyle w:val="Hyperlink"/>
          </w:rPr>
          <w:t>http://nos.nl/artikel/2003256-chemiesector-laks-met-regels.html</w:t>
        </w:r>
      </w:hyperlink>
      <w:r>
        <w:rPr>
          <w:color w:val="1F497D"/>
        </w:rPr>
        <w:t>)  </w:t>
      </w:r>
    </w:p>
    <w:p w:rsidR="009F52F3" w:rsidP="009F52F3" w:rsidRDefault="009F52F3">
      <w:pPr>
        <w:pStyle w:val="Lijstalinea"/>
        <w:numPr>
          <w:ilvl w:val="0"/>
          <w:numId w:val="2"/>
        </w:numPr>
      </w:pPr>
      <w:r>
        <w:t>een reactie te doen toekomen op het artikel “Onvermogen” uit De Telegraaf van 14 november 2014 waarin gemeld wordt dat de Algemene Rekenkamer het gebrek aan samenhang tussen overheidsdiensten hekelt als het gaat om rampenbestrijding (zie bijlage).</w:t>
      </w:r>
    </w:p>
    <w:p w:rsidR="009F52F3" w:rsidP="009F52F3" w:rsidRDefault="009F52F3">
      <w:pPr>
        <w:pStyle w:val="Lijstalinea"/>
        <w:numPr>
          <w:ilvl w:val="0"/>
          <w:numId w:val="2"/>
        </w:numPr>
        <w:rPr>
          <w:color w:val="1F497D"/>
        </w:rPr>
      </w:pPr>
      <w:r>
        <w:t xml:space="preserve">in het licht van het bovenstaande, een nieuwe/aanvullende reactie te doen toekomen op motie </w:t>
      </w:r>
      <w:hyperlink w:tgtFrame="_self" w:history="1" r:id="rId8">
        <w:r>
          <w:rPr>
            <w:rStyle w:val="Hyperlink"/>
            <w:rFonts w:ascii="Verdana" w:hAnsi="Verdana"/>
            <w:sz w:val="17"/>
            <w:szCs w:val="17"/>
          </w:rPr>
          <w:t>34000-XII-21</w:t>
        </w:r>
      </w:hyperlink>
      <w:r>
        <w:t xml:space="preserve"> (Smaling) met daarin verzoek tot helder inzicht tussen budget en het op adequate wijze uitvoeren van de taken van ILT (niet aangenomen)</w:t>
      </w:r>
      <w:r>
        <w:rPr>
          <w:color w:val="1F497D"/>
        </w:rPr>
        <w:t xml:space="preserve">       </w:t>
      </w:r>
    </w:p>
    <w:p w:rsidR="009F52F3" w:rsidP="009F52F3" w:rsidRDefault="009F52F3">
      <w:pPr>
        <w:rPr>
          <w:color w:val="1F497D"/>
        </w:rPr>
      </w:pPr>
    </w:p>
    <w:p w:rsidR="009F52F3" w:rsidP="009F52F3" w:rsidRDefault="009F52F3">
      <w:pPr>
        <w:pStyle w:val="Lijstalinea"/>
        <w:numPr>
          <w:ilvl w:val="0"/>
          <w:numId w:val="1"/>
        </w:numPr>
        <w:ind w:left="426" w:hanging="426"/>
      </w:pPr>
      <w:r>
        <w:t>en op basis van de te ontvangen brief over het voorgaande, in januari 2015 een schriftelijk overleg te houden over Externe Veiligheid.</w:t>
      </w:r>
    </w:p>
    <w:p w:rsidR="009F52F3" w:rsidP="009F52F3" w:rsidRDefault="009F52F3"/>
    <w:p w:rsidR="009F52F3" w:rsidP="009F52F3" w:rsidRDefault="009F52F3">
      <w:r>
        <w:t>U hoeft niet per e-mail op dit voorstel te reageren. Dit kan worden besproken tijdens de procedurevergadering van uw commissie van komende woensdag.</w:t>
      </w:r>
    </w:p>
    <w:p w:rsidR="009F52F3" w:rsidP="009F52F3" w:rsidRDefault="009F52F3">
      <w:pPr>
        <w:spacing w:before="100" w:beforeAutospacing="1" w:after="100" w:afterAutospacing="1"/>
        <w:rPr>
          <w:rFonts w:ascii="Verdana" w:hAnsi="Verdana"/>
          <w:sz w:val="20"/>
          <w:szCs w:val="20"/>
          <w:lang w:eastAsia="nl-NL"/>
        </w:rPr>
      </w:pPr>
      <w:r>
        <w:rPr>
          <w:rFonts w:ascii="Verdana" w:hAnsi="Verdana"/>
          <w:color w:val="333399"/>
          <w:sz w:val="20"/>
          <w:szCs w:val="20"/>
          <w:lang w:eastAsia="nl-NL"/>
        </w:rPr>
        <w:t>Met vriendelijke groet,</w:t>
      </w:r>
      <w:r>
        <w:rPr>
          <w:rFonts w:ascii="Verdana" w:hAnsi="Verdana"/>
          <w:sz w:val="20"/>
          <w:szCs w:val="20"/>
          <w:lang w:eastAsia="nl-NL"/>
        </w:rPr>
        <w:t xml:space="preserve"> </w:t>
      </w:r>
    </w:p>
    <w:p w:rsidR="009F52F3" w:rsidP="009F52F3" w:rsidRDefault="009F52F3">
      <w:pPr>
        <w:spacing w:before="100" w:beforeAutospacing="1" w:after="100" w:afterAutospacing="1"/>
        <w:rPr>
          <w:rFonts w:ascii="Verdana" w:hAnsi="Verdana"/>
          <w:b/>
          <w:bCs/>
          <w:color w:val="333399"/>
          <w:sz w:val="20"/>
          <w:szCs w:val="20"/>
          <w:lang w:eastAsia="nl-NL"/>
        </w:rPr>
      </w:pPr>
      <w:r>
        <w:rPr>
          <w:rFonts w:ascii="Verdana" w:hAnsi="Verdana"/>
          <w:b/>
          <w:bCs/>
          <w:color w:val="333399"/>
          <w:sz w:val="20"/>
          <w:szCs w:val="20"/>
          <w:lang w:eastAsia="nl-NL"/>
        </w:rPr>
        <w:t xml:space="preserve">Ivo Sneep </w:t>
      </w:r>
    </w:p>
    <w:p w:rsidR="009F52F3" w:rsidP="009F52F3" w:rsidRDefault="009F52F3">
      <w:pPr>
        <w:spacing w:before="100" w:beforeAutospacing="1" w:after="100" w:afterAutospacing="1"/>
        <w:rPr>
          <w:rFonts w:ascii="Verdana" w:hAnsi="Verdana"/>
          <w:b/>
          <w:bCs/>
          <w:color w:val="333399"/>
          <w:sz w:val="20"/>
          <w:szCs w:val="20"/>
          <w:lang w:eastAsia="nl-NL"/>
        </w:rPr>
      </w:pPr>
    </w:p>
    <w:p w:rsidR="009F52F3" w:rsidP="009F52F3" w:rsidRDefault="009F52F3">
      <w:pPr>
        <w:spacing w:before="100" w:beforeAutospacing="1" w:after="100" w:afterAutospacing="1"/>
        <w:rPr>
          <w:rFonts w:ascii="Verdana" w:hAnsi="Verdana"/>
          <w:b/>
          <w:bCs/>
          <w:color w:val="333399"/>
          <w:sz w:val="20"/>
          <w:szCs w:val="20"/>
          <w:lang w:eastAsia="nl-NL"/>
        </w:rPr>
      </w:pPr>
      <w:r>
        <w:rPr>
          <w:rFonts w:ascii="Verdana" w:hAnsi="Verdana"/>
          <w:b/>
          <w:bCs/>
          <w:color w:val="333399"/>
          <w:sz w:val="20"/>
          <w:szCs w:val="20"/>
          <w:lang w:eastAsia="nl-NL"/>
        </w:rPr>
        <w:t>Bijlage:</w:t>
      </w:r>
      <w:bookmarkStart w:name="_GoBack" w:id="0"/>
      <w:bookmarkEnd w:id="0"/>
    </w:p>
    <w:tbl>
      <w:tblPr>
        <w:tblW w:w="0" w:type="auto"/>
        <w:tblLayout w:type="fixed"/>
        <w:tblCellMar>
          <w:left w:w="60" w:type="dxa"/>
          <w:right w:w="60" w:type="dxa"/>
        </w:tblCellMar>
        <w:tblLook w:val="0000" w:firstRow="0" w:lastRow="0" w:firstColumn="0" w:lastColumn="0" w:noHBand="0" w:noVBand="0"/>
      </w:tblPr>
      <w:tblGrid>
        <w:gridCol w:w="540"/>
        <w:gridCol w:w="9180"/>
      </w:tblGrid>
      <w:tr w:rsidRPr="009F52F3" w:rsidR="009F52F3" w:rsidTr="001C2BB6">
        <w:tblPrEx>
          <w:tblCellMar>
            <w:top w:w="0" w:type="dxa"/>
            <w:bottom w:w="0" w:type="dxa"/>
          </w:tblCellMar>
        </w:tblPrEx>
        <w:trPr>
          <w:tblHeader/>
        </w:trPr>
        <w:tc>
          <w:tcPr>
            <w:tcW w:w="540" w:type="dxa"/>
            <w:tcBorders>
              <w:top w:val="single" w:color="auto" w:sz="6" w:space="0"/>
              <w:left w:val="single" w:color="auto" w:sz="6" w:space="0"/>
              <w:bottom w:val="single" w:color="auto" w:sz="6" w:space="0"/>
              <w:right w:val="single" w:color="auto" w:sz="6" w:space="0"/>
            </w:tcBorders>
            <w:shd w:val="solid" w:color="EBEBD8" w:fill="EBEBD8"/>
          </w:tcPr>
          <w:p w:rsidRPr="009F52F3" w:rsidR="009F52F3" w:rsidP="009F52F3" w:rsidRDefault="009F52F3">
            <w:pPr>
              <w:suppressAutoHyphens/>
              <w:autoSpaceDE w:val="0"/>
              <w:autoSpaceDN w:val="0"/>
              <w:adjustRightInd w:val="0"/>
              <w:rPr>
                <w:rFonts w:ascii="Arial" w:hAnsi="Arial" w:cs="Arial" w:eastAsiaTheme="minorEastAsia"/>
                <w:sz w:val="18"/>
                <w:szCs w:val="18"/>
                <w:lang w:eastAsia="nl-NL"/>
              </w:rPr>
            </w:pPr>
          </w:p>
        </w:tc>
        <w:tc>
          <w:tcPr>
            <w:tcW w:w="9180" w:type="dxa"/>
            <w:tcBorders>
              <w:top w:val="single" w:color="auto" w:sz="6" w:space="0"/>
              <w:left w:val="single" w:color="auto" w:sz="6" w:space="0"/>
              <w:bottom w:val="single" w:color="auto" w:sz="6" w:space="0"/>
              <w:right w:val="single" w:color="auto" w:sz="6" w:space="0"/>
            </w:tcBorders>
            <w:shd w:val="solid" w:color="EBEBD8" w:fill="EBEBD8"/>
          </w:tcPr>
          <w:p w:rsidRPr="009F52F3" w:rsidR="009F52F3" w:rsidP="009F52F3" w:rsidRDefault="009F52F3">
            <w:pPr>
              <w:suppressAutoHyphens/>
              <w:autoSpaceDE w:val="0"/>
              <w:autoSpaceDN w:val="0"/>
              <w:adjustRightInd w:val="0"/>
              <w:rPr>
                <w:rFonts w:ascii="Arial" w:hAnsi="Arial" w:cs="Arial" w:eastAsiaTheme="minorEastAsia"/>
                <w:sz w:val="18"/>
                <w:szCs w:val="18"/>
                <w:lang w:eastAsia="nl-NL"/>
              </w:rPr>
            </w:pPr>
            <w:r w:rsidRPr="009F52F3">
              <w:rPr>
                <w:rFonts w:ascii="Arial" w:hAnsi="Arial" w:cs="Arial" w:eastAsiaTheme="minorEastAsia"/>
                <w:sz w:val="18"/>
                <w:szCs w:val="18"/>
                <w:lang w:eastAsia="nl-NL"/>
              </w:rPr>
              <w:t>Resultaten</w:t>
            </w:r>
          </w:p>
        </w:tc>
      </w:tr>
      <w:tr w:rsidRPr="009F52F3" w:rsidR="009F52F3" w:rsidTr="001C2BB6">
        <w:tblPrEx>
          <w:tblCellMar>
            <w:top w:w="0" w:type="dxa"/>
            <w:bottom w:w="0" w:type="dxa"/>
          </w:tblCellMar>
        </w:tblPrEx>
        <w:tc>
          <w:tcPr>
            <w:tcW w:w="540" w:type="dxa"/>
            <w:tcBorders>
              <w:top w:val="single" w:color="auto" w:sz="6" w:space="0"/>
              <w:left w:val="single" w:color="auto" w:sz="6" w:space="0"/>
              <w:bottom w:val="single" w:color="auto" w:sz="6" w:space="0"/>
              <w:right w:val="single" w:color="auto" w:sz="6" w:space="0"/>
            </w:tcBorders>
          </w:tcPr>
          <w:p w:rsidRPr="009F52F3" w:rsidR="009F52F3" w:rsidP="009F52F3" w:rsidRDefault="009F52F3">
            <w:pPr>
              <w:suppressAutoHyphens/>
              <w:autoSpaceDE w:val="0"/>
              <w:autoSpaceDN w:val="0"/>
              <w:adjustRightInd w:val="0"/>
              <w:rPr>
                <w:rFonts w:ascii="Arial" w:hAnsi="Arial" w:cs="Arial" w:eastAsiaTheme="minorEastAsia"/>
                <w:sz w:val="18"/>
                <w:szCs w:val="18"/>
                <w:lang w:eastAsia="nl-NL"/>
              </w:rPr>
            </w:pPr>
            <w:r w:rsidRPr="009F52F3">
              <w:rPr>
                <w:rFonts w:ascii="Arial" w:hAnsi="Arial" w:cs="Arial" w:eastAsiaTheme="minorEastAsia"/>
                <w:sz w:val="18"/>
                <w:szCs w:val="18"/>
                <w:lang w:eastAsia="nl-NL"/>
              </w:rPr>
              <w:t>1.</w:t>
            </w:r>
          </w:p>
        </w:tc>
        <w:tc>
          <w:tcPr>
            <w:tcW w:w="9180" w:type="dxa"/>
            <w:tcBorders>
              <w:top w:val="single" w:color="auto" w:sz="6" w:space="0"/>
              <w:left w:val="single" w:color="auto" w:sz="6" w:space="0"/>
              <w:bottom w:val="single" w:color="auto" w:sz="6" w:space="0"/>
              <w:right w:val="single" w:color="auto" w:sz="6" w:space="0"/>
            </w:tcBorders>
          </w:tcPr>
          <w:p w:rsidRPr="009F52F3" w:rsidR="009F52F3" w:rsidP="009F52F3" w:rsidRDefault="009F52F3">
            <w:pPr>
              <w:suppressAutoHyphens/>
              <w:autoSpaceDE w:val="0"/>
              <w:autoSpaceDN w:val="0"/>
              <w:adjustRightInd w:val="0"/>
              <w:rPr>
                <w:rFonts w:ascii="Arial" w:hAnsi="Arial" w:cs="Arial" w:eastAsiaTheme="minorEastAsia"/>
                <w:sz w:val="18"/>
                <w:szCs w:val="18"/>
                <w:lang w:eastAsia="nl-NL"/>
              </w:rPr>
            </w:pPr>
            <w:hyperlink w:history="1" w:anchor="doc_id_1">
              <w:r w:rsidRPr="009F52F3">
                <w:rPr>
                  <w:rFonts w:ascii="Arial" w:hAnsi="Arial" w:cs="Arial" w:eastAsiaTheme="minorEastAsia"/>
                  <w:color w:val="0000FF"/>
                  <w:sz w:val="18"/>
                  <w:szCs w:val="18"/>
                  <w:u w:val="single"/>
                  <w:lang w:eastAsia="nl-NL"/>
                </w:rPr>
                <w:t>Onvermogen</w:t>
              </w:r>
            </w:hyperlink>
            <w:r w:rsidRPr="009F52F3">
              <w:rPr>
                <w:rFonts w:ascii="Arial" w:hAnsi="Arial" w:cs="Arial" w:eastAsiaTheme="minorEastAsia"/>
                <w:sz w:val="18"/>
                <w:szCs w:val="18"/>
                <w:lang w:eastAsia="nl-NL"/>
              </w:rPr>
              <w:t xml:space="preserve">  De Telegraaf, 14 november 2014 vrijdag, Nieuws; Blz. 2, 245 woorden, Haas, Joost de</w:t>
            </w:r>
          </w:p>
        </w:tc>
      </w:tr>
    </w:tbl>
    <w:p w:rsidRPr="009F52F3" w:rsidR="009F52F3" w:rsidP="009F52F3" w:rsidRDefault="009F52F3">
      <w:pPr>
        <w:autoSpaceDE w:val="0"/>
        <w:autoSpaceDN w:val="0"/>
        <w:adjustRightInd w:val="0"/>
        <w:rPr>
          <w:rFonts w:ascii="Arial" w:hAnsi="Arial" w:cs="Arial" w:eastAsiaTheme="minorEastAsia"/>
          <w:sz w:val="20"/>
          <w:szCs w:val="20"/>
          <w:lang w:eastAsia="nl-NL"/>
        </w:rPr>
      </w:pPr>
    </w:p>
    <w:p w:rsidR="009317CC" w:rsidRDefault="009317CC"/>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17919"/>
    <w:multiLevelType w:val="hybridMultilevel"/>
    <w:tmpl w:val="1F0EAFDA"/>
    <w:lvl w:ilvl="0" w:tplc="021E984C">
      <w:start w:val="1"/>
      <w:numFmt w:val="upperRoman"/>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5F102FE4"/>
    <w:multiLevelType w:val="hybridMultilevel"/>
    <w:tmpl w:val="9CD665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F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9F52F3"/>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52F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52F3"/>
    <w:rPr>
      <w:color w:val="0000FF"/>
      <w:u w:val="single"/>
    </w:rPr>
  </w:style>
  <w:style w:type="paragraph" w:styleId="Lijstalinea">
    <w:name w:val="List Paragraph"/>
    <w:basedOn w:val="Standaard"/>
    <w:uiPriority w:val="34"/>
    <w:qFormat/>
    <w:rsid w:val="009F52F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F52F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52F3"/>
    <w:rPr>
      <w:color w:val="0000FF"/>
      <w:u w:val="single"/>
    </w:rPr>
  </w:style>
  <w:style w:type="paragraph" w:styleId="Lijstalinea">
    <w:name w:val="List Paragraph"/>
    <w:basedOn w:val="Standaard"/>
    <w:uiPriority w:val="34"/>
    <w:qFormat/>
    <w:rsid w:val="009F52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zaak.aspx?id=c2298782-cc4a-4925-a595-10df149821c9" TargetMode="External" Id="rId8" /><Relationship Type="http://schemas.microsoft.com/office/2007/relationships/stylesWithEffects" Target="stylesWithEffects.xml" Id="rId3" /><Relationship Type="http://schemas.openxmlformats.org/officeDocument/2006/relationships/hyperlink" Target="http://nos.nl/artikel/2003256-chemiesector-laks-met-regels.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zaak.aspx?id=2f2b3211-5550-4d97-aa17-0b044a4f7309" TargetMode="Externa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322</ap:Words>
  <ap:Characters>1775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2014-11-25T09:45:00.0000000Z</dcterms:created>
  <dcterms:modified xsi:type="dcterms:W3CDTF">2014-11-25T09:46:00.0000000Z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0x0101002F8A15797402DD4DA5CF07C3CD73D11C</vt:lpwstr>
  </property>
</Properties>
</file>