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33D5C" w:rsidR="00C05141"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t xml:space="preserve">Bijlage </w:t>
      </w:r>
      <w:r w:rsidR="00641E10">
        <w:rPr>
          <w:rFonts w:ascii="Verdana" w:hAnsi="Verdana" w:cs="Verdana"/>
          <w:b/>
          <w:bCs/>
          <w:sz w:val="18"/>
          <w:szCs w:val="18"/>
        </w:rPr>
        <w:t>2</w:t>
      </w:r>
      <w:r w:rsidRPr="00533D5C">
        <w:rPr>
          <w:rFonts w:ascii="Verdana" w:hAnsi="Verdana" w:cs="Verdana"/>
          <w:b/>
          <w:bCs/>
          <w:sz w:val="18"/>
          <w:szCs w:val="18"/>
        </w:rPr>
        <w:t>: Vertic</w:t>
      </w:r>
      <w:r w:rsidRPr="00533D5C" w:rsidR="00AD374F">
        <w:rPr>
          <w:rFonts w:ascii="Verdana" w:hAnsi="Verdana" w:cs="Verdana"/>
          <w:b/>
          <w:bCs/>
          <w:sz w:val="18"/>
          <w:szCs w:val="18"/>
        </w:rPr>
        <w:t>ale Toelichting Najaarsnota 2014</w:t>
      </w:r>
    </w:p>
    <w:p w:rsidRPr="00533D5C" w:rsidR="00C05141" w:rsidP="00533D5C" w:rsidRDefault="00C05141">
      <w:pPr>
        <w:spacing w:line="240" w:lineRule="exact"/>
        <w:rPr>
          <w:rFonts w:ascii="Verdana" w:hAnsi="Verdana" w:cs="Verdana"/>
          <w:sz w:val="18"/>
          <w:szCs w:val="18"/>
        </w:rPr>
      </w:pPr>
    </w:p>
    <w:p w:rsidRPr="00533D5C" w:rsidR="00C05141" w:rsidP="00533D5C" w:rsidRDefault="00C05141">
      <w:pPr>
        <w:spacing w:line="240" w:lineRule="exact"/>
        <w:rPr>
          <w:rFonts w:ascii="Verdana" w:hAnsi="Verdana" w:cs="Verdana"/>
          <w:sz w:val="18"/>
          <w:szCs w:val="18"/>
        </w:rPr>
      </w:pPr>
      <w:r w:rsidRPr="00533D5C">
        <w:rPr>
          <w:rFonts w:ascii="Verdana" w:hAnsi="Verdana" w:cs="Verdana"/>
          <w:sz w:val="18"/>
          <w:szCs w:val="18"/>
        </w:rPr>
        <w:t>De Verticale Toelichting geeft voor alle begrotingen een overzicht van</w:t>
      </w:r>
      <w:r w:rsidRPr="00533D5C" w:rsidR="00C34CD2">
        <w:rPr>
          <w:rFonts w:ascii="Verdana" w:hAnsi="Verdana" w:cs="Verdana"/>
          <w:sz w:val="18"/>
          <w:szCs w:val="18"/>
        </w:rPr>
        <w:t>-</w:t>
      </w:r>
      <w:r w:rsidRPr="00533D5C">
        <w:rPr>
          <w:rFonts w:ascii="Verdana" w:hAnsi="Verdana" w:cs="Verdana"/>
          <w:sz w:val="18"/>
          <w:szCs w:val="18"/>
        </w:rPr>
        <w:t xml:space="preserve"> en </w:t>
      </w:r>
      <w:r w:rsidRPr="00533D5C" w:rsidR="00C34CD2">
        <w:rPr>
          <w:rFonts w:ascii="Verdana" w:hAnsi="Verdana" w:cs="Verdana"/>
          <w:sz w:val="18"/>
          <w:szCs w:val="18"/>
        </w:rPr>
        <w:t xml:space="preserve">een </w:t>
      </w:r>
      <w:r w:rsidRPr="00533D5C">
        <w:rPr>
          <w:rFonts w:ascii="Verdana" w:hAnsi="Verdana" w:cs="Verdana"/>
          <w:sz w:val="18"/>
          <w:szCs w:val="18"/>
        </w:rPr>
        <w:t>toelichting op de belangrijkste mutaties. Voor een meer gedetailleerde toelichting op wordt verwezen naar de suppletoire begrotingswetten.</w:t>
      </w:r>
    </w:p>
    <w:p w:rsidRPr="00533D5C" w:rsidR="00C05141" w:rsidP="00533D5C" w:rsidRDefault="00C05141">
      <w:pPr>
        <w:spacing w:line="240" w:lineRule="exact"/>
        <w:rPr>
          <w:rFonts w:ascii="Verdana" w:hAnsi="Verdana" w:cs="Verdana"/>
          <w:sz w:val="18"/>
          <w:szCs w:val="18"/>
        </w:rPr>
      </w:pPr>
    </w:p>
    <w:p w:rsidRPr="00533D5C" w:rsidR="00C05141" w:rsidP="00533D5C" w:rsidRDefault="00C05141">
      <w:pPr>
        <w:spacing w:line="240" w:lineRule="exact"/>
        <w:rPr>
          <w:rFonts w:ascii="Verdana" w:hAnsi="Verdana" w:cs="Verdana"/>
          <w:i/>
          <w:iCs/>
          <w:sz w:val="18"/>
          <w:szCs w:val="18"/>
        </w:rPr>
      </w:pPr>
      <w:r w:rsidRPr="00533D5C">
        <w:rPr>
          <w:rFonts w:ascii="Verdana" w:hAnsi="Verdana" w:cs="Verdana"/>
          <w:i/>
          <w:iCs/>
          <w:sz w:val="18"/>
          <w:szCs w:val="18"/>
        </w:rPr>
        <w:t>Leeswijzer</w:t>
      </w:r>
    </w:p>
    <w:p w:rsidRPr="00533D5C" w:rsidR="00C05141" w:rsidP="00533D5C" w:rsidRDefault="00C05141">
      <w:pPr>
        <w:spacing w:line="240" w:lineRule="exact"/>
        <w:rPr>
          <w:rFonts w:ascii="Verdana" w:hAnsi="Verdana" w:cs="Verdana"/>
          <w:sz w:val="18"/>
          <w:szCs w:val="18"/>
        </w:rPr>
      </w:pPr>
      <w:r w:rsidRPr="00533D5C">
        <w:rPr>
          <w:rFonts w:ascii="Verdana" w:hAnsi="Verdana" w:cs="Verdana"/>
          <w:sz w:val="18"/>
          <w:szCs w:val="18"/>
        </w:rPr>
        <w:t>De mutaties zijn gesplitst in drie categorieën:</w:t>
      </w:r>
    </w:p>
    <w:p w:rsidRPr="00533D5C" w:rsidR="00C05141" w:rsidP="00533D5C" w:rsidRDefault="00C05141">
      <w:pPr>
        <w:spacing w:line="240" w:lineRule="exact"/>
        <w:rPr>
          <w:rFonts w:ascii="Verdana" w:hAnsi="Verdana" w:cs="Verdana"/>
          <w:sz w:val="18"/>
          <w:szCs w:val="18"/>
        </w:rPr>
      </w:pPr>
      <w:r w:rsidRPr="00533D5C">
        <w:rPr>
          <w:rFonts w:ascii="Verdana" w:hAnsi="Verdana" w:cs="Verdana"/>
          <w:sz w:val="18"/>
          <w:szCs w:val="18"/>
        </w:rPr>
        <w:t>1) Mee- en tegenvallers;</w:t>
      </w:r>
    </w:p>
    <w:p w:rsidRPr="00533D5C" w:rsidR="00C05141" w:rsidP="00533D5C" w:rsidRDefault="00C05141">
      <w:pPr>
        <w:spacing w:line="240" w:lineRule="exact"/>
        <w:rPr>
          <w:rFonts w:ascii="Verdana" w:hAnsi="Verdana" w:cs="Verdana"/>
          <w:sz w:val="18"/>
          <w:szCs w:val="18"/>
        </w:rPr>
      </w:pPr>
      <w:r w:rsidRPr="00533D5C">
        <w:rPr>
          <w:rFonts w:ascii="Verdana" w:hAnsi="Verdana" w:cs="Verdana"/>
          <w:sz w:val="18"/>
          <w:szCs w:val="18"/>
        </w:rPr>
        <w:t>2) Beleidsmatige mutaties;</w:t>
      </w:r>
    </w:p>
    <w:p w:rsidRPr="00533D5C" w:rsidR="00C05141" w:rsidP="00533D5C" w:rsidRDefault="00C05141">
      <w:pPr>
        <w:spacing w:line="240" w:lineRule="exact"/>
        <w:rPr>
          <w:rFonts w:ascii="Verdana" w:hAnsi="Verdana" w:cs="Verdana"/>
          <w:sz w:val="18"/>
          <w:szCs w:val="18"/>
        </w:rPr>
      </w:pPr>
      <w:r w:rsidRPr="00533D5C">
        <w:rPr>
          <w:rFonts w:ascii="Verdana" w:hAnsi="Verdana" w:cs="Verdana"/>
          <w:sz w:val="18"/>
          <w:szCs w:val="18"/>
        </w:rPr>
        <w:t>3) Technische mutaties.</w:t>
      </w:r>
    </w:p>
    <w:p w:rsidRPr="00533D5C" w:rsidR="00C05141" w:rsidP="00533D5C" w:rsidRDefault="00C05141">
      <w:pPr>
        <w:spacing w:line="240" w:lineRule="exact"/>
        <w:rPr>
          <w:rFonts w:ascii="Verdana" w:hAnsi="Verdana" w:cs="Verdana"/>
          <w:sz w:val="18"/>
          <w:szCs w:val="18"/>
        </w:rPr>
      </w:pPr>
    </w:p>
    <w:p w:rsidRPr="00533D5C" w:rsidR="00C05141" w:rsidP="00533D5C" w:rsidRDefault="00C05141">
      <w:pPr>
        <w:spacing w:line="240" w:lineRule="exact"/>
        <w:rPr>
          <w:rFonts w:ascii="Verdana" w:hAnsi="Verdana" w:cs="Verdana"/>
          <w:sz w:val="18"/>
          <w:szCs w:val="18"/>
        </w:rPr>
      </w:pPr>
      <w:r w:rsidRPr="00533D5C">
        <w:rPr>
          <w:rFonts w:ascii="Verdana" w:hAnsi="Verdana" w:cs="Verdana"/>
          <w:sz w:val="18"/>
          <w:szCs w:val="18"/>
        </w:rPr>
        <w:t>De laatste categorie omvat alle overboekingen, desalderingen, statistische correcties en mutaties die niet onder een ijklijn vallen. Mutaties worden toegelicht indien ze een</w:t>
      </w:r>
      <w:r w:rsidRPr="00533D5C" w:rsidR="00C34CD2">
        <w:rPr>
          <w:rFonts w:ascii="Verdana" w:hAnsi="Verdana" w:cs="Verdana"/>
          <w:sz w:val="18"/>
          <w:szCs w:val="18"/>
        </w:rPr>
        <w:t xml:space="preserve"> bepaalde ondergrens overschrijden</w:t>
      </w:r>
      <w:r w:rsidRPr="00533D5C">
        <w:rPr>
          <w:rFonts w:ascii="Verdana" w:hAnsi="Verdana" w:cs="Verdana"/>
          <w:sz w:val="18"/>
          <w:szCs w:val="18"/>
        </w:rPr>
        <w:t>. De ondergrens is afhankelijk van de omvang van de begroting en verschilt voor de verschillende categorieën mutaties. De post diversen bevat de mutaties die onder de ondergrens vallen en wordt in principe alleen toegelicht indien zich bijzonderheden voordoen.</w:t>
      </w:r>
    </w:p>
    <w:p w:rsidRPr="00533D5C" w:rsidR="00C05141" w:rsidP="00533D5C" w:rsidRDefault="00C05141">
      <w:pPr>
        <w:spacing w:line="240" w:lineRule="exact"/>
        <w:rPr>
          <w:rFonts w:ascii="Verdana" w:hAnsi="Verdana" w:cs="Verdana"/>
          <w:sz w:val="18"/>
          <w:szCs w:val="18"/>
        </w:rPr>
      </w:pPr>
    </w:p>
    <w:p w:rsidRPr="00533D5C" w:rsidR="00C05141" w:rsidP="00533D5C"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lang w:eastAsia="en-US"/>
        </w:rPr>
      </w:pPr>
      <w:r w:rsidRPr="00533D5C">
        <w:rPr>
          <w:rFonts w:ascii="Verdana" w:hAnsi="Verdana" w:cs="Verdana"/>
          <w:sz w:val="18"/>
          <w:szCs w:val="18"/>
          <w:lang w:eastAsia="en-US"/>
        </w:rPr>
        <w:t xml:space="preserve">De totalen per begroting worden in eerste instantie gepresenteerd exclusief de bedragen die onder de Homogene Groep Internationale Samenwerking (HGIS) vallen. Door middel van een aansluitregel wordt het deel van de begroting dat onder de HGIS valt zichtbaar gemaakt. De laatste regel geeft per begroting de totaalstand inclusief HGIS aan. De mutaties die optreden binnen het HGIS-deel van de begroting worden gepresenteerd en toegelicht in de Verticale Toelichting van alle HGIS uitgaven. </w:t>
      </w:r>
    </w:p>
    <w:p w:rsidRPr="00533D5C" w:rsidR="00C05141" w:rsidP="00533D5C"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rPr>
      </w:pPr>
    </w:p>
    <w:p w:rsidRPr="00533D5C" w:rsidR="00171785" w:rsidP="00533D5C"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lang w:eastAsia="en-US"/>
        </w:rPr>
      </w:pPr>
      <w:r w:rsidRPr="00533D5C">
        <w:rPr>
          <w:rFonts w:ascii="Verdana" w:hAnsi="Verdana" w:cs="Verdana"/>
          <w:sz w:val="18"/>
          <w:szCs w:val="18"/>
          <w:lang w:eastAsia="en-US"/>
        </w:rPr>
        <w:t>De bedragen in de tabellen zijn in miljoenen euro’s.</w:t>
      </w:r>
      <w:r w:rsidRPr="00533D5C" w:rsidR="00171785">
        <w:rPr>
          <w:rFonts w:ascii="Verdana" w:hAnsi="Verdana" w:cs="Verdana"/>
          <w:sz w:val="18"/>
          <w:szCs w:val="18"/>
          <w:lang w:eastAsia="en-US"/>
        </w:rPr>
        <w:t xml:space="preserve"> </w:t>
      </w:r>
      <w:r w:rsidRPr="00533D5C" w:rsidR="009A6DDC">
        <w:rPr>
          <w:rFonts w:ascii="Verdana" w:hAnsi="Verdana" w:cs="Verdana"/>
          <w:sz w:val="18"/>
          <w:szCs w:val="18"/>
          <w:lang w:eastAsia="en-US"/>
        </w:rPr>
        <w:t>Door afrondingen kan het totaal afwijken van de som der onderdelen.</w:t>
      </w:r>
    </w:p>
    <w:p w:rsidRPr="00533D5C" w:rsidR="0030782C" w:rsidP="00533D5C" w:rsidRDefault="0030782C">
      <w:pPr>
        <w:pStyle w:val="Bijschrift"/>
        <w:keepNext/>
        <w:spacing w:after="0" w:line="240" w:lineRule="exact"/>
        <w:rPr>
          <w:rFonts w:ascii="Verdana" w:hAnsi="Verdana"/>
        </w:rPr>
      </w:pPr>
    </w:p>
    <w:p w:rsidRPr="00533D5C" w:rsidR="00283B40" w:rsidP="00533D5C" w:rsidRDefault="00283B40">
      <w:pPr>
        <w:spacing w:line="240" w:lineRule="exact"/>
        <w:rPr>
          <w:rFonts w:ascii="Verdana" w:hAnsi="Verdana"/>
          <w:sz w:val="18"/>
          <w:szCs w:val="18"/>
        </w:rPr>
      </w:pPr>
    </w:p>
    <w:p w:rsidRPr="00533D5C" w:rsidR="00AD374F" w:rsidP="00533D5C" w:rsidRDefault="00C05141">
      <w:pPr>
        <w:pStyle w:val="Bijschrift"/>
        <w:keepNext/>
        <w:spacing w:after="0" w:line="240" w:lineRule="exact"/>
        <w:rPr>
          <w:rFonts w:ascii="Verdana" w:hAnsi="Verdana"/>
          <w:color w:val="auto"/>
        </w:rPr>
      </w:pPr>
      <w:r w:rsidRPr="00533D5C">
        <w:rPr>
          <w:rFonts w:ascii="Verdana" w:hAnsi="Verdana"/>
        </w:rPr>
        <w:br w:type="page"/>
      </w:r>
      <w:r w:rsidRPr="00533D5C" w:rsidR="00C21097">
        <w:rPr>
          <w:rFonts w:ascii="Verdana" w:hAnsi="Verdana"/>
          <w:color w:val="auto"/>
        </w:rPr>
        <w:lastRenderedPageBreak/>
        <w:t xml:space="preserve">Samenvattend overzicht mutaties per </w:t>
      </w:r>
      <w:r w:rsidRPr="00533D5C" w:rsidR="00FB608B">
        <w:rPr>
          <w:rFonts w:ascii="Verdana" w:hAnsi="Verdana"/>
          <w:color w:val="auto"/>
        </w:rPr>
        <w:t>N</w:t>
      </w:r>
      <w:r w:rsidRPr="00533D5C" w:rsidR="00C21097">
        <w:rPr>
          <w:rFonts w:ascii="Verdana" w:hAnsi="Verdana"/>
          <w:color w:val="auto"/>
        </w:rPr>
        <w:t>ajaarsnota 201</w:t>
      </w:r>
      <w:r w:rsidRPr="00533D5C" w:rsidR="00AD374F">
        <w:rPr>
          <w:rFonts w:ascii="Verdana" w:hAnsi="Verdana"/>
          <w:color w:val="auto"/>
        </w:rPr>
        <w:t>4</w:t>
      </w:r>
    </w:p>
    <w:p w:rsidRPr="00533D5C" w:rsidR="00AD374F" w:rsidP="00533D5C" w:rsidRDefault="00AD374F">
      <w:pPr>
        <w:spacing w:line="240" w:lineRule="exact"/>
        <w:rPr>
          <w:rFonts w:ascii="Verdana" w:hAnsi="Verdana"/>
          <w:sz w:val="18"/>
          <w:szCs w:val="18"/>
        </w:rPr>
      </w:pPr>
    </w:p>
    <w:tbl>
      <w:tblPr>
        <w:tblW w:w="5000" w:type="pct"/>
        <w:tblCellMar>
          <w:left w:w="70" w:type="dxa"/>
          <w:right w:w="70" w:type="dxa"/>
        </w:tblCellMar>
        <w:tblLook w:val="04A0"/>
      </w:tblPr>
      <w:tblGrid>
        <w:gridCol w:w="763"/>
        <w:gridCol w:w="4976"/>
        <w:gridCol w:w="1702"/>
        <w:gridCol w:w="1771"/>
      </w:tblGrid>
      <w:tr w:rsidRPr="00533D5C" w:rsidR="00987044" w:rsidTr="00987044">
        <w:trPr>
          <w:trHeight w:val="127"/>
        </w:trPr>
        <w:tc>
          <w:tcPr>
            <w:tcW w:w="414" w:type="pct"/>
            <w:tcBorders>
              <w:top w:val="single" w:color="auto" w:sz="12" w:space="0"/>
              <w:left w:val="nil"/>
              <w:bottom w:val="single" w:color="auto" w:sz="12"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 </w:t>
            </w:r>
          </w:p>
        </w:tc>
        <w:tc>
          <w:tcPr>
            <w:tcW w:w="2701" w:type="pct"/>
            <w:tcBorders>
              <w:top w:val="single" w:color="auto" w:sz="12" w:space="0"/>
              <w:left w:val="nil"/>
              <w:bottom w:val="single" w:color="auto" w:sz="12"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Bedragen in miljoenen euro’s</w:t>
            </w:r>
          </w:p>
        </w:tc>
        <w:tc>
          <w:tcPr>
            <w:tcW w:w="924" w:type="pct"/>
            <w:tcBorders>
              <w:top w:val="single" w:color="auto" w:sz="12" w:space="0"/>
              <w:left w:val="nil"/>
              <w:bottom w:val="single" w:color="auto" w:sz="12" w:space="0"/>
              <w:right w:val="nil"/>
            </w:tcBorders>
            <w:shd w:val="clear" w:color="auto" w:fill="auto"/>
            <w:hideMark/>
          </w:tcPr>
          <w:p w:rsidRPr="00533D5C" w:rsidR="00987044" w:rsidP="00533D5C" w:rsidRDefault="00987044">
            <w:pPr>
              <w:spacing w:line="240" w:lineRule="exact"/>
              <w:jc w:val="right"/>
              <w:rPr>
                <w:rFonts w:ascii="Verdana" w:hAnsi="Verdana"/>
                <w:sz w:val="18"/>
                <w:szCs w:val="18"/>
              </w:rPr>
            </w:pPr>
            <w:r w:rsidRPr="00533D5C">
              <w:rPr>
                <w:rFonts w:ascii="Verdana" w:hAnsi="Verdana"/>
                <w:sz w:val="18"/>
                <w:szCs w:val="18"/>
              </w:rPr>
              <w:t>Mutaties uitgaven</w:t>
            </w:r>
          </w:p>
        </w:tc>
        <w:tc>
          <w:tcPr>
            <w:tcW w:w="961" w:type="pct"/>
            <w:tcBorders>
              <w:top w:val="single" w:color="auto" w:sz="12" w:space="0"/>
              <w:left w:val="nil"/>
              <w:bottom w:val="single" w:color="auto" w:sz="12" w:space="0"/>
              <w:right w:val="nil"/>
            </w:tcBorders>
            <w:shd w:val="clear" w:color="auto" w:fill="auto"/>
            <w:hideMark/>
          </w:tcPr>
          <w:p w:rsidRPr="00533D5C" w:rsidR="00987044" w:rsidP="00533D5C" w:rsidRDefault="00987044">
            <w:pPr>
              <w:spacing w:line="240" w:lineRule="exact"/>
              <w:jc w:val="right"/>
              <w:rPr>
                <w:rFonts w:ascii="Verdana" w:hAnsi="Verdana"/>
                <w:sz w:val="18"/>
                <w:szCs w:val="18"/>
              </w:rPr>
            </w:pPr>
            <w:r w:rsidRPr="00533D5C">
              <w:rPr>
                <w:rFonts w:ascii="Verdana" w:hAnsi="Verdana"/>
                <w:sz w:val="18"/>
                <w:szCs w:val="18"/>
              </w:rPr>
              <w:t xml:space="preserve">Mutaties ontvangsten </w:t>
            </w:r>
          </w:p>
        </w:tc>
      </w:tr>
      <w:tr w:rsidRPr="00533D5C" w:rsidR="00987044" w:rsidTr="00987044">
        <w:trPr>
          <w:trHeight w:val="210"/>
        </w:trPr>
        <w:tc>
          <w:tcPr>
            <w:tcW w:w="5000" w:type="pct"/>
            <w:gridSpan w:val="4"/>
            <w:tcBorders>
              <w:top w:val="single" w:color="auto" w:sz="12" w:space="0"/>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i/>
                <w:iCs/>
                <w:sz w:val="18"/>
                <w:szCs w:val="18"/>
              </w:rPr>
            </w:pPr>
            <w:r w:rsidRPr="00533D5C">
              <w:rPr>
                <w:rFonts w:ascii="Verdana" w:hAnsi="Verdana"/>
                <w:i/>
                <w:iCs/>
                <w:sz w:val="18"/>
                <w:szCs w:val="18"/>
              </w:rPr>
              <w:t>Departementale begrotingen</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De koning</w:t>
            </w:r>
          </w:p>
        </w:tc>
        <w:tc>
          <w:tcPr>
            <w:tcW w:w="924" w:type="pct"/>
            <w:tcBorders>
              <w:top w:val="nil"/>
              <w:left w:val="nil"/>
              <w:bottom w:val="nil"/>
              <w:right w:val="nil"/>
            </w:tcBorders>
            <w:shd w:val="clear" w:color="auto" w:fill="auto"/>
            <w:vAlign w:val="bottom"/>
            <w:hideMark/>
          </w:tcPr>
          <w:p w:rsidRPr="00533D5C" w:rsidR="00987044" w:rsidP="00533D5C" w:rsidRDefault="00EF63D2">
            <w:pPr>
              <w:spacing w:line="240" w:lineRule="exact"/>
              <w:jc w:val="right"/>
              <w:rPr>
                <w:rFonts w:ascii="Verdana" w:hAnsi="Verdana"/>
                <w:sz w:val="18"/>
                <w:szCs w:val="18"/>
              </w:rPr>
            </w:pPr>
            <w:r w:rsidRPr="00533D5C">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533D5C" w:rsidR="00987044" w:rsidP="00533D5C" w:rsidRDefault="00EF63D2">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IIA</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Staten Generaal</w:t>
            </w:r>
          </w:p>
        </w:tc>
        <w:tc>
          <w:tcPr>
            <w:tcW w:w="924" w:type="pct"/>
            <w:tcBorders>
              <w:top w:val="nil"/>
              <w:left w:val="nil"/>
              <w:bottom w:val="nil"/>
              <w:right w:val="nil"/>
            </w:tcBorders>
            <w:shd w:val="clear" w:color="auto" w:fill="auto"/>
            <w:vAlign w:val="bottom"/>
            <w:hideMark/>
          </w:tcPr>
          <w:p w:rsidRPr="00533D5C" w:rsidR="00987044" w:rsidP="00533D5C" w:rsidRDefault="00445110">
            <w:pPr>
              <w:spacing w:line="240" w:lineRule="exact"/>
              <w:jc w:val="right"/>
              <w:rPr>
                <w:rFonts w:ascii="Verdana" w:hAnsi="Verdana"/>
                <w:sz w:val="18"/>
                <w:szCs w:val="18"/>
              </w:rPr>
            </w:pPr>
            <w:r w:rsidRPr="00533D5C">
              <w:rPr>
                <w:rFonts w:ascii="Verdana" w:hAnsi="Verdana"/>
                <w:sz w:val="18"/>
                <w:szCs w:val="18"/>
              </w:rPr>
              <w:t>-6,0</w:t>
            </w:r>
          </w:p>
        </w:tc>
        <w:tc>
          <w:tcPr>
            <w:tcW w:w="961" w:type="pct"/>
            <w:tcBorders>
              <w:top w:val="nil"/>
              <w:left w:val="nil"/>
              <w:bottom w:val="nil"/>
              <w:right w:val="nil"/>
            </w:tcBorders>
            <w:shd w:val="clear" w:color="auto" w:fill="auto"/>
            <w:vAlign w:val="bottom"/>
            <w:hideMark/>
          </w:tcPr>
          <w:p w:rsidRPr="00533D5C" w:rsidR="00987044" w:rsidP="00533D5C" w:rsidRDefault="00445110">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IIB</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Hoge Colleges van Staat</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-1,4</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1,0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Algemene Zaken</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0,2</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IV</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Koninkrijksrelaties</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0,6</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1,6</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Buitenlandse Zaken</w:t>
            </w:r>
          </w:p>
        </w:tc>
        <w:tc>
          <w:tcPr>
            <w:tcW w:w="924" w:type="pct"/>
            <w:tcBorders>
              <w:top w:val="nil"/>
              <w:left w:val="nil"/>
              <w:bottom w:val="nil"/>
              <w:right w:val="nil"/>
            </w:tcBorders>
            <w:shd w:val="clear" w:color="auto" w:fill="auto"/>
            <w:vAlign w:val="bottom"/>
            <w:hideMark/>
          </w:tcPr>
          <w:p w:rsidRPr="00533D5C" w:rsidR="00987044" w:rsidP="00533D5C" w:rsidRDefault="00CF123A">
            <w:pPr>
              <w:spacing w:line="240" w:lineRule="exact"/>
              <w:jc w:val="right"/>
              <w:rPr>
                <w:rFonts w:ascii="Verdana" w:hAnsi="Verdana"/>
                <w:sz w:val="18"/>
                <w:szCs w:val="18"/>
              </w:rPr>
            </w:pPr>
            <w:r>
              <w:rPr>
                <w:rFonts w:ascii="Verdana" w:hAnsi="Verdana"/>
                <w:sz w:val="18"/>
                <w:szCs w:val="18"/>
              </w:rPr>
              <w:t>1.103,2</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Veiligheid en Justitie</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27,3</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14,3</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Binnenlandse Zaken en Koninkrijksrelaties</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38,0</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-19,3</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VIII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Onderwijs, Cultuur en Wetenschap</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-39,9</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13,5</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IXA</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Nationale Schuld</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54,0</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1.593,6</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IXB</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Financiën</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-172,7</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926,9</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Defensie</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-99,4</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-20,7</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Infrastructuur en Milieu</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-43,3</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-26,2</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XIII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Economische Zaken</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-4,5</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-7,8</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XV</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Sociale Zaken en Werkgelegenheid</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w:t>
            </w:r>
            <w:r w:rsidRPr="00533D5C" w:rsidR="00533D5C">
              <w:rPr>
                <w:rFonts w:ascii="Verdana" w:hAnsi="Verdana"/>
                <w:sz w:val="18"/>
                <w:szCs w:val="18"/>
              </w:rPr>
              <w:t>4,4</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0,6</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XVI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Volksgezondheid, Welzijn en Sport</w:t>
            </w:r>
          </w:p>
        </w:tc>
        <w:tc>
          <w:tcPr>
            <w:tcW w:w="924"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10,2</w:t>
            </w:r>
          </w:p>
        </w:tc>
        <w:tc>
          <w:tcPr>
            <w:tcW w:w="961" w:type="pct"/>
            <w:tcBorders>
              <w:top w:val="nil"/>
              <w:left w:val="nil"/>
              <w:bottom w:val="nil"/>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78,3</w:t>
            </w:r>
          </w:p>
        </w:tc>
      </w:tr>
      <w:tr w:rsidRPr="00533D5C" w:rsidR="00987044" w:rsidTr="00987044">
        <w:trPr>
          <w:trHeight w:val="180"/>
        </w:trPr>
        <w:tc>
          <w:tcPr>
            <w:tcW w:w="414" w:type="pct"/>
            <w:tcBorders>
              <w:top w:val="nil"/>
              <w:left w:val="nil"/>
              <w:bottom w:val="nil"/>
              <w:right w:val="nil"/>
            </w:tcBorders>
            <w:shd w:val="clear" w:color="auto" w:fill="auto"/>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XVII</w:t>
            </w: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Buitenlandse Handel en Ontwikkelingssamenwerking</w:t>
            </w:r>
          </w:p>
        </w:tc>
        <w:tc>
          <w:tcPr>
            <w:tcW w:w="924" w:type="pct"/>
            <w:tcBorders>
              <w:top w:val="nil"/>
              <w:left w:val="nil"/>
              <w:bottom w:val="nil"/>
              <w:right w:val="nil"/>
            </w:tcBorders>
            <w:shd w:val="clear" w:color="auto" w:fill="auto"/>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0,0</w:t>
            </w:r>
          </w:p>
        </w:tc>
        <w:tc>
          <w:tcPr>
            <w:tcW w:w="961" w:type="pct"/>
            <w:tcBorders>
              <w:top w:val="nil"/>
              <w:left w:val="nil"/>
              <w:bottom w:val="nil"/>
              <w:right w:val="nil"/>
            </w:tcBorders>
            <w:shd w:val="clear" w:color="auto" w:fill="auto"/>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95"/>
        </w:trPr>
        <w:tc>
          <w:tcPr>
            <w:tcW w:w="414" w:type="pct"/>
            <w:tcBorders>
              <w:top w:val="nil"/>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XVIII</w:t>
            </w:r>
          </w:p>
        </w:tc>
        <w:tc>
          <w:tcPr>
            <w:tcW w:w="2701" w:type="pct"/>
            <w:tcBorders>
              <w:top w:val="nil"/>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Wonen en Rijksdienst</w:t>
            </w:r>
          </w:p>
        </w:tc>
        <w:tc>
          <w:tcPr>
            <w:tcW w:w="924" w:type="pct"/>
            <w:tcBorders>
              <w:top w:val="nil"/>
              <w:left w:val="nil"/>
              <w:bottom w:val="single" w:color="auto" w:sz="8" w:space="0"/>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-16,8</w:t>
            </w:r>
          </w:p>
        </w:tc>
        <w:tc>
          <w:tcPr>
            <w:tcW w:w="961" w:type="pct"/>
            <w:tcBorders>
              <w:top w:val="nil"/>
              <w:left w:val="nil"/>
              <w:bottom w:val="single" w:color="auto" w:sz="8" w:space="0"/>
              <w:right w:val="nil"/>
            </w:tcBorders>
            <w:shd w:val="clear" w:color="auto" w:fill="auto"/>
            <w:vAlign w:val="bottom"/>
            <w:hideMark/>
          </w:tcPr>
          <w:p w:rsidRPr="00533D5C" w:rsidR="00987044" w:rsidP="00533D5C" w:rsidRDefault="00A216B7">
            <w:pPr>
              <w:spacing w:line="240" w:lineRule="exact"/>
              <w:jc w:val="right"/>
              <w:rPr>
                <w:rFonts w:ascii="Verdana" w:hAnsi="Verdana"/>
                <w:sz w:val="18"/>
                <w:szCs w:val="18"/>
              </w:rPr>
            </w:pPr>
            <w:r w:rsidRPr="00533D5C">
              <w:rPr>
                <w:rFonts w:ascii="Verdana" w:hAnsi="Verdana"/>
                <w:sz w:val="18"/>
                <w:szCs w:val="18"/>
              </w:rPr>
              <w:t>24,0</w:t>
            </w:r>
          </w:p>
        </w:tc>
      </w:tr>
      <w:tr w:rsidRPr="00533D5C" w:rsidR="00987044" w:rsidTr="00987044">
        <w:trPr>
          <w:trHeight w:val="195"/>
        </w:trPr>
        <w:tc>
          <w:tcPr>
            <w:tcW w:w="5000" w:type="pct"/>
            <w:gridSpan w:val="4"/>
            <w:tcBorders>
              <w:top w:val="single" w:color="auto" w:sz="8" w:space="0"/>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i/>
                <w:iCs/>
                <w:sz w:val="18"/>
                <w:szCs w:val="18"/>
              </w:rPr>
            </w:pPr>
            <w:r w:rsidRPr="00533D5C">
              <w:rPr>
                <w:rFonts w:ascii="Verdana" w:hAnsi="Verdana"/>
                <w:i/>
                <w:iCs/>
                <w:sz w:val="18"/>
                <w:szCs w:val="18"/>
              </w:rPr>
              <w:t>Overig</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Sociale Zekerheid</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-87,9</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1,6</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Budgettair kader Zorg</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-165,2</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Gemeentefonds</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21,7</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95"/>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Provinciefonds</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12,1</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Infrastructuurfonds</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-31,8</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-7,5</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Diergezondheidsfonds</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2,2</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2,2</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Accres Gemeentefonds</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Accres Provinciefonds</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BES fonds</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4,9</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Deltafonds</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62,8</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20,2</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Prijsbijstelling</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Arbeidsvoorwaarden</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Koppeling Uitkeringen</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80"/>
        </w:trPr>
        <w:tc>
          <w:tcPr>
            <w:tcW w:w="414"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Aanvullende Post Algemeen</w:t>
            </w:r>
          </w:p>
        </w:tc>
        <w:tc>
          <w:tcPr>
            <w:tcW w:w="924"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-25,0</w:t>
            </w:r>
          </w:p>
        </w:tc>
        <w:tc>
          <w:tcPr>
            <w:tcW w:w="961" w:type="pct"/>
            <w:tcBorders>
              <w:top w:val="nil"/>
              <w:left w:val="nil"/>
              <w:bottom w:val="nil"/>
              <w:right w:val="nil"/>
            </w:tcBorders>
            <w:shd w:val="clear" w:color="auto" w:fill="auto"/>
            <w:vAlign w:val="bottom"/>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0,0</w:t>
            </w:r>
          </w:p>
        </w:tc>
      </w:tr>
      <w:tr w:rsidRPr="00533D5C" w:rsidR="00987044" w:rsidTr="00987044">
        <w:trPr>
          <w:trHeight w:val="195"/>
        </w:trPr>
        <w:tc>
          <w:tcPr>
            <w:tcW w:w="414" w:type="pct"/>
            <w:tcBorders>
              <w:top w:val="nil"/>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 </w:t>
            </w:r>
          </w:p>
        </w:tc>
        <w:tc>
          <w:tcPr>
            <w:tcW w:w="2701" w:type="pct"/>
            <w:tcBorders>
              <w:top w:val="nil"/>
              <w:left w:val="nil"/>
              <w:bottom w:val="single" w:color="auto" w:sz="8" w:space="0"/>
              <w:right w:val="nil"/>
            </w:tcBorders>
            <w:shd w:val="clear" w:color="auto" w:fill="auto"/>
            <w:vAlign w:val="bottom"/>
            <w:hideMark/>
          </w:tcPr>
          <w:p w:rsidRPr="00533D5C" w:rsidR="00987044" w:rsidP="00533D5C" w:rsidRDefault="00987044">
            <w:pPr>
              <w:spacing w:line="240" w:lineRule="exact"/>
              <w:rPr>
                <w:rFonts w:ascii="Verdana" w:hAnsi="Verdana"/>
                <w:sz w:val="18"/>
                <w:szCs w:val="18"/>
              </w:rPr>
            </w:pPr>
            <w:r w:rsidRPr="00533D5C">
              <w:rPr>
                <w:rFonts w:ascii="Verdana" w:hAnsi="Verdana"/>
                <w:sz w:val="18"/>
                <w:szCs w:val="18"/>
              </w:rPr>
              <w:t>Homogene Groep Internationale Samenwerking</w:t>
            </w:r>
          </w:p>
        </w:tc>
        <w:tc>
          <w:tcPr>
            <w:tcW w:w="924" w:type="pct"/>
            <w:tcBorders>
              <w:top w:val="nil"/>
              <w:left w:val="nil"/>
              <w:bottom w:val="single" w:color="auto" w:sz="8" w:space="0"/>
              <w:right w:val="nil"/>
            </w:tcBorders>
            <w:shd w:val="clear" w:color="auto" w:fill="auto"/>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-556,8</w:t>
            </w:r>
          </w:p>
        </w:tc>
        <w:tc>
          <w:tcPr>
            <w:tcW w:w="961" w:type="pct"/>
            <w:tcBorders>
              <w:top w:val="nil"/>
              <w:left w:val="nil"/>
              <w:bottom w:val="single" w:color="auto" w:sz="8" w:space="0"/>
              <w:right w:val="nil"/>
            </w:tcBorders>
            <w:shd w:val="clear" w:color="auto" w:fill="auto"/>
            <w:hideMark/>
          </w:tcPr>
          <w:p w:rsidRPr="00533D5C" w:rsidR="00987044" w:rsidP="00533D5C" w:rsidRDefault="00447951">
            <w:pPr>
              <w:spacing w:line="240" w:lineRule="exact"/>
              <w:jc w:val="right"/>
              <w:rPr>
                <w:rFonts w:ascii="Verdana" w:hAnsi="Verdana"/>
                <w:sz w:val="18"/>
                <w:szCs w:val="18"/>
              </w:rPr>
            </w:pPr>
            <w:r w:rsidRPr="00533D5C">
              <w:rPr>
                <w:rFonts w:ascii="Verdana" w:hAnsi="Verdana"/>
                <w:sz w:val="18"/>
                <w:szCs w:val="18"/>
              </w:rPr>
              <w:t>18,7</w:t>
            </w:r>
          </w:p>
        </w:tc>
      </w:tr>
    </w:tbl>
    <w:p w:rsidRPr="00533D5C" w:rsidR="00AD374F" w:rsidP="00533D5C" w:rsidRDefault="00AD374F">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De Koning</w:t>
      </w:r>
    </w:p>
    <w:p w:rsidRPr="00533D5C" w:rsidR="00AD374F" w:rsidP="00533D5C" w:rsidRDefault="00AD374F">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827"/>
        <w:gridCol w:w="1385"/>
      </w:tblGrid>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I DE KONING: UITGAVEN</w:t>
            </w: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40,1</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40,1</w:t>
            </w: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52" w:type="pct"/>
            <w:tcBorders>
              <w:top w:val="single" w:color="000000" w:sz="8" w:space="0"/>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40,1</w:t>
            </w:r>
          </w:p>
        </w:tc>
      </w:tr>
      <w:tr w:rsidRPr="00533D5C" w:rsidR="00AD374F" w:rsidTr="00AD374F">
        <w:trPr>
          <w:trHeight w:val="210"/>
        </w:trPr>
        <w:tc>
          <w:tcPr>
            <w:tcW w:w="4248"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I DE KONING: NIET-BELASTINGONTVANGSTEN</w:t>
            </w: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0,2</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0,2</w:t>
            </w: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52" w:type="pct"/>
            <w:tcBorders>
              <w:top w:val="single" w:color="000000" w:sz="8" w:space="0"/>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0,2</w:t>
            </w:r>
          </w:p>
        </w:tc>
      </w:tr>
    </w:tbl>
    <w:p w:rsidRPr="00533D5C" w:rsidR="00AD374F" w:rsidP="00533D5C" w:rsidRDefault="00AD374F">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730F6F"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Staten-Generaal</w:t>
      </w:r>
    </w:p>
    <w:p w:rsidRPr="00533D5C" w:rsidR="00AD374F" w:rsidP="00533D5C" w:rsidRDefault="00AD374F">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827"/>
        <w:gridCol w:w="1385"/>
      </w:tblGrid>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IIA STATEN-GENERAAL: UITGAVEN</w:t>
            </w: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143,7</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-1,3</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-1,3</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-4,7</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-4,7</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-6,0</w:t>
            </w: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137,7</w:t>
            </w: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tabs>
                <w:tab w:val="left" w:pos="5010"/>
              </w:tabs>
              <w:spacing w:line="240" w:lineRule="exact"/>
              <w:rPr>
                <w:rFonts w:ascii="Verdana" w:hAnsi="Verdana"/>
                <w:color w:val="000000"/>
                <w:sz w:val="18"/>
                <w:szCs w:val="18"/>
              </w:rPr>
            </w:pPr>
            <w:r w:rsidRPr="00533D5C">
              <w:rPr>
                <w:rFonts w:ascii="Verdana" w:hAnsi="Verdana"/>
                <w:color w:val="000000"/>
                <w:sz w:val="18"/>
                <w:szCs w:val="18"/>
              </w:rPr>
              <w:t>Stand Najaarsnota 2014</w:t>
            </w:r>
            <w:r w:rsidRPr="00533D5C" w:rsidR="00E13BDE">
              <w:rPr>
                <w:rFonts w:ascii="Verdana" w:hAnsi="Verdana"/>
                <w:color w:val="000000"/>
                <w:sz w:val="18"/>
                <w:szCs w:val="18"/>
              </w:rPr>
              <w:tab/>
            </w:r>
          </w:p>
        </w:tc>
        <w:tc>
          <w:tcPr>
            <w:tcW w:w="752" w:type="pct"/>
            <w:tcBorders>
              <w:top w:val="single" w:color="000000" w:sz="8" w:space="0"/>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137,7</w:t>
            </w:r>
          </w:p>
        </w:tc>
      </w:tr>
      <w:tr w:rsidRPr="00533D5C" w:rsidR="00AD374F" w:rsidTr="00AD374F">
        <w:trPr>
          <w:trHeight w:val="210"/>
        </w:trPr>
        <w:tc>
          <w:tcPr>
            <w:tcW w:w="4248"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IIA STATEN-GENERAAL: NIET-BELASTINGONTVANGSTEN</w:t>
            </w: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5,2</w:t>
            </w: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AD374F" w:rsidP="00533D5C" w:rsidRDefault="00AD374F">
            <w:pPr>
              <w:spacing w:line="240" w:lineRule="exac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5,2</w:t>
            </w:r>
          </w:p>
        </w:tc>
      </w:tr>
      <w:tr w:rsidRPr="00533D5C" w:rsidR="00AD374F" w:rsidTr="00AD374F">
        <w:trPr>
          <w:trHeight w:val="225"/>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p>
        </w:tc>
      </w:tr>
      <w:tr w:rsidRPr="00533D5C" w:rsidR="00AD374F" w:rsidTr="00AD374F">
        <w:trPr>
          <w:trHeight w:val="210"/>
        </w:trPr>
        <w:tc>
          <w:tcPr>
            <w:tcW w:w="4248" w:type="pct"/>
            <w:tcBorders>
              <w:top w:val="nil"/>
              <w:left w:val="nil"/>
              <w:bottom w:val="nil"/>
              <w:right w:val="nil"/>
            </w:tcBorders>
            <w:shd w:val="clear" w:color="auto" w:fill="auto"/>
            <w:hideMark/>
          </w:tcPr>
          <w:p w:rsidRPr="00533D5C" w:rsidR="00AD374F" w:rsidP="00533D5C" w:rsidRDefault="00AD374F">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52" w:type="pct"/>
            <w:tcBorders>
              <w:top w:val="single" w:color="000000" w:sz="8" w:space="0"/>
              <w:left w:val="nil"/>
              <w:bottom w:val="nil"/>
              <w:right w:val="nil"/>
            </w:tcBorders>
            <w:shd w:val="clear" w:color="auto" w:fill="auto"/>
            <w:hideMark/>
          </w:tcPr>
          <w:p w:rsidRPr="00533D5C" w:rsidR="00AD374F" w:rsidP="00533D5C" w:rsidRDefault="00AD374F">
            <w:pPr>
              <w:spacing w:line="240" w:lineRule="exact"/>
              <w:jc w:val="right"/>
              <w:rPr>
                <w:rFonts w:ascii="Verdana" w:hAnsi="Verdana"/>
                <w:color w:val="000000"/>
                <w:sz w:val="18"/>
                <w:szCs w:val="18"/>
              </w:rPr>
            </w:pPr>
            <w:r w:rsidRPr="00533D5C">
              <w:rPr>
                <w:rFonts w:ascii="Verdana" w:hAnsi="Verdana"/>
                <w:color w:val="000000"/>
                <w:sz w:val="18"/>
                <w:szCs w:val="18"/>
              </w:rPr>
              <w:t>5,2</w:t>
            </w:r>
          </w:p>
        </w:tc>
      </w:tr>
    </w:tbl>
    <w:p w:rsidRPr="00533D5C" w:rsidR="00AD374F" w:rsidP="00533D5C" w:rsidRDefault="00AD374F">
      <w:pPr>
        <w:spacing w:line="240" w:lineRule="exact"/>
        <w:rPr>
          <w:rFonts w:ascii="Verdana" w:hAnsi="Verdana" w:cs="Verdana"/>
          <w:b/>
          <w:bCs/>
          <w:sz w:val="18"/>
          <w:szCs w:val="18"/>
        </w:rPr>
      </w:pPr>
    </w:p>
    <w:p w:rsidRPr="00533D5C" w:rsidR="00EF63D2" w:rsidP="00533D5C" w:rsidRDefault="00EF63D2">
      <w:pPr>
        <w:spacing w:line="240" w:lineRule="exact"/>
        <w:rPr>
          <w:rFonts w:ascii="Verdana" w:hAnsi="Verdana"/>
          <w:i/>
          <w:sz w:val="18"/>
          <w:szCs w:val="18"/>
        </w:rPr>
      </w:pPr>
    </w:p>
    <w:p w:rsidRPr="00533D5C" w:rsidR="00546DEB" w:rsidP="00533D5C" w:rsidRDefault="00546DEB">
      <w:pPr>
        <w:spacing w:line="240" w:lineRule="exact"/>
        <w:rPr>
          <w:rFonts w:ascii="Verdana" w:hAnsi="Verdana"/>
          <w:i/>
          <w:sz w:val="18"/>
          <w:szCs w:val="18"/>
        </w:rPr>
      </w:pPr>
      <w:r w:rsidRPr="00533D5C">
        <w:rPr>
          <w:rFonts w:ascii="Verdana" w:hAnsi="Verdana"/>
          <w:i/>
          <w:sz w:val="18"/>
          <w:szCs w:val="18"/>
        </w:rPr>
        <w:t>Diversen – beleidsmatige mutaties</w:t>
      </w:r>
      <w:r w:rsidRPr="00533D5C" w:rsidR="007C3A4D">
        <w:rPr>
          <w:rFonts w:ascii="Verdana" w:hAnsi="Verdana"/>
          <w:i/>
          <w:sz w:val="18"/>
          <w:szCs w:val="18"/>
        </w:rPr>
        <w:t xml:space="preserve"> uitgaven</w:t>
      </w:r>
    </w:p>
    <w:p w:rsidRPr="00533D5C" w:rsidR="00546DEB" w:rsidP="00533D5C" w:rsidRDefault="00546DEB">
      <w:pPr>
        <w:spacing w:line="240" w:lineRule="exact"/>
        <w:rPr>
          <w:rFonts w:ascii="Verdana" w:hAnsi="Verdana" w:cs="Courier New"/>
          <w:sz w:val="18"/>
          <w:szCs w:val="18"/>
        </w:rPr>
      </w:pPr>
      <w:r w:rsidRPr="00533D5C">
        <w:rPr>
          <w:rFonts w:ascii="Verdana" w:hAnsi="Verdana" w:cs="Courier New"/>
          <w:sz w:val="18"/>
          <w:szCs w:val="18"/>
        </w:rPr>
        <w:t xml:space="preserve">Voor 2014 had de Tweede Kamer een aantal grote projecten voorzien, waaronder de aanleg van een 4G-netwerk, de aanpassing van de plenaire zaal en digitale agenda voorzitter. Door complexe besluitvorming hieromtrent en vertraging binnen de aanbestedingsprocedure komt een deel van de hiervoor geraamde middelen niet tot besteding in 2014. De genoemde projecten worden alsnog gerealiseerd in de jaren 2015 en 2016. </w:t>
      </w:r>
    </w:p>
    <w:p w:rsidRPr="00533D5C" w:rsidR="00283CE9" w:rsidP="00533D5C" w:rsidRDefault="00283CE9">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Overige Hoge Colleges van Staat</w:t>
      </w:r>
      <w:bookmarkStart w:name="OLE_LINK2" w:id="0"/>
      <w:r w:rsidRPr="00533D5C" w:rsidR="00512EDB">
        <w:rPr>
          <w:rFonts w:ascii="Verdana" w:hAnsi="Verdana" w:cs="Verdana"/>
          <w:b/>
          <w:bCs/>
          <w:sz w:val="18"/>
          <w:szCs w:val="18"/>
        </w:rPr>
        <w:t xml:space="preserve"> en Kabinetten</w:t>
      </w:r>
    </w:p>
    <w:p w:rsidRPr="00533D5C" w:rsidR="00E13BDE" w:rsidP="00533D5C" w:rsidRDefault="00E13BDE">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827"/>
        <w:gridCol w:w="1385"/>
      </w:tblGrid>
      <w:tr w:rsidRPr="00533D5C" w:rsidR="00E13BDE" w:rsidTr="00A36010">
        <w:trPr>
          <w:trHeight w:val="229"/>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IIB OVERIGE HOGE COLLEGES VAN STAAT EN KABINETTEN: UITGAVEN</w:t>
            </w: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120,2</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25"/>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-1,7</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-1,7</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25"/>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0,3</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0,3</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52" w:type="pct"/>
            <w:tcBorders>
              <w:top w:val="nil"/>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-1,4</w:t>
            </w:r>
          </w:p>
        </w:tc>
      </w:tr>
      <w:tr w:rsidRPr="00533D5C" w:rsidR="00E13BDE" w:rsidTr="00E13BDE">
        <w:trPr>
          <w:trHeight w:val="225"/>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118,8</w:t>
            </w:r>
          </w:p>
        </w:tc>
      </w:tr>
      <w:tr w:rsidRPr="00533D5C" w:rsidR="00E13BDE" w:rsidTr="00E13BDE">
        <w:trPr>
          <w:trHeight w:val="225"/>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52" w:type="pct"/>
            <w:tcBorders>
              <w:top w:val="single" w:color="000000" w:sz="8" w:space="0"/>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118,8</w:t>
            </w:r>
          </w:p>
        </w:tc>
      </w:tr>
      <w:tr w:rsidRPr="00533D5C" w:rsidR="00E13BDE" w:rsidTr="00E13BDE">
        <w:trPr>
          <w:trHeight w:val="210"/>
        </w:trPr>
        <w:tc>
          <w:tcPr>
            <w:tcW w:w="4248"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435"/>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IIB OVERIGE HOGE COLLEGES VAN STAAT EN KABINETTEN: NIET-BELASTINGONTVANGSTEN</w:t>
            </w: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5,9</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25"/>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0,5</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0,5</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25"/>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0,5</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0,5</w:t>
            </w: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52" w:type="pct"/>
            <w:tcBorders>
              <w:top w:val="nil"/>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1,0</w:t>
            </w:r>
          </w:p>
        </w:tc>
      </w:tr>
      <w:tr w:rsidRPr="00533D5C" w:rsidR="00E13BDE" w:rsidTr="00E13BDE">
        <w:trPr>
          <w:trHeight w:val="225"/>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E13BDE" w:rsidP="00533D5C" w:rsidRDefault="00E13BDE">
            <w:pPr>
              <w:spacing w:line="240" w:lineRule="exact"/>
              <w:rPr>
                <w:rFonts w:ascii="Verdana" w:hAnsi="Verdana"/>
                <w:color w:val="000000"/>
                <w:sz w:val="18"/>
                <w:szCs w:val="18"/>
              </w:rPr>
            </w:pP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6,9</w:t>
            </w:r>
          </w:p>
        </w:tc>
      </w:tr>
      <w:tr w:rsidRPr="00533D5C" w:rsidR="00E13BDE" w:rsidTr="00E13BDE">
        <w:trPr>
          <w:trHeight w:val="225"/>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p>
        </w:tc>
      </w:tr>
      <w:tr w:rsidRPr="00533D5C" w:rsidR="00E13BDE" w:rsidTr="00E13BDE">
        <w:trPr>
          <w:trHeight w:val="210"/>
        </w:trPr>
        <w:tc>
          <w:tcPr>
            <w:tcW w:w="4248" w:type="pct"/>
            <w:tcBorders>
              <w:top w:val="nil"/>
              <w:left w:val="nil"/>
              <w:bottom w:val="nil"/>
              <w:right w:val="nil"/>
            </w:tcBorders>
            <w:shd w:val="clear" w:color="auto" w:fill="auto"/>
            <w:hideMark/>
          </w:tcPr>
          <w:p w:rsidRPr="00533D5C" w:rsidR="00E13BDE" w:rsidP="00533D5C" w:rsidRDefault="00E13BDE">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52" w:type="pct"/>
            <w:tcBorders>
              <w:top w:val="single" w:color="000000" w:sz="8" w:space="0"/>
              <w:left w:val="nil"/>
              <w:bottom w:val="nil"/>
              <w:right w:val="nil"/>
            </w:tcBorders>
            <w:shd w:val="clear" w:color="auto" w:fill="auto"/>
            <w:hideMark/>
          </w:tcPr>
          <w:p w:rsidRPr="00533D5C" w:rsidR="00E13BDE" w:rsidP="00533D5C" w:rsidRDefault="00E13BDE">
            <w:pPr>
              <w:spacing w:line="240" w:lineRule="exact"/>
              <w:jc w:val="right"/>
              <w:rPr>
                <w:rFonts w:ascii="Verdana" w:hAnsi="Verdana"/>
                <w:color w:val="000000"/>
                <w:sz w:val="18"/>
                <w:szCs w:val="18"/>
              </w:rPr>
            </w:pPr>
            <w:r w:rsidRPr="00533D5C">
              <w:rPr>
                <w:rFonts w:ascii="Verdana" w:hAnsi="Verdana"/>
                <w:color w:val="000000"/>
                <w:sz w:val="18"/>
                <w:szCs w:val="18"/>
              </w:rPr>
              <w:t>6,9</w:t>
            </w:r>
          </w:p>
        </w:tc>
      </w:tr>
    </w:tbl>
    <w:p w:rsidRPr="00533D5C" w:rsidR="00512EDB" w:rsidP="00533D5C" w:rsidRDefault="00512EDB">
      <w:pPr>
        <w:spacing w:line="240" w:lineRule="exact"/>
        <w:rPr>
          <w:rFonts w:ascii="Verdana" w:hAnsi="Verdana" w:cs="Verdana"/>
          <w:b/>
          <w:bCs/>
          <w:sz w:val="18"/>
          <w:szCs w:val="18"/>
        </w:rPr>
      </w:pPr>
    </w:p>
    <w:p w:rsidRPr="00533D5C" w:rsidR="00EF63D2" w:rsidP="00533D5C" w:rsidRDefault="00EF63D2">
      <w:pPr>
        <w:spacing w:line="240" w:lineRule="exact"/>
        <w:rPr>
          <w:rFonts w:ascii="Verdana" w:hAnsi="Verdana"/>
          <w:i/>
          <w:sz w:val="18"/>
          <w:szCs w:val="18"/>
        </w:rPr>
      </w:pPr>
    </w:p>
    <w:p w:rsidRPr="00533D5C" w:rsidR="00000F84" w:rsidP="00533D5C" w:rsidRDefault="00000F84">
      <w:pPr>
        <w:spacing w:line="240" w:lineRule="exact"/>
        <w:rPr>
          <w:rFonts w:ascii="Verdana" w:hAnsi="Verdana"/>
          <w:i/>
          <w:sz w:val="18"/>
          <w:szCs w:val="18"/>
        </w:rPr>
      </w:pPr>
      <w:r w:rsidRPr="00533D5C">
        <w:rPr>
          <w:rFonts w:ascii="Verdana" w:hAnsi="Verdana"/>
          <w:i/>
          <w:sz w:val="18"/>
          <w:szCs w:val="18"/>
        </w:rPr>
        <w:t>Diversen – mee- en tegenvallers</w:t>
      </w:r>
      <w:r w:rsidRPr="00533D5C" w:rsidR="007C3A4D">
        <w:rPr>
          <w:rFonts w:ascii="Verdana" w:hAnsi="Verdana"/>
          <w:i/>
          <w:sz w:val="18"/>
          <w:szCs w:val="18"/>
        </w:rPr>
        <w:t xml:space="preserve"> uitgaven</w:t>
      </w:r>
    </w:p>
    <w:p w:rsidRPr="00533D5C" w:rsidR="00000F84" w:rsidP="00533D5C" w:rsidRDefault="002B65C5">
      <w:pPr>
        <w:spacing w:line="240" w:lineRule="exact"/>
        <w:rPr>
          <w:rFonts w:ascii="Verdana" w:hAnsi="Verdana" w:cs="Courier New"/>
          <w:sz w:val="18"/>
          <w:szCs w:val="18"/>
        </w:rPr>
      </w:pPr>
      <w:r w:rsidRPr="00533D5C">
        <w:rPr>
          <w:rFonts w:ascii="Verdana" w:hAnsi="Verdana" w:cs="Courier New"/>
          <w:sz w:val="18"/>
          <w:szCs w:val="18"/>
        </w:rPr>
        <w:t>Dit betreft een verzamelpost. De meevaller wordt met name veroorzaakt doordat d</w:t>
      </w:r>
      <w:r w:rsidRPr="00533D5C" w:rsidR="00000F84">
        <w:rPr>
          <w:rFonts w:ascii="Verdana" w:hAnsi="Verdana" w:cs="Courier New"/>
          <w:sz w:val="18"/>
          <w:szCs w:val="18"/>
        </w:rPr>
        <w:t>e Vreemdelinge</w:t>
      </w:r>
      <w:r w:rsidRPr="00533D5C">
        <w:rPr>
          <w:rFonts w:ascii="Verdana" w:hAnsi="Verdana" w:cs="Courier New"/>
          <w:sz w:val="18"/>
          <w:szCs w:val="18"/>
        </w:rPr>
        <w:t xml:space="preserve">nkamer van de Raad van State </w:t>
      </w:r>
      <w:r w:rsidRPr="00533D5C" w:rsidR="00000F84">
        <w:rPr>
          <w:rFonts w:ascii="Verdana" w:hAnsi="Verdana" w:cs="Courier New"/>
          <w:sz w:val="18"/>
          <w:szCs w:val="18"/>
        </w:rPr>
        <w:t>in 2014 naar verwachting minder hoger beroepszaken af</w:t>
      </w:r>
      <w:r w:rsidRPr="00533D5C">
        <w:rPr>
          <w:rFonts w:ascii="Verdana" w:hAnsi="Verdana" w:cs="Courier New"/>
          <w:sz w:val="18"/>
          <w:szCs w:val="18"/>
        </w:rPr>
        <w:t>doet</w:t>
      </w:r>
      <w:r w:rsidRPr="00533D5C" w:rsidR="00000F84">
        <w:rPr>
          <w:rFonts w:ascii="Verdana" w:hAnsi="Verdana" w:cs="Courier New"/>
          <w:sz w:val="18"/>
          <w:szCs w:val="18"/>
        </w:rPr>
        <w:t xml:space="preserve"> dan in het voorjaar voorzien.</w:t>
      </w:r>
    </w:p>
    <w:p w:rsidRPr="00533D5C" w:rsidR="00E13BDE" w:rsidP="00533D5C" w:rsidRDefault="00E13BDE">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Algemene Zaken</w:t>
      </w:r>
      <w:bookmarkEnd w:id="0"/>
      <w:r w:rsidRPr="00533D5C" w:rsidR="00C811E5">
        <w:rPr>
          <w:rFonts w:ascii="Verdana" w:hAnsi="Verdana" w:cs="Verdana"/>
          <w:b/>
          <w:bCs/>
          <w:sz w:val="18"/>
          <w:szCs w:val="18"/>
        </w:rPr>
        <w:t xml:space="preserve"> </w:t>
      </w:r>
    </w:p>
    <w:p w:rsidRPr="00533D5C" w:rsidR="004E19A5" w:rsidP="00533D5C" w:rsidRDefault="004E19A5">
      <w:pPr>
        <w:spacing w:line="240" w:lineRule="exact"/>
        <w:rPr>
          <w:rFonts w:ascii="Verdana" w:hAnsi="Verdana" w:cs="Verdana"/>
          <w:b/>
          <w:bCs/>
          <w:sz w:val="18"/>
          <w:szCs w:val="18"/>
        </w:rPr>
      </w:pPr>
    </w:p>
    <w:tbl>
      <w:tblPr>
        <w:tblW w:w="9231" w:type="dxa"/>
        <w:tblInd w:w="53" w:type="dxa"/>
        <w:tblCellMar>
          <w:left w:w="70" w:type="dxa"/>
          <w:right w:w="70" w:type="dxa"/>
        </w:tblCellMar>
        <w:tblLook w:val="04A0"/>
      </w:tblPr>
      <w:tblGrid>
        <w:gridCol w:w="7814"/>
        <w:gridCol w:w="1417"/>
      </w:tblGrid>
      <w:tr w:rsidRPr="00533D5C" w:rsidR="004E19A5" w:rsidTr="00490E87">
        <w:trPr>
          <w:trHeight w:val="240"/>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III ALGEMENE ZAKEN: UITGAVEN</w:t>
            </w:r>
          </w:p>
        </w:tc>
        <w:tc>
          <w:tcPr>
            <w:tcW w:w="1417"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240"/>
        </w:trPr>
        <w:tc>
          <w:tcPr>
            <w:tcW w:w="7814" w:type="dxa"/>
            <w:tcBorders>
              <w:top w:val="single" w:color="000000" w:sz="8" w:space="0"/>
              <w:left w:val="nil"/>
              <w:bottom w:val="single" w:color="000000" w:sz="8" w:space="0"/>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1417" w:type="dxa"/>
            <w:tcBorders>
              <w:top w:val="single" w:color="000000" w:sz="8" w:space="0"/>
              <w:left w:val="nil"/>
              <w:bottom w:val="single" w:color="000000" w:sz="8" w:space="0"/>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1417" w:type="dxa"/>
            <w:tcBorders>
              <w:top w:val="nil"/>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61,1</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1417"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1417"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240"/>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417" w:type="dxa"/>
            <w:tcBorders>
              <w:top w:val="nil"/>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0,2</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p>
        </w:tc>
        <w:tc>
          <w:tcPr>
            <w:tcW w:w="1417" w:type="dxa"/>
            <w:tcBorders>
              <w:top w:val="single" w:color="000000" w:sz="8" w:space="0"/>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0,2</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1417"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1417"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240"/>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417" w:type="dxa"/>
            <w:tcBorders>
              <w:top w:val="nil"/>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p>
        </w:tc>
        <w:tc>
          <w:tcPr>
            <w:tcW w:w="1417" w:type="dxa"/>
            <w:tcBorders>
              <w:top w:val="single" w:color="000000" w:sz="8" w:space="0"/>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1417" w:type="dxa"/>
            <w:tcBorders>
              <w:top w:val="nil"/>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0,2</w:t>
            </w:r>
          </w:p>
        </w:tc>
      </w:tr>
      <w:tr w:rsidRPr="00533D5C" w:rsidR="004E19A5" w:rsidTr="00490E87">
        <w:trPr>
          <w:trHeight w:val="240"/>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p>
        </w:tc>
        <w:tc>
          <w:tcPr>
            <w:tcW w:w="1417"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1417" w:type="dxa"/>
            <w:tcBorders>
              <w:top w:val="single" w:color="000000" w:sz="8" w:space="0"/>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61,3</w:t>
            </w:r>
          </w:p>
        </w:tc>
      </w:tr>
      <w:tr w:rsidRPr="00533D5C" w:rsidR="004E19A5" w:rsidTr="00490E87">
        <w:trPr>
          <w:trHeight w:val="240"/>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1417" w:type="dxa"/>
            <w:tcBorders>
              <w:top w:val="nil"/>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1417" w:type="dxa"/>
            <w:tcBorders>
              <w:top w:val="single" w:color="000000" w:sz="8" w:space="0"/>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61,3</w:t>
            </w:r>
          </w:p>
        </w:tc>
      </w:tr>
      <w:tr w:rsidRPr="00533D5C" w:rsidR="004E19A5" w:rsidTr="00490E87">
        <w:trPr>
          <w:trHeight w:val="225"/>
        </w:trPr>
        <w:tc>
          <w:tcPr>
            <w:tcW w:w="7814"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c>
          <w:tcPr>
            <w:tcW w:w="1417"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p>
        </w:tc>
        <w:tc>
          <w:tcPr>
            <w:tcW w:w="1417"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46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III ALGEMENE ZAKEN: NIET-BELASTINGONTVANGSTEN</w:t>
            </w:r>
          </w:p>
        </w:tc>
        <w:tc>
          <w:tcPr>
            <w:tcW w:w="1417"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240"/>
        </w:trPr>
        <w:tc>
          <w:tcPr>
            <w:tcW w:w="7814" w:type="dxa"/>
            <w:tcBorders>
              <w:top w:val="single" w:color="000000" w:sz="8" w:space="0"/>
              <w:left w:val="nil"/>
              <w:bottom w:val="single" w:color="000000" w:sz="8" w:space="0"/>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1417" w:type="dxa"/>
            <w:tcBorders>
              <w:top w:val="single" w:color="000000" w:sz="8" w:space="0"/>
              <w:left w:val="nil"/>
              <w:bottom w:val="single" w:color="000000" w:sz="8" w:space="0"/>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1417" w:type="dxa"/>
            <w:tcBorders>
              <w:top w:val="nil"/>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6,7</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1417"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1417"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240"/>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417" w:type="dxa"/>
            <w:tcBorders>
              <w:top w:val="nil"/>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p>
        </w:tc>
        <w:tc>
          <w:tcPr>
            <w:tcW w:w="1417" w:type="dxa"/>
            <w:tcBorders>
              <w:top w:val="single" w:color="000000" w:sz="8" w:space="0"/>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1417" w:type="dxa"/>
            <w:tcBorders>
              <w:top w:val="nil"/>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4E19A5" w:rsidTr="00490E87">
        <w:trPr>
          <w:trHeight w:val="240"/>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p>
        </w:tc>
        <w:tc>
          <w:tcPr>
            <w:tcW w:w="1417" w:type="dxa"/>
            <w:tcBorders>
              <w:top w:val="nil"/>
              <w:left w:val="nil"/>
              <w:bottom w:val="nil"/>
              <w:right w:val="nil"/>
            </w:tcBorders>
            <w:shd w:val="clear" w:color="auto" w:fill="auto"/>
            <w:noWrap/>
            <w:vAlign w:val="bottom"/>
            <w:hideMark/>
          </w:tcPr>
          <w:p w:rsidRPr="00533D5C" w:rsidR="004E19A5" w:rsidP="00533D5C" w:rsidRDefault="004E19A5">
            <w:pPr>
              <w:spacing w:line="240" w:lineRule="exact"/>
              <w:rPr>
                <w:rFonts w:ascii="Verdana" w:hAnsi="Verdana"/>
                <w:color w:val="000000"/>
                <w:sz w:val="18"/>
                <w:szCs w:val="18"/>
              </w:rPr>
            </w:pP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1417" w:type="dxa"/>
            <w:tcBorders>
              <w:top w:val="single" w:color="000000" w:sz="8" w:space="0"/>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6,7</w:t>
            </w:r>
          </w:p>
        </w:tc>
      </w:tr>
      <w:tr w:rsidRPr="00533D5C" w:rsidR="004E19A5" w:rsidTr="00490E87">
        <w:trPr>
          <w:trHeight w:val="240"/>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1417" w:type="dxa"/>
            <w:tcBorders>
              <w:top w:val="nil"/>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4E19A5" w:rsidTr="00490E87">
        <w:trPr>
          <w:trHeight w:val="225"/>
        </w:trPr>
        <w:tc>
          <w:tcPr>
            <w:tcW w:w="7814" w:type="dxa"/>
            <w:tcBorders>
              <w:top w:val="nil"/>
              <w:left w:val="nil"/>
              <w:bottom w:val="nil"/>
              <w:right w:val="nil"/>
            </w:tcBorders>
            <w:shd w:val="clear" w:color="auto" w:fill="auto"/>
            <w:hideMark/>
          </w:tcPr>
          <w:p w:rsidRPr="00533D5C" w:rsidR="004E19A5" w:rsidP="00533D5C" w:rsidRDefault="004E19A5">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1417" w:type="dxa"/>
            <w:tcBorders>
              <w:top w:val="single" w:color="000000" w:sz="8" w:space="0"/>
              <w:left w:val="nil"/>
              <w:bottom w:val="nil"/>
              <w:right w:val="nil"/>
            </w:tcBorders>
            <w:shd w:val="clear" w:color="auto" w:fill="auto"/>
            <w:hideMark/>
          </w:tcPr>
          <w:p w:rsidRPr="00533D5C" w:rsidR="004E19A5" w:rsidP="00533D5C" w:rsidRDefault="004E19A5">
            <w:pPr>
              <w:spacing w:line="240" w:lineRule="exact"/>
              <w:jc w:val="right"/>
              <w:rPr>
                <w:rFonts w:ascii="Verdana" w:hAnsi="Verdana"/>
                <w:color w:val="000000"/>
                <w:sz w:val="18"/>
                <w:szCs w:val="18"/>
              </w:rPr>
            </w:pPr>
            <w:r w:rsidRPr="00533D5C">
              <w:rPr>
                <w:rFonts w:ascii="Verdana" w:hAnsi="Verdana"/>
                <w:color w:val="000000"/>
                <w:sz w:val="18"/>
                <w:szCs w:val="18"/>
              </w:rPr>
              <w:t>6,7</w:t>
            </w:r>
          </w:p>
        </w:tc>
      </w:tr>
    </w:tbl>
    <w:p w:rsidRPr="00533D5C" w:rsidR="004E19A5" w:rsidP="00533D5C" w:rsidRDefault="004E19A5">
      <w:pPr>
        <w:spacing w:line="240" w:lineRule="exact"/>
        <w:rPr>
          <w:rFonts w:ascii="Verdana" w:hAnsi="Verdana" w:cs="Verdana"/>
          <w:b/>
          <w:bCs/>
          <w:sz w:val="18"/>
          <w:szCs w:val="18"/>
        </w:rPr>
      </w:pPr>
    </w:p>
    <w:p w:rsidRPr="00533D5C" w:rsidR="00160BA6" w:rsidP="00533D5C" w:rsidRDefault="00150F96">
      <w:pPr>
        <w:spacing w:line="240" w:lineRule="exact"/>
        <w:rPr>
          <w:rFonts w:ascii="Verdana" w:hAnsi="Verdana" w:cs="Verdana"/>
          <w:bCs/>
          <w:sz w:val="18"/>
          <w:szCs w:val="18"/>
        </w:rPr>
      </w:pPr>
      <w:r w:rsidRPr="00533D5C">
        <w:rPr>
          <w:rFonts w:ascii="Verdana" w:hAnsi="Verdana" w:cs="Verdana"/>
          <w:bCs/>
          <w:i/>
          <w:sz w:val="18"/>
          <w:szCs w:val="18"/>
        </w:rPr>
        <w:t>Diversen – beleidsmatige mutaties</w:t>
      </w:r>
    </w:p>
    <w:p w:rsidRPr="00533D5C" w:rsidR="00150F96" w:rsidP="00533D5C" w:rsidRDefault="00490E87">
      <w:pPr>
        <w:spacing w:line="240" w:lineRule="exact"/>
        <w:rPr>
          <w:rFonts w:ascii="Verdana" w:hAnsi="Verdana" w:cs="Verdana"/>
          <w:bCs/>
          <w:sz w:val="18"/>
          <w:szCs w:val="18"/>
        </w:rPr>
      </w:pPr>
      <w:r w:rsidRPr="00533D5C">
        <w:rPr>
          <w:rFonts w:ascii="Verdana" w:hAnsi="Verdana"/>
          <w:sz w:val="18"/>
          <w:szCs w:val="18"/>
        </w:rPr>
        <w:t xml:space="preserve">AZ heeft 0,2 mln. uitgegeven voor een advertentie in alle landelijke </w:t>
      </w:r>
      <w:r w:rsidRPr="00533D5C" w:rsidR="00420326">
        <w:rPr>
          <w:rFonts w:ascii="Verdana" w:hAnsi="Verdana"/>
          <w:sz w:val="18"/>
          <w:szCs w:val="18"/>
        </w:rPr>
        <w:t xml:space="preserve">en regionale </w:t>
      </w:r>
      <w:r w:rsidRPr="00533D5C">
        <w:rPr>
          <w:rFonts w:ascii="Verdana" w:hAnsi="Verdana"/>
          <w:sz w:val="18"/>
          <w:szCs w:val="18"/>
        </w:rPr>
        <w:t>dagbladen met betrekking tot de ramp met de MH-17.</w:t>
      </w:r>
    </w:p>
    <w:p w:rsidRPr="00533D5C" w:rsidR="00000F84" w:rsidP="00533D5C" w:rsidRDefault="00000F84">
      <w:pPr>
        <w:spacing w:line="240" w:lineRule="exact"/>
        <w:rPr>
          <w:rFonts w:ascii="Verdana" w:hAnsi="Verdana" w:cs="Verdana"/>
          <w:bCs/>
          <w:i/>
          <w:sz w:val="18"/>
          <w:szCs w:val="18"/>
        </w:rPr>
      </w:pPr>
      <w:r w:rsidRPr="00533D5C">
        <w:rPr>
          <w:rFonts w:ascii="Verdana" w:hAnsi="Verdana" w:cs="Verdana"/>
          <w:bCs/>
          <w:i/>
          <w:sz w:val="18"/>
          <w:szCs w:val="18"/>
        </w:rPr>
        <w:br w:type="page"/>
      </w:r>
    </w:p>
    <w:p w:rsidRPr="00533D5C" w:rsidR="009726DB" w:rsidP="00533D5C" w:rsidRDefault="0043332A">
      <w:pPr>
        <w:spacing w:line="240" w:lineRule="exact"/>
        <w:rPr>
          <w:rFonts w:ascii="Verdana" w:hAnsi="Verdana" w:cs="Verdana"/>
          <w:b/>
          <w:bCs/>
          <w:sz w:val="18"/>
          <w:szCs w:val="18"/>
        </w:rPr>
      </w:pPr>
      <w:r w:rsidRPr="00533D5C">
        <w:rPr>
          <w:rFonts w:ascii="Verdana" w:hAnsi="Verdana" w:cs="Verdana"/>
          <w:b/>
          <w:bCs/>
          <w:sz w:val="18"/>
          <w:szCs w:val="18"/>
        </w:rPr>
        <w:lastRenderedPageBreak/>
        <w:t>Koninkrijksrelaties</w:t>
      </w:r>
    </w:p>
    <w:p w:rsidRPr="00533D5C" w:rsidR="009726DB" w:rsidP="00533D5C" w:rsidRDefault="009726DB">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827"/>
        <w:gridCol w:w="1385"/>
      </w:tblGrid>
      <w:tr w:rsidRPr="00533D5C" w:rsidR="009726DB" w:rsidTr="009726DB">
        <w:trPr>
          <w:trHeight w:val="225"/>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IV KONINKRIJKSRELATIES: UITGAVEN</w:t>
            </w:r>
          </w:p>
        </w:tc>
        <w:tc>
          <w:tcPr>
            <w:tcW w:w="752" w:type="pct"/>
            <w:tcBorders>
              <w:top w:val="nil"/>
              <w:left w:val="nil"/>
              <w:bottom w:val="nil"/>
              <w:right w:val="nil"/>
            </w:tcBorders>
            <w:shd w:val="clear" w:color="auto" w:fill="auto"/>
            <w:noWrap/>
            <w:vAlign w:val="bottom"/>
            <w:hideMark/>
          </w:tcPr>
          <w:p w:rsidRPr="00533D5C" w:rsidR="009726DB" w:rsidP="00533D5C" w:rsidRDefault="009726DB">
            <w:pPr>
              <w:spacing w:line="240" w:lineRule="exact"/>
              <w:rPr>
                <w:rFonts w:ascii="Verdana" w:hAnsi="Verdana"/>
                <w:color w:val="000000"/>
                <w:sz w:val="18"/>
                <w:szCs w:val="18"/>
              </w:rPr>
            </w:pPr>
          </w:p>
        </w:tc>
      </w:tr>
      <w:tr w:rsidRPr="00533D5C" w:rsidR="009726DB" w:rsidTr="009726DB">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426,3</w:t>
            </w: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52" w:type="pct"/>
            <w:tcBorders>
              <w:top w:val="nil"/>
              <w:left w:val="nil"/>
              <w:bottom w:val="nil"/>
              <w:right w:val="nil"/>
            </w:tcBorders>
            <w:shd w:val="clear" w:color="auto" w:fill="auto"/>
            <w:noWrap/>
            <w:vAlign w:val="bottom"/>
            <w:hideMark/>
          </w:tcPr>
          <w:p w:rsidRPr="00533D5C" w:rsidR="009726DB" w:rsidP="00533D5C" w:rsidRDefault="009726DB">
            <w:pPr>
              <w:spacing w:line="240" w:lineRule="exact"/>
              <w:rPr>
                <w:rFonts w:ascii="Verdana" w:hAnsi="Verdana"/>
                <w:color w:val="000000"/>
                <w:sz w:val="18"/>
                <w:szCs w:val="18"/>
              </w:rPr>
            </w:pP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52" w:type="pct"/>
            <w:tcBorders>
              <w:top w:val="nil"/>
              <w:left w:val="nil"/>
              <w:bottom w:val="nil"/>
              <w:right w:val="nil"/>
            </w:tcBorders>
            <w:shd w:val="clear" w:color="auto" w:fill="auto"/>
            <w:noWrap/>
            <w:vAlign w:val="bottom"/>
            <w:hideMark/>
          </w:tcPr>
          <w:p w:rsidRPr="00533D5C" w:rsidR="009726DB" w:rsidP="00533D5C" w:rsidRDefault="009726DB">
            <w:pPr>
              <w:spacing w:line="240" w:lineRule="exact"/>
              <w:rPr>
                <w:rFonts w:ascii="Verdana" w:hAnsi="Verdana"/>
                <w:color w:val="000000"/>
                <w:sz w:val="18"/>
                <w:szCs w:val="18"/>
              </w:rPr>
            </w:pPr>
          </w:p>
        </w:tc>
      </w:tr>
      <w:tr w:rsidRPr="00533D5C" w:rsidR="009726DB" w:rsidTr="009726DB">
        <w:trPr>
          <w:trHeight w:val="225"/>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0,6</w:t>
            </w: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0,6</w:t>
            </w: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52" w:type="pct"/>
            <w:tcBorders>
              <w:top w:val="nil"/>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0,6</w:t>
            </w:r>
          </w:p>
        </w:tc>
      </w:tr>
      <w:tr w:rsidRPr="00533D5C" w:rsidR="009726DB" w:rsidTr="009726DB">
        <w:trPr>
          <w:trHeight w:val="225"/>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9726DB" w:rsidP="00533D5C" w:rsidRDefault="009726DB">
            <w:pPr>
              <w:spacing w:line="240" w:lineRule="exact"/>
              <w:rPr>
                <w:rFonts w:ascii="Verdana" w:hAnsi="Verdana"/>
                <w:color w:val="000000"/>
                <w:sz w:val="18"/>
                <w:szCs w:val="18"/>
              </w:rPr>
            </w:pP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426,9</w:t>
            </w:r>
          </w:p>
        </w:tc>
      </w:tr>
      <w:tr w:rsidRPr="00533D5C" w:rsidR="009726DB" w:rsidTr="009726DB">
        <w:trPr>
          <w:trHeight w:val="225"/>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52" w:type="pct"/>
            <w:tcBorders>
              <w:top w:val="single" w:color="000000" w:sz="8" w:space="0"/>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426,9</w:t>
            </w: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9726DB" w:rsidP="00533D5C" w:rsidRDefault="009726DB">
            <w:pPr>
              <w:spacing w:line="240" w:lineRule="exact"/>
              <w:rPr>
                <w:rFonts w:ascii="Verdana" w:hAnsi="Verdana"/>
                <w:color w:val="000000"/>
                <w:sz w:val="18"/>
                <w:szCs w:val="18"/>
              </w:rPr>
            </w:pP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p>
        </w:tc>
      </w:tr>
      <w:tr w:rsidRPr="00533D5C" w:rsidR="009726DB" w:rsidTr="00C811E5">
        <w:trPr>
          <w:trHeight w:val="248"/>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IV KONINKRIJKSRELATIES: NIET-BELASTINGONTVANGSTEN</w:t>
            </w:r>
          </w:p>
        </w:tc>
        <w:tc>
          <w:tcPr>
            <w:tcW w:w="752" w:type="pct"/>
            <w:tcBorders>
              <w:top w:val="nil"/>
              <w:left w:val="nil"/>
              <w:bottom w:val="nil"/>
              <w:right w:val="nil"/>
            </w:tcBorders>
            <w:shd w:val="clear" w:color="auto" w:fill="auto"/>
            <w:noWrap/>
            <w:vAlign w:val="bottom"/>
            <w:hideMark/>
          </w:tcPr>
          <w:p w:rsidRPr="00533D5C" w:rsidR="009726DB" w:rsidP="00533D5C" w:rsidRDefault="009726DB">
            <w:pPr>
              <w:spacing w:line="240" w:lineRule="exact"/>
              <w:rPr>
                <w:rFonts w:ascii="Verdana" w:hAnsi="Verdana"/>
                <w:color w:val="000000"/>
                <w:sz w:val="18"/>
                <w:szCs w:val="18"/>
              </w:rPr>
            </w:pPr>
          </w:p>
        </w:tc>
      </w:tr>
      <w:tr w:rsidRPr="00533D5C" w:rsidR="009726DB" w:rsidTr="009726DB">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2014,0</w:t>
            </w: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39,3</w:t>
            </w: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52" w:type="pct"/>
            <w:tcBorders>
              <w:top w:val="nil"/>
              <w:left w:val="nil"/>
              <w:bottom w:val="nil"/>
              <w:right w:val="nil"/>
            </w:tcBorders>
            <w:shd w:val="clear" w:color="auto" w:fill="auto"/>
            <w:noWrap/>
            <w:vAlign w:val="bottom"/>
            <w:hideMark/>
          </w:tcPr>
          <w:p w:rsidRPr="00533D5C" w:rsidR="009726DB" w:rsidP="00533D5C" w:rsidRDefault="009726DB">
            <w:pPr>
              <w:spacing w:line="240" w:lineRule="exact"/>
              <w:rPr>
                <w:rFonts w:ascii="Verdana" w:hAnsi="Verdana"/>
                <w:color w:val="000000"/>
                <w:sz w:val="18"/>
                <w:szCs w:val="18"/>
              </w:rPr>
            </w:pP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52" w:type="pct"/>
            <w:tcBorders>
              <w:top w:val="nil"/>
              <w:left w:val="nil"/>
              <w:bottom w:val="nil"/>
              <w:right w:val="nil"/>
            </w:tcBorders>
            <w:shd w:val="clear" w:color="auto" w:fill="auto"/>
            <w:noWrap/>
            <w:vAlign w:val="bottom"/>
            <w:hideMark/>
          </w:tcPr>
          <w:p w:rsidRPr="00533D5C" w:rsidR="009726DB" w:rsidP="00533D5C" w:rsidRDefault="009726DB">
            <w:pPr>
              <w:spacing w:line="240" w:lineRule="exact"/>
              <w:rPr>
                <w:rFonts w:ascii="Verdana" w:hAnsi="Verdana"/>
                <w:color w:val="000000"/>
                <w:sz w:val="18"/>
                <w:szCs w:val="18"/>
              </w:rPr>
            </w:pPr>
          </w:p>
        </w:tc>
      </w:tr>
      <w:tr w:rsidRPr="00533D5C" w:rsidR="009726DB" w:rsidTr="009726DB">
        <w:trPr>
          <w:trHeight w:val="225"/>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1,6</w:t>
            </w: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1,6</w:t>
            </w: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52" w:type="pct"/>
            <w:tcBorders>
              <w:top w:val="nil"/>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1,6</w:t>
            </w:r>
          </w:p>
        </w:tc>
      </w:tr>
      <w:tr w:rsidRPr="00533D5C" w:rsidR="009726DB" w:rsidTr="009726DB">
        <w:trPr>
          <w:trHeight w:val="225"/>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9726DB" w:rsidP="00533D5C" w:rsidRDefault="009726DB">
            <w:pPr>
              <w:spacing w:line="240" w:lineRule="exact"/>
              <w:rPr>
                <w:rFonts w:ascii="Verdana" w:hAnsi="Verdana"/>
                <w:color w:val="000000"/>
                <w:sz w:val="18"/>
                <w:szCs w:val="18"/>
              </w:rPr>
            </w:pP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40,9</w:t>
            </w:r>
          </w:p>
        </w:tc>
      </w:tr>
      <w:tr w:rsidRPr="00533D5C" w:rsidR="009726DB" w:rsidTr="009726DB">
        <w:trPr>
          <w:trHeight w:val="225"/>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p>
        </w:tc>
      </w:tr>
      <w:tr w:rsidRPr="00533D5C" w:rsidR="009726DB" w:rsidTr="009726DB">
        <w:trPr>
          <w:trHeight w:val="210"/>
        </w:trPr>
        <w:tc>
          <w:tcPr>
            <w:tcW w:w="4248" w:type="pct"/>
            <w:tcBorders>
              <w:top w:val="nil"/>
              <w:left w:val="nil"/>
              <w:bottom w:val="nil"/>
              <w:right w:val="nil"/>
            </w:tcBorders>
            <w:shd w:val="clear" w:color="auto" w:fill="auto"/>
            <w:hideMark/>
          </w:tcPr>
          <w:p w:rsidRPr="00533D5C" w:rsidR="009726DB" w:rsidP="00533D5C" w:rsidRDefault="009726DB">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52" w:type="pct"/>
            <w:tcBorders>
              <w:top w:val="single" w:color="000000" w:sz="8" w:space="0"/>
              <w:left w:val="nil"/>
              <w:bottom w:val="nil"/>
              <w:right w:val="nil"/>
            </w:tcBorders>
            <w:shd w:val="clear" w:color="auto" w:fill="auto"/>
            <w:hideMark/>
          </w:tcPr>
          <w:p w:rsidRPr="00533D5C" w:rsidR="009726DB" w:rsidP="00533D5C" w:rsidRDefault="009726DB">
            <w:pPr>
              <w:spacing w:line="240" w:lineRule="exact"/>
              <w:jc w:val="right"/>
              <w:rPr>
                <w:rFonts w:ascii="Verdana" w:hAnsi="Verdana"/>
                <w:color w:val="000000"/>
                <w:sz w:val="18"/>
                <w:szCs w:val="18"/>
              </w:rPr>
            </w:pPr>
            <w:r w:rsidRPr="00533D5C">
              <w:rPr>
                <w:rFonts w:ascii="Verdana" w:hAnsi="Verdana"/>
                <w:color w:val="000000"/>
                <w:sz w:val="18"/>
                <w:szCs w:val="18"/>
              </w:rPr>
              <w:t>40,9</w:t>
            </w:r>
          </w:p>
        </w:tc>
      </w:tr>
    </w:tbl>
    <w:p w:rsidRPr="00533D5C" w:rsidR="009726DB" w:rsidP="00533D5C" w:rsidRDefault="009726DB">
      <w:pPr>
        <w:spacing w:line="240" w:lineRule="exact"/>
        <w:rPr>
          <w:rFonts w:ascii="Verdana" w:hAnsi="Verdana" w:cs="Verdana"/>
          <w:b/>
          <w:bCs/>
          <w:sz w:val="18"/>
          <w:szCs w:val="18"/>
        </w:rPr>
      </w:pPr>
      <w:r w:rsidRPr="00533D5C">
        <w:rPr>
          <w:rFonts w:ascii="Verdana" w:hAnsi="Verdana" w:cs="Verdana"/>
          <w:b/>
          <w:bCs/>
          <w:sz w:val="18"/>
          <w:szCs w:val="18"/>
        </w:rPr>
        <w:br w:type="page"/>
      </w:r>
    </w:p>
    <w:p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Buitenlandse Zaken</w:t>
      </w:r>
    </w:p>
    <w:p w:rsidR="00E35A55" w:rsidP="00533D5C" w:rsidRDefault="00E35A55">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8003"/>
        <w:gridCol w:w="1209"/>
      </w:tblGrid>
      <w:tr w:rsidRPr="00E35A55" w:rsidR="00E35A55" w:rsidTr="00E35A55">
        <w:trPr>
          <w:trHeight w:val="240"/>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V BUITENLANDSE ZAKEN: UITGAVEN</w:t>
            </w:r>
          </w:p>
        </w:tc>
        <w:tc>
          <w:tcPr>
            <w:tcW w:w="656" w:type="pct"/>
            <w:tcBorders>
              <w:top w:val="nil"/>
              <w:left w:val="nil"/>
              <w:bottom w:val="nil"/>
              <w:right w:val="nil"/>
            </w:tcBorders>
            <w:shd w:val="clear" w:color="auto" w:fill="auto"/>
            <w:noWrap/>
            <w:vAlign w:val="bottom"/>
            <w:hideMark/>
          </w:tcPr>
          <w:p w:rsidRPr="00E35A55" w:rsidR="00E35A55" w:rsidP="00E35A55" w:rsidRDefault="00E35A55">
            <w:pPr>
              <w:rPr>
                <w:rFonts w:ascii="Verdana" w:hAnsi="Verdana"/>
                <w:color w:val="000000"/>
                <w:sz w:val="18"/>
                <w:szCs w:val="18"/>
              </w:rPr>
            </w:pPr>
          </w:p>
        </w:tc>
      </w:tr>
      <w:tr w:rsidRPr="00E35A55" w:rsidR="00E35A55" w:rsidTr="00E35A55">
        <w:trPr>
          <w:trHeight w:val="240"/>
        </w:trPr>
        <w:tc>
          <w:tcPr>
            <w:tcW w:w="4344" w:type="pct"/>
            <w:tcBorders>
              <w:top w:val="single" w:color="000000" w:sz="8" w:space="0"/>
              <w:left w:val="nil"/>
              <w:bottom w:val="single" w:color="000000" w:sz="8" w:space="0"/>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 </w:t>
            </w:r>
          </w:p>
        </w:tc>
        <w:tc>
          <w:tcPr>
            <w:tcW w:w="656" w:type="pct"/>
            <w:tcBorders>
              <w:top w:val="single" w:color="000000" w:sz="8" w:space="0"/>
              <w:left w:val="nil"/>
              <w:bottom w:val="single" w:color="000000" w:sz="8" w:space="0"/>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2014</w:t>
            </w: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Stand Miljoenennota 2015 (excl. IS)</w:t>
            </w:r>
          </w:p>
        </w:tc>
        <w:tc>
          <w:tcPr>
            <w:tcW w:w="656" w:type="pct"/>
            <w:tcBorders>
              <w:top w:val="nil"/>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8.019,0</w:t>
            </w: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Beleidsmatige mutaties</w:t>
            </w:r>
          </w:p>
        </w:tc>
        <w:tc>
          <w:tcPr>
            <w:tcW w:w="656" w:type="pct"/>
            <w:tcBorders>
              <w:top w:val="nil"/>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ind w:firstLine="180" w:firstLineChars="100"/>
              <w:rPr>
                <w:rFonts w:ascii="Verdana" w:hAnsi="Verdana"/>
                <w:color w:val="000000"/>
                <w:sz w:val="18"/>
                <w:szCs w:val="18"/>
              </w:rPr>
            </w:pPr>
            <w:r w:rsidRPr="00E35A55">
              <w:rPr>
                <w:rFonts w:ascii="Verdana" w:hAnsi="Verdana"/>
                <w:color w:val="000000"/>
                <w:sz w:val="18"/>
                <w:szCs w:val="18"/>
              </w:rPr>
              <w:t>Rijksbegroting in enge zin</w:t>
            </w:r>
          </w:p>
        </w:tc>
        <w:tc>
          <w:tcPr>
            <w:tcW w:w="656" w:type="pct"/>
            <w:tcBorders>
              <w:top w:val="nil"/>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p>
        </w:tc>
      </w:tr>
      <w:tr w:rsidRPr="00E35A55" w:rsidR="00E35A55" w:rsidTr="00E35A55">
        <w:trPr>
          <w:trHeight w:val="240"/>
        </w:trPr>
        <w:tc>
          <w:tcPr>
            <w:tcW w:w="4344" w:type="pct"/>
            <w:tcBorders>
              <w:top w:val="nil"/>
              <w:left w:val="nil"/>
              <w:bottom w:val="nil"/>
              <w:right w:val="nil"/>
            </w:tcBorders>
            <w:shd w:val="clear" w:color="auto" w:fill="auto"/>
            <w:hideMark/>
          </w:tcPr>
          <w:p w:rsidRPr="00E35A55" w:rsidR="00E35A55" w:rsidP="00E35A55" w:rsidRDefault="00E35A55">
            <w:pPr>
              <w:ind w:firstLine="360" w:firstLineChars="200"/>
              <w:rPr>
                <w:rFonts w:ascii="Verdana" w:hAnsi="Verdana"/>
                <w:color w:val="000000"/>
                <w:sz w:val="18"/>
                <w:szCs w:val="18"/>
              </w:rPr>
            </w:pPr>
            <w:r w:rsidRPr="00E35A55">
              <w:rPr>
                <w:rFonts w:ascii="Verdana" w:hAnsi="Verdana"/>
                <w:color w:val="000000"/>
                <w:sz w:val="18"/>
                <w:szCs w:val="18"/>
              </w:rPr>
              <w:t>EU-afdrachten</w:t>
            </w:r>
          </w:p>
        </w:tc>
        <w:tc>
          <w:tcPr>
            <w:tcW w:w="656" w:type="pct"/>
            <w:tcBorders>
              <w:top w:val="nil"/>
              <w:left w:val="nil"/>
              <w:bottom w:val="single" w:color="auto" w:sz="8" w:space="0"/>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1.103,2</w:t>
            </w: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p>
        </w:tc>
        <w:tc>
          <w:tcPr>
            <w:tcW w:w="656" w:type="pct"/>
            <w:tcBorders>
              <w:top w:val="nil"/>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1.103,2</w:t>
            </w: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Totaal mutaties sinds Miljoenennota 2015</w:t>
            </w:r>
          </w:p>
        </w:tc>
        <w:tc>
          <w:tcPr>
            <w:tcW w:w="656" w:type="pct"/>
            <w:tcBorders>
              <w:top w:val="nil"/>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1.103,2</w:t>
            </w:r>
          </w:p>
        </w:tc>
      </w:tr>
      <w:tr w:rsidRPr="00E35A55" w:rsidR="00E35A55" w:rsidTr="00E35A55">
        <w:trPr>
          <w:trHeight w:val="240"/>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p>
        </w:tc>
        <w:tc>
          <w:tcPr>
            <w:tcW w:w="656" w:type="pct"/>
            <w:tcBorders>
              <w:top w:val="nil"/>
              <w:left w:val="nil"/>
              <w:bottom w:val="nil"/>
              <w:right w:val="nil"/>
            </w:tcBorders>
            <w:shd w:val="clear" w:color="auto" w:fill="auto"/>
            <w:noWrap/>
            <w:vAlign w:val="bottom"/>
            <w:hideMark/>
          </w:tcPr>
          <w:p w:rsidRPr="00E35A55" w:rsidR="00E35A55" w:rsidP="00E35A55" w:rsidRDefault="00E35A55">
            <w:pPr>
              <w:rPr>
                <w:rFonts w:ascii="Verdana" w:hAnsi="Verdana"/>
                <w:color w:val="000000"/>
                <w:sz w:val="18"/>
                <w:szCs w:val="18"/>
              </w:rPr>
            </w:pP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Stand Najaarsnota 2014 (subtotaal)</w:t>
            </w:r>
          </w:p>
        </w:tc>
        <w:tc>
          <w:tcPr>
            <w:tcW w:w="656" w:type="pct"/>
            <w:tcBorders>
              <w:top w:val="single" w:color="000000" w:sz="8" w:space="0"/>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9.122,2</w:t>
            </w:r>
          </w:p>
        </w:tc>
      </w:tr>
      <w:tr w:rsidRPr="00E35A55" w:rsidR="00E35A55" w:rsidTr="00E35A55">
        <w:trPr>
          <w:trHeight w:val="240"/>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Totaal Internationale samenwerking</w:t>
            </w:r>
          </w:p>
        </w:tc>
        <w:tc>
          <w:tcPr>
            <w:tcW w:w="656" w:type="pct"/>
            <w:tcBorders>
              <w:top w:val="nil"/>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1.339,9</w:t>
            </w: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Stand Najaarsnota 2014</w:t>
            </w:r>
          </w:p>
        </w:tc>
        <w:tc>
          <w:tcPr>
            <w:tcW w:w="656" w:type="pct"/>
            <w:tcBorders>
              <w:top w:val="single" w:color="000000" w:sz="8" w:space="0"/>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10.462,1</w:t>
            </w:r>
          </w:p>
        </w:tc>
      </w:tr>
      <w:tr w:rsidRPr="00E35A55" w:rsidR="00E35A55" w:rsidTr="00E35A55">
        <w:trPr>
          <w:trHeight w:val="225"/>
        </w:trPr>
        <w:tc>
          <w:tcPr>
            <w:tcW w:w="4344" w:type="pct"/>
            <w:tcBorders>
              <w:top w:val="nil"/>
              <w:left w:val="nil"/>
              <w:bottom w:val="nil"/>
              <w:right w:val="nil"/>
            </w:tcBorders>
            <w:shd w:val="clear" w:color="auto" w:fill="auto"/>
            <w:noWrap/>
            <w:vAlign w:val="bottom"/>
            <w:hideMark/>
          </w:tcPr>
          <w:p w:rsidRPr="00E35A55" w:rsidR="00E35A55" w:rsidP="00E35A55" w:rsidRDefault="00E35A55">
            <w:pPr>
              <w:rPr>
                <w:rFonts w:ascii="Verdana" w:hAnsi="Verdana"/>
                <w:color w:val="000000"/>
                <w:sz w:val="18"/>
                <w:szCs w:val="18"/>
              </w:rPr>
            </w:pPr>
          </w:p>
        </w:tc>
        <w:tc>
          <w:tcPr>
            <w:tcW w:w="656" w:type="pct"/>
            <w:tcBorders>
              <w:top w:val="nil"/>
              <w:left w:val="nil"/>
              <w:bottom w:val="nil"/>
              <w:right w:val="nil"/>
            </w:tcBorders>
            <w:shd w:val="clear" w:color="auto" w:fill="auto"/>
            <w:noWrap/>
            <w:vAlign w:val="bottom"/>
            <w:hideMark/>
          </w:tcPr>
          <w:p w:rsidRPr="00E35A55" w:rsidR="00E35A55" w:rsidP="00E35A55" w:rsidRDefault="00E35A55">
            <w:pPr>
              <w:rPr>
                <w:rFonts w:ascii="Verdana" w:hAnsi="Verdana"/>
                <w:color w:val="000000"/>
                <w:sz w:val="18"/>
                <w:szCs w:val="18"/>
              </w:rPr>
            </w:pP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p>
        </w:tc>
        <w:tc>
          <w:tcPr>
            <w:tcW w:w="656"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p>
        </w:tc>
      </w:tr>
      <w:tr w:rsidRPr="00E35A55" w:rsidR="00E35A55" w:rsidTr="00E35A55">
        <w:trPr>
          <w:trHeight w:val="240"/>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V BUITENLANDSE ZAKEN: NIET-BELASTINGONTVANGSTEN</w:t>
            </w:r>
          </w:p>
        </w:tc>
        <w:tc>
          <w:tcPr>
            <w:tcW w:w="656" w:type="pct"/>
            <w:tcBorders>
              <w:top w:val="nil"/>
              <w:left w:val="nil"/>
              <w:bottom w:val="nil"/>
              <w:right w:val="nil"/>
            </w:tcBorders>
            <w:shd w:val="clear" w:color="auto" w:fill="auto"/>
            <w:noWrap/>
            <w:vAlign w:val="bottom"/>
            <w:hideMark/>
          </w:tcPr>
          <w:p w:rsidRPr="00E35A55" w:rsidR="00E35A55" w:rsidP="00E35A55" w:rsidRDefault="00E35A55">
            <w:pPr>
              <w:rPr>
                <w:rFonts w:ascii="Verdana" w:hAnsi="Verdana"/>
                <w:color w:val="000000"/>
                <w:sz w:val="18"/>
                <w:szCs w:val="18"/>
              </w:rPr>
            </w:pPr>
          </w:p>
        </w:tc>
      </w:tr>
      <w:tr w:rsidRPr="00E35A55" w:rsidR="00E35A55" w:rsidTr="00E35A55">
        <w:trPr>
          <w:trHeight w:val="240"/>
        </w:trPr>
        <w:tc>
          <w:tcPr>
            <w:tcW w:w="4344" w:type="pct"/>
            <w:tcBorders>
              <w:top w:val="single" w:color="000000" w:sz="8" w:space="0"/>
              <w:left w:val="nil"/>
              <w:bottom w:val="single" w:color="000000" w:sz="8" w:space="0"/>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 </w:t>
            </w:r>
          </w:p>
        </w:tc>
        <w:tc>
          <w:tcPr>
            <w:tcW w:w="656" w:type="pct"/>
            <w:tcBorders>
              <w:top w:val="single" w:color="000000" w:sz="8" w:space="0"/>
              <w:left w:val="nil"/>
              <w:bottom w:val="single" w:color="000000" w:sz="8" w:space="0"/>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2014</w:t>
            </w: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Stand Miljoenennota 2015 (excl. IS)</w:t>
            </w:r>
          </w:p>
        </w:tc>
        <w:tc>
          <w:tcPr>
            <w:tcW w:w="656" w:type="pct"/>
            <w:tcBorders>
              <w:top w:val="nil"/>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629,8</w:t>
            </w: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Totaal mutaties sinds Miljoenennota 2015</w:t>
            </w:r>
          </w:p>
        </w:tc>
        <w:tc>
          <w:tcPr>
            <w:tcW w:w="656" w:type="pct"/>
            <w:tcBorders>
              <w:top w:val="nil"/>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0,0</w:t>
            </w:r>
          </w:p>
        </w:tc>
      </w:tr>
      <w:tr w:rsidRPr="00E35A55" w:rsidR="00E35A55" w:rsidTr="00E35A55">
        <w:trPr>
          <w:trHeight w:val="240"/>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p>
        </w:tc>
        <w:tc>
          <w:tcPr>
            <w:tcW w:w="656" w:type="pct"/>
            <w:tcBorders>
              <w:top w:val="nil"/>
              <w:left w:val="nil"/>
              <w:bottom w:val="nil"/>
              <w:right w:val="nil"/>
            </w:tcBorders>
            <w:shd w:val="clear" w:color="auto" w:fill="auto"/>
            <w:noWrap/>
            <w:vAlign w:val="bottom"/>
            <w:hideMark/>
          </w:tcPr>
          <w:p w:rsidRPr="00E35A55" w:rsidR="00E35A55" w:rsidP="00E35A55" w:rsidRDefault="00E35A55">
            <w:pPr>
              <w:rPr>
                <w:rFonts w:ascii="Verdana" w:hAnsi="Verdana"/>
                <w:color w:val="000000"/>
                <w:sz w:val="18"/>
                <w:szCs w:val="18"/>
              </w:rPr>
            </w:pP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Stand Najaarsnota 2014 (subtotaal)</w:t>
            </w:r>
          </w:p>
        </w:tc>
        <w:tc>
          <w:tcPr>
            <w:tcW w:w="656" w:type="pct"/>
            <w:tcBorders>
              <w:top w:val="single" w:color="000000" w:sz="8" w:space="0"/>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629,8</w:t>
            </w:r>
          </w:p>
        </w:tc>
      </w:tr>
      <w:tr w:rsidRPr="00E35A55" w:rsidR="00E35A55" w:rsidTr="00E35A55">
        <w:trPr>
          <w:trHeight w:val="240"/>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Totaal Internationale samenwerking</w:t>
            </w:r>
          </w:p>
        </w:tc>
        <w:tc>
          <w:tcPr>
            <w:tcW w:w="656" w:type="pct"/>
            <w:tcBorders>
              <w:top w:val="nil"/>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84,8</w:t>
            </w:r>
          </w:p>
        </w:tc>
      </w:tr>
      <w:tr w:rsidRPr="00E35A55" w:rsidR="00E35A55" w:rsidTr="00E35A55">
        <w:trPr>
          <w:trHeight w:val="225"/>
        </w:trPr>
        <w:tc>
          <w:tcPr>
            <w:tcW w:w="4344" w:type="pct"/>
            <w:tcBorders>
              <w:top w:val="nil"/>
              <w:left w:val="nil"/>
              <w:bottom w:val="nil"/>
              <w:right w:val="nil"/>
            </w:tcBorders>
            <w:shd w:val="clear" w:color="auto" w:fill="auto"/>
            <w:hideMark/>
          </w:tcPr>
          <w:p w:rsidRPr="00E35A55" w:rsidR="00E35A55" w:rsidP="00E35A55" w:rsidRDefault="00E35A55">
            <w:pPr>
              <w:rPr>
                <w:rFonts w:ascii="Verdana" w:hAnsi="Verdana"/>
                <w:color w:val="000000"/>
                <w:sz w:val="18"/>
                <w:szCs w:val="18"/>
              </w:rPr>
            </w:pPr>
            <w:r w:rsidRPr="00E35A55">
              <w:rPr>
                <w:rFonts w:ascii="Verdana" w:hAnsi="Verdana"/>
                <w:color w:val="000000"/>
                <w:sz w:val="18"/>
                <w:szCs w:val="18"/>
              </w:rPr>
              <w:t>Stand Najaarsnota 2014</w:t>
            </w:r>
          </w:p>
        </w:tc>
        <w:tc>
          <w:tcPr>
            <w:tcW w:w="656" w:type="pct"/>
            <w:tcBorders>
              <w:top w:val="single" w:color="000000" w:sz="8" w:space="0"/>
              <w:left w:val="nil"/>
              <w:bottom w:val="nil"/>
              <w:right w:val="nil"/>
            </w:tcBorders>
            <w:shd w:val="clear" w:color="auto" w:fill="auto"/>
            <w:hideMark/>
          </w:tcPr>
          <w:p w:rsidRPr="00E35A55" w:rsidR="00E35A55" w:rsidP="00E35A55" w:rsidRDefault="00E35A55">
            <w:pPr>
              <w:jc w:val="right"/>
              <w:rPr>
                <w:rFonts w:ascii="Verdana" w:hAnsi="Verdana"/>
                <w:color w:val="000000"/>
                <w:sz w:val="18"/>
                <w:szCs w:val="18"/>
              </w:rPr>
            </w:pPr>
            <w:r w:rsidRPr="00E35A55">
              <w:rPr>
                <w:rFonts w:ascii="Verdana" w:hAnsi="Verdana"/>
                <w:color w:val="000000"/>
                <w:sz w:val="18"/>
                <w:szCs w:val="18"/>
              </w:rPr>
              <w:t>714,7</w:t>
            </w:r>
          </w:p>
        </w:tc>
      </w:tr>
    </w:tbl>
    <w:p w:rsidRPr="00533D5C" w:rsidR="00E35A55" w:rsidP="00533D5C" w:rsidRDefault="00E35A55">
      <w:pPr>
        <w:spacing w:line="240" w:lineRule="exact"/>
        <w:rPr>
          <w:rFonts w:ascii="Verdana" w:hAnsi="Verdana" w:cs="Verdana"/>
          <w:b/>
          <w:bCs/>
          <w:sz w:val="18"/>
          <w:szCs w:val="18"/>
        </w:rPr>
      </w:pPr>
    </w:p>
    <w:p w:rsidRPr="008872FD" w:rsidR="008872FD" w:rsidP="00533D5C" w:rsidRDefault="008872FD">
      <w:pPr>
        <w:spacing w:line="240" w:lineRule="exact"/>
        <w:rPr>
          <w:rFonts w:ascii="Verdana" w:hAnsi="Verdana" w:cs="Verdana"/>
          <w:i/>
          <w:sz w:val="18"/>
          <w:szCs w:val="18"/>
        </w:rPr>
      </w:pPr>
      <w:r w:rsidRPr="008872FD">
        <w:rPr>
          <w:rFonts w:ascii="Verdana" w:hAnsi="Verdana" w:cs="Verdana"/>
          <w:i/>
          <w:sz w:val="18"/>
          <w:szCs w:val="18"/>
        </w:rPr>
        <w:t>EU-afdrachten</w:t>
      </w:r>
    </w:p>
    <w:p w:rsidRPr="00533D5C" w:rsidR="00512EDB" w:rsidP="00533D5C" w:rsidRDefault="008872FD">
      <w:pPr>
        <w:spacing w:line="240" w:lineRule="exact"/>
        <w:rPr>
          <w:rFonts w:ascii="Verdana" w:hAnsi="Verdana" w:cs="Verdana"/>
          <w:b/>
          <w:bCs/>
          <w:sz w:val="18"/>
          <w:szCs w:val="18"/>
        </w:rPr>
      </w:pPr>
      <w:r w:rsidRPr="008872FD">
        <w:rPr>
          <w:rFonts w:ascii="Verdana" w:hAnsi="Verdana"/>
          <w:sz w:val="18"/>
          <w:szCs w:val="18"/>
        </w:rPr>
        <w:t>Dit betreft de bruto naheffing als gevolg van de bni-revisies.</w:t>
      </w:r>
      <w:r w:rsidRPr="00533D5C" w:rsidR="00C05141">
        <w:rPr>
          <w:rFonts w:ascii="Verdana" w:hAnsi="Verdana" w:cs="Verdana"/>
          <w:sz w:val="18"/>
          <w:szCs w:val="18"/>
        </w:rPr>
        <w:br w:type="page"/>
      </w:r>
      <w:r w:rsidRPr="00533D5C" w:rsidR="00C05141">
        <w:rPr>
          <w:rFonts w:ascii="Verdana" w:hAnsi="Verdana" w:cs="Verdana"/>
          <w:b/>
          <w:bCs/>
          <w:sz w:val="18"/>
          <w:szCs w:val="18"/>
        </w:rPr>
        <w:lastRenderedPageBreak/>
        <w:t>Veiligheid en Justitie</w:t>
      </w:r>
    </w:p>
    <w:p w:rsidRPr="00533D5C" w:rsidR="00CA19E9" w:rsidP="00533D5C" w:rsidRDefault="00CA19E9">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628"/>
        <w:gridCol w:w="1584"/>
      </w:tblGrid>
      <w:tr w:rsidRPr="00533D5C" w:rsidR="00CA19E9" w:rsidTr="00CA19E9">
        <w:trPr>
          <w:trHeight w:val="225"/>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VI VEILIGHEID EN JUSTITIE: UITGAVEN</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12.582,6</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25"/>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1,0</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1,0</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25"/>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19,1</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19,1</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25"/>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7,2</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7,2</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27,3</w:t>
            </w:r>
          </w:p>
        </w:tc>
      </w:tr>
      <w:tr w:rsidRPr="00533D5C" w:rsidR="00CA19E9" w:rsidTr="00CA19E9">
        <w:trPr>
          <w:trHeight w:val="225"/>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12.609,9</w:t>
            </w:r>
          </w:p>
        </w:tc>
      </w:tr>
      <w:tr w:rsidRPr="00533D5C" w:rsidR="00CA19E9" w:rsidTr="00CA19E9">
        <w:trPr>
          <w:trHeight w:val="225"/>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48,0</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12.657,9</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p>
        </w:tc>
      </w:tr>
      <w:tr w:rsidRPr="00533D5C" w:rsidR="00CA19E9" w:rsidTr="00C256C5">
        <w:trPr>
          <w:trHeight w:val="234"/>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VI VEILIGHEID EN JUSTITIE: NIET-BELASTINGONTVANGSTEN</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1.382,2</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25"/>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11,0</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11,0</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25"/>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3,3</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3,3</w:t>
            </w: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14,3</w:t>
            </w:r>
          </w:p>
        </w:tc>
      </w:tr>
      <w:tr w:rsidRPr="00533D5C" w:rsidR="00CA19E9" w:rsidTr="00CA19E9">
        <w:trPr>
          <w:trHeight w:val="225"/>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CA19E9" w:rsidP="00533D5C" w:rsidRDefault="00CA19E9">
            <w:pPr>
              <w:spacing w:line="240" w:lineRule="exact"/>
              <w:rPr>
                <w:rFonts w:ascii="Verdana" w:hAnsi="Verdana"/>
                <w:color w:val="000000"/>
                <w:sz w:val="18"/>
                <w:szCs w:val="18"/>
              </w:rPr>
            </w:pP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1.396,5</w:t>
            </w:r>
          </w:p>
        </w:tc>
      </w:tr>
      <w:tr w:rsidRPr="00533D5C" w:rsidR="00CA19E9" w:rsidTr="00CA19E9">
        <w:trPr>
          <w:trHeight w:val="225"/>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p>
        </w:tc>
      </w:tr>
      <w:tr w:rsidRPr="00533D5C" w:rsidR="00CA19E9" w:rsidTr="00CA19E9">
        <w:trPr>
          <w:trHeight w:val="210"/>
        </w:trPr>
        <w:tc>
          <w:tcPr>
            <w:tcW w:w="4140" w:type="pct"/>
            <w:tcBorders>
              <w:top w:val="nil"/>
              <w:left w:val="nil"/>
              <w:bottom w:val="nil"/>
              <w:right w:val="nil"/>
            </w:tcBorders>
            <w:shd w:val="clear" w:color="auto" w:fill="auto"/>
            <w:hideMark/>
          </w:tcPr>
          <w:p w:rsidRPr="00533D5C" w:rsidR="00CA19E9" w:rsidP="00533D5C" w:rsidRDefault="00CA19E9">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CA19E9" w:rsidP="00533D5C" w:rsidRDefault="00CA19E9">
            <w:pPr>
              <w:spacing w:line="240" w:lineRule="exact"/>
              <w:jc w:val="right"/>
              <w:rPr>
                <w:rFonts w:ascii="Verdana" w:hAnsi="Verdana"/>
                <w:color w:val="000000"/>
                <w:sz w:val="18"/>
                <w:szCs w:val="18"/>
              </w:rPr>
            </w:pPr>
            <w:r w:rsidRPr="00533D5C">
              <w:rPr>
                <w:rFonts w:ascii="Verdana" w:hAnsi="Verdana"/>
                <w:color w:val="000000"/>
                <w:sz w:val="18"/>
                <w:szCs w:val="18"/>
              </w:rPr>
              <w:t>1.396,5</w:t>
            </w:r>
          </w:p>
        </w:tc>
      </w:tr>
    </w:tbl>
    <w:p w:rsidRPr="00533D5C" w:rsidR="00CA19E9" w:rsidP="00533D5C" w:rsidRDefault="00CA19E9">
      <w:pPr>
        <w:spacing w:line="240" w:lineRule="exact"/>
        <w:rPr>
          <w:rFonts w:ascii="Verdana" w:hAnsi="Verdana" w:cs="Verdana"/>
          <w:b/>
          <w:bCs/>
          <w:sz w:val="18"/>
          <w:szCs w:val="18"/>
        </w:rPr>
      </w:pPr>
    </w:p>
    <w:p w:rsidRPr="00533D5C" w:rsidR="00FE2DD0" w:rsidP="00533D5C" w:rsidRDefault="00FE2DD0">
      <w:pPr>
        <w:spacing w:line="240" w:lineRule="exact"/>
        <w:rPr>
          <w:rFonts w:ascii="Verdana" w:hAnsi="Verdana"/>
          <w:i/>
          <w:sz w:val="18"/>
          <w:szCs w:val="18"/>
        </w:rPr>
      </w:pPr>
    </w:p>
    <w:p w:rsidRPr="00533D5C" w:rsidR="00CA19E9" w:rsidP="00533D5C" w:rsidRDefault="00EE0D82">
      <w:pPr>
        <w:spacing w:line="240" w:lineRule="exact"/>
        <w:rPr>
          <w:rFonts w:ascii="Verdana" w:hAnsi="Verdana"/>
          <w:sz w:val="18"/>
          <w:szCs w:val="18"/>
        </w:rPr>
      </w:pPr>
      <w:r w:rsidRPr="00533D5C">
        <w:rPr>
          <w:rFonts w:ascii="Verdana" w:hAnsi="Verdana"/>
          <w:i/>
          <w:sz w:val="18"/>
          <w:szCs w:val="18"/>
        </w:rPr>
        <w:t xml:space="preserve">Diversen - </w:t>
      </w:r>
      <w:r w:rsidRPr="00533D5C" w:rsidR="00CA19E9">
        <w:rPr>
          <w:rFonts w:ascii="Verdana" w:hAnsi="Verdana"/>
          <w:i/>
          <w:sz w:val="18"/>
          <w:szCs w:val="18"/>
        </w:rPr>
        <w:t xml:space="preserve">mee- </w:t>
      </w:r>
      <w:r w:rsidRPr="00533D5C">
        <w:rPr>
          <w:rFonts w:ascii="Verdana" w:hAnsi="Verdana"/>
          <w:i/>
          <w:sz w:val="18"/>
          <w:szCs w:val="18"/>
        </w:rPr>
        <w:t>en tegenvallers uitgaven</w:t>
      </w:r>
      <w:r w:rsidRPr="00533D5C" w:rsidR="00CA19E9">
        <w:rPr>
          <w:rFonts w:ascii="Verdana" w:hAnsi="Verdana"/>
          <w:i/>
          <w:sz w:val="18"/>
          <w:szCs w:val="18"/>
        </w:rPr>
        <w:br/>
      </w:r>
      <w:r w:rsidRPr="00533D5C" w:rsidR="00CA19E9">
        <w:rPr>
          <w:rFonts w:ascii="Verdana" w:hAnsi="Verdana"/>
          <w:sz w:val="18"/>
          <w:szCs w:val="18"/>
        </w:rPr>
        <w:t>De post diversen is een optelling van verschillende mee- en tegenvallers, waaronder de per saldo tegenvaller binnen het onderdeel Jeugd en Sanctietoepassing. Deze tegenvallers doen zich voor op de beleidsterreinen Sanctie en Preventie, Justitieel Jeugdbeleid, het CJIB en de DJI (totaal 26,6 mln.). Onderdeel van de tegenvaller van 26,6 mln. is een tekort bij DJI (11,8 mln.) als gevolg van cellen voor GHB-verslaafde justitiabelen, vervoerstromen tussen arrondissementen en tegenvallers op he</w:t>
      </w:r>
      <w:r w:rsidRPr="00533D5C" w:rsidR="0066614B">
        <w:rPr>
          <w:rFonts w:ascii="Verdana" w:hAnsi="Verdana"/>
          <w:sz w:val="18"/>
          <w:szCs w:val="18"/>
        </w:rPr>
        <w:t>t gebied van ICT. Daarnaast is</w:t>
      </w:r>
      <w:r w:rsidRPr="00533D5C" w:rsidR="00CA19E9">
        <w:rPr>
          <w:rFonts w:ascii="Verdana" w:hAnsi="Verdana"/>
          <w:sz w:val="18"/>
          <w:szCs w:val="18"/>
        </w:rPr>
        <w:t xml:space="preserve"> er binnen het onderdeel Jeugd en Sanctietoepassing ook een aantal meevallers (totaal 19,6 mln.). Dit resulteert aan de uitgavenkant in een tegenvaller van per saldo 7 </w:t>
      </w:r>
      <w:r w:rsidRPr="00533D5C" w:rsidR="00354F02">
        <w:rPr>
          <w:rFonts w:ascii="Verdana" w:hAnsi="Verdana"/>
          <w:sz w:val="18"/>
          <w:szCs w:val="18"/>
        </w:rPr>
        <w:t>mln. O</w:t>
      </w:r>
      <w:r w:rsidRPr="00533D5C" w:rsidR="00CA19E9">
        <w:rPr>
          <w:rFonts w:ascii="Verdana" w:hAnsi="Verdana"/>
          <w:sz w:val="18"/>
          <w:szCs w:val="18"/>
        </w:rPr>
        <w:t>ntvangstenmeevallers van in totaal 7 mln. (zie ook</w:t>
      </w:r>
      <w:r w:rsidRPr="00533D5C" w:rsidR="00CA19E9">
        <w:rPr>
          <w:rFonts w:ascii="Verdana" w:hAnsi="Verdana"/>
          <w:i/>
          <w:sz w:val="18"/>
          <w:szCs w:val="18"/>
        </w:rPr>
        <w:t xml:space="preserve"> ontvangsten – diversen</w:t>
      </w:r>
      <w:r w:rsidRPr="00533D5C" w:rsidR="00CA19E9">
        <w:rPr>
          <w:rFonts w:ascii="Verdana" w:hAnsi="Verdana"/>
          <w:sz w:val="18"/>
          <w:szCs w:val="18"/>
        </w:rPr>
        <w:t xml:space="preserve">) worden ingezet om de tekorten binnen Jeugd en Sanctietoepassing te dekken.  </w:t>
      </w:r>
    </w:p>
    <w:p w:rsidRPr="00533D5C" w:rsidR="00CA19E9" w:rsidP="00533D5C" w:rsidRDefault="00CA19E9">
      <w:pPr>
        <w:spacing w:line="240" w:lineRule="exact"/>
        <w:rPr>
          <w:rFonts w:ascii="Verdana" w:hAnsi="Verdana"/>
          <w:i/>
          <w:sz w:val="18"/>
          <w:szCs w:val="18"/>
        </w:rPr>
      </w:pPr>
    </w:p>
    <w:p w:rsidRPr="00533D5C" w:rsidR="00CA19E9" w:rsidP="00533D5C" w:rsidRDefault="00CA19E9">
      <w:pPr>
        <w:spacing w:line="240" w:lineRule="exact"/>
        <w:rPr>
          <w:rFonts w:ascii="Verdana" w:hAnsi="Verdana"/>
          <w:sz w:val="18"/>
          <w:szCs w:val="18"/>
        </w:rPr>
      </w:pPr>
      <w:r w:rsidRPr="00533D5C">
        <w:rPr>
          <w:rFonts w:ascii="Verdana" w:hAnsi="Verdana"/>
          <w:i/>
          <w:sz w:val="18"/>
          <w:szCs w:val="18"/>
        </w:rPr>
        <w:t xml:space="preserve">Diversen </w:t>
      </w:r>
      <w:r w:rsidRPr="00533D5C" w:rsidR="00EE0D82">
        <w:rPr>
          <w:rFonts w:ascii="Verdana" w:hAnsi="Verdana"/>
          <w:i/>
          <w:sz w:val="18"/>
          <w:szCs w:val="18"/>
        </w:rPr>
        <w:t>- beleidsmatige mutaties uitgaven</w:t>
      </w:r>
      <w:r w:rsidRPr="00533D5C">
        <w:rPr>
          <w:rFonts w:ascii="Verdana" w:hAnsi="Verdana"/>
          <w:i/>
          <w:sz w:val="18"/>
          <w:szCs w:val="18"/>
        </w:rPr>
        <w:br/>
      </w:r>
      <w:r w:rsidRPr="00533D5C">
        <w:rPr>
          <w:rFonts w:ascii="Verdana" w:hAnsi="Verdana"/>
          <w:sz w:val="18"/>
          <w:szCs w:val="18"/>
        </w:rPr>
        <w:t xml:space="preserve">Deze post is een optelling van verschillende mutaties. Zo heeft VenJ een schikking van 10 mln. getroffen met de stichting Norma n.a.v. een rechterlijke uitspraak over thuiskopievergoedingen. Daarnaast heeft VenJ additionele uitgaven gedaan in het kader van de ramp MH17 (9,1 mln. in </w:t>
      </w:r>
      <w:r w:rsidRPr="00533D5C">
        <w:rPr>
          <w:rFonts w:ascii="Verdana" w:hAnsi="Verdana"/>
          <w:sz w:val="18"/>
          <w:szCs w:val="18"/>
        </w:rPr>
        <w:lastRenderedPageBreak/>
        <w:t xml:space="preserve">2014). </w:t>
      </w:r>
      <w:r w:rsidRPr="00533D5C" w:rsidR="0055014F">
        <w:rPr>
          <w:rFonts w:ascii="Verdana" w:hAnsi="Verdana"/>
          <w:sz w:val="18"/>
          <w:szCs w:val="18"/>
        </w:rPr>
        <w:t>De Nationale Politie, de NCTV en Slachtofferhulp Nederland hebben n.a.v. de ramp extra personeel ingezet. Daarnaast heeft het NFI reguliere werkzaamheden bij opsporing en criminaliteit uitbesteed om zo het eigen personeel in te kunnen zetten voor de identificatie van slachtoffers. De NCTV heeft, naast de inzet van extra personeel, uitgaven gedaan voor het creëren van een betrouwbaar informatiepunt en het vervoer van rouwauto’s en rouwkisten.</w:t>
      </w:r>
    </w:p>
    <w:p w:rsidRPr="00533D5C" w:rsidR="00FE2DD0" w:rsidP="00533D5C" w:rsidRDefault="00FE2DD0">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Binnenlandse Zaken</w:t>
      </w:r>
    </w:p>
    <w:p w:rsidRPr="00533D5C" w:rsidR="00066F87" w:rsidP="00533D5C" w:rsidRDefault="00066F87">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628"/>
        <w:gridCol w:w="1584"/>
      </w:tblGrid>
      <w:tr w:rsidRPr="00533D5C" w:rsidR="00066F87" w:rsidTr="00C256C5">
        <w:trPr>
          <w:trHeight w:val="243"/>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VII BINNENLANDSE ZAKEN EN KONINKRIJKSRELATIES: UITGAVEN</w:t>
            </w: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788,0</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25"/>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0,3</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0,3</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Egalisatievord. rijkshuisv.</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38,6</w:t>
            </w:r>
          </w:p>
        </w:tc>
      </w:tr>
      <w:tr w:rsidRPr="00533D5C" w:rsidR="00066F87" w:rsidTr="00066F87">
        <w:trPr>
          <w:trHeight w:val="225"/>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-0,9</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37,7</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38,0</w:t>
            </w:r>
          </w:p>
        </w:tc>
      </w:tr>
      <w:tr w:rsidRPr="00533D5C" w:rsidR="00066F87" w:rsidTr="00066F87">
        <w:trPr>
          <w:trHeight w:val="225"/>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826,0</w:t>
            </w:r>
          </w:p>
        </w:tc>
      </w:tr>
      <w:tr w:rsidRPr="00533D5C" w:rsidR="00066F87" w:rsidTr="00066F87">
        <w:trPr>
          <w:trHeight w:val="225"/>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0,5</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826,6</w:t>
            </w:r>
          </w:p>
        </w:tc>
      </w:tr>
      <w:tr w:rsidRPr="00533D5C" w:rsidR="00066F87" w:rsidTr="00066F87">
        <w:trPr>
          <w:trHeight w:val="210"/>
        </w:trPr>
        <w:tc>
          <w:tcPr>
            <w:tcW w:w="414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435"/>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VII BINNENLANDSE ZAKEN EN KONINKRIJKSRELATIES: NIET-BELASTINGONTVANGSTEN</w:t>
            </w: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404,6</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25"/>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0,6</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0,6</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10,2</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25"/>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Vut-fonds herziening</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-30,0</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-19,8</w:t>
            </w: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-19,3</w:t>
            </w:r>
          </w:p>
        </w:tc>
      </w:tr>
      <w:tr w:rsidRPr="00533D5C" w:rsidR="00066F87" w:rsidTr="00066F87">
        <w:trPr>
          <w:trHeight w:val="225"/>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385,3</w:t>
            </w:r>
          </w:p>
        </w:tc>
      </w:tr>
      <w:tr w:rsidRPr="00533D5C" w:rsidR="00066F87" w:rsidTr="00066F87">
        <w:trPr>
          <w:trHeight w:val="225"/>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p>
        </w:tc>
      </w:tr>
      <w:tr w:rsidRPr="00533D5C" w:rsidR="00066F87" w:rsidTr="00066F87">
        <w:trPr>
          <w:trHeight w:val="210"/>
        </w:trPr>
        <w:tc>
          <w:tcPr>
            <w:tcW w:w="4140"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385,3</w:t>
            </w:r>
          </w:p>
        </w:tc>
      </w:tr>
    </w:tbl>
    <w:p w:rsidRPr="00533D5C" w:rsidR="00066F87" w:rsidP="00533D5C" w:rsidRDefault="00066F87">
      <w:pPr>
        <w:spacing w:line="240" w:lineRule="exact"/>
        <w:rPr>
          <w:rFonts w:ascii="Verdana" w:hAnsi="Verdana" w:cs="Verdana"/>
          <w:b/>
          <w:bCs/>
          <w:sz w:val="18"/>
          <w:szCs w:val="18"/>
        </w:rPr>
      </w:pPr>
    </w:p>
    <w:p w:rsidRPr="00533D5C" w:rsidR="00FE2DD0" w:rsidP="00533D5C" w:rsidRDefault="00FE2DD0">
      <w:pPr>
        <w:spacing w:line="240" w:lineRule="exact"/>
        <w:rPr>
          <w:rFonts w:ascii="Verdana" w:hAnsi="Verdana"/>
          <w:i/>
          <w:sz w:val="18"/>
          <w:szCs w:val="18"/>
        </w:rPr>
      </w:pPr>
    </w:p>
    <w:p w:rsidRPr="00533D5C" w:rsidR="00066F87" w:rsidP="00533D5C" w:rsidRDefault="00066F87">
      <w:pPr>
        <w:spacing w:line="240" w:lineRule="exact"/>
        <w:rPr>
          <w:rFonts w:ascii="Verdana" w:hAnsi="Verdana"/>
          <w:i/>
          <w:sz w:val="18"/>
          <w:szCs w:val="18"/>
        </w:rPr>
      </w:pPr>
      <w:r w:rsidRPr="00533D5C">
        <w:rPr>
          <w:rFonts w:ascii="Verdana" w:hAnsi="Verdana"/>
          <w:i/>
          <w:sz w:val="18"/>
          <w:szCs w:val="18"/>
        </w:rPr>
        <w:t>Egalisatievordering Rijkshuisvestingstelsel</w:t>
      </w:r>
    </w:p>
    <w:p w:rsidRPr="00533D5C" w:rsidR="00066F87" w:rsidP="00533D5C" w:rsidRDefault="00066F87">
      <w:pPr>
        <w:spacing w:line="240" w:lineRule="exact"/>
        <w:rPr>
          <w:rFonts w:ascii="Verdana" w:hAnsi="Verdana"/>
          <w:sz w:val="18"/>
          <w:szCs w:val="18"/>
        </w:rPr>
      </w:pPr>
      <w:r w:rsidRPr="00533D5C">
        <w:rPr>
          <w:rFonts w:ascii="Verdana" w:hAnsi="Verdana"/>
          <w:sz w:val="18"/>
          <w:szCs w:val="18"/>
        </w:rPr>
        <w:t>Per 1 januari 2016 treedt het nieuwe Rijkshuisvestingstelsel in werking. Dit leidt ertoe dat departementen uiterlijk op 31 december 2015 hun egalisatieschuld aan het Rijksvastgo</w:t>
      </w:r>
      <w:r w:rsidRPr="00533D5C" w:rsidR="002B65C5">
        <w:rPr>
          <w:rFonts w:ascii="Verdana" w:hAnsi="Verdana"/>
          <w:sz w:val="18"/>
          <w:szCs w:val="18"/>
        </w:rPr>
        <w:t>edbedrijf moeten aflossen. Het k</w:t>
      </w:r>
      <w:r w:rsidRPr="00533D5C">
        <w:rPr>
          <w:rFonts w:ascii="Verdana" w:hAnsi="Verdana"/>
          <w:sz w:val="18"/>
          <w:szCs w:val="18"/>
        </w:rPr>
        <w:t xml:space="preserve">abinet heeft besloten dat departementen de egalisatieschuld door middel van een overboeking aan het Ministerie van BZK mogen voldoen vanaf Voorjaarsnota 2014. De laatste drie departementen (OCW, Defensie en EZ) hebben hun egalisatieschuld bij Najaarsnota 2014 ingelost. </w:t>
      </w:r>
    </w:p>
    <w:p w:rsidRPr="00533D5C" w:rsidR="00066F87" w:rsidP="00533D5C" w:rsidRDefault="00066F87">
      <w:pPr>
        <w:spacing w:line="240" w:lineRule="exact"/>
        <w:rPr>
          <w:rFonts w:ascii="Verdana" w:hAnsi="Verdana"/>
          <w:sz w:val="18"/>
          <w:szCs w:val="18"/>
        </w:rPr>
      </w:pPr>
    </w:p>
    <w:p w:rsidRPr="00533D5C" w:rsidR="00C14317" w:rsidP="00533D5C" w:rsidRDefault="00C14317">
      <w:pPr>
        <w:spacing w:line="240" w:lineRule="exact"/>
        <w:rPr>
          <w:rFonts w:ascii="Verdana" w:hAnsi="Verdana" w:cs="Courier New"/>
          <w:i/>
          <w:sz w:val="18"/>
          <w:szCs w:val="18"/>
        </w:rPr>
      </w:pPr>
      <w:r w:rsidRPr="00533D5C">
        <w:rPr>
          <w:rFonts w:ascii="Verdana" w:hAnsi="Verdana" w:cs="Courier New"/>
          <w:i/>
          <w:sz w:val="18"/>
          <w:szCs w:val="18"/>
        </w:rPr>
        <w:t xml:space="preserve">Diversen – technische mutaties </w:t>
      </w:r>
      <w:r w:rsidRPr="00533D5C" w:rsidR="00E65D16">
        <w:rPr>
          <w:rFonts w:ascii="Verdana" w:hAnsi="Verdana" w:cs="Courier New"/>
          <w:i/>
          <w:sz w:val="18"/>
          <w:szCs w:val="18"/>
        </w:rPr>
        <w:t xml:space="preserve">RBG-eng </w:t>
      </w:r>
      <w:r w:rsidRPr="00533D5C">
        <w:rPr>
          <w:rFonts w:ascii="Verdana" w:hAnsi="Verdana" w:cs="Courier New"/>
          <w:i/>
          <w:sz w:val="18"/>
          <w:szCs w:val="18"/>
        </w:rPr>
        <w:t xml:space="preserve">niet-belastingontvangsten </w:t>
      </w:r>
    </w:p>
    <w:p w:rsidRPr="00533D5C" w:rsidR="00C14317" w:rsidP="00533D5C" w:rsidRDefault="00C14317">
      <w:pPr>
        <w:spacing w:line="240" w:lineRule="exact"/>
        <w:rPr>
          <w:rFonts w:ascii="Verdana" w:hAnsi="Verdana"/>
          <w:sz w:val="18"/>
          <w:szCs w:val="18"/>
        </w:rPr>
      </w:pPr>
      <w:r w:rsidRPr="00533D5C">
        <w:rPr>
          <w:rFonts w:ascii="Verdana" w:hAnsi="Verdana"/>
          <w:sz w:val="18"/>
          <w:szCs w:val="18"/>
        </w:rPr>
        <w:t>De post diversen betreft diverse meerontvangsten voor o.a. de dienstverlening van de centrale staf (apparaat), de bijdrage van EZ (Prima-gelden / Programma Implementatie Agenda ICT-beleid) voor het Register Niet-Ingezetenen (RNI), loonkosten projecten A&amp;O-fonds</w:t>
      </w:r>
      <w:r w:rsidRPr="00533D5C" w:rsidR="00354F02">
        <w:rPr>
          <w:rFonts w:ascii="Verdana" w:hAnsi="Verdana"/>
          <w:sz w:val="18"/>
          <w:szCs w:val="18"/>
        </w:rPr>
        <w:t xml:space="preserve"> (Arbeidsmarkt- en Ontwikkelingsfonds)</w:t>
      </w:r>
      <w:r w:rsidRPr="00533D5C">
        <w:rPr>
          <w:rFonts w:ascii="Verdana" w:hAnsi="Verdana"/>
          <w:sz w:val="18"/>
          <w:szCs w:val="18"/>
        </w:rPr>
        <w:t>, en terugontvangsten voor de Internetspiegel 2013 en de AOF-premie.</w:t>
      </w:r>
    </w:p>
    <w:p w:rsidRPr="00533D5C" w:rsidR="00C14317" w:rsidP="00533D5C" w:rsidRDefault="00C14317">
      <w:pPr>
        <w:spacing w:line="240" w:lineRule="exact"/>
        <w:rPr>
          <w:rFonts w:ascii="Verdana" w:hAnsi="Verdana"/>
          <w:sz w:val="18"/>
          <w:szCs w:val="18"/>
        </w:rPr>
      </w:pPr>
    </w:p>
    <w:p w:rsidRPr="00533D5C" w:rsidR="00C14317" w:rsidP="00533D5C" w:rsidRDefault="00C14317">
      <w:pPr>
        <w:spacing w:line="240" w:lineRule="exact"/>
        <w:rPr>
          <w:rFonts w:ascii="Verdana" w:hAnsi="Verdana" w:cs="Courier New"/>
          <w:i/>
          <w:sz w:val="18"/>
          <w:szCs w:val="18"/>
        </w:rPr>
      </w:pPr>
      <w:r w:rsidRPr="00533D5C">
        <w:rPr>
          <w:rFonts w:ascii="Verdana" w:hAnsi="Verdana" w:cs="Courier New"/>
          <w:i/>
          <w:sz w:val="18"/>
          <w:szCs w:val="18"/>
        </w:rPr>
        <w:br w:type="page"/>
      </w:r>
    </w:p>
    <w:p w:rsidRPr="00533D5C" w:rsidR="00066F87" w:rsidP="00533D5C" w:rsidRDefault="00066F87">
      <w:pPr>
        <w:spacing w:line="240" w:lineRule="exact"/>
        <w:rPr>
          <w:rFonts w:ascii="Verdana" w:hAnsi="Verdana" w:cs="Courier New"/>
          <w:i/>
          <w:sz w:val="18"/>
          <w:szCs w:val="18"/>
        </w:rPr>
      </w:pPr>
      <w:r w:rsidRPr="00533D5C">
        <w:rPr>
          <w:rFonts w:ascii="Verdana" w:hAnsi="Verdana" w:cs="Courier New"/>
          <w:i/>
          <w:sz w:val="18"/>
          <w:szCs w:val="18"/>
        </w:rPr>
        <w:lastRenderedPageBreak/>
        <w:t>VUT fonds herziening</w:t>
      </w:r>
    </w:p>
    <w:p w:rsidRPr="00533D5C" w:rsidR="00066F87" w:rsidP="00533D5C" w:rsidRDefault="00066F87">
      <w:pPr>
        <w:spacing w:line="240" w:lineRule="exact"/>
        <w:rPr>
          <w:rFonts w:ascii="Verdana" w:hAnsi="Verdana" w:cs="Courier New"/>
          <w:sz w:val="18"/>
          <w:szCs w:val="18"/>
        </w:rPr>
      </w:pPr>
      <w:r w:rsidRPr="00533D5C">
        <w:rPr>
          <w:rFonts w:ascii="Verdana" w:hAnsi="Verdana" w:cs="Courier New"/>
          <w:sz w:val="18"/>
          <w:szCs w:val="18"/>
        </w:rPr>
        <w:t xml:space="preserve">De raming van de ontvangsten voor 2014 </w:t>
      </w:r>
      <w:r w:rsidRPr="00533D5C" w:rsidR="00354F02">
        <w:rPr>
          <w:rFonts w:ascii="Verdana" w:hAnsi="Verdana" w:cs="Courier New"/>
          <w:sz w:val="18"/>
          <w:szCs w:val="18"/>
        </w:rPr>
        <w:t xml:space="preserve">uit </w:t>
      </w:r>
      <w:r w:rsidRPr="00533D5C">
        <w:rPr>
          <w:rFonts w:ascii="Verdana" w:hAnsi="Verdana" w:cs="Courier New"/>
          <w:sz w:val="18"/>
          <w:szCs w:val="18"/>
        </w:rPr>
        <w:t xml:space="preserve">rente en aflossing van de lening aan het VUT-fonds wordt ten opzichte van de raming bij Voorjaarsnota 2014 neerwaarts bijgesteld op basis van de meest actuele inzichten in de liquiditeitsplanning van het fonds. </w:t>
      </w:r>
    </w:p>
    <w:p w:rsidRPr="00533D5C" w:rsidR="00C256C5" w:rsidP="00533D5C" w:rsidRDefault="00C256C5">
      <w:pPr>
        <w:spacing w:line="240" w:lineRule="exact"/>
        <w:rPr>
          <w:rFonts w:ascii="Verdana" w:hAnsi="Verdana" w:cs="Courier New"/>
          <w:i/>
          <w:sz w:val="18"/>
          <w:szCs w:val="18"/>
        </w:rPr>
      </w:pPr>
    </w:p>
    <w:p w:rsidRPr="00533D5C" w:rsidR="00950B15" w:rsidP="00533D5C" w:rsidRDefault="00950B15">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Onderwijs, Cultuur en wetenschap</w:t>
      </w:r>
    </w:p>
    <w:p w:rsidRPr="00533D5C" w:rsidR="00066F87" w:rsidP="00533D5C" w:rsidRDefault="00066F87">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605"/>
        <w:gridCol w:w="1607"/>
      </w:tblGrid>
      <w:tr w:rsidRPr="00533D5C" w:rsidR="00066F87" w:rsidTr="00C811E5">
        <w:trPr>
          <w:trHeight w:val="229"/>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VIII ONDERWIJS, CULTUUR EN WETENSCHAP: UITGAVEN</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25"/>
        </w:trPr>
        <w:tc>
          <w:tcPr>
            <w:tcW w:w="4128" w:type="pct"/>
            <w:tcBorders>
              <w:top w:val="single" w:color="000000" w:sz="8" w:space="0"/>
              <w:left w:val="nil"/>
              <w:bottom w:val="single" w:color="000000" w:sz="8" w:space="0"/>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72" w:type="pct"/>
            <w:tcBorders>
              <w:top w:val="single" w:color="000000" w:sz="8" w:space="0"/>
              <w:left w:val="nil"/>
              <w:bottom w:val="single" w:color="000000" w:sz="8" w:space="0"/>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35.934,3</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25"/>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-38,5</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72"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-38,5</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25"/>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-29,5</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72"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-29,5</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-12,0</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25"/>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40,0</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72"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28,0</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-39,9</w:t>
            </w:r>
          </w:p>
        </w:tc>
      </w:tr>
      <w:tr w:rsidRPr="00533D5C" w:rsidR="00066F87" w:rsidTr="00066F87">
        <w:trPr>
          <w:trHeight w:val="225"/>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72"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35.894,4</w:t>
            </w:r>
          </w:p>
        </w:tc>
      </w:tr>
      <w:tr w:rsidRPr="00533D5C" w:rsidR="00066F87" w:rsidTr="00066F87">
        <w:trPr>
          <w:trHeight w:val="225"/>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64,6</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72"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35.959,0</w:t>
            </w:r>
          </w:p>
        </w:tc>
      </w:tr>
      <w:tr w:rsidRPr="00533D5C" w:rsidR="00066F87" w:rsidTr="00066F87">
        <w:trPr>
          <w:trHeight w:val="210"/>
        </w:trPr>
        <w:tc>
          <w:tcPr>
            <w:tcW w:w="4128"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r>
      <w:tr w:rsidRPr="00533D5C" w:rsidR="00066F87" w:rsidTr="00C811E5">
        <w:trPr>
          <w:trHeight w:val="299"/>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VIII ONDERWIJS, CULTUUR EN WETENSCHAP: NIET-BELASTINGONTVANGSTEN</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25"/>
        </w:trPr>
        <w:tc>
          <w:tcPr>
            <w:tcW w:w="4128" w:type="pct"/>
            <w:tcBorders>
              <w:top w:val="single" w:color="000000" w:sz="8" w:space="0"/>
              <w:left w:val="nil"/>
              <w:bottom w:val="single" w:color="000000" w:sz="8" w:space="0"/>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72" w:type="pct"/>
            <w:tcBorders>
              <w:top w:val="single" w:color="000000" w:sz="8" w:space="0"/>
              <w:left w:val="nil"/>
              <w:bottom w:val="single" w:color="000000" w:sz="8" w:space="0"/>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1.235,7</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Renteontvangsten studiefinanciering</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-30,0</w:t>
            </w:r>
          </w:p>
        </w:tc>
      </w:tr>
      <w:tr w:rsidRPr="00533D5C" w:rsidR="00066F87" w:rsidTr="00066F87">
        <w:trPr>
          <w:trHeight w:val="225"/>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32,4</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72"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2,4</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25"/>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11,1</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72"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11,1</w:t>
            </w: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13,5</w:t>
            </w:r>
          </w:p>
        </w:tc>
      </w:tr>
      <w:tr w:rsidRPr="00533D5C" w:rsidR="00066F87" w:rsidTr="00066F87">
        <w:trPr>
          <w:trHeight w:val="225"/>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p>
        </w:tc>
        <w:tc>
          <w:tcPr>
            <w:tcW w:w="872" w:type="pct"/>
            <w:tcBorders>
              <w:top w:val="nil"/>
              <w:left w:val="nil"/>
              <w:bottom w:val="nil"/>
              <w:right w:val="nil"/>
            </w:tcBorders>
            <w:shd w:val="clear" w:color="auto" w:fill="auto"/>
            <w:noWrap/>
            <w:vAlign w:val="bottom"/>
            <w:hideMark/>
          </w:tcPr>
          <w:p w:rsidRPr="00533D5C" w:rsidR="00066F87" w:rsidP="00533D5C" w:rsidRDefault="00066F87">
            <w:pPr>
              <w:spacing w:line="240" w:lineRule="exact"/>
              <w:rPr>
                <w:rFonts w:ascii="Verdana" w:hAnsi="Verdana"/>
                <w:color w:val="000000"/>
                <w:sz w:val="18"/>
                <w:szCs w:val="18"/>
              </w:rPr>
            </w:pP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72"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1.249,2</w:t>
            </w:r>
          </w:p>
        </w:tc>
      </w:tr>
      <w:tr w:rsidRPr="00533D5C" w:rsidR="00066F87" w:rsidTr="00066F87">
        <w:trPr>
          <w:trHeight w:val="225"/>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72" w:type="pct"/>
            <w:tcBorders>
              <w:top w:val="nil"/>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p>
        </w:tc>
      </w:tr>
      <w:tr w:rsidRPr="00533D5C" w:rsidR="00066F87" w:rsidTr="00066F87">
        <w:trPr>
          <w:trHeight w:val="210"/>
        </w:trPr>
        <w:tc>
          <w:tcPr>
            <w:tcW w:w="4128" w:type="pct"/>
            <w:tcBorders>
              <w:top w:val="nil"/>
              <w:left w:val="nil"/>
              <w:bottom w:val="nil"/>
              <w:right w:val="nil"/>
            </w:tcBorders>
            <w:shd w:val="clear" w:color="auto" w:fill="auto"/>
            <w:hideMark/>
          </w:tcPr>
          <w:p w:rsidRPr="00533D5C" w:rsidR="00066F87" w:rsidP="00533D5C" w:rsidRDefault="00066F8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72" w:type="pct"/>
            <w:tcBorders>
              <w:top w:val="single" w:color="000000" w:sz="8" w:space="0"/>
              <w:left w:val="nil"/>
              <w:bottom w:val="nil"/>
              <w:right w:val="nil"/>
            </w:tcBorders>
            <w:shd w:val="clear" w:color="auto" w:fill="auto"/>
            <w:hideMark/>
          </w:tcPr>
          <w:p w:rsidRPr="00533D5C" w:rsidR="00066F87" w:rsidP="00533D5C" w:rsidRDefault="00066F87">
            <w:pPr>
              <w:spacing w:line="240" w:lineRule="exact"/>
              <w:jc w:val="right"/>
              <w:rPr>
                <w:rFonts w:ascii="Verdana" w:hAnsi="Verdana"/>
                <w:color w:val="000000"/>
                <w:sz w:val="18"/>
                <w:szCs w:val="18"/>
              </w:rPr>
            </w:pPr>
            <w:r w:rsidRPr="00533D5C">
              <w:rPr>
                <w:rFonts w:ascii="Verdana" w:hAnsi="Verdana"/>
                <w:color w:val="000000"/>
                <w:sz w:val="18"/>
                <w:szCs w:val="18"/>
              </w:rPr>
              <w:t>1.249,2</w:t>
            </w:r>
          </w:p>
        </w:tc>
      </w:tr>
    </w:tbl>
    <w:p w:rsidRPr="00533D5C" w:rsidR="00066F87" w:rsidP="00533D5C" w:rsidRDefault="00066F87">
      <w:pPr>
        <w:spacing w:line="240" w:lineRule="exact"/>
        <w:rPr>
          <w:rFonts w:ascii="Verdana" w:hAnsi="Verdana" w:cs="Verdana"/>
          <w:b/>
          <w:bCs/>
          <w:sz w:val="18"/>
          <w:szCs w:val="18"/>
        </w:rPr>
      </w:pPr>
    </w:p>
    <w:p w:rsidRPr="00533D5C" w:rsidR="001073C1" w:rsidP="00533D5C" w:rsidRDefault="00E65D16">
      <w:pPr>
        <w:spacing w:line="240" w:lineRule="exact"/>
        <w:rPr>
          <w:rFonts w:ascii="Verdana" w:hAnsi="Verdana"/>
          <w:i/>
          <w:sz w:val="18"/>
          <w:szCs w:val="18"/>
        </w:rPr>
      </w:pPr>
      <w:r w:rsidRPr="00533D5C">
        <w:rPr>
          <w:rFonts w:ascii="Verdana" w:hAnsi="Verdana"/>
          <w:i/>
          <w:sz w:val="18"/>
          <w:szCs w:val="18"/>
        </w:rPr>
        <w:t>Diversen - mee- en tegenvallers uitgaven</w:t>
      </w:r>
    </w:p>
    <w:p w:rsidRPr="00533D5C" w:rsidR="001073C1" w:rsidP="00533D5C" w:rsidRDefault="001073C1">
      <w:pPr>
        <w:spacing w:line="240" w:lineRule="exact"/>
        <w:rPr>
          <w:rFonts w:ascii="Verdana" w:hAnsi="Verdana" w:cs="Arial"/>
          <w:sz w:val="18"/>
          <w:szCs w:val="18"/>
        </w:rPr>
      </w:pPr>
      <w:r w:rsidRPr="00533D5C">
        <w:rPr>
          <w:rFonts w:ascii="Verdana" w:hAnsi="Verdana" w:cs="Arial"/>
          <w:sz w:val="18"/>
          <w:szCs w:val="18"/>
        </w:rPr>
        <w:t>Er doen zich bij de studiefinanciering enkele meevallers voor bij de prestatiebeurs (20 mln.) en reisvoorzie</w:t>
      </w:r>
      <w:r w:rsidRPr="00533D5C" w:rsidR="00354F02">
        <w:rPr>
          <w:rFonts w:ascii="Verdana" w:hAnsi="Verdana" w:cs="Arial"/>
          <w:sz w:val="18"/>
          <w:szCs w:val="18"/>
        </w:rPr>
        <w:t>ning (20 mln.) om</w:t>
      </w:r>
      <w:r w:rsidRPr="00533D5C">
        <w:rPr>
          <w:rFonts w:ascii="Verdana" w:hAnsi="Verdana" w:cs="Arial"/>
          <w:sz w:val="18"/>
          <w:szCs w:val="18"/>
        </w:rPr>
        <w:t xml:space="preserve">dat er bij beide regelingen minder omzettingen naar gift worden verwacht en de contractuitgaven voor het reisproduct lager zijn uitgekomen. Hiertegenover staat een tegenvaller van 40 mln. bij de studiefinanciering, o.a. omdat er meer kwijtscheldingen hebben plaats gevonden bij de reisvoorziening. De raming voor de </w:t>
      </w:r>
      <w:r w:rsidRPr="00533D5C" w:rsidR="00354F02">
        <w:rPr>
          <w:rFonts w:ascii="Verdana" w:hAnsi="Verdana" w:cs="Arial"/>
          <w:sz w:val="18"/>
          <w:szCs w:val="18"/>
        </w:rPr>
        <w:t>tegemoetkoming onderwijsbijdrage en schoolkosten (</w:t>
      </w:r>
      <w:r w:rsidRPr="00533D5C">
        <w:rPr>
          <w:rFonts w:ascii="Verdana" w:hAnsi="Verdana" w:cs="Arial"/>
          <w:sz w:val="18"/>
          <w:szCs w:val="18"/>
        </w:rPr>
        <w:t>WTOS</w:t>
      </w:r>
      <w:r w:rsidRPr="00533D5C" w:rsidR="00354F02">
        <w:rPr>
          <w:rFonts w:ascii="Verdana" w:hAnsi="Verdana" w:cs="Arial"/>
          <w:sz w:val="18"/>
          <w:szCs w:val="18"/>
        </w:rPr>
        <w:t>)</w:t>
      </w:r>
      <w:r w:rsidRPr="00533D5C">
        <w:rPr>
          <w:rFonts w:ascii="Verdana" w:hAnsi="Verdana" w:cs="Arial"/>
          <w:sz w:val="18"/>
          <w:szCs w:val="18"/>
        </w:rPr>
        <w:t xml:space="preserve"> wordt 5 mln. naar beneden bijgesteld op basis van de meest actuele uitvoeringsinformatie van DUO. Verder is er een meevaller van 23 mln.  bij de lerarenbeurs, omdat het aantal aanvragen op de betreffende regeling achterblijft bij de raming. Daarnaast zijn er nog diverse kleinere mee- en tegenvallers die per saldo tot een onderuitputting van 10,5 mln. leiden.</w:t>
      </w:r>
    </w:p>
    <w:p w:rsidRPr="00533D5C" w:rsidR="001073C1" w:rsidP="00533D5C" w:rsidRDefault="001073C1">
      <w:pPr>
        <w:spacing w:line="240" w:lineRule="exact"/>
        <w:rPr>
          <w:rFonts w:ascii="Verdana" w:hAnsi="Verdana"/>
          <w:sz w:val="18"/>
          <w:szCs w:val="18"/>
        </w:rPr>
      </w:pPr>
    </w:p>
    <w:p w:rsidRPr="00533D5C" w:rsidR="00FE2DD0" w:rsidP="00533D5C" w:rsidRDefault="00FE2DD0">
      <w:pPr>
        <w:spacing w:line="240" w:lineRule="exact"/>
        <w:rPr>
          <w:rFonts w:ascii="Verdana" w:hAnsi="Verdana"/>
          <w:i/>
          <w:sz w:val="18"/>
          <w:szCs w:val="18"/>
        </w:rPr>
      </w:pPr>
    </w:p>
    <w:p w:rsidRPr="00533D5C" w:rsidR="00FE2DD0" w:rsidP="00533D5C" w:rsidRDefault="00FE2DD0">
      <w:pPr>
        <w:spacing w:line="240" w:lineRule="exact"/>
        <w:rPr>
          <w:rFonts w:ascii="Verdana" w:hAnsi="Verdana"/>
          <w:i/>
          <w:sz w:val="18"/>
          <w:szCs w:val="18"/>
        </w:rPr>
      </w:pPr>
    </w:p>
    <w:p w:rsidRPr="00533D5C" w:rsidR="001073C1" w:rsidP="00533D5C" w:rsidRDefault="00E65D16">
      <w:pPr>
        <w:spacing w:line="240" w:lineRule="exact"/>
        <w:rPr>
          <w:rFonts w:ascii="Verdana" w:hAnsi="Verdana"/>
          <w:i/>
          <w:sz w:val="18"/>
          <w:szCs w:val="18"/>
        </w:rPr>
      </w:pPr>
      <w:r w:rsidRPr="00533D5C">
        <w:rPr>
          <w:rFonts w:ascii="Verdana" w:hAnsi="Verdana"/>
          <w:i/>
          <w:sz w:val="18"/>
          <w:szCs w:val="18"/>
        </w:rPr>
        <w:lastRenderedPageBreak/>
        <w:t xml:space="preserve">Diversen - beleidsmatige mutaties </w:t>
      </w:r>
      <w:r w:rsidRPr="00533D5C" w:rsidR="001073C1">
        <w:rPr>
          <w:rFonts w:ascii="Verdana" w:hAnsi="Verdana"/>
          <w:i/>
          <w:sz w:val="18"/>
          <w:szCs w:val="18"/>
        </w:rPr>
        <w:t>u</w:t>
      </w:r>
      <w:r w:rsidRPr="00533D5C">
        <w:rPr>
          <w:rFonts w:ascii="Verdana" w:hAnsi="Verdana"/>
          <w:i/>
          <w:sz w:val="18"/>
          <w:szCs w:val="18"/>
        </w:rPr>
        <w:t>itgaven</w:t>
      </w:r>
    </w:p>
    <w:p w:rsidRPr="00533D5C" w:rsidR="009415FA" w:rsidP="00533D5C" w:rsidRDefault="001073C1">
      <w:pPr>
        <w:spacing w:line="240" w:lineRule="exact"/>
        <w:rPr>
          <w:rFonts w:ascii="Verdana" w:hAnsi="Verdana" w:cs="Arial"/>
          <w:sz w:val="18"/>
          <w:szCs w:val="18"/>
        </w:rPr>
      </w:pPr>
      <w:r w:rsidRPr="00533D5C">
        <w:rPr>
          <w:rFonts w:ascii="Verdana" w:hAnsi="Verdana" w:cs="Arial"/>
          <w:sz w:val="18"/>
          <w:szCs w:val="18"/>
        </w:rPr>
        <w:t xml:space="preserve">Deze post bestaat voor 48,4 mln. uit overlopende verplichtingen van 2014 naar 2015. </w:t>
      </w:r>
      <w:r w:rsidRPr="00533D5C" w:rsidR="009415FA">
        <w:rPr>
          <w:rFonts w:ascii="Verdana" w:hAnsi="Verdana" w:cs="Arial"/>
          <w:sz w:val="18"/>
          <w:szCs w:val="18"/>
        </w:rPr>
        <w:t>Dit bestaat uit:</w:t>
      </w:r>
    </w:p>
    <w:p w:rsidRPr="00533D5C" w:rsidR="009415FA" w:rsidP="00533D5C" w:rsidRDefault="00DE0AB2">
      <w:pPr>
        <w:pStyle w:val="Lijstalinea"/>
        <w:numPr>
          <w:ilvl w:val="0"/>
          <w:numId w:val="19"/>
        </w:numPr>
        <w:spacing w:line="240" w:lineRule="exact"/>
        <w:rPr>
          <w:rFonts w:ascii="Verdana" w:hAnsi="Verdana" w:cs="Arial"/>
          <w:sz w:val="18"/>
          <w:szCs w:val="18"/>
        </w:rPr>
      </w:pPr>
      <w:r w:rsidRPr="00533D5C">
        <w:rPr>
          <w:rFonts w:ascii="Verdana" w:hAnsi="Verdana" w:cs="Arial"/>
          <w:sz w:val="18"/>
          <w:szCs w:val="18"/>
        </w:rPr>
        <w:t>O</w:t>
      </w:r>
      <w:r w:rsidRPr="00533D5C" w:rsidR="001073C1">
        <w:rPr>
          <w:rFonts w:ascii="Verdana" w:hAnsi="Verdana" w:cs="Arial"/>
          <w:sz w:val="18"/>
          <w:szCs w:val="18"/>
        </w:rPr>
        <w:t>nderuitputting bij de huisvesting Rijksmusea</w:t>
      </w:r>
      <w:r w:rsidRPr="00533D5C">
        <w:rPr>
          <w:rFonts w:ascii="Verdana" w:hAnsi="Verdana" w:cs="Arial"/>
          <w:sz w:val="18"/>
          <w:szCs w:val="18"/>
        </w:rPr>
        <w:t xml:space="preserve"> (14,3 mln.)</w:t>
      </w:r>
      <w:r w:rsidRPr="00533D5C" w:rsidR="001073C1">
        <w:rPr>
          <w:rFonts w:ascii="Verdana" w:hAnsi="Verdana" w:cs="Arial"/>
          <w:sz w:val="18"/>
          <w:szCs w:val="18"/>
        </w:rPr>
        <w:t xml:space="preserve">. Deze middelen worden naar een later jaar meegenomen vanwege de invoering van het nieuwe huisvestingsstelsel Rijksmusea. </w:t>
      </w:r>
    </w:p>
    <w:p w:rsidRPr="00533D5C" w:rsidR="009415FA" w:rsidP="00533D5C" w:rsidRDefault="001073C1">
      <w:pPr>
        <w:pStyle w:val="Lijstalinea"/>
        <w:numPr>
          <w:ilvl w:val="0"/>
          <w:numId w:val="19"/>
        </w:numPr>
        <w:spacing w:line="240" w:lineRule="exact"/>
        <w:rPr>
          <w:rFonts w:ascii="Verdana" w:hAnsi="Verdana" w:cs="Arial"/>
          <w:sz w:val="18"/>
          <w:szCs w:val="18"/>
        </w:rPr>
      </w:pPr>
      <w:r w:rsidRPr="00533D5C">
        <w:rPr>
          <w:rFonts w:ascii="Verdana" w:hAnsi="Verdana" w:cs="Arial"/>
          <w:sz w:val="18"/>
          <w:szCs w:val="18"/>
        </w:rPr>
        <w:t xml:space="preserve">Verder is sprake van een vertraging die zich voordoet in de onderwijshuisvesting op Caribisch Nederland (7,1 mln.). </w:t>
      </w:r>
    </w:p>
    <w:p w:rsidRPr="00533D5C" w:rsidR="009415FA" w:rsidP="00533D5C" w:rsidRDefault="001073C1">
      <w:pPr>
        <w:pStyle w:val="Lijstalinea"/>
        <w:numPr>
          <w:ilvl w:val="0"/>
          <w:numId w:val="19"/>
        </w:numPr>
        <w:spacing w:line="240" w:lineRule="exact"/>
        <w:rPr>
          <w:rFonts w:ascii="Verdana" w:hAnsi="Verdana" w:cs="Arial"/>
          <w:sz w:val="18"/>
          <w:szCs w:val="18"/>
        </w:rPr>
      </w:pPr>
      <w:r w:rsidRPr="00533D5C">
        <w:rPr>
          <w:rFonts w:ascii="Verdana" w:hAnsi="Verdana" w:cs="Arial"/>
          <w:sz w:val="18"/>
          <w:szCs w:val="18"/>
        </w:rPr>
        <w:t xml:space="preserve">Daarnaast zijn er verschillende kleinere intertemporele compensaties van 2014 naar 2015 die tezamen 27 mln. bedragen. </w:t>
      </w:r>
    </w:p>
    <w:p w:rsidRPr="00533D5C" w:rsidR="001073C1" w:rsidP="00533D5C" w:rsidRDefault="009415FA">
      <w:pPr>
        <w:spacing w:line="240" w:lineRule="exact"/>
        <w:rPr>
          <w:rFonts w:ascii="Verdana" w:hAnsi="Verdana" w:cs="Arial"/>
          <w:sz w:val="18"/>
          <w:szCs w:val="18"/>
        </w:rPr>
      </w:pPr>
      <w:r w:rsidRPr="00533D5C">
        <w:rPr>
          <w:rFonts w:ascii="Verdana" w:hAnsi="Verdana" w:cs="Arial"/>
          <w:sz w:val="18"/>
          <w:szCs w:val="18"/>
        </w:rPr>
        <w:t>Daarnaast</w:t>
      </w:r>
      <w:r w:rsidRPr="00533D5C" w:rsidR="001073C1">
        <w:rPr>
          <w:rFonts w:ascii="Verdana" w:hAnsi="Verdana" w:cs="Arial"/>
          <w:sz w:val="18"/>
          <w:szCs w:val="18"/>
        </w:rPr>
        <w:t xml:space="preserve"> wordt de egalisatievordering met betrekking tot het Rijkshuisvestingsstelsel van 18,2 mln. afgelost. Het kabinet heeft besloten tot een nieuwe vormgeving van het Rijkshuisvestingsstelsel per 1-1-2016 (2011-2012 TK 31 490 nr. 75). Een van de gevolgen hiervan is dat de huidige huurcontracten voortijdig worden opengebroken. Gedurende de looptijd van het huurcontract heeft het Rijksvastgoedbedrijf (RVB) een vordering op de balans (zogenaamde egalisatievordering), die werd in de loop der tijd afgelost door het departement als gebruiker van een pand. Doordat de huurcontracten voortijdig moeten worden opengebroken vanwege de overgang naar het nieuwe huisvestingsstelsel, dienen departementen deze egalisatievordering voortijdig af te lossen. Afgesproken is dat dit vanaf VJN 2014 tot en met NJN 2015 mag. OCW heeft bij 2e suppletoire begroting 2014 de egalisatievordering afgelost. De technische uitgavenmutatie betreft de overboeking naar het ministerie van BZK. De aflossing van de egalisatievordering wordt gedekt door diverse meevallers zoals gemeld in de 2e suppletoire begroting 2014. </w:t>
      </w:r>
    </w:p>
    <w:p w:rsidRPr="00533D5C" w:rsidR="001073C1" w:rsidP="00533D5C" w:rsidRDefault="001073C1">
      <w:pPr>
        <w:spacing w:line="240" w:lineRule="exact"/>
        <w:rPr>
          <w:rFonts w:ascii="Verdana" w:hAnsi="Verdana"/>
          <w:sz w:val="18"/>
          <w:szCs w:val="18"/>
        </w:rPr>
      </w:pPr>
    </w:p>
    <w:p w:rsidRPr="00533D5C" w:rsidR="001073C1" w:rsidP="00533D5C" w:rsidRDefault="001073C1">
      <w:pPr>
        <w:spacing w:line="240" w:lineRule="exact"/>
        <w:rPr>
          <w:rFonts w:ascii="Verdana" w:hAnsi="Verdana"/>
          <w:i/>
          <w:sz w:val="18"/>
          <w:szCs w:val="18"/>
        </w:rPr>
      </w:pPr>
      <w:r w:rsidRPr="00533D5C">
        <w:rPr>
          <w:rFonts w:ascii="Verdana" w:hAnsi="Verdana"/>
          <w:i/>
          <w:sz w:val="18"/>
          <w:szCs w:val="18"/>
        </w:rPr>
        <w:t xml:space="preserve">Diversen </w:t>
      </w:r>
      <w:r w:rsidRPr="00533D5C" w:rsidR="00E65D16">
        <w:rPr>
          <w:rFonts w:ascii="Verdana" w:hAnsi="Verdana"/>
          <w:i/>
          <w:sz w:val="18"/>
          <w:szCs w:val="18"/>
        </w:rPr>
        <w:t xml:space="preserve">- </w:t>
      </w:r>
      <w:r w:rsidRPr="00533D5C">
        <w:rPr>
          <w:rFonts w:ascii="Verdana" w:hAnsi="Verdana"/>
          <w:i/>
          <w:sz w:val="18"/>
          <w:szCs w:val="18"/>
        </w:rPr>
        <w:t>technische mutaties</w:t>
      </w:r>
      <w:r w:rsidRPr="00533D5C" w:rsidR="00E65D16">
        <w:rPr>
          <w:rFonts w:ascii="Verdana" w:hAnsi="Verdana"/>
          <w:i/>
          <w:sz w:val="18"/>
          <w:szCs w:val="18"/>
        </w:rPr>
        <w:t xml:space="preserve"> u</w:t>
      </w:r>
      <w:r w:rsidRPr="00533D5C">
        <w:rPr>
          <w:rFonts w:ascii="Verdana" w:hAnsi="Verdana"/>
          <w:i/>
          <w:sz w:val="18"/>
          <w:szCs w:val="18"/>
        </w:rPr>
        <w:t>itgaven</w:t>
      </w:r>
    </w:p>
    <w:p w:rsidRPr="00533D5C" w:rsidR="001073C1" w:rsidP="00533D5C" w:rsidRDefault="001073C1">
      <w:pPr>
        <w:spacing w:line="240" w:lineRule="exact"/>
        <w:rPr>
          <w:rFonts w:ascii="Verdana" w:hAnsi="Verdana" w:cs="Arial"/>
          <w:sz w:val="18"/>
          <w:szCs w:val="18"/>
        </w:rPr>
      </w:pPr>
      <w:r w:rsidRPr="00533D5C">
        <w:rPr>
          <w:rFonts w:ascii="Verdana" w:hAnsi="Verdana"/>
          <w:sz w:val="18"/>
          <w:szCs w:val="18"/>
        </w:rPr>
        <w:t>Dit is het saldo van verschillende overboekingen (waaronder de hierboven beschreven aflossing van de egalisatievordering) en desalderingen.</w:t>
      </w:r>
    </w:p>
    <w:p w:rsidRPr="00533D5C" w:rsidR="001073C1" w:rsidP="00533D5C" w:rsidRDefault="001073C1">
      <w:pPr>
        <w:spacing w:line="240" w:lineRule="exact"/>
        <w:rPr>
          <w:rFonts w:ascii="Verdana" w:hAnsi="Verdana" w:cs="Arial"/>
          <w:sz w:val="18"/>
          <w:szCs w:val="18"/>
        </w:rPr>
      </w:pPr>
    </w:p>
    <w:p w:rsidRPr="00533D5C" w:rsidR="001073C1" w:rsidP="00533D5C" w:rsidRDefault="00E65D16">
      <w:pPr>
        <w:spacing w:line="240" w:lineRule="exact"/>
        <w:rPr>
          <w:rFonts w:ascii="Verdana" w:hAnsi="Verdana" w:cs="Courier New"/>
          <w:i/>
          <w:sz w:val="18"/>
          <w:szCs w:val="18"/>
        </w:rPr>
      </w:pPr>
      <w:r w:rsidRPr="00533D5C">
        <w:rPr>
          <w:rFonts w:ascii="Verdana" w:hAnsi="Verdana" w:cs="Courier New"/>
          <w:i/>
          <w:sz w:val="18"/>
          <w:szCs w:val="18"/>
        </w:rPr>
        <w:t xml:space="preserve">Diversen - </w:t>
      </w:r>
      <w:r w:rsidRPr="00533D5C" w:rsidR="001073C1">
        <w:rPr>
          <w:rFonts w:ascii="Verdana" w:hAnsi="Verdana" w:cs="Courier New"/>
          <w:i/>
          <w:sz w:val="18"/>
          <w:szCs w:val="18"/>
        </w:rPr>
        <w:t>technische mutaties niet kaderrelevant</w:t>
      </w:r>
    </w:p>
    <w:p w:rsidRPr="00533D5C" w:rsidR="001073C1" w:rsidP="00533D5C" w:rsidRDefault="001073C1">
      <w:pPr>
        <w:spacing w:line="240" w:lineRule="exact"/>
        <w:rPr>
          <w:rFonts w:ascii="Verdana" w:hAnsi="Verdana"/>
          <w:sz w:val="18"/>
          <w:szCs w:val="18"/>
        </w:rPr>
      </w:pPr>
      <w:r w:rsidRPr="00533D5C">
        <w:rPr>
          <w:rFonts w:ascii="Verdana" w:hAnsi="Verdana"/>
          <w:sz w:val="18"/>
          <w:szCs w:val="18"/>
        </w:rPr>
        <w:t>Deze post betreft de tegenhanger van de kaderrelevante meevallers studiefinanciering door minder omzettingen naar gift bij de prestatiebeurs (20 mln.) en reisvoorziening (20 mln.). Hierdoor nemen de studieleningen met dit bedrag (40 mln.) toe.</w:t>
      </w:r>
    </w:p>
    <w:p w:rsidRPr="00533D5C" w:rsidR="001073C1" w:rsidP="00533D5C" w:rsidRDefault="001073C1">
      <w:pPr>
        <w:spacing w:line="240" w:lineRule="exact"/>
        <w:rPr>
          <w:rFonts w:ascii="Verdana" w:hAnsi="Verdana" w:cs="Verdana"/>
          <w:b/>
          <w:bCs/>
          <w:sz w:val="18"/>
          <w:szCs w:val="18"/>
        </w:rPr>
      </w:pPr>
    </w:p>
    <w:p w:rsidRPr="00533D5C" w:rsidR="001073C1" w:rsidP="00533D5C" w:rsidRDefault="001073C1">
      <w:pPr>
        <w:spacing w:line="240" w:lineRule="exact"/>
        <w:rPr>
          <w:rFonts w:ascii="Verdana" w:hAnsi="Verdana"/>
          <w:i/>
          <w:sz w:val="18"/>
          <w:szCs w:val="18"/>
        </w:rPr>
      </w:pPr>
      <w:r w:rsidRPr="00533D5C">
        <w:rPr>
          <w:rFonts w:ascii="Verdana" w:hAnsi="Verdana"/>
          <w:i/>
          <w:sz w:val="18"/>
          <w:szCs w:val="18"/>
        </w:rPr>
        <w:t>Renteontvangsten studiefinanciering</w:t>
      </w:r>
    </w:p>
    <w:p w:rsidRPr="00533D5C" w:rsidR="001073C1" w:rsidP="00533D5C" w:rsidRDefault="001073C1">
      <w:pPr>
        <w:spacing w:line="240" w:lineRule="exact"/>
        <w:rPr>
          <w:rFonts w:ascii="Verdana" w:hAnsi="Verdana"/>
          <w:sz w:val="18"/>
          <w:szCs w:val="18"/>
        </w:rPr>
      </w:pPr>
      <w:r w:rsidRPr="00533D5C">
        <w:rPr>
          <w:rFonts w:ascii="Verdana" w:hAnsi="Verdana"/>
          <w:sz w:val="18"/>
          <w:szCs w:val="18"/>
        </w:rPr>
        <w:t xml:space="preserve">De renteontvangsten bij de langlopende rentedragende leningen vallen 30 mln. lager uit dan geraamd. </w:t>
      </w:r>
    </w:p>
    <w:p w:rsidRPr="00533D5C" w:rsidR="001073C1" w:rsidP="00533D5C" w:rsidRDefault="001073C1">
      <w:pPr>
        <w:spacing w:line="240" w:lineRule="exact"/>
        <w:rPr>
          <w:rFonts w:ascii="Verdana" w:hAnsi="Verdana"/>
          <w:i/>
          <w:sz w:val="18"/>
          <w:szCs w:val="18"/>
        </w:rPr>
      </w:pPr>
    </w:p>
    <w:p w:rsidRPr="00533D5C" w:rsidR="001073C1" w:rsidP="00533D5C" w:rsidRDefault="001073C1">
      <w:pPr>
        <w:spacing w:line="240" w:lineRule="exact"/>
        <w:rPr>
          <w:rFonts w:ascii="Verdana" w:hAnsi="Verdana"/>
          <w:i/>
          <w:sz w:val="18"/>
          <w:szCs w:val="18"/>
        </w:rPr>
      </w:pPr>
      <w:r w:rsidRPr="00533D5C">
        <w:rPr>
          <w:rFonts w:ascii="Verdana" w:hAnsi="Verdana"/>
          <w:i/>
          <w:sz w:val="18"/>
          <w:szCs w:val="18"/>
        </w:rPr>
        <w:t xml:space="preserve">Diversen </w:t>
      </w:r>
      <w:r w:rsidRPr="00533D5C" w:rsidR="00E65D16">
        <w:rPr>
          <w:rFonts w:ascii="Verdana" w:hAnsi="Verdana"/>
          <w:i/>
          <w:sz w:val="18"/>
          <w:szCs w:val="18"/>
        </w:rPr>
        <w:t xml:space="preserve">- </w:t>
      </w:r>
      <w:r w:rsidRPr="00533D5C">
        <w:rPr>
          <w:rFonts w:ascii="Verdana" w:hAnsi="Verdana"/>
          <w:i/>
          <w:sz w:val="18"/>
          <w:szCs w:val="18"/>
        </w:rPr>
        <w:t>mee- en tegenvallers ontvangsten</w:t>
      </w:r>
    </w:p>
    <w:p w:rsidRPr="00533D5C" w:rsidR="001073C1" w:rsidP="00533D5C" w:rsidRDefault="001073C1">
      <w:pPr>
        <w:spacing w:line="240" w:lineRule="exact"/>
        <w:rPr>
          <w:rFonts w:ascii="Verdana" w:hAnsi="Verdana"/>
          <w:sz w:val="18"/>
          <w:szCs w:val="18"/>
        </w:rPr>
      </w:pPr>
      <w:r w:rsidRPr="00533D5C">
        <w:rPr>
          <w:rFonts w:ascii="Verdana" w:hAnsi="Verdana"/>
          <w:sz w:val="18"/>
          <w:szCs w:val="18"/>
        </w:rPr>
        <w:t xml:space="preserve">De hogere ontvangsten komen voornamelijk voort uit meevallers in autonome ramingen. De lesgeldontvangsten komen naar verwachting 10 mln. hoger uit dan geraamd. Daarnaast zijn er 5 mln. meer ontvangsten op de kortlopende vorderingen. Verder is er een totaal van 17,4 mln. aan terugvorderingen bij diverse subsidieregelingen en projecten. </w:t>
      </w:r>
    </w:p>
    <w:p w:rsidRPr="00533D5C" w:rsidR="001073C1" w:rsidP="00533D5C" w:rsidRDefault="001073C1">
      <w:pPr>
        <w:spacing w:line="240" w:lineRule="exact"/>
        <w:rPr>
          <w:rFonts w:ascii="Verdana" w:hAnsi="Verdana"/>
          <w:sz w:val="18"/>
          <w:szCs w:val="18"/>
        </w:rPr>
      </w:pPr>
    </w:p>
    <w:p w:rsidRPr="00533D5C" w:rsidR="001073C1" w:rsidP="00533D5C" w:rsidRDefault="001073C1">
      <w:pPr>
        <w:spacing w:line="240" w:lineRule="exact"/>
        <w:rPr>
          <w:rFonts w:ascii="Verdana" w:hAnsi="Verdana"/>
          <w:i/>
          <w:sz w:val="18"/>
          <w:szCs w:val="18"/>
        </w:rPr>
      </w:pPr>
      <w:r w:rsidRPr="00533D5C">
        <w:rPr>
          <w:rFonts w:ascii="Verdana" w:hAnsi="Verdana"/>
          <w:i/>
          <w:sz w:val="18"/>
          <w:szCs w:val="18"/>
        </w:rPr>
        <w:t>Diversen</w:t>
      </w:r>
      <w:r w:rsidRPr="00533D5C" w:rsidR="00E65D16">
        <w:rPr>
          <w:rFonts w:ascii="Verdana" w:hAnsi="Verdana"/>
          <w:i/>
          <w:sz w:val="18"/>
          <w:szCs w:val="18"/>
        </w:rPr>
        <w:t xml:space="preserve"> -</w:t>
      </w:r>
      <w:r w:rsidRPr="00533D5C">
        <w:rPr>
          <w:rFonts w:ascii="Verdana" w:hAnsi="Verdana"/>
          <w:i/>
          <w:sz w:val="18"/>
          <w:szCs w:val="18"/>
        </w:rPr>
        <w:t xml:space="preserve"> t</w:t>
      </w:r>
      <w:r w:rsidRPr="00533D5C" w:rsidR="00E65D16">
        <w:rPr>
          <w:rFonts w:ascii="Verdana" w:hAnsi="Verdana"/>
          <w:i/>
          <w:sz w:val="18"/>
          <w:szCs w:val="18"/>
        </w:rPr>
        <w:t>echnische mutaties ontvangsten</w:t>
      </w:r>
    </w:p>
    <w:p w:rsidRPr="00533D5C" w:rsidR="001073C1" w:rsidP="00533D5C" w:rsidRDefault="001073C1">
      <w:pPr>
        <w:spacing w:line="240" w:lineRule="exact"/>
        <w:rPr>
          <w:rFonts w:ascii="Verdana" w:hAnsi="Verdana"/>
          <w:sz w:val="18"/>
          <w:szCs w:val="18"/>
        </w:rPr>
      </w:pPr>
      <w:r w:rsidRPr="00533D5C">
        <w:rPr>
          <w:rFonts w:ascii="Verdana" w:hAnsi="Verdana"/>
          <w:sz w:val="18"/>
          <w:szCs w:val="18"/>
        </w:rPr>
        <w:t>Dit betreft het saldo van verschillende desalderingen. Belangrijkste oorzaak is de eindafrekening van het project</w:t>
      </w:r>
      <w:r w:rsidRPr="00533D5C" w:rsidR="004E19A5">
        <w:rPr>
          <w:rFonts w:ascii="Verdana" w:hAnsi="Verdana"/>
          <w:sz w:val="18"/>
          <w:szCs w:val="18"/>
        </w:rPr>
        <w:t xml:space="preserve"> Het Nieuwe Rijksmuseum, waar 9,</w:t>
      </w:r>
      <w:r w:rsidRPr="00533D5C">
        <w:rPr>
          <w:rFonts w:ascii="Verdana" w:hAnsi="Verdana"/>
          <w:sz w:val="18"/>
          <w:szCs w:val="18"/>
        </w:rPr>
        <w:t xml:space="preserve">8 mln. aan onderuitputting wordt teruggeboekt naar de begroting. Deze middelen worden via een intertemporele compensatie bestemd voor het nieuwe huisvestingsstelsel Rijksmusea (zie uitgaven). </w:t>
      </w:r>
    </w:p>
    <w:p w:rsidRPr="00533D5C" w:rsidR="00283CE9" w:rsidP="00533D5C" w:rsidRDefault="00283CE9">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BE1815" w:rsidP="00533D5C" w:rsidRDefault="00BE1815">
      <w:pPr>
        <w:spacing w:line="240" w:lineRule="exact"/>
        <w:rPr>
          <w:rFonts w:ascii="Verdana" w:hAnsi="Verdana"/>
          <w:b/>
          <w:sz w:val="18"/>
          <w:szCs w:val="18"/>
        </w:rPr>
      </w:pPr>
      <w:r w:rsidRPr="00533D5C">
        <w:rPr>
          <w:rFonts w:ascii="Verdana" w:hAnsi="Verdana"/>
          <w:b/>
          <w:sz w:val="18"/>
          <w:szCs w:val="18"/>
        </w:rPr>
        <w:lastRenderedPageBreak/>
        <w:t>Nationale Schuld</w:t>
      </w:r>
    </w:p>
    <w:p w:rsidRPr="00533D5C" w:rsidR="00490E87" w:rsidP="00533D5C" w:rsidRDefault="00490E87">
      <w:pPr>
        <w:spacing w:line="240" w:lineRule="exact"/>
        <w:rPr>
          <w:rFonts w:ascii="Verdana" w:hAnsi="Verdana"/>
          <w:b/>
          <w:sz w:val="18"/>
          <w:szCs w:val="18"/>
        </w:rPr>
      </w:pPr>
    </w:p>
    <w:tbl>
      <w:tblPr>
        <w:tblW w:w="8948" w:type="dxa"/>
        <w:tblInd w:w="53" w:type="dxa"/>
        <w:tblCellMar>
          <w:left w:w="70" w:type="dxa"/>
          <w:right w:w="70" w:type="dxa"/>
        </w:tblCellMar>
        <w:tblLook w:val="04A0"/>
      </w:tblPr>
      <w:tblGrid>
        <w:gridCol w:w="7672"/>
        <w:gridCol w:w="1276"/>
      </w:tblGrid>
      <w:tr w:rsidRPr="00533D5C" w:rsidR="00490E87" w:rsidTr="00490E87">
        <w:trPr>
          <w:trHeight w:val="46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IXA NATIONALE SCHULD (TRANSACTIEBASIS): UITGAVEN</w:t>
            </w:r>
          </w:p>
        </w:tc>
        <w:tc>
          <w:tcPr>
            <w:tcW w:w="1276"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40"/>
        </w:trPr>
        <w:tc>
          <w:tcPr>
            <w:tcW w:w="7672" w:type="dxa"/>
            <w:tcBorders>
              <w:top w:val="single" w:color="000000" w:sz="8" w:space="0"/>
              <w:left w:val="nil"/>
              <w:bottom w:val="single" w:color="000000" w:sz="8" w:space="0"/>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1276" w:type="dxa"/>
            <w:tcBorders>
              <w:top w:val="single" w:color="000000" w:sz="8" w:space="0"/>
              <w:left w:val="nil"/>
              <w:bottom w:val="single" w:color="000000" w:sz="8" w:space="0"/>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16765,9</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1276"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1276"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Mutatie in rekening-courant en deposito</w:t>
            </w: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186,3</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Verstrekte leningen</w:t>
            </w: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-75,0</w:t>
            </w: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-57,3</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c>
          <w:tcPr>
            <w:tcW w:w="1276"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54,0</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54,0</w:t>
            </w: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c>
          <w:tcPr>
            <w:tcW w:w="1276"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1276"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16819,9</w:t>
            </w: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1276"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16819,9</w:t>
            </w:r>
          </w:p>
        </w:tc>
      </w:tr>
      <w:tr w:rsidRPr="00533D5C" w:rsidR="00490E87" w:rsidTr="00490E87">
        <w:trPr>
          <w:trHeight w:val="225"/>
        </w:trPr>
        <w:tc>
          <w:tcPr>
            <w:tcW w:w="7672"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c>
          <w:tcPr>
            <w:tcW w:w="1276"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r>
      <w:tr w:rsidRPr="00533D5C" w:rsidR="00490E87" w:rsidTr="0011334B">
        <w:trPr>
          <w:trHeight w:val="188"/>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IXA NATIONALE SCHULD (TRANSACTIEBASIS): NIET-BELASTINGONTVANGSTEN</w:t>
            </w:r>
          </w:p>
        </w:tc>
        <w:tc>
          <w:tcPr>
            <w:tcW w:w="1276"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40"/>
        </w:trPr>
        <w:tc>
          <w:tcPr>
            <w:tcW w:w="7672" w:type="dxa"/>
            <w:tcBorders>
              <w:top w:val="single" w:color="000000" w:sz="8" w:space="0"/>
              <w:left w:val="nil"/>
              <w:bottom w:val="single" w:color="000000" w:sz="8" w:space="0"/>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1276" w:type="dxa"/>
            <w:tcBorders>
              <w:top w:val="single" w:color="000000" w:sz="8" w:space="0"/>
              <w:left w:val="nil"/>
              <w:bottom w:val="single" w:color="000000" w:sz="8" w:space="0"/>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4746,4</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1276"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1276"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Mutatie in rekening-courant en deposito</w:t>
            </w: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1603,2</w:t>
            </w: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-9,6</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c>
          <w:tcPr>
            <w:tcW w:w="1276"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1593,6</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1593,6</w:t>
            </w: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c>
          <w:tcPr>
            <w:tcW w:w="1276"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1276"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6340,0</w:t>
            </w: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1276"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1276"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6340,0</w:t>
            </w:r>
          </w:p>
        </w:tc>
      </w:tr>
    </w:tbl>
    <w:p w:rsidRPr="00533D5C" w:rsidR="00490E87" w:rsidP="00533D5C" w:rsidRDefault="00490E87">
      <w:pPr>
        <w:spacing w:line="240" w:lineRule="exact"/>
        <w:rPr>
          <w:rFonts w:ascii="Verdana" w:hAnsi="Verdana"/>
          <w:b/>
          <w:sz w:val="18"/>
          <w:szCs w:val="18"/>
        </w:rPr>
      </w:pPr>
    </w:p>
    <w:p w:rsidRPr="00533D5C" w:rsidR="00490E87" w:rsidP="00533D5C" w:rsidRDefault="00490E87">
      <w:pPr>
        <w:spacing w:line="240" w:lineRule="exact"/>
        <w:rPr>
          <w:rFonts w:ascii="Verdana" w:hAnsi="Verdana"/>
          <w:b/>
          <w:sz w:val="18"/>
          <w:szCs w:val="18"/>
        </w:rPr>
      </w:pPr>
    </w:p>
    <w:p w:rsidRPr="00533D5C" w:rsidR="00490E87" w:rsidP="00533D5C" w:rsidRDefault="00490E87">
      <w:pPr>
        <w:spacing w:line="240" w:lineRule="exact"/>
        <w:rPr>
          <w:rFonts w:ascii="Verdana" w:hAnsi="Verdana"/>
          <w:sz w:val="18"/>
          <w:szCs w:val="18"/>
        </w:rPr>
      </w:pPr>
      <w:r w:rsidRPr="00533D5C">
        <w:rPr>
          <w:rFonts w:ascii="Verdana" w:hAnsi="Verdana"/>
          <w:i/>
          <w:iCs/>
          <w:sz w:val="18"/>
          <w:szCs w:val="18"/>
        </w:rPr>
        <w:t>Mutatie in rekening-courant en deposito (uitgaven en ontvangsten)                      </w:t>
      </w:r>
      <w:r w:rsidRPr="00533D5C">
        <w:rPr>
          <w:rFonts w:ascii="Verdana" w:hAnsi="Verdana"/>
          <w:i/>
          <w:iCs/>
          <w:sz w:val="18"/>
          <w:szCs w:val="18"/>
        </w:rPr>
        <w:br/>
      </w:r>
      <w:r w:rsidRPr="00533D5C">
        <w:rPr>
          <w:rFonts w:ascii="Verdana" w:hAnsi="Verdana"/>
          <w:sz w:val="18"/>
          <w:szCs w:val="18"/>
        </w:rPr>
        <w:t>De daling van het rekening-courant saldo van de sociale fondsen is groter dan verwacht. Het verwachte tekort wordt met 186 mln. naar boven bijgesteld, wat wordt geboekt als uitgave op de begroting van Nationale Schuld.</w:t>
      </w:r>
    </w:p>
    <w:p w:rsidRPr="00533D5C" w:rsidR="00490E87" w:rsidP="00533D5C" w:rsidRDefault="00490E87">
      <w:pPr>
        <w:spacing w:line="240" w:lineRule="exact"/>
        <w:rPr>
          <w:rFonts w:ascii="Verdana" w:hAnsi="Verdana"/>
          <w:sz w:val="18"/>
          <w:szCs w:val="18"/>
        </w:rPr>
      </w:pPr>
      <w:r w:rsidRPr="00533D5C">
        <w:rPr>
          <w:rFonts w:ascii="Verdana" w:hAnsi="Verdana"/>
          <w:sz w:val="18"/>
          <w:szCs w:val="18"/>
        </w:rPr>
        <w:t>Agentschappen, RWT’s en Decentrale Overheden hebben netto hun in de schatkist aangehouden middelen vergroot. Dit wordt geboekt als ontvangst op de begroting van Nationale Schuld. Het gaat om respectievelijk 467 mln., 655 mln. en 481 mln.</w:t>
      </w:r>
    </w:p>
    <w:p w:rsidRPr="00533D5C" w:rsidR="00490E87" w:rsidP="00533D5C" w:rsidRDefault="00490E87">
      <w:pPr>
        <w:spacing w:line="240" w:lineRule="exact"/>
        <w:rPr>
          <w:rFonts w:ascii="Verdana" w:hAnsi="Verdana"/>
          <w:sz w:val="18"/>
          <w:szCs w:val="18"/>
        </w:rPr>
      </w:pPr>
    </w:p>
    <w:p w:rsidRPr="00533D5C" w:rsidR="00490E87" w:rsidP="00533D5C" w:rsidRDefault="00490E87">
      <w:pPr>
        <w:spacing w:line="240" w:lineRule="exact"/>
        <w:rPr>
          <w:rFonts w:ascii="Verdana" w:hAnsi="Verdana"/>
          <w:i/>
          <w:sz w:val="18"/>
          <w:szCs w:val="18"/>
        </w:rPr>
      </w:pPr>
      <w:r w:rsidRPr="00533D5C">
        <w:rPr>
          <w:rFonts w:ascii="Verdana" w:hAnsi="Verdana"/>
          <w:i/>
          <w:sz w:val="18"/>
          <w:szCs w:val="18"/>
        </w:rPr>
        <w:t>Verstrekte leningen</w:t>
      </w:r>
    </w:p>
    <w:p w:rsidRPr="00533D5C" w:rsidR="00490E87" w:rsidP="00533D5C" w:rsidRDefault="00490E87">
      <w:pPr>
        <w:spacing w:line="240" w:lineRule="exact"/>
        <w:rPr>
          <w:rFonts w:ascii="Verdana" w:hAnsi="Verdana"/>
          <w:sz w:val="18"/>
          <w:szCs w:val="18"/>
        </w:rPr>
      </w:pPr>
      <w:r w:rsidRPr="00533D5C">
        <w:rPr>
          <w:rFonts w:ascii="Verdana" w:hAnsi="Verdana"/>
          <w:sz w:val="18"/>
          <w:szCs w:val="18"/>
        </w:rPr>
        <w:t>Op basis van de tot nu toe in 2014 afgegeven leningen aan RWT’s wordt het geraamde totaalbedrag aan verstrekte leningen naar beneden bijgesteld met 75 mln.</w:t>
      </w:r>
    </w:p>
    <w:p w:rsidRPr="00533D5C" w:rsidR="00490E87" w:rsidP="00533D5C" w:rsidRDefault="00490E87">
      <w:pPr>
        <w:spacing w:line="240" w:lineRule="exact"/>
        <w:rPr>
          <w:rFonts w:ascii="Verdana" w:hAnsi="Verdana"/>
          <w:b/>
          <w:sz w:val="18"/>
          <w:szCs w:val="18"/>
        </w:rPr>
      </w:pPr>
    </w:p>
    <w:p w:rsidRPr="00533D5C" w:rsidR="00166359" w:rsidP="00533D5C" w:rsidRDefault="00446564">
      <w:pPr>
        <w:spacing w:line="240" w:lineRule="exact"/>
        <w:rPr>
          <w:rFonts w:ascii="Verdana" w:hAnsi="Verdana"/>
          <w:i/>
          <w:sz w:val="18"/>
          <w:szCs w:val="18"/>
        </w:rPr>
      </w:pPr>
      <w:r w:rsidRPr="00533D5C">
        <w:rPr>
          <w:rFonts w:ascii="Verdana" w:hAnsi="Verdana"/>
          <w:i/>
          <w:sz w:val="18"/>
          <w:szCs w:val="18"/>
        </w:rPr>
        <w:t>Diversen - technische mutaties uitgaven</w:t>
      </w:r>
    </w:p>
    <w:p w:rsidRPr="00533D5C" w:rsidR="00E5132C" w:rsidP="00533D5C" w:rsidRDefault="00F4471D">
      <w:pPr>
        <w:spacing w:line="240" w:lineRule="exact"/>
        <w:rPr>
          <w:rFonts w:ascii="Verdana" w:hAnsi="Verdana"/>
          <w:sz w:val="18"/>
          <w:szCs w:val="18"/>
        </w:rPr>
      </w:pPr>
      <w:r w:rsidRPr="00533D5C">
        <w:rPr>
          <w:rFonts w:ascii="Verdana" w:hAnsi="Verdana"/>
          <w:sz w:val="18"/>
          <w:szCs w:val="18"/>
        </w:rPr>
        <w:t>Sinds het opstellen van de M</w:t>
      </w:r>
      <w:r w:rsidRPr="00533D5C" w:rsidR="00E5132C">
        <w:rPr>
          <w:rFonts w:ascii="Verdana" w:hAnsi="Verdana"/>
          <w:sz w:val="18"/>
          <w:szCs w:val="18"/>
        </w:rPr>
        <w:t xml:space="preserve">iljoenennota 2015 zijn er staatsobligaties uitgegeven tegen een lagere effectieve rente dan waar in de raming rekening mee werd gehouden. Hierdoor wordt de raming voor de rentelasten op </w:t>
      </w:r>
      <w:r w:rsidRPr="00533D5C">
        <w:rPr>
          <w:rFonts w:ascii="Verdana" w:hAnsi="Verdana"/>
          <w:sz w:val="18"/>
          <w:szCs w:val="18"/>
        </w:rPr>
        <w:t>de vaste schuld met 44,9 mln.</w:t>
      </w:r>
      <w:r w:rsidRPr="00533D5C" w:rsidR="00E5132C">
        <w:rPr>
          <w:rFonts w:ascii="Verdana" w:hAnsi="Verdana"/>
          <w:sz w:val="18"/>
          <w:szCs w:val="18"/>
        </w:rPr>
        <w:t xml:space="preserve"> naar beneden bijgesteld. Vanwege de lagere rente zijn ook de geraamde rentelasten op de v</w:t>
      </w:r>
      <w:r w:rsidRPr="00533D5C">
        <w:rPr>
          <w:rFonts w:ascii="Verdana" w:hAnsi="Verdana"/>
          <w:sz w:val="18"/>
          <w:szCs w:val="18"/>
        </w:rPr>
        <w:t xml:space="preserve">lottende schuld met 3,7 mln. </w:t>
      </w:r>
      <w:r w:rsidRPr="00533D5C" w:rsidR="00E5132C">
        <w:rPr>
          <w:rFonts w:ascii="Verdana" w:hAnsi="Verdana"/>
          <w:sz w:val="18"/>
          <w:szCs w:val="18"/>
        </w:rPr>
        <w:t>naar beneden bijgesteld. Ook bij het schatkistbankieren (artikel 12) zorgt de lagere rente voor 8,7 mln. minder rentelasten op de aangehouden middelen van deelnemers.</w:t>
      </w:r>
    </w:p>
    <w:p w:rsidRPr="00533D5C" w:rsidR="00DD0A46" w:rsidP="00533D5C" w:rsidRDefault="00DD0A46">
      <w:pPr>
        <w:spacing w:line="240" w:lineRule="exact"/>
        <w:rPr>
          <w:rFonts w:ascii="Verdana" w:hAnsi="Verdana"/>
          <w:sz w:val="18"/>
          <w:szCs w:val="18"/>
        </w:rPr>
      </w:pPr>
    </w:p>
    <w:p w:rsidRPr="00533D5C" w:rsidR="00166359" w:rsidP="00533D5C" w:rsidRDefault="00166359">
      <w:pPr>
        <w:spacing w:line="240" w:lineRule="exact"/>
        <w:rPr>
          <w:rFonts w:ascii="Verdana" w:hAnsi="Verdana"/>
          <w:i/>
          <w:sz w:val="18"/>
          <w:szCs w:val="18"/>
        </w:rPr>
      </w:pPr>
      <w:r w:rsidRPr="00533D5C">
        <w:rPr>
          <w:rFonts w:ascii="Verdana" w:hAnsi="Verdana"/>
          <w:i/>
          <w:sz w:val="18"/>
          <w:szCs w:val="18"/>
        </w:rPr>
        <w:t xml:space="preserve">Diversen </w:t>
      </w:r>
      <w:r w:rsidRPr="00533D5C" w:rsidR="00446564">
        <w:rPr>
          <w:rFonts w:ascii="Verdana" w:hAnsi="Verdana"/>
          <w:i/>
          <w:sz w:val="18"/>
          <w:szCs w:val="18"/>
        </w:rPr>
        <w:t xml:space="preserve">- </w:t>
      </w:r>
      <w:r w:rsidRPr="00533D5C">
        <w:rPr>
          <w:rFonts w:ascii="Verdana" w:hAnsi="Verdana"/>
          <w:i/>
          <w:sz w:val="18"/>
          <w:szCs w:val="18"/>
        </w:rPr>
        <w:t>t</w:t>
      </w:r>
      <w:r w:rsidRPr="00533D5C" w:rsidR="00354F02">
        <w:rPr>
          <w:rFonts w:ascii="Verdana" w:hAnsi="Verdana"/>
          <w:i/>
          <w:sz w:val="18"/>
          <w:szCs w:val="18"/>
        </w:rPr>
        <w:t xml:space="preserve">echnische mutaties </w:t>
      </w:r>
      <w:r w:rsidRPr="00533D5C" w:rsidR="00446564">
        <w:rPr>
          <w:rFonts w:ascii="Verdana" w:hAnsi="Verdana"/>
          <w:i/>
          <w:sz w:val="18"/>
          <w:szCs w:val="18"/>
        </w:rPr>
        <w:t>ontvangsten</w:t>
      </w:r>
    </w:p>
    <w:p w:rsidRPr="00533D5C" w:rsidR="00BE1815" w:rsidP="00533D5C" w:rsidRDefault="005F1AA6">
      <w:pPr>
        <w:spacing w:line="240" w:lineRule="exact"/>
        <w:rPr>
          <w:rFonts w:ascii="Verdana" w:hAnsi="Verdana" w:cs="Verdana"/>
          <w:b/>
          <w:bCs/>
          <w:sz w:val="18"/>
          <w:szCs w:val="18"/>
        </w:rPr>
      </w:pPr>
      <w:r w:rsidRPr="00533D5C">
        <w:rPr>
          <w:rFonts w:ascii="Verdana" w:hAnsi="Verdana"/>
          <w:sz w:val="18"/>
          <w:szCs w:val="18"/>
        </w:rPr>
        <w:t>Deze post bevat een daling van de raming van de rente-ontvangsten op de vaste schuld naar aanleiding van nieuw afgesloten swaps in oktober (9,6 mln.) en een daling van de rente-</w:t>
      </w:r>
      <w:r w:rsidRPr="00533D5C">
        <w:rPr>
          <w:rFonts w:ascii="Verdana" w:hAnsi="Verdana"/>
          <w:sz w:val="18"/>
          <w:szCs w:val="18"/>
        </w:rPr>
        <w:lastRenderedPageBreak/>
        <w:t>ontvangsten op de vlottende schuld (0,4 mln.). Daarnaast vallen naar verwachting de rente-ontvangsten op leningen van agentschappen en RWT’s lager uit (4,0 en 1,3 mln.), terwijl</w:t>
      </w:r>
      <w:r w:rsidRPr="00533D5C">
        <w:rPr>
          <w:rFonts w:ascii="Verdana" w:hAnsi="Verdana"/>
          <w:b/>
          <w:bCs/>
          <w:sz w:val="18"/>
          <w:szCs w:val="18"/>
        </w:rPr>
        <w:t xml:space="preserve"> </w:t>
      </w:r>
      <w:r w:rsidRPr="00533D5C">
        <w:rPr>
          <w:rFonts w:ascii="Verdana" w:hAnsi="Verdana"/>
          <w:sz w:val="18"/>
          <w:szCs w:val="18"/>
        </w:rPr>
        <w:t>de rentebaten die ontvangen worden van de sociale fondsen naar verwachting hoger uitvallen (0,6 mln.). Tot slot zijn er tot nu toe door agentschappen meer leningen afgelost dan verwacht (8,7 mln.) en door RWT’s minder dan verwacht (3,7 mln.).</w:t>
      </w:r>
    </w:p>
    <w:p w:rsidRPr="00533D5C" w:rsidR="003B218F" w:rsidP="00533D5C" w:rsidRDefault="003B218F">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5652F"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Financiën</w:t>
      </w:r>
    </w:p>
    <w:p w:rsidRPr="00533D5C" w:rsidR="00840343" w:rsidP="00533D5C" w:rsidRDefault="00840343">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714"/>
        <w:gridCol w:w="1498"/>
      </w:tblGrid>
      <w:tr w:rsidRPr="00533D5C" w:rsidR="00840343" w:rsidTr="00840343">
        <w:trPr>
          <w:trHeight w:val="240"/>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IXB FINANCIEN: UITGAVEN</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40"/>
        </w:trPr>
        <w:tc>
          <w:tcPr>
            <w:tcW w:w="4187" w:type="pct"/>
            <w:tcBorders>
              <w:top w:val="single" w:color="000000" w:sz="8" w:space="0"/>
              <w:left w:val="nil"/>
              <w:bottom w:val="single" w:color="000000" w:sz="8" w:space="0"/>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13" w:type="pct"/>
            <w:tcBorders>
              <w:top w:val="single" w:color="000000" w:sz="8" w:space="0"/>
              <w:left w:val="nil"/>
              <w:bottom w:val="single" w:color="000000" w:sz="8" w:space="0"/>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10.502,9</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Bijstelling belasting- en invorderingsrente</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-160,0</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Bijstelling schades ekv</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-15,0</w:t>
            </w:r>
          </w:p>
        </w:tc>
      </w:tr>
      <w:tr w:rsidRPr="00533D5C" w:rsidR="00840343" w:rsidTr="00840343">
        <w:trPr>
          <w:trHeight w:val="240"/>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1,9</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p>
        </w:tc>
        <w:tc>
          <w:tcPr>
            <w:tcW w:w="813" w:type="pct"/>
            <w:tcBorders>
              <w:top w:val="single" w:color="000000" w:sz="8" w:space="0"/>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-173,1</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0,5</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40"/>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p>
        </w:tc>
        <w:tc>
          <w:tcPr>
            <w:tcW w:w="813" w:type="pct"/>
            <w:tcBorders>
              <w:top w:val="single" w:color="000000" w:sz="8" w:space="0"/>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0,5</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-172,7</w:t>
            </w:r>
          </w:p>
        </w:tc>
      </w:tr>
      <w:tr w:rsidRPr="00533D5C" w:rsidR="00840343" w:rsidTr="00840343">
        <w:trPr>
          <w:trHeight w:val="240"/>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13" w:type="pct"/>
            <w:tcBorders>
              <w:top w:val="single" w:color="000000" w:sz="8" w:space="0"/>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10.330,2</w:t>
            </w:r>
          </w:p>
        </w:tc>
      </w:tr>
      <w:tr w:rsidRPr="00533D5C" w:rsidR="00840343" w:rsidTr="00840343">
        <w:trPr>
          <w:trHeight w:val="240"/>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56,8</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13" w:type="pct"/>
            <w:tcBorders>
              <w:top w:val="single" w:color="000000" w:sz="8" w:space="0"/>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10.387,0</w:t>
            </w:r>
          </w:p>
        </w:tc>
      </w:tr>
      <w:tr w:rsidRPr="00533D5C" w:rsidR="00840343" w:rsidTr="00840343">
        <w:trPr>
          <w:trHeight w:val="225"/>
        </w:trPr>
        <w:tc>
          <w:tcPr>
            <w:tcW w:w="4187"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40"/>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IXB FINANCIEN: NIET-BELASTINGONTVANGSTEN</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40"/>
        </w:trPr>
        <w:tc>
          <w:tcPr>
            <w:tcW w:w="4187" w:type="pct"/>
            <w:tcBorders>
              <w:top w:val="single" w:color="000000" w:sz="8" w:space="0"/>
              <w:left w:val="nil"/>
              <w:bottom w:val="single" w:color="000000" w:sz="8" w:space="0"/>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13" w:type="pct"/>
            <w:tcBorders>
              <w:top w:val="single" w:color="000000" w:sz="8" w:space="0"/>
              <w:left w:val="nil"/>
              <w:bottom w:val="single" w:color="000000" w:sz="8" w:space="0"/>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9.654,5</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Bijstellen premies ekv</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19,0</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Bijstellen recuperaties ekv</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40,0</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Bijstelling belasting- en invorderingsrente</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-160,0</w:t>
            </w:r>
          </w:p>
        </w:tc>
      </w:tr>
      <w:tr w:rsidRPr="00533D5C" w:rsidR="00840343" w:rsidTr="00840343">
        <w:trPr>
          <w:trHeight w:val="240"/>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9,1</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p>
        </w:tc>
        <w:tc>
          <w:tcPr>
            <w:tcW w:w="813" w:type="pct"/>
            <w:tcBorders>
              <w:top w:val="single" w:color="000000" w:sz="8" w:space="0"/>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-91,9</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-3,5</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Vervroegde aflossing ing</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1.025,0</w:t>
            </w:r>
          </w:p>
        </w:tc>
      </w:tr>
      <w:tr w:rsidRPr="00533D5C" w:rsidR="00840343" w:rsidTr="00840343">
        <w:trPr>
          <w:trHeight w:val="240"/>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-2,7</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p>
        </w:tc>
        <w:tc>
          <w:tcPr>
            <w:tcW w:w="813" w:type="pct"/>
            <w:tcBorders>
              <w:top w:val="single" w:color="000000" w:sz="8" w:space="0"/>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1.018,8</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926,9</w:t>
            </w:r>
          </w:p>
        </w:tc>
      </w:tr>
      <w:tr w:rsidRPr="00533D5C" w:rsidR="00840343" w:rsidTr="00840343">
        <w:trPr>
          <w:trHeight w:val="240"/>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p>
        </w:tc>
        <w:tc>
          <w:tcPr>
            <w:tcW w:w="813" w:type="pct"/>
            <w:tcBorders>
              <w:top w:val="nil"/>
              <w:left w:val="nil"/>
              <w:bottom w:val="nil"/>
              <w:right w:val="nil"/>
            </w:tcBorders>
            <w:shd w:val="clear" w:color="auto" w:fill="auto"/>
            <w:noWrap/>
            <w:vAlign w:val="bottom"/>
            <w:hideMark/>
          </w:tcPr>
          <w:p w:rsidRPr="00533D5C" w:rsidR="00840343" w:rsidP="00533D5C" w:rsidRDefault="00840343">
            <w:pPr>
              <w:spacing w:line="240" w:lineRule="exact"/>
              <w:rPr>
                <w:rFonts w:ascii="Verdana" w:hAnsi="Verdana"/>
                <w:color w:val="000000"/>
                <w:sz w:val="18"/>
                <w:szCs w:val="18"/>
              </w:rPr>
            </w:pP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13" w:type="pct"/>
            <w:tcBorders>
              <w:top w:val="single" w:color="000000" w:sz="8" w:space="0"/>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10.581,4</w:t>
            </w:r>
          </w:p>
        </w:tc>
      </w:tr>
      <w:tr w:rsidRPr="00533D5C" w:rsidR="00840343" w:rsidTr="00840343">
        <w:trPr>
          <w:trHeight w:val="240"/>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13" w:type="pct"/>
            <w:tcBorders>
              <w:top w:val="nil"/>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5,4</w:t>
            </w:r>
          </w:p>
        </w:tc>
      </w:tr>
      <w:tr w:rsidRPr="00533D5C" w:rsidR="00840343" w:rsidTr="00840343">
        <w:trPr>
          <w:trHeight w:val="225"/>
        </w:trPr>
        <w:tc>
          <w:tcPr>
            <w:tcW w:w="4187" w:type="pct"/>
            <w:tcBorders>
              <w:top w:val="nil"/>
              <w:left w:val="nil"/>
              <w:bottom w:val="nil"/>
              <w:right w:val="nil"/>
            </w:tcBorders>
            <w:shd w:val="clear" w:color="auto" w:fill="auto"/>
            <w:hideMark/>
          </w:tcPr>
          <w:p w:rsidRPr="00533D5C" w:rsidR="00840343" w:rsidP="00533D5C" w:rsidRDefault="00840343">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13" w:type="pct"/>
            <w:tcBorders>
              <w:top w:val="single" w:color="000000" w:sz="8" w:space="0"/>
              <w:left w:val="nil"/>
              <w:bottom w:val="nil"/>
              <w:right w:val="nil"/>
            </w:tcBorders>
            <w:shd w:val="clear" w:color="auto" w:fill="auto"/>
            <w:hideMark/>
          </w:tcPr>
          <w:p w:rsidRPr="00533D5C" w:rsidR="00840343" w:rsidP="00533D5C" w:rsidRDefault="00840343">
            <w:pPr>
              <w:spacing w:line="240" w:lineRule="exact"/>
              <w:jc w:val="right"/>
              <w:rPr>
                <w:rFonts w:ascii="Verdana" w:hAnsi="Verdana"/>
                <w:color w:val="000000"/>
                <w:sz w:val="18"/>
                <w:szCs w:val="18"/>
              </w:rPr>
            </w:pPr>
            <w:r w:rsidRPr="00533D5C">
              <w:rPr>
                <w:rFonts w:ascii="Verdana" w:hAnsi="Verdana"/>
                <w:color w:val="000000"/>
                <w:sz w:val="18"/>
                <w:szCs w:val="18"/>
              </w:rPr>
              <w:t>10.586,8</w:t>
            </w:r>
          </w:p>
        </w:tc>
      </w:tr>
    </w:tbl>
    <w:p w:rsidRPr="00533D5C" w:rsidR="00840343" w:rsidP="00533D5C" w:rsidRDefault="00840343">
      <w:pPr>
        <w:spacing w:line="240" w:lineRule="exact"/>
        <w:rPr>
          <w:rFonts w:ascii="Verdana" w:hAnsi="Verdana" w:cs="Verdana"/>
          <w:b/>
          <w:bCs/>
          <w:sz w:val="18"/>
          <w:szCs w:val="18"/>
        </w:rPr>
      </w:pPr>
    </w:p>
    <w:p w:rsidRPr="00533D5C" w:rsidR="000F3F33" w:rsidP="00533D5C" w:rsidRDefault="000F3F33">
      <w:pPr>
        <w:spacing w:line="240" w:lineRule="exact"/>
        <w:rPr>
          <w:rFonts w:ascii="Verdana" w:hAnsi="Verdana"/>
          <w:i/>
          <w:sz w:val="18"/>
          <w:szCs w:val="18"/>
        </w:rPr>
      </w:pPr>
      <w:r w:rsidRPr="00533D5C">
        <w:rPr>
          <w:rFonts w:ascii="Verdana" w:hAnsi="Verdana"/>
          <w:i/>
          <w:sz w:val="18"/>
          <w:szCs w:val="18"/>
        </w:rPr>
        <w:t>Bijstelling belasting- en invorderingsrente</w:t>
      </w:r>
      <w:r w:rsidRPr="00533D5C" w:rsidR="00F4471D">
        <w:rPr>
          <w:rFonts w:ascii="Verdana" w:hAnsi="Verdana"/>
          <w:i/>
          <w:sz w:val="18"/>
          <w:szCs w:val="18"/>
        </w:rPr>
        <w:t xml:space="preserve"> (ontvangsten en uitgaven)</w:t>
      </w:r>
    </w:p>
    <w:p w:rsidRPr="00533D5C" w:rsidR="00E5132C" w:rsidP="00533D5C" w:rsidRDefault="00E5132C">
      <w:pPr>
        <w:spacing w:line="240" w:lineRule="exact"/>
        <w:rPr>
          <w:rFonts w:ascii="Verdana" w:hAnsi="Verdana"/>
          <w:sz w:val="18"/>
          <w:szCs w:val="18"/>
        </w:rPr>
      </w:pPr>
      <w:r w:rsidRPr="00533D5C">
        <w:rPr>
          <w:rFonts w:ascii="Verdana" w:hAnsi="Verdana"/>
          <w:sz w:val="18"/>
          <w:szCs w:val="18"/>
        </w:rPr>
        <w:t>De belasting- en invorderingsrente wordt zowel bij de uitgaven als de (niet-belasting)ontvangsten bijgesteld. Deze saldoneutrale correctieboeking herstelt een omissie in de ramingen. De rente-taakstelling uit het Regeerakkoord Rutte I is indertijd per abuis als één gesaldeerde mutatie verwerkt in de begroting, terwijl de maatregel feitelijk tot mutaties bij zowel de rente-ontvangsten als de rente-uitgaven heeft geleid. In 2015 zal een meerjarige herijking van de ramingen plaatsvinden.</w:t>
      </w:r>
    </w:p>
    <w:p w:rsidRPr="00533D5C" w:rsidR="00E5132C" w:rsidP="00533D5C" w:rsidRDefault="00E5132C">
      <w:pPr>
        <w:spacing w:line="240" w:lineRule="exact"/>
        <w:rPr>
          <w:rFonts w:ascii="Verdana" w:hAnsi="Verdana"/>
          <w:i/>
          <w:sz w:val="18"/>
          <w:szCs w:val="18"/>
        </w:rPr>
      </w:pPr>
    </w:p>
    <w:p w:rsidRPr="00533D5C" w:rsidR="00E5132C" w:rsidP="00533D5C" w:rsidRDefault="00E5132C">
      <w:pPr>
        <w:spacing w:line="240" w:lineRule="exact"/>
        <w:rPr>
          <w:rFonts w:ascii="Verdana" w:hAnsi="Verdana"/>
          <w:i/>
          <w:sz w:val="18"/>
          <w:szCs w:val="18"/>
        </w:rPr>
      </w:pPr>
      <w:r w:rsidRPr="00533D5C">
        <w:rPr>
          <w:rFonts w:ascii="Verdana" w:hAnsi="Verdana"/>
          <w:i/>
          <w:sz w:val="18"/>
          <w:szCs w:val="18"/>
        </w:rPr>
        <w:br w:type="page"/>
      </w:r>
    </w:p>
    <w:p w:rsidRPr="00533D5C" w:rsidR="000F3F33" w:rsidP="00533D5C" w:rsidRDefault="000F3F33">
      <w:pPr>
        <w:spacing w:line="240" w:lineRule="exact"/>
        <w:rPr>
          <w:rFonts w:ascii="Verdana" w:hAnsi="Verdana"/>
          <w:i/>
          <w:sz w:val="18"/>
          <w:szCs w:val="18"/>
        </w:rPr>
      </w:pPr>
      <w:r w:rsidRPr="00533D5C">
        <w:rPr>
          <w:rFonts w:ascii="Verdana" w:hAnsi="Verdana"/>
          <w:i/>
          <w:sz w:val="18"/>
          <w:szCs w:val="18"/>
        </w:rPr>
        <w:lastRenderedPageBreak/>
        <w:t>Bijstelling schades EKV</w:t>
      </w:r>
    </w:p>
    <w:p w:rsidRPr="00533D5C" w:rsidR="000F3F33" w:rsidP="00533D5C" w:rsidRDefault="000F3F33">
      <w:pPr>
        <w:spacing w:line="240" w:lineRule="exact"/>
        <w:rPr>
          <w:rFonts w:ascii="Verdana" w:hAnsi="Verdana"/>
          <w:i/>
          <w:sz w:val="18"/>
          <w:szCs w:val="18"/>
        </w:rPr>
      </w:pPr>
      <w:r w:rsidRPr="00533D5C">
        <w:rPr>
          <w:rFonts w:ascii="Verdana" w:hAnsi="Verdana"/>
          <w:sz w:val="18"/>
          <w:szCs w:val="18"/>
        </w:rPr>
        <w:t>Tot op heden zijn er in 2014 minder schade-uitkeringen geweest dan geraamd. De schaderaming kan daardoor naar beneden worden bijgesteld.</w:t>
      </w:r>
      <w:r w:rsidRPr="00533D5C">
        <w:rPr>
          <w:rFonts w:ascii="Verdana" w:hAnsi="Verdana"/>
          <w:sz w:val="18"/>
          <w:szCs w:val="18"/>
        </w:rPr>
        <w:br/>
      </w:r>
      <w:r w:rsidRPr="00533D5C" w:rsidR="00446564">
        <w:rPr>
          <w:rFonts w:ascii="Verdana" w:hAnsi="Verdana"/>
          <w:i/>
          <w:sz w:val="18"/>
          <w:szCs w:val="18"/>
        </w:rPr>
        <w:br/>
        <w:t>Diversen - beleidsmatige mutaties uitgaven</w:t>
      </w:r>
    </w:p>
    <w:p w:rsidRPr="00533D5C" w:rsidR="000F3F33" w:rsidP="00533D5C" w:rsidRDefault="000F3F33">
      <w:pPr>
        <w:spacing w:line="240" w:lineRule="exact"/>
        <w:rPr>
          <w:rFonts w:ascii="Verdana" w:hAnsi="Verdana"/>
          <w:sz w:val="18"/>
          <w:szCs w:val="18"/>
        </w:rPr>
      </w:pPr>
      <w:r w:rsidRPr="00533D5C">
        <w:rPr>
          <w:rFonts w:ascii="Verdana" w:hAnsi="Verdana"/>
          <w:sz w:val="18"/>
          <w:szCs w:val="18"/>
        </w:rPr>
        <w:t xml:space="preserve">Er zullen naar verwachting in 2014 minder Wft-examens </w:t>
      </w:r>
      <w:r w:rsidRPr="00533D5C" w:rsidR="00354F02">
        <w:rPr>
          <w:rFonts w:ascii="Verdana" w:hAnsi="Verdana"/>
          <w:sz w:val="18"/>
          <w:szCs w:val="18"/>
        </w:rPr>
        <w:t xml:space="preserve">(Wet op het financieel toezicht examens) </w:t>
      </w:r>
      <w:r w:rsidRPr="00533D5C">
        <w:rPr>
          <w:rFonts w:ascii="Verdana" w:hAnsi="Verdana"/>
          <w:sz w:val="18"/>
          <w:szCs w:val="18"/>
        </w:rPr>
        <w:t>worden afgenomen dan eer</w:t>
      </w:r>
      <w:r w:rsidRPr="00533D5C" w:rsidR="00354F02">
        <w:rPr>
          <w:rFonts w:ascii="Verdana" w:hAnsi="Verdana"/>
          <w:sz w:val="18"/>
          <w:szCs w:val="18"/>
        </w:rPr>
        <w:t>der voorzien. De uitgaven aan het</w:t>
      </w:r>
      <w:r w:rsidRPr="00533D5C">
        <w:rPr>
          <w:rFonts w:ascii="Verdana" w:hAnsi="Verdana"/>
          <w:sz w:val="18"/>
          <w:szCs w:val="18"/>
        </w:rPr>
        <w:t xml:space="preserve"> CDFD (College Deskundigheid Financiële Dienstverlening) vallen hierdoor 1,8 mln. lager uit. Daarnaast worden de ramingen voor de uitvoeringskosten van de staatsdeelnemingen met 2,9 mln. opgehoogd. Dit betreft de kosten die gemaakt worden voor adviseurs aangaande de verkoop van Reaal en een</w:t>
      </w:r>
      <w:r w:rsidRPr="00533D5C" w:rsidR="00354F02">
        <w:rPr>
          <w:rFonts w:ascii="Verdana" w:hAnsi="Verdana"/>
          <w:sz w:val="18"/>
          <w:szCs w:val="18"/>
        </w:rPr>
        <w:t xml:space="preserve"> mogelijk bod hierop door ASR.</w:t>
      </w:r>
    </w:p>
    <w:p w:rsidRPr="00533D5C" w:rsidR="000F3F33" w:rsidP="00533D5C" w:rsidRDefault="000F3F33">
      <w:pPr>
        <w:spacing w:line="240" w:lineRule="exact"/>
        <w:rPr>
          <w:rFonts w:ascii="Verdana" w:hAnsi="Verdana"/>
          <w:b/>
          <w:sz w:val="18"/>
          <w:szCs w:val="18"/>
          <w:u w:val="single"/>
        </w:rPr>
      </w:pPr>
    </w:p>
    <w:p w:rsidRPr="00533D5C" w:rsidR="000F3F33" w:rsidP="00533D5C" w:rsidRDefault="000F3F33">
      <w:pPr>
        <w:spacing w:line="240" w:lineRule="exact"/>
        <w:rPr>
          <w:rFonts w:ascii="Verdana" w:hAnsi="Verdana"/>
          <w:i/>
          <w:sz w:val="18"/>
          <w:szCs w:val="18"/>
        </w:rPr>
      </w:pPr>
      <w:r w:rsidRPr="00533D5C">
        <w:rPr>
          <w:rFonts w:ascii="Verdana" w:hAnsi="Verdana"/>
          <w:i/>
          <w:sz w:val="18"/>
          <w:szCs w:val="18"/>
        </w:rPr>
        <w:t>Bijstellen premies EKV</w:t>
      </w:r>
    </w:p>
    <w:p w:rsidRPr="00533D5C" w:rsidR="000F3F33" w:rsidP="00533D5C" w:rsidRDefault="00E5132C">
      <w:pPr>
        <w:spacing w:line="240" w:lineRule="exact"/>
        <w:rPr>
          <w:rFonts w:ascii="Verdana" w:hAnsi="Verdana"/>
          <w:i/>
          <w:sz w:val="18"/>
          <w:szCs w:val="18"/>
        </w:rPr>
      </w:pPr>
      <w:r w:rsidRPr="00533D5C">
        <w:rPr>
          <w:rFonts w:ascii="Verdana" w:hAnsi="Verdana"/>
          <w:sz w:val="18"/>
          <w:szCs w:val="18"/>
        </w:rPr>
        <w:t>Dit jaar worden er naar verwachting meer premies ontvangen dan geraamd, voornamelijk vanwege een aantal grote transacties in de scheepsbouwsector. De premieontvangsten worden daarom naar boven bijgesteld.</w:t>
      </w:r>
      <w:r w:rsidRPr="00533D5C" w:rsidR="000F3F33">
        <w:rPr>
          <w:rFonts w:ascii="Verdana" w:hAnsi="Verdana"/>
          <w:sz w:val="18"/>
          <w:szCs w:val="18"/>
        </w:rPr>
        <w:br/>
      </w:r>
      <w:r w:rsidRPr="00533D5C" w:rsidR="000F3F33">
        <w:rPr>
          <w:rFonts w:ascii="Verdana" w:hAnsi="Verdana"/>
          <w:i/>
          <w:sz w:val="18"/>
          <w:szCs w:val="18"/>
        </w:rPr>
        <w:br/>
        <w:t>Bijstellen recuperaties EKV</w:t>
      </w:r>
    </w:p>
    <w:p w:rsidRPr="00533D5C" w:rsidR="000F3F33" w:rsidP="00533D5C" w:rsidRDefault="00E5132C">
      <w:pPr>
        <w:spacing w:line="240" w:lineRule="exact"/>
        <w:rPr>
          <w:rFonts w:ascii="Verdana" w:hAnsi="Verdana"/>
          <w:sz w:val="18"/>
          <w:szCs w:val="18"/>
        </w:rPr>
      </w:pPr>
      <w:r w:rsidRPr="00533D5C">
        <w:rPr>
          <w:rFonts w:ascii="Verdana" w:hAnsi="Verdana"/>
          <w:sz w:val="18"/>
          <w:szCs w:val="18"/>
        </w:rPr>
        <w:t>Dit jaar worden er naar verwachting meer schaderestituties ontvangen dan eerder geraamd. De voornaamste reden hiervoor is dat</w:t>
      </w:r>
      <w:r w:rsidRPr="00533D5C" w:rsidR="000F3F33">
        <w:rPr>
          <w:rFonts w:ascii="Verdana" w:hAnsi="Verdana"/>
          <w:sz w:val="18"/>
          <w:szCs w:val="18"/>
        </w:rPr>
        <w:t xml:space="preserve"> er in 2014 een terugbetalingafspraak (Kamerstukken II 2013/14, 33750, 29) is gemaakt met Argentinië over de uitstaande schuld. In 2014 is de eerste betaling binnen deze regeling ontvangen.</w:t>
      </w:r>
    </w:p>
    <w:p w:rsidRPr="00533D5C" w:rsidR="000F3F33" w:rsidP="00533D5C" w:rsidRDefault="000F3F33">
      <w:pPr>
        <w:spacing w:line="240" w:lineRule="exact"/>
        <w:rPr>
          <w:rFonts w:ascii="Verdana" w:hAnsi="Verdana"/>
          <w:i/>
          <w:sz w:val="18"/>
          <w:szCs w:val="18"/>
        </w:rPr>
      </w:pPr>
      <w:r w:rsidRPr="00533D5C">
        <w:rPr>
          <w:rFonts w:ascii="Verdana" w:hAnsi="Verdana"/>
          <w:i/>
          <w:sz w:val="18"/>
          <w:szCs w:val="18"/>
        </w:rPr>
        <w:br/>
        <w:t xml:space="preserve">Diversen </w:t>
      </w:r>
      <w:r w:rsidRPr="00533D5C" w:rsidR="00446564">
        <w:rPr>
          <w:rFonts w:ascii="Verdana" w:hAnsi="Verdana"/>
          <w:i/>
          <w:sz w:val="18"/>
          <w:szCs w:val="18"/>
        </w:rPr>
        <w:t xml:space="preserve">- </w:t>
      </w:r>
      <w:r w:rsidRPr="00533D5C">
        <w:rPr>
          <w:rFonts w:ascii="Verdana" w:hAnsi="Verdana"/>
          <w:i/>
          <w:sz w:val="18"/>
          <w:szCs w:val="18"/>
        </w:rPr>
        <w:t>bele</w:t>
      </w:r>
      <w:r w:rsidRPr="00533D5C" w:rsidR="00446564">
        <w:rPr>
          <w:rFonts w:ascii="Verdana" w:hAnsi="Verdana"/>
          <w:i/>
          <w:sz w:val="18"/>
          <w:szCs w:val="18"/>
        </w:rPr>
        <w:t>idsmatige mutaties ontvangsten</w:t>
      </w:r>
    </w:p>
    <w:p w:rsidRPr="00533D5C" w:rsidR="000F3F33" w:rsidP="00533D5C" w:rsidRDefault="000F3F33">
      <w:pPr>
        <w:spacing w:line="240" w:lineRule="exact"/>
        <w:rPr>
          <w:rFonts w:ascii="Verdana" w:hAnsi="Verdana"/>
          <w:sz w:val="18"/>
          <w:szCs w:val="18"/>
        </w:rPr>
      </w:pPr>
      <w:r w:rsidRPr="00533D5C">
        <w:rPr>
          <w:rFonts w:ascii="Verdana" w:hAnsi="Verdana"/>
          <w:sz w:val="18"/>
          <w:szCs w:val="18"/>
        </w:rPr>
        <w:t>Op de saldibalans van Financiën stond een bedrag afkomstig van opbrengsten van in beslag genomen goederen tijdens jusititie-acties in 2007. Achteraf bleek dat deze goederen onterecht in beslag zijn genomen. Het merendeel van het bedrag is terugbetaald aan de rechtmatige eigenaren, voor een bedrag van 11,6 mln. konden deze niet meer achterhaald worden. Dit bedrag valt nu vrij. Daarnaast vallen de ontvangsten van de CDFD 4,2 mln. lager uit, door een lagere gerealiseerde afname van het aantal Wft-examens.</w:t>
      </w:r>
    </w:p>
    <w:p w:rsidRPr="00533D5C" w:rsidR="000F3F33" w:rsidP="00533D5C" w:rsidRDefault="00446564">
      <w:pPr>
        <w:spacing w:line="240" w:lineRule="exact"/>
        <w:rPr>
          <w:rFonts w:ascii="Verdana" w:hAnsi="Verdana"/>
          <w:i/>
          <w:sz w:val="18"/>
          <w:szCs w:val="18"/>
        </w:rPr>
      </w:pPr>
      <w:r w:rsidRPr="00533D5C">
        <w:rPr>
          <w:rFonts w:ascii="Verdana" w:hAnsi="Verdana"/>
          <w:i/>
          <w:sz w:val="18"/>
          <w:szCs w:val="18"/>
        </w:rPr>
        <w:br/>
        <w:t xml:space="preserve">Vervroegde aflossing </w:t>
      </w:r>
      <w:r w:rsidRPr="00533D5C" w:rsidR="000F3F33">
        <w:rPr>
          <w:rFonts w:ascii="Verdana" w:hAnsi="Verdana"/>
          <w:i/>
          <w:sz w:val="18"/>
          <w:szCs w:val="18"/>
        </w:rPr>
        <w:t>ING</w:t>
      </w:r>
    </w:p>
    <w:p w:rsidRPr="00533D5C" w:rsidR="000F3F33" w:rsidP="00533D5C" w:rsidRDefault="000F3F33">
      <w:pPr>
        <w:spacing w:line="240" w:lineRule="exact"/>
        <w:rPr>
          <w:rFonts w:ascii="Verdana" w:hAnsi="Verdana"/>
          <w:sz w:val="18"/>
          <w:szCs w:val="18"/>
        </w:rPr>
      </w:pPr>
      <w:r w:rsidRPr="00533D5C">
        <w:rPr>
          <w:rFonts w:ascii="Verdana" w:hAnsi="Verdana"/>
          <w:sz w:val="18"/>
          <w:szCs w:val="18"/>
        </w:rPr>
        <w:t>De Staat heeft de laatste aflossing van 1,025 mld. van ING ontvangen. Deze terugbetaling stond voor 2015 geraamd, maar is vervroegd afgelost. Daarmee heeft ING de volledige kapitaalinjectie van 10 mld. uit 2008 aan de Nederlandse staat terugbetaald.</w:t>
      </w:r>
      <w:r w:rsidRPr="00533D5C">
        <w:rPr>
          <w:rFonts w:ascii="Verdana" w:hAnsi="Verdana"/>
          <w:sz w:val="18"/>
          <w:szCs w:val="18"/>
        </w:rPr>
        <w:br/>
      </w:r>
    </w:p>
    <w:p w:rsidRPr="00533D5C" w:rsidR="000F3F33" w:rsidP="00533D5C" w:rsidRDefault="00446564">
      <w:pPr>
        <w:spacing w:line="240" w:lineRule="exact"/>
        <w:rPr>
          <w:rFonts w:ascii="Verdana" w:hAnsi="Verdana"/>
          <w:i/>
          <w:sz w:val="18"/>
          <w:szCs w:val="18"/>
        </w:rPr>
      </w:pPr>
      <w:r w:rsidRPr="00533D5C">
        <w:rPr>
          <w:rFonts w:ascii="Verdana" w:hAnsi="Verdana"/>
          <w:i/>
          <w:sz w:val="18"/>
          <w:szCs w:val="18"/>
        </w:rPr>
        <w:t>Diversen - technische mutaties ontvangsten</w:t>
      </w:r>
    </w:p>
    <w:p w:rsidRPr="00533D5C" w:rsidR="000F3F33" w:rsidP="00533D5C" w:rsidRDefault="000F3F33">
      <w:pPr>
        <w:spacing w:line="240" w:lineRule="exact"/>
        <w:rPr>
          <w:rFonts w:ascii="Verdana" w:hAnsi="Verdana"/>
          <w:sz w:val="18"/>
          <w:szCs w:val="18"/>
        </w:rPr>
      </w:pPr>
      <w:r w:rsidRPr="00533D5C">
        <w:rPr>
          <w:rFonts w:ascii="Verdana" w:hAnsi="Verdana"/>
          <w:sz w:val="18"/>
          <w:szCs w:val="18"/>
        </w:rPr>
        <w:t xml:space="preserve">De premieontvangsten voor de garantie op de financiering van Propertize waren voor dit jaar nog niet geraamd. De ontvangsten zijn bijgesteld met 7,8 mln. Door het beëindigen van de garantie op HBU wordt er voor 12,6 mln. minder premies ontvangen. De renteontvangsten van Griekenland vallen tegen voor 5,3 mln., door een lagere Euribor-rente en door een retroactieve correctie voor de renteverlaging (zoals afgesproken door de Eurogroep in 2012).   </w:t>
      </w:r>
    </w:p>
    <w:p w:rsidRPr="00533D5C" w:rsidR="00AC279B" w:rsidP="00533D5C" w:rsidRDefault="00AC279B">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Defensie</w:t>
      </w:r>
    </w:p>
    <w:p w:rsidRPr="00533D5C" w:rsidR="00490E87" w:rsidP="00533D5C" w:rsidRDefault="00490E87">
      <w:pPr>
        <w:spacing w:line="240" w:lineRule="exact"/>
        <w:rPr>
          <w:rFonts w:ascii="Verdana" w:hAnsi="Verdana" w:cs="Verdana"/>
          <w:b/>
          <w:bCs/>
          <w:sz w:val="18"/>
          <w:szCs w:val="18"/>
        </w:rPr>
      </w:pPr>
    </w:p>
    <w:tbl>
      <w:tblPr>
        <w:tblW w:w="9231" w:type="dxa"/>
        <w:tblInd w:w="53" w:type="dxa"/>
        <w:tblCellMar>
          <w:left w:w="70" w:type="dxa"/>
          <w:right w:w="70" w:type="dxa"/>
        </w:tblCellMar>
        <w:tblLook w:val="04A0"/>
      </w:tblPr>
      <w:tblGrid>
        <w:gridCol w:w="7672"/>
        <w:gridCol w:w="1559"/>
      </w:tblGrid>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X DEFENSIE: UITGAVEN</w:t>
            </w: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40"/>
        </w:trPr>
        <w:tc>
          <w:tcPr>
            <w:tcW w:w="7672" w:type="dxa"/>
            <w:tcBorders>
              <w:top w:val="single" w:color="000000" w:sz="8" w:space="0"/>
              <w:left w:val="nil"/>
              <w:bottom w:val="single" w:color="000000" w:sz="8" w:space="0"/>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1559" w:type="dxa"/>
            <w:tcBorders>
              <w:top w:val="single" w:color="000000" w:sz="8" w:space="0"/>
              <w:left w:val="nil"/>
              <w:bottom w:val="single" w:color="000000" w:sz="8" w:space="0"/>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7565,0</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Bijstelling investeringen</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-68,0</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Doorwerking ontvangsten</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-20,8</w:t>
            </w: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14,9</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c>
          <w:tcPr>
            <w:tcW w:w="1559"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-73,9</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-6,3</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-19,2</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c>
          <w:tcPr>
            <w:tcW w:w="1559"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-25,5</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-99,4</w:t>
            </w: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1559"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7465,6</w:t>
            </w: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335,8</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1559"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7801,4</w:t>
            </w:r>
          </w:p>
        </w:tc>
      </w:tr>
      <w:tr w:rsidRPr="00533D5C" w:rsidR="00490E87" w:rsidTr="00490E87">
        <w:trPr>
          <w:trHeight w:val="225"/>
        </w:trPr>
        <w:tc>
          <w:tcPr>
            <w:tcW w:w="7672"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X DEFENSIE: NIET-BELASTINGONTVANGSTEN</w:t>
            </w: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40"/>
        </w:trPr>
        <w:tc>
          <w:tcPr>
            <w:tcW w:w="7672" w:type="dxa"/>
            <w:tcBorders>
              <w:top w:val="single" w:color="000000" w:sz="8" w:space="0"/>
              <w:left w:val="nil"/>
              <w:bottom w:val="single" w:color="000000" w:sz="8" w:space="0"/>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1559" w:type="dxa"/>
            <w:tcBorders>
              <w:top w:val="single" w:color="000000" w:sz="8" w:space="0"/>
              <w:left w:val="nil"/>
              <w:bottom w:val="single" w:color="000000" w:sz="8" w:space="0"/>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320,1</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Bijstelling ontvangsten</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-20,7</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c>
          <w:tcPr>
            <w:tcW w:w="1559"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-20,7</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-20,7</w:t>
            </w: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p>
        </w:tc>
        <w:tc>
          <w:tcPr>
            <w:tcW w:w="1559" w:type="dxa"/>
            <w:tcBorders>
              <w:top w:val="nil"/>
              <w:left w:val="nil"/>
              <w:bottom w:val="nil"/>
              <w:right w:val="nil"/>
            </w:tcBorders>
            <w:shd w:val="clear" w:color="auto" w:fill="auto"/>
            <w:noWrap/>
            <w:vAlign w:val="bottom"/>
            <w:hideMark/>
          </w:tcPr>
          <w:p w:rsidRPr="00533D5C" w:rsidR="00490E87" w:rsidP="00533D5C" w:rsidRDefault="00490E87">
            <w:pPr>
              <w:spacing w:line="240" w:lineRule="exact"/>
              <w:rPr>
                <w:rFonts w:ascii="Verdana" w:hAnsi="Verdana"/>
                <w:color w:val="000000"/>
                <w:sz w:val="18"/>
                <w:szCs w:val="18"/>
              </w:rPr>
            </w:pP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1559"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299,4</w:t>
            </w:r>
          </w:p>
        </w:tc>
      </w:tr>
      <w:tr w:rsidRPr="00533D5C" w:rsidR="00490E87" w:rsidTr="00490E87">
        <w:trPr>
          <w:trHeight w:val="240"/>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1559" w:type="dxa"/>
            <w:tcBorders>
              <w:top w:val="nil"/>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1,4</w:t>
            </w:r>
          </w:p>
        </w:tc>
      </w:tr>
      <w:tr w:rsidRPr="00533D5C" w:rsidR="00490E87" w:rsidTr="00490E87">
        <w:trPr>
          <w:trHeight w:val="225"/>
        </w:trPr>
        <w:tc>
          <w:tcPr>
            <w:tcW w:w="7672" w:type="dxa"/>
            <w:tcBorders>
              <w:top w:val="nil"/>
              <w:left w:val="nil"/>
              <w:bottom w:val="nil"/>
              <w:right w:val="nil"/>
            </w:tcBorders>
            <w:shd w:val="clear" w:color="auto" w:fill="auto"/>
            <w:hideMark/>
          </w:tcPr>
          <w:p w:rsidRPr="00533D5C" w:rsidR="00490E87" w:rsidP="00533D5C" w:rsidRDefault="00490E8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1559" w:type="dxa"/>
            <w:tcBorders>
              <w:top w:val="single" w:color="000000" w:sz="8" w:space="0"/>
              <w:left w:val="nil"/>
              <w:bottom w:val="nil"/>
              <w:right w:val="nil"/>
            </w:tcBorders>
            <w:shd w:val="clear" w:color="auto" w:fill="auto"/>
            <w:hideMark/>
          </w:tcPr>
          <w:p w:rsidRPr="00533D5C" w:rsidR="00490E87" w:rsidP="00533D5C" w:rsidRDefault="00490E87">
            <w:pPr>
              <w:spacing w:line="240" w:lineRule="exact"/>
              <w:jc w:val="right"/>
              <w:rPr>
                <w:rFonts w:ascii="Verdana" w:hAnsi="Verdana"/>
                <w:color w:val="000000"/>
                <w:sz w:val="18"/>
                <w:szCs w:val="18"/>
              </w:rPr>
            </w:pPr>
            <w:r w:rsidRPr="00533D5C">
              <w:rPr>
                <w:rFonts w:ascii="Verdana" w:hAnsi="Verdana"/>
                <w:color w:val="000000"/>
                <w:sz w:val="18"/>
                <w:szCs w:val="18"/>
              </w:rPr>
              <w:t>300,8</w:t>
            </w:r>
          </w:p>
        </w:tc>
      </w:tr>
    </w:tbl>
    <w:p w:rsidRPr="00533D5C" w:rsidR="00490E87" w:rsidP="00533D5C" w:rsidRDefault="00490E87">
      <w:pPr>
        <w:spacing w:line="240" w:lineRule="exact"/>
        <w:rPr>
          <w:rFonts w:ascii="Verdana" w:hAnsi="Verdana" w:cs="Verdana"/>
          <w:b/>
          <w:bCs/>
          <w:sz w:val="18"/>
          <w:szCs w:val="18"/>
        </w:rPr>
      </w:pPr>
    </w:p>
    <w:p w:rsidRPr="00533D5C" w:rsidR="00490E87" w:rsidP="00533D5C" w:rsidRDefault="00490E87">
      <w:pPr>
        <w:spacing w:line="240" w:lineRule="exact"/>
        <w:rPr>
          <w:rFonts w:ascii="Verdana" w:hAnsi="Verdana" w:cs="Verdana"/>
          <w:b/>
          <w:bCs/>
          <w:sz w:val="18"/>
          <w:szCs w:val="18"/>
        </w:rPr>
      </w:pPr>
    </w:p>
    <w:p w:rsidRPr="00533D5C" w:rsidR="00C12032" w:rsidP="00533D5C" w:rsidRDefault="00C12032">
      <w:pPr>
        <w:spacing w:line="240" w:lineRule="exact"/>
        <w:rPr>
          <w:rFonts w:ascii="Verdana" w:hAnsi="Verdana" w:cs="Courier New"/>
          <w:i/>
          <w:color w:val="000000"/>
          <w:sz w:val="18"/>
          <w:szCs w:val="18"/>
        </w:rPr>
      </w:pPr>
      <w:r w:rsidRPr="00533D5C">
        <w:rPr>
          <w:rFonts w:ascii="Verdana" w:hAnsi="Verdana" w:cs="Courier New"/>
          <w:i/>
          <w:color w:val="000000"/>
          <w:sz w:val="18"/>
          <w:szCs w:val="18"/>
        </w:rPr>
        <w:t>Bijstelling investeringen</w:t>
      </w:r>
    </w:p>
    <w:p w:rsidRPr="00533D5C" w:rsidR="00C12032" w:rsidP="00533D5C" w:rsidRDefault="00C12032">
      <w:pPr>
        <w:spacing w:line="240" w:lineRule="exact"/>
        <w:rPr>
          <w:rFonts w:ascii="Verdana" w:hAnsi="Verdana" w:cs="Courier New"/>
          <w:color w:val="000000"/>
          <w:sz w:val="18"/>
          <w:szCs w:val="18"/>
        </w:rPr>
      </w:pPr>
      <w:r w:rsidRPr="00533D5C">
        <w:rPr>
          <w:rFonts w:ascii="Verdana" w:hAnsi="Verdana" w:cs="Courier New"/>
          <w:color w:val="000000"/>
          <w:sz w:val="18"/>
          <w:szCs w:val="18"/>
        </w:rPr>
        <w:t>Een gedeelte van de geplande uitgaven uit het investeringsbudget komt in 2014 niet tot besteding en wordt doorgeschoven naar 2015.</w:t>
      </w:r>
    </w:p>
    <w:p w:rsidRPr="00533D5C" w:rsidR="00C12032" w:rsidP="00533D5C" w:rsidRDefault="00C12032">
      <w:pPr>
        <w:spacing w:line="240" w:lineRule="exact"/>
        <w:rPr>
          <w:rFonts w:ascii="Verdana" w:hAnsi="Verdana" w:cs="Courier New"/>
          <w:i/>
          <w:color w:val="000000"/>
          <w:sz w:val="18"/>
          <w:szCs w:val="18"/>
        </w:rPr>
      </w:pPr>
    </w:p>
    <w:p w:rsidRPr="00533D5C" w:rsidR="00C12032" w:rsidP="00533D5C" w:rsidRDefault="00C12032">
      <w:pPr>
        <w:spacing w:line="240" w:lineRule="exact"/>
        <w:rPr>
          <w:rFonts w:ascii="Verdana" w:hAnsi="Verdana"/>
          <w:color w:val="000000"/>
          <w:sz w:val="18"/>
          <w:szCs w:val="18"/>
        </w:rPr>
      </w:pPr>
      <w:r w:rsidRPr="00533D5C">
        <w:rPr>
          <w:rFonts w:ascii="Verdana" w:hAnsi="Verdana" w:cs="Courier New"/>
          <w:i/>
          <w:color w:val="000000"/>
          <w:sz w:val="18"/>
          <w:szCs w:val="18"/>
        </w:rPr>
        <w:t xml:space="preserve">Doorwerking </w:t>
      </w:r>
      <w:r w:rsidRPr="00533D5C" w:rsidR="00104F23">
        <w:rPr>
          <w:rFonts w:ascii="Verdana" w:hAnsi="Verdana" w:cs="Courier New"/>
          <w:i/>
          <w:color w:val="000000"/>
          <w:sz w:val="18"/>
          <w:szCs w:val="18"/>
        </w:rPr>
        <w:t xml:space="preserve">ontvangsten </w:t>
      </w:r>
      <w:r w:rsidRPr="00533D5C">
        <w:rPr>
          <w:rFonts w:ascii="Verdana" w:hAnsi="Verdana" w:cs="Courier New"/>
          <w:i/>
          <w:color w:val="000000"/>
          <w:sz w:val="18"/>
          <w:szCs w:val="18"/>
        </w:rPr>
        <w:t>&amp; Bijstelling ontvangsten (uitgaven en niet-belastingontvangsten)</w:t>
      </w:r>
    </w:p>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De lagere ontvangsten worden vooral veroorzaakt door het verschuiven van de verkoopontvangsten van de Defensie Materieel Organisatie (DMO) naar latere jaren als gevolg van afnemende mogelijkheden op de markt (-16,7 mln.). Daarnaast is er vertraging in het aanbestedingstraject voor de renovatie van het Centraal Militair Hospitaal waardoor de bijdrage van Stichting Ziektekostenverzekering Defensie (SZVK) hieraan van 5,6 mln. doorschuift naar 2015. Daartegenover staan hogere ontvangsten vanuit de NAVO (4 mln.). De uitgavenruimte voor 2014 wordt navenant verlaagd.</w:t>
      </w:r>
    </w:p>
    <w:p w:rsidRPr="00533D5C" w:rsidR="00C12032" w:rsidP="00533D5C" w:rsidRDefault="00C12032">
      <w:pPr>
        <w:spacing w:line="240" w:lineRule="exact"/>
        <w:rPr>
          <w:rFonts w:ascii="Verdana" w:hAnsi="Verdana" w:cs="Courier New"/>
          <w:i/>
          <w:color w:val="000000"/>
          <w:sz w:val="18"/>
          <w:szCs w:val="18"/>
        </w:rPr>
      </w:pPr>
    </w:p>
    <w:p w:rsidRPr="00533D5C" w:rsidR="00C12032" w:rsidP="00533D5C" w:rsidRDefault="00104F23">
      <w:pPr>
        <w:spacing w:line="240" w:lineRule="exact"/>
        <w:rPr>
          <w:rFonts w:ascii="Verdana" w:hAnsi="Verdana" w:cs="Courier New"/>
          <w:i/>
          <w:color w:val="000000"/>
          <w:sz w:val="18"/>
          <w:szCs w:val="18"/>
        </w:rPr>
      </w:pPr>
      <w:r w:rsidRPr="00533D5C">
        <w:rPr>
          <w:rFonts w:ascii="Verdana" w:hAnsi="Verdana" w:cs="Courier New"/>
          <w:i/>
          <w:color w:val="000000"/>
          <w:sz w:val="18"/>
          <w:szCs w:val="18"/>
        </w:rPr>
        <w:t xml:space="preserve">Diversen – </w:t>
      </w:r>
      <w:r w:rsidRPr="00533D5C" w:rsidR="00F4471D">
        <w:rPr>
          <w:rFonts w:ascii="Verdana" w:hAnsi="Verdana" w:cs="Courier New"/>
          <w:i/>
          <w:color w:val="000000"/>
          <w:sz w:val="18"/>
          <w:szCs w:val="18"/>
        </w:rPr>
        <w:t xml:space="preserve">beleidsmatige mutaties </w:t>
      </w:r>
    </w:p>
    <w:p w:rsidRPr="00533D5C" w:rsidR="0055014F" w:rsidP="00533D5C" w:rsidRDefault="00460428">
      <w:pPr>
        <w:spacing w:line="240" w:lineRule="exact"/>
        <w:rPr>
          <w:rFonts w:ascii="Verdana" w:hAnsi="Verdana" w:cs="Courier New"/>
          <w:color w:val="000000"/>
          <w:sz w:val="18"/>
          <w:szCs w:val="18"/>
        </w:rPr>
      </w:pPr>
      <w:r w:rsidRPr="00533D5C">
        <w:rPr>
          <w:rFonts w:ascii="Verdana" w:hAnsi="Verdana" w:cs="Courier New"/>
          <w:color w:val="000000"/>
          <w:sz w:val="18"/>
          <w:szCs w:val="18"/>
        </w:rPr>
        <w:t xml:space="preserve">Dit betreft een bedrag van 14,9 mln. ter compensatie van de uitgaven voor de inzet na de ramp met de MH-17. </w:t>
      </w:r>
      <w:r w:rsidRPr="00533D5C" w:rsidR="0055014F">
        <w:rPr>
          <w:rFonts w:ascii="Verdana" w:hAnsi="Verdana"/>
          <w:sz w:val="18"/>
          <w:szCs w:val="18"/>
        </w:rPr>
        <w:t xml:space="preserve">In de eerste fase na de ramp heeft Defensie 330 Nederlandse militairen ingezet en samen met o.a. Australië de luchtbrug tussen Charkov en Eindhoven gerealiseerd. Daarnaast heeft Defensie in Oekraïne gezorgd voor verblijfsvoorzieningen en benodigd materieel. In Nederland is de </w:t>
      </w:r>
      <w:r w:rsidRPr="00533D5C" w:rsidR="0055014F">
        <w:rPr>
          <w:rFonts w:ascii="Verdana" w:hAnsi="Verdana"/>
          <w:sz w:val="18"/>
          <w:szCs w:val="18"/>
        </w:rPr>
        <w:lastRenderedPageBreak/>
        <w:t>Korporaal van Oudheusden Kazerne (KVOK) ingericht als thuisbasis voor onderzoekers en voor de identificatie van slachtoffers van de vliegramp.</w:t>
      </w:r>
    </w:p>
    <w:p w:rsidRPr="00533D5C" w:rsidR="00F4471D" w:rsidP="00533D5C" w:rsidRDefault="00F4471D">
      <w:pPr>
        <w:spacing w:line="240" w:lineRule="exact"/>
        <w:rPr>
          <w:rFonts w:ascii="Verdana" w:hAnsi="Verdana" w:cs="Courier New"/>
          <w:color w:val="000000"/>
          <w:sz w:val="18"/>
          <w:szCs w:val="18"/>
        </w:rPr>
      </w:pPr>
    </w:p>
    <w:p w:rsidRPr="00533D5C" w:rsidR="00F4471D" w:rsidP="00533D5C" w:rsidRDefault="00F4471D">
      <w:pPr>
        <w:spacing w:line="240" w:lineRule="exact"/>
        <w:rPr>
          <w:rFonts w:ascii="Verdana" w:hAnsi="Verdana" w:cs="Courier New"/>
          <w:i/>
          <w:color w:val="000000"/>
          <w:sz w:val="18"/>
          <w:szCs w:val="18"/>
        </w:rPr>
      </w:pPr>
      <w:r w:rsidRPr="00533D5C">
        <w:rPr>
          <w:rFonts w:ascii="Verdana" w:hAnsi="Verdana" w:cs="Courier New"/>
          <w:i/>
          <w:color w:val="000000"/>
          <w:sz w:val="18"/>
          <w:szCs w:val="18"/>
        </w:rPr>
        <w:t xml:space="preserve">Diversen – technische mutaties </w:t>
      </w:r>
    </w:p>
    <w:p w:rsidRPr="00533D5C" w:rsidR="00460428" w:rsidP="00533D5C" w:rsidRDefault="00460428">
      <w:pPr>
        <w:spacing w:line="240" w:lineRule="exact"/>
        <w:rPr>
          <w:rFonts w:ascii="Verdana" w:hAnsi="Verdana" w:cs="Courier New"/>
          <w:color w:val="000000"/>
          <w:sz w:val="18"/>
          <w:szCs w:val="18"/>
        </w:rPr>
      </w:pPr>
      <w:r w:rsidRPr="00533D5C">
        <w:rPr>
          <w:rFonts w:ascii="Verdana" w:hAnsi="Verdana" w:cs="Courier New"/>
          <w:color w:val="000000"/>
          <w:sz w:val="18"/>
          <w:szCs w:val="18"/>
        </w:rPr>
        <w:t xml:space="preserve">Defensie </w:t>
      </w:r>
      <w:r w:rsidRPr="00533D5C" w:rsidR="00F4471D">
        <w:rPr>
          <w:rFonts w:ascii="Verdana" w:hAnsi="Verdana" w:cs="Courier New"/>
          <w:color w:val="000000"/>
          <w:sz w:val="18"/>
          <w:szCs w:val="18"/>
        </w:rPr>
        <w:t xml:space="preserve">is </w:t>
      </w:r>
      <w:r w:rsidRPr="00533D5C">
        <w:rPr>
          <w:rFonts w:ascii="Verdana" w:hAnsi="Verdana" w:cs="Courier New"/>
          <w:color w:val="000000"/>
          <w:sz w:val="18"/>
          <w:szCs w:val="18"/>
        </w:rPr>
        <w:t xml:space="preserve">met het ABP een lening overeengekomen voor het op kapitaaldekking brengen van de militaire ouderdomspensioenen. In 2014 is deze lening niet nodig en valt daarom vrij (-19,2 mln.). Tot slot is voor 4,3 mln. een openstaande </w:t>
      </w:r>
      <w:r w:rsidRPr="00533D5C" w:rsidR="00F4471D">
        <w:rPr>
          <w:rFonts w:ascii="Verdana" w:hAnsi="Verdana" w:cs="Courier New"/>
          <w:color w:val="000000"/>
          <w:sz w:val="18"/>
          <w:szCs w:val="18"/>
        </w:rPr>
        <w:t>egalisatieschuld bij het Rijksv</w:t>
      </w:r>
      <w:r w:rsidRPr="00533D5C">
        <w:rPr>
          <w:rFonts w:ascii="Verdana" w:hAnsi="Verdana" w:cs="Courier New"/>
          <w:color w:val="000000"/>
          <w:sz w:val="18"/>
          <w:szCs w:val="18"/>
        </w:rPr>
        <w:t>astgoed</w:t>
      </w:r>
      <w:r w:rsidR="0011334B">
        <w:rPr>
          <w:rFonts w:ascii="Verdana" w:hAnsi="Verdana" w:cs="Courier New"/>
          <w:color w:val="000000"/>
          <w:sz w:val="18"/>
          <w:szCs w:val="18"/>
        </w:rPr>
        <w:t>b</w:t>
      </w:r>
      <w:r w:rsidRPr="00533D5C">
        <w:rPr>
          <w:rFonts w:ascii="Verdana" w:hAnsi="Verdana" w:cs="Courier New"/>
          <w:color w:val="000000"/>
          <w:sz w:val="18"/>
          <w:szCs w:val="18"/>
        </w:rPr>
        <w:t>edrijf afgerekend en hebben diverse budgetoverhevelingen met andere departementen plaatsgevonden.</w:t>
      </w:r>
    </w:p>
    <w:p w:rsidRPr="00533D5C" w:rsidR="00460428" w:rsidP="00533D5C" w:rsidRDefault="00460428">
      <w:pPr>
        <w:spacing w:line="240" w:lineRule="exact"/>
        <w:rPr>
          <w:rFonts w:ascii="Verdana" w:hAnsi="Verdana" w:cs="Courier New"/>
          <w:color w:val="000000"/>
          <w:sz w:val="18"/>
          <w:szCs w:val="18"/>
        </w:rPr>
      </w:pPr>
      <w:r w:rsidRPr="00533D5C">
        <w:rPr>
          <w:rFonts w:ascii="Verdana" w:hAnsi="Verdana" w:cs="Courier New"/>
          <w:color w:val="000000"/>
          <w:sz w:val="18"/>
          <w:szCs w:val="18"/>
        </w:rPr>
        <w:br w:type="page"/>
      </w:r>
    </w:p>
    <w:p w:rsidRPr="00533D5C" w:rsidR="00AF43DD" w:rsidP="00533D5C" w:rsidRDefault="00AF43DD">
      <w:pPr>
        <w:spacing w:line="240" w:lineRule="exact"/>
        <w:rPr>
          <w:rFonts w:ascii="Verdana" w:hAnsi="Verdana" w:cs="Verdana"/>
          <w:b/>
          <w:bCs/>
          <w:sz w:val="18"/>
          <w:szCs w:val="18"/>
        </w:rPr>
      </w:pP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t>Infrastructuur en Milieu</w:t>
      </w:r>
    </w:p>
    <w:p w:rsidRPr="00533D5C" w:rsidR="00C12032" w:rsidP="00533D5C" w:rsidRDefault="00C12032">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628"/>
        <w:gridCol w:w="1584"/>
      </w:tblGrid>
      <w:tr w:rsidRPr="00533D5C" w:rsidR="00C12032" w:rsidTr="00C12032">
        <w:trPr>
          <w:trHeight w:val="225"/>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XII INFRASTRUCTUUR EN MILIEU: UITGAVEN</w:t>
            </w: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9.924,8</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25"/>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-17,9</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-17,9</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25"/>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-25,5</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-25,5</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-43,3</w:t>
            </w:r>
          </w:p>
        </w:tc>
      </w:tr>
      <w:tr w:rsidRPr="00533D5C" w:rsidR="00C12032" w:rsidTr="00C12032">
        <w:trPr>
          <w:trHeight w:val="225"/>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9.881,4</w:t>
            </w:r>
          </w:p>
        </w:tc>
      </w:tr>
      <w:tr w:rsidRPr="00533D5C" w:rsidR="00C12032" w:rsidTr="00C12032">
        <w:trPr>
          <w:trHeight w:val="225"/>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28,9</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9.910,4</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p>
        </w:tc>
      </w:tr>
      <w:tr w:rsidRPr="00533D5C" w:rsidR="00C12032" w:rsidTr="00C811E5">
        <w:trPr>
          <w:trHeight w:val="263"/>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XII INFRASTRUCTUUR EN MILIEU: NIET-BELASTINGONTVANGSTEN</w:t>
            </w: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241,8</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25"/>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-0,3</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-0,3</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-5,9</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25"/>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-20,0</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-25,9</w:t>
            </w: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-26,2</w:t>
            </w:r>
          </w:p>
        </w:tc>
      </w:tr>
      <w:tr w:rsidRPr="00533D5C" w:rsidR="00C12032" w:rsidTr="00C12032">
        <w:trPr>
          <w:trHeight w:val="225"/>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C12032" w:rsidP="00533D5C" w:rsidRDefault="00C12032">
            <w:pPr>
              <w:spacing w:line="240" w:lineRule="exact"/>
              <w:rPr>
                <w:rFonts w:ascii="Verdana" w:hAnsi="Verdana"/>
                <w:color w:val="000000"/>
                <w:sz w:val="18"/>
                <w:szCs w:val="18"/>
              </w:rPr>
            </w:pP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215,6</w:t>
            </w:r>
          </w:p>
        </w:tc>
      </w:tr>
      <w:tr w:rsidRPr="00533D5C" w:rsidR="00C12032" w:rsidTr="00C12032">
        <w:trPr>
          <w:trHeight w:val="225"/>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p>
        </w:tc>
      </w:tr>
      <w:tr w:rsidRPr="00533D5C" w:rsidR="00C12032" w:rsidTr="00C12032">
        <w:trPr>
          <w:trHeight w:val="210"/>
        </w:trPr>
        <w:tc>
          <w:tcPr>
            <w:tcW w:w="4140" w:type="pct"/>
            <w:tcBorders>
              <w:top w:val="nil"/>
              <w:left w:val="nil"/>
              <w:bottom w:val="nil"/>
              <w:right w:val="nil"/>
            </w:tcBorders>
            <w:shd w:val="clear" w:color="auto" w:fill="auto"/>
            <w:hideMark/>
          </w:tcPr>
          <w:p w:rsidRPr="00533D5C" w:rsidR="00C12032" w:rsidP="00533D5C" w:rsidRDefault="00C12032">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C12032" w:rsidP="00533D5C" w:rsidRDefault="00C12032">
            <w:pPr>
              <w:spacing w:line="240" w:lineRule="exact"/>
              <w:jc w:val="right"/>
              <w:rPr>
                <w:rFonts w:ascii="Verdana" w:hAnsi="Verdana"/>
                <w:color w:val="000000"/>
                <w:sz w:val="18"/>
                <w:szCs w:val="18"/>
              </w:rPr>
            </w:pPr>
            <w:r w:rsidRPr="00533D5C">
              <w:rPr>
                <w:rFonts w:ascii="Verdana" w:hAnsi="Verdana"/>
                <w:color w:val="000000"/>
                <w:sz w:val="18"/>
                <w:szCs w:val="18"/>
              </w:rPr>
              <w:t>215,6</w:t>
            </w:r>
          </w:p>
        </w:tc>
      </w:tr>
    </w:tbl>
    <w:p w:rsidRPr="00533D5C" w:rsidR="00C12032" w:rsidP="00533D5C" w:rsidRDefault="00C12032">
      <w:pPr>
        <w:spacing w:line="240" w:lineRule="exact"/>
        <w:rPr>
          <w:rFonts w:ascii="Verdana" w:hAnsi="Verdana" w:cs="Verdana"/>
          <w:b/>
          <w:bCs/>
          <w:sz w:val="18"/>
          <w:szCs w:val="18"/>
        </w:rPr>
      </w:pPr>
    </w:p>
    <w:p w:rsidRPr="00533D5C" w:rsidR="00EF63D2" w:rsidP="00533D5C" w:rsidRDefault="00EF63D2">
      <w:pPr>
        <w:spacing w:line="240" w:lineRule="exact"/>
        <w:rPr>
          <w:rFonts w:ascii="Verdana" w:hAnsi="Verdana" w:cs="Courier New"/>
          <w:i/>
          <w:sz w:val="18"/>
          <w:szCs w:val="18"/>
        </w:rPr>
      </w:pPr>
    </w:p>
    <w:p w:rsidRPr="00533D5C" w:rsidR="00DE3E6F" w:rsidP="00533D5C" w:rsidRDefault="00DE3E6F">
      <w:pPr>
        <w:spacing w:line="240" w:lineRule="exact"/>
        <w:rPr>
          <w:rFonts w:ascii="Verdana" w:hAnsi="Verdana" w:cs="Courier New"/>
          <w:i/>
          <w:sz w:val="18"/>
          <w:szCs w:val="18"/>
        </w:rPr>
      </w:pPr>
      <w:r w:rsidRPr="00533D5C">
        <w:rPr>
          <w:rFonts w:ascii="Verdana" w:hAnsi="Verdana" w:cs="Courier New"/>
          <w:i/>
          <w:sz w:val="18"/>
          <w:szCs w:val="18"/>
        </w:rPr>
        <w:t>Diversen</w:t>
      </w:r>
      <w:r w:rsidRPr="00533D5C" w:rsidR="00104F23">
        <w:rPr>
          <w:rFonts w:ascii="Verdana" w:hAnsi="Verdana" w:cs="Courier New"/>
          <w:i/>
          <w:sz w:val="18"/>
          <w:szCs w:val="18"/>
        </w:rPr>
        <w:t xml:space="preserve"> beleidsmatige mutaties</w:t>
      </w:r>
    </w:p>
    <w:p w:rsidRPr="00533D5C" w:rsidR="00DE3E6F" w:rsidP="00533D5C" w:rsidRDefault="00DE3E6F">
      <w:pPr>
        <w:spacing w:line="240" w:lineRule="exact"/>
        <w:rPr>
          <w:rFonts w:ascii="Verdana" w:hAnsi="Verdana" w:cs="Courier New"/>
          <w:sz w:val="18"/>
          <w:szCs w:val="18"/>
        </w:rPr>
      </w:pPr>
      <w:r w:rsidRPr="00533D5C">
        <w:rPr>
          <w:rFonts w:ascii="Verdana" w:hAnsi="Verdana" w:cs="Courier New"/>
          <w:sz w:val="18"/>
          <w:szCs w:val="18"/>
        </w:rPr>
        <w:t xml:space="preserve">Dit betreft het saldo van verschillende mutaties. De belangrijkste worden toegelicht: </w:t>
      </w:r>
    </w:p>
    <w:p w:rsidRPr="00533D5C" w:rsidR="00DE3E6F" w:rsidP="00533D5C" w:rsidRDefault="00DE3E6F">
      <w:pPr>
        <w:pStyle w:val="Lijstalinea"/>
        <w:numPr>
          <w:ilvl w:val="0"/>
          <w:numId w:val="14"/>
        </w:numPr>
        <w:spacing w:line="240" w:lineRule="exact"/>
        <w:contextualSpacing/>
        <w:rPr>
          <w:rFonts w:ascii="Verdana" w:hAnsi="Verdana" w:cs="Courier New"/>
          <w:sz w:val="18"/>
          <w:szCs w:val="18"/>
        </w:rPr>
      </w:pPr>
      <w:r w:rsidRPr="00533D5C">
        <w:rPr>
          <w:rFonts w:ascii="Verdana" w:hAnsi="Verdana" w:cs="Courier New"/>
          <w:sz w:val="18"/>
          <w:szCs w:val="18"/>
        </w:rPr>
        <w:t xml:space="preserve">Door een gerechtelijke uitspraak in het voordeel van IenM is er sprake van minder uitgaven (ongeveer -14 mln.) voor Geluidsisolatieprogramma’s rondom Schiphol (GIS-2 en GIS-3); </w:t>
      </w:r>
    </w:p>
    <w:p w:rsidRPr="00533D5C" w:rsidR="00DE3E6F" w:rsidP="00533D5C" w:rsidRDefault="00DE3E6F">
      <w:pPr>
        <w:pStyle w:val="Lijstalinea"/>
        <w:numPr>
          <w:ilvl w:val="0"/>
          <w:numId w:val="14"/>
        </w:numPr>
        <w:spacing w:line="240" w:lineRule="exact"/>
        <w:contextualSpacing/>
        <w:rPr>
          <w:rFonts w:ascii="Verdana" w:hAnsi="Verdana" w:cs="Courier New"/>
          <w:sz w:val="18"/>
          <w:szCs w:val="18"/>
        </w:rPr>
      </w:pPr>
      <w:r w:rsidRPr="00533D5C">
        <w:rPr>
          <w:rFonts w:ascii="Verdana" w:hAnsi="Verdana" w:cs="Courier New"/>
          <w:sz w:val="18"/>
          <w:szCs w:val="18"/>
        </w:rPr>
        <w:t>Als gevolg van s</w:t>
      </w:r>
      <w:r w:rsidRPr="00533D5C" w:rsidR="00354F02">
        <w:rPr>
          <w:rFonts w:ascii="Verdana" w:hAnsi="Verdana" w:cs="Courier New"/>
          <w:sz w:val="18"/>
          <w:szCs w:val="18"/>
        </w:rPr>
        <w:t xml:space="preserve">tagnatie van besluitvorming in </w:t>
      </w:r>
      <w:r w:rsidRPr="00533D5C">
        <w:rPr>
          <w:rFonts w:ascii="Verdana" w:hAnsi="Verdana" w:cs="Courier New"/>
          <w:sz w:val="18"/>
          <w:szCs w:val="18"/>
        </w:rPr>
        <w:t>Brussel, is er sprake van vertraging bij het INTE</w:t>
      </w:r>
      <w:r w:rsidRPr="00533D5C" w:rsidR="004E19A5">
        <w:rPr>
          <w:rFonts w:ascii="Verdana" w:hAnsi="Verdana" w:cs="Courier New"/>
          <w:sz w:val="18"/>
          <w:szCs w:val="18"/>
        </w:rPr>
        <w:t>RREG-programma bijna (-5 mln.</w:t>
      </w:r>
      <w:r w:rsidRPr="00533D5C">
        <w:rPr>
          <w:rFonts w:ascii="Verdana" w:hAnsi="Verdana" w:cs="Courier New"/>
          <w:sz w:val="18"/>
          <w:szCs w:val="18"/>
        </w:rPr>
        <w:t>);</w:t>
      </w:r>
    </w:p>
    <w:p w:rsidRPr="00533D5C" w:rsidR="00DE3E6F" w:rsidP="00533D5C" w:rsidRDefault="00DE3E6F">
      <w:pPr>
        <w:pStyle w:val="Lijstalinea"/>
        <w:numPr>
          <w:ilvl w:val="0"/>
          <w:numId w:val="14"/>
        </w:numPr>
        <w:spacing w:line="240" w:lineRule="exact"/>
        <w:contextualSpacing/>
        <w:rPr>
          <w:rFonts w:ascii="Verdana" w:hAnsi="Verdana" w:cs="Courier New"/>
          <w:sz w:val="18"/>
          <w:szCs w:val="18"/>
        </w:rPr>
      </w:pPr>
      <w:r w:rsidRPr="00533D5C">
        <w:rPr>
          <w:rFonts w:ascii="Verdana" w:hAnsi="Verdana" w:cs="Courier New"/>
          <w:sz w:val="18"/>
          <w:szCs w:val="18"/>
        </w:rPr>
        <w:t>Er zijn lagere personele uitgaven (-2,8 mln.). Dit wordt veroorzaakt door vacatureruimte en de snellere invulling van taakstellingen, lagere Sociale Zekerheidsuitgaven en minder uitgaven als gevolg van een bewustere afweging van externe inhuur;</w:t>
      </w:r>
    </w:p>
    <w:p w:rsidRPr="00533D5C" w:rsidR="00DE3E6F" w:rsidP="00533D5C" w:rsidRDefault="00DE3E6F">
      <w:pPr>
        <w:pStyle w:val="Lijstalinea"/>
        <w:numPr>
          <w:ilvl w:val="0"/>
          <w:numId w:val="14"/>
        </w:numPr>
        <w:spacing w:line="240" w:lineRule="exact"/>
        <w:contextualSpacing/>
        <w:rPr>
          <w:rFonts w:ascii="Verdana" w:hAnsi="Verdana" w:cs="Courier New"/>
          <w:sz w:val="18"/>
          <w:szCs w:val="18"/>
        </w:rPr>
      </w:pPr>
      <w:r w:rsidRPr="00533D5C">
        <w:rPr>
          <w:rFonts w:ascii="Verdana" w:hAnsi="Verdana" w:cs="Courier New"/>
          <w:sz w:val="18"/>
          <w:szCs w:val="18"/>
        </w:rPr>
        <w:t>Daarnaast is sprake van lagere uitgaven aan materieel (-2,3</w:t>
      </w:r>
      <w:r w:rsidRPr="00533D5C" w:rsidR="004E19A5">
        <w:rPr>
          <w:rFonts w:ascii="Verdana" w:hAnsi="Verdana" w:cs="Courier New"/>
          <w:sz w:val="18"/>
          <w:szCs w:val="18"/>
        </w:rPr>
        <w:t xml:space="preserve"> mln.</w:t>
      </w:r>
      <w:r w:rsidRPr="00533D5C">
        <w:rPr>
          <w:rFonts w:ascii="Verdana" w:hAnsi="Verdana" w:cs="Courier New"/>
          <w:sz w:val="18"/>
          <w:szCs w:val="18"/>
        </w:rPr>
        <w:t>). Dit wordt voornamelijk veroorzaakt door lagere kosten voor informatiemanagement, P-direkt, SAP-licenties en -beheer en het programma Perspectief. Daarnaast is sprake van lagere uitgaven voor FMHaaglanden (</w:t>
      </w:r>
      <w:r w:rsidRPr="00533D5C">
        <w:rPr>
          <w:rFonts w:ascii="Verdana" w:hAnsi="Verdana" w:cs="Arial"/>
          <w:sz w:val="18"/>
          <w:szCs w:val="18"/>
        </w:rPr>
        <w:t xml:space="preserve">verzorgt de facilitaire diensten voor zes ministeries binnen de regio </w:t>
      </w:r>
      <w:r w:rsidRPr="00533D5C">
        <w:rPr>
          <w:rStyle w:val="Zwaar"/>
          <w:rFonts w:ascii="Verdana" w:hAnsi="Verdana" w:cs="Arial"/>
          <w:b w:val="0"/>
          <w:sz w:val="18"/>
          <w:szCs w:val="18"/>
        </w:rPr>
        <w:t>Haaglanden)</w:t>
      </w:r>
      <w:r w:rsidRPr="00533D5C">
        <w:rPr>
          <w:rFonts w:ascii="Verdana" w:hAnsi="Verdana" w:cs="Courier New"/>
          <w:b/>
          <w:sz w:val="18"/>
          <w:szCs w:val="18"/>
        </w:rPr>
        <w:t>;</w:t>
      </w:r>
    </w:p>
    <w:p w:rsidRPr="00533D5C" w:rsidR="00DE3E6F" w:rsidP="00533D5C" w:rsidRDefault="00DE3E6F">
      <w:pPr>
        <w:pStyle w:val="Lijstalinea"/>
        <w:numPr>
          <w:ilvl w:val="0"/>
          <w:numId w:val="14"/>
        </w:numPr>
        <w:spacing w:line="240" w:lineRule="exact"/>
        <w:contextualSpacing/>
        <w:rPr>
          <w:rFonts w:ascii="Verdana" w:hAnsi="Verdana" w:cs="Courier New"/>
          <w:sz w:val="18"/>
          <w:szCs w:val="18"/>
        </w:rPr>
      </w:pPr>
      <w:r w:rsidRPr="00533D5C">
        <w:rPr>
          <w:rFonts w:ascii="Verdana" w:hAnsi="Verdana" w:cs="Courier New"/>
          <w:sz w:val="18"/>
          <w:szCs w:val="18"/>
        </w:rPr>
        <w:lastRenderedPageBreak/>
        <w:t>Het project Pilot ERTMS (deel NS) is als verplichting vastgelegd op de begroting van HXII terwijl de uitgaven op het Infrastructuurfonds (IF) zijn begroot. Daarom wordt er 9,2 mln. vanuit het IF overgeboekt naar HXII om de uitgaven voor dit project te dekken;</w:t>
      </w:r>
    </w:p>
    <w:p w:rsidRPr="00533D5C" w:rsidR="00DE3E6F" w:rsidP="00533D5C" w:rsidRDefault="00DE3E6F">
      <w:pPr>
        <w:pStyle w:val="Lijstalinea"/>
        <w:numPr>
          <w:ilvl w:val="0"/>
          <w:numId w:val="14"/>
        </w:numPr>
        <w:spacing w:line="240" w:lineRule="exact"/>
        <w:contextualSpacing/>
        <w:rPr>
          <w:rFonts w:ascii="Verdana" w:hAnsi="Verdana" w:cs="Courier New"/>
          <w:sz w:val="18"/>
          <w:szCs w:val="18"/>
        </w:rPr>
      </w:pPr>
      <w:r w:rsidRPr="00533D5C">
        <w:rPr>
          <w:rFonts w:ascii="Verdana" w:hAnsi="Verdana" w:cs="Courier New"/>
          <w:sz w:val="18"/>
          <w:szCs w:val="18"/>
        </w:rPr>
        <w:t>Er zijn extra kosten voor het onderhoud van de motoren van het regeringsvliegtuig (KBX) in 2014 (2,8 mln.).</w:t>
      </w:r>
    </w:p>
    <w:p w:rsidRPr="00533D5C" w:rsidR="00DE3E6F" w:rsidP="00533D5C" w:rsidRDefault="00DE3E6F">
      <w:pPr>
        <w:spacing w:line="240" w:lineRule="exact"/>
        <w:rPr>
          <w:rFonts w:ascii="Verdana" w:hAnsi="Verdana" w:cs="Courier New"/>
          <w:sz w:val="18"/>
          <w:szCs w:val="18"/>
        </w:rPr>
      </w:pPr>
    </w:p>
    <w:p w:rsidRPr="00533D5C" w:rsidR="00DE3E6F" w:rsidP="00533D5C" w:rsidRDefault="00DE3E6F">
      <w:pPr>
        <w:spacing w:line="240" w:lineRule="exact"/>
        <w:rPr>
          <w:rFonts w:ascii="Verdana" w:hAnsi="Verdana" w:cs="Courier New"/>
          <w:i/>
          <w:sz w:val="18"/>
          <w:szCs w:val="18"/>
        </w:rPr>
      </w:pPr>
      <w:r w:rsidRPr="00533D5C">
        <w:rPr>
          <w:rFonts w:ascii="Verdana" w:hAnsi="Verdana" w:cs="Courier New"/>
          <w:i/>
          <w:sz w:val="18"/>
          <w:szCs w:val="18"/>
        </w:rPr>
        <w:t>Diversen</w:t>
      </w:r>
      <w:r w:rsidRPr="00533D5C" w:rsidR="00104F23">
        <w:rPr>
          <w:rFonts w:ascii="Verdana" w:hAnsi="Verdana" w:cs="Courier New"/>
          <w:i/>
          <w:sz w:val="18"/>
          <w:szCs w:val="18"/>
        </w:rPr>
        <w:t xml:space="preserve"> - technische mutaties uitgaven</w:t>
      </w:r>
    </w:p>
    <w:p w:rsidRPr="00533D5C" w:rsidR="00DE3E6F" w:rsidP="00533D5C" w:rsidRDefault="00DE3E6F">
      <w:pPr>
        <w:spacing w:line="240" w:lineRule="exact"/>
        <w:rPr>
          <w:rFonts w:ascii="Verdana" w:hAnsi="Verdana" w:cs="Courier New"/>
          <w:sz w:val="18"/>
          <w:szCs w:val="18"/>
        </w:rPr>
      </w:pPr>
      <w:r w:rsidRPr="00533D5C">
        <w:rPr>
          <w:rFonts w:ascii="Verdana" w:hAnsi="Verdana" w:cs="Courier New"/>
          <w:sz w:val="18"/>
          <w:szCs w:val="18"/>
        </w:rPr>
        <w:t xml:space="preserve">Dit betreft het saldo van verschillende mutaties. De belangrijkste worden toegelicht: </w:t>
      </w:r>
    </w:p>
    <w:p w:rsidRPr="00533D5C" w:rsidR="00DE3E6F" w:rsidP="00533D5C" w:rsidRDefault="00DE3E6F">
      <w:pPr>
        <w:pStyle w:val="Lijstalinea"/>
        <w:numPr>
          <w:ilvl w:val="0"/>
          <w:numId w:val="15"/>
        </w:numPr>
        <w:spacing w:line="240" w:lineRule="exact"/>
        <w:contextualSpacing/>
        <w:rPr>
          <w:rFonts w:ascii="Verdana" w:hAnsi="Verdana" w:cs="Courier New"/>
          <w:sz w:val="18"/>
          <w:szCs w:val="18"/>
        </w:rPr>
      </w:pPr>
      <w:r w:rsidRPr="00533D5C">
        <w:rPr>
          <w:rFonts w:ascii="Verdana" w:hAnsi="Verdana" w:cs="Courier New"/>
          <w:sz w:val="18"/>
          <w:szCs w:val="18"/>
        </w:rPr>
        <w:t xml:space="preserve">In het kader van het decentralisatiebeleid wordt het budget voor het Nota Ruimte project Zuidplaspolder vanuit HXII overgeboekt naar het Provinciefonds (-6,7 mln.); </w:t>
      </w:r>
    </w:p>
    <w:p w:rsidRPr="00533D5C" w:rsidR="00DE3E6F" w:rsidP="00533D5C" w:rsidRDefault="00DE3E6F">
      <w:pPr>
        <w:pStyle w:val="Lijstalinea"/>
        <w:numPr>
          <w:ilvl w:val="0"/>
          <w:numId w:val="15"/>
        </w:numPr>
        <w:spacing w:line="240" w:lineRule="exact"/>
        <w:contextualSpacing/>
        <w:rPr>
          <w:rFonts w:ascii="Verdana" w:hAnsi="Verdana" w:cs="Courier New"/>
          <w:sz w:val="18"/>
          <w:szCs w:val="18"/>
        </w:rPr>
      </w:pPr>
      <w:r w:rsidRPr="00533D5C">
        <w:rPr>
          <w:rFonts w:ascii="Verdana" w:hAnsi="Verdana" w:cs="Courier New"/>
          <w:sz w:val="18"/>
          <w:szCs w:val="18"/>
        </w:rPr>
        <w:t>In het kader van het Knelpunt Enschedeterrein in Haarlem (bodemverontreiniging) wordt 4,1 mln. overgeheveld naar het Gemeentefonds;</w:t>
      </w:r>
    </w:p>
    <w:p w:rsidRPr="00533D5C" w:rsidR="00DE3E6F" w:rsidP="00533D5C" w:rsidRDefault="00DE3E6F">
      <w:pPr>
        <w:pStyle w:val="Lijstalinea"/>
        <w:numPr>
          <w:ilvl w:val="0"/>
          <w:numId w:val="15"/>
        </w:numPr>
        <w:spacing w:line="240" w:lineRule="exact"/>
        <w:contextualSpacing/>
        <w:rPr>
          <w:rFonts w:ascii="Verdana" w:hAnsi="Verdana" w:cs="Courier New"/>
          <w:sz w:val="18"/>
          <w:szCs w:val="18"/>
        </w:rPr>
      </w:pPr>
      <w:r w:rsidRPr="00533D5C">
        <w:rPr>
          <w:rFonts w:ascii="Verdana" w:hAnsi="Verdana" w:cs="Courier New"/>
          <w:sz w:val="18"/>
          <w:szCs w:val="18"/>
        </w:rPr>
        <w:t xml:space="preserve">Voor het op orde brengen van de drinkwaterkwaliteit op Saba, Bonaire en St. Eustatius in Caribisch Nederland  worden de gereserveerde middelen (3,9 mln.) in 2014 overgeboekt naar het BES-fonds; </w:t>
      </w:r>
    </w:p>
    <w:p w:rsidRPr="00533D5C" w:rsidR="00DE3E6F" w:rsidP="00533D5C" w:rsidRDefault="00DE3E6F">
      <w:pPr>
        <w:pStyle w:val="Lijstalinea"/>
        <w:numPr>
          <w:ilvl w:val="0"/>
          <w:numId w:val="15"/>
        </w:numPr>
        <w:spacing w:line="240" w:lineRule="exact"/>
        <w:contextualSpacing/>
        <w:rPr>
          <w:rFonts w:ascii="Verdana" w:hAnsi="Verdana" w:cs="Courier New"/>
          <w:sz w:val="18"/>
          <w:szCs w:val="18"/>
        </w:rPr>
      </w:pPr>
      <w:r w:rsidRPr="00533D5C">
        <w:rPr>
          <w:rFonts w:ascii="Verdana" w:hAnsi="Verdana" w:cs="Courier New"/>
          <w:sz w:val="18"/>
          <w:szCs w:val="18"/>
        </w:rPr>
        <w:t>Er wordt in verband met de versnelling van de saneringsopgave Thermphos Zeeland 1 mln. overgeheveld naar het Gemeentefonds;</w:t>
      </w:r>
    </w:p>
    <w:p w:rsidRPr="00533D5C" w:rsidR="00DE3E6F" w:rsidP="00533D5C" w:rsidRDefault="00DE3E6F">
      <w:pPr>
        <w:pStyle w:val="Lijstalinea"/>
        <w:numPr>
          <w:ilvl w:val="0"/>
          <w:numId w:val="15"/>
        </w:numPr>
        <w:spacing w:line="240" w:lineRule="exact"/>
        <w:contextualSpacing/>
        <w:rPr>
          <w:rFonts w:ascii="Verdana" w:hAnsi="Verdana" w:cs="Courier New"/>
          <w:sz w:val="18"/>
          <w:szCs w:val="18"/>
        </w:rPr>
      </w:pPr>
      <w:r w:rsidRPr="00533D5C">
        <w:rPr>
          <w:rFonts w:ascii="Verdana" w:hAnsi="Verdana" w:cs="Courier New"/>
          <w:sz w:val="18"/>
          <w:szCs w:val="18"/>
        </w:rPr>
        <w:t>In verband met een bijdrage aan  de Autoriteit Consument &amp; Markt / Vervoerkamer ten behoeve van toezichtstaken voor het spoorwegwet  wordt 1,2 mln. overgeboekt naar het ministerie van Economische Zaken;</w:t>
      </w:r>
    </w:p>
    <w:p w:rsidRPr="00533D5C" w:rsidR="00DE3E6F" w:rsidP="00533D5C" w:rsidRDefault="00DE3E6F">
      <w:pPr>
        <w:pStyle w:val="Lijstalinea"/>
        <w:numPr>
          <w:ilvl w:val="0"/>
          <w:numId w:val="15"/>
        </w:numPr>
        <w:spacing w:line="240" w:lineRule="exact"/>
        <w:contextualSpacing/>
        <w:rPr>
          <w:rFonts w:ascii="Verdana" w:hAnsi="Verdana" w:cs="Courier New"/>
          <w:sz w:val="18"/>
          <w:szCs w:val="18"/>
        </w:rPr>
      </w:pPr>
      <w:r w:rsidRPr="00533D5C">
        <w:rPr>
          <w:rFonts w:ascii="Verdana" w:hAnsi="Verdana" w:cs="Courier New"/>
          <w:sz w:val="18"/>
          <w:szCs w:val="18"/>
        </w:rPr>
        <w:t xml:space="preserve">IenM ontvangt van het ministerie van Economische Zaken een bijdrage van 1,2 mln. aan het onderzoeksprogramma van het PBL “The Economics of Ecosystems and Biodiversity”. </w:t>
      </w:r>
    </w:p>
    <w:p w:rsidRPr="00533D5C" w:rsidR="00DE3E6F" w:rsidP="00533D5C" w:rsidRDefault="00DE3E6F">
      <w:pPr>
        <w:pStyle w:val="Lijstalinea"/>
        <w:numPr>
          <w:ilvl w:val="0"/>
          <w:numId w:val="15"/>
        </w:numPr>
        <w:spacing w:line="240" w:lineRule="exact"/>
        <w:contextualSpacing/>
        <w:rPr>
          <w:rFonts w:ascii="Verdana" w:hAnsi="Verdana" w:cs="Courier New"/>
          <w:sz w:val="18"/>
          <w:szCs w:val="18"/>
        </w:rPr>
      </w:pPr>
      <w:r w:rsidRPr="00533D5C">
        <w:rPr>
          <w:rFonts w:ascii="Verdana" w:hAnsi="Verdana" w:cs="Courier New"/>
          <w:sz w:val="18"/>
          <w:szCs w:val="18"/>
        </w:rPr>
        <w:t>Bij Miljoenennota 2015 is gemeld dat voor verschillende te leveren diensten (facilitaire en ict-voorzieningen die in Dienstverleningsovereenkomsten worden gesloten)</w:t>
      </w:r>
      <w:r w:rsidRPr="00533D5C" w:rsidDel="00A95E89">
        <w:rPr>
          <w:rStyle w:val="Verwijzingopmerking"/>
          <w:rFonts w:ascii="Verdana" w:hAnsi="Verdana"/>
          <w:sz w:val="18"/>
          <w:szCs w:val="18"/>
        </w:rPr>
        <w:t xml:space="preserve"> </w:t>
      </w:r>
      <w:r w:rsidRPr="00533D5C">
        <w:rPr>
          <w:rFonts w:ascii="Verdana" w:hAnsi="Verdana" w:cs="Courier New"/>
          <w:sz w:val="18"/>
          <w:szCs w:val="18"/>
        </w:rPr>
        <w:t>IenM bijna 13 mln. ontvangt van agentschappen. Op basis van nieuwe</w:t>
      </w:r>
      <w:r w:rsidRPr="00533D5C">
        <w:rPr>
          <w:rFonts w:ascii="Verdana" w:hAnsi="Verdana" w:cs="Courier New"/>
          <w:i/>
          <w:sz w:val="18"/>
          <w:szCs w:val="18"/>
        </w:rPr>
        <w:t xml:space="preserve"> </w:t>
      </w:r>
      <w:r w:rsidRPr="00533D5C">
        <w:rPr>
          <w:rFonts w:ascii="Verdana" w:hAnsi="Verdana" w:cs="Courier New"/>
          <w:sz w:val="18"/>
          <w:szCs w:val="18"/>
        </w:rPr>
        <w:t>inzichten (minder diensten) wordt dit met -5 mln. bijgesteld. Dat betekent dat zowel de ontvangsten- als de uitgaven plafonds worden verlaagd.</w:t>
      </w:r>
    </w:p>
    <w:p w:rsidRPr="00533D5C" w:rsidR="00DE3E6F" w:rsidP="00533D5C" w:rsidRDefault="00DE3E6F">
      <w:pPr>
        <w:spacing w:line="240" w:lineRule="exact"/>
        <w:contextualSpacing/>
        <w:rPr>
          <w:rFonts w:ascii="Verdana" w:hAnsi="Verdana" w:cs="Courier New"/>
          <w:sz w:val="18"/>
          <w:szCs w:val="18"/>
        </w:rPr>
      </w:pPr>
    </w:p>
    <w:p w:rsidRPr="00533D5C" w:rsidR="00DE3E6F" w:rsidP="00533D5C" w:rsidRDefault="00DE3E6F">
      <w:pPr>
        <w:spacing w:line="240" w:lineRule="exact"/>
        <w:rPr>
          <w:rFonts w:ascii="Verdana" w:hAnsi="Verdana" w:cs="Courier New"/>
          <w:i/>
          <w:sz w:val="18"/>
          <w:szCs w:val="18"/>
        </w:rPr>
      </w:pPr>
      <w:r w:rsidRPr="00533D5C">
        <w:rPr>
          <w:rFonts w:ascii="Verdana" w:hAnsi="Verdana" w:cs="Courier New"/>
          <w:i/>
          <w:sz w:val="18"/>
          <w:szCs w:val="18"/>
        </w:rPr>
        <w:t xml:space="preserve">Diversen </w:t>
      </w:r>
      <w:r w:rsidRPr="00533D5C" w:rsidR="00104F23">
        <w:rPr>
          <w:rFonts w:ascii="Verdana" w:hAnsi="Verdana" w:cs="Courier New"/>
          <w:i/>
          <w:sz w:val="18"/>
          <w:szCs w:val="18"/>
        </w:rPr>
        <w:t>– technische mutaties ontvangsten</w:t>
      </w:r>
    </w:p>
    <w:p w:rsidRPr="00533D5C" w:rsidR="00DE3E6F" w:rsidP="00533D5C" w:rsidRDefault="00DE3E6F">
      <w:pPr>
        <w:spacing w:line="240" w:lineRule="exact"/>
        <w:rPr>
          <w:rFonts w:ascii="Verdana" w:hAnsi="Verdana" w:cs="Courier New"/>
          <w:sz w:val="18"/>
          <w:szCs w:val="18"/>
        </w:rPr>
      </w:pPr>
      <w:r w:rsidRPr="00533D5C">
        <w:rPr>
          <w:rFonts w:ascii="Verdana" w:hAnsi="Verdana" w:cs="Courier New"/>
          <w:sz w:val="18"/>
          <w:szCs w:val="18"/>
        </w:rPr>
        <w:t>Bij Miljoenennota 2015 is gemeld dat voor verschillende te leveren diensten (facilitaire en ict-voorzieningen die in Dienstverleningsovereenkomsten worden gesloten)</w:t>
      </w:r>
      <w:r w:rsidRPr="00533D5C" w:rsidDel="00A95E89">
        <w:rPr>
          <w:rStyle w:val="Verwijzingopmerking"/>
          <w:rFonts w:ascii="Verdana" w:hAnsi="Verdana"/>
          <w:sz w:val="18"/>
          <w:szCs w:val="18"/>
        </w:rPr>
        <w:t xml:space="preserve"> </w:t>
      </w:r>
      <w:r w:rsidRPr="00533D5C">
        <w:rPr>
          <w:rFonts w:ascii="Verdana" w:hAnsi="Verdana" w:cs="Courier New"/>
          <w:sz w:val="18"/>
          <w:szCs w:val="18"/>
        </w:rPr>
        <w:t>IenM bijna 13 mln. ontvangt van agentschappen. Op basis van nieuwe</w:t>
      </w:r>
      <w:r w:rsidRPr="00533D5C">
        <w:rPr>
          <w:rFonts w:ascii="Verdana" w:hAnsi="Verdana" w:cs="Courier New"/>
          <w:i/>
          <w:sz w:val="18"/>
          <w:szCs w:val="18"/>
        </w:rPr>
        <w:t xml:space="preserve"> </w:t>
      </w:r>
      <w:r w:rsidRPr="00533D5C">
        <w:rPr>
          <w:rFonts w:ascii="Verdana" w:hAnsi="Verdana" w:cs="Courier New"/>
          <w:sz w:val="18"/>
          <w:szCs w:val="18"/>
        </w:rPr>
        <w:t>inzichten (minder diensten) wordt dit met -5 mln. bijgesteld. Dat betekent dat zowel de ontvangsten- als de uitgaven plafonds worden verlaagd.</w:t>
      </w:r>
    </w:p>
    <w:p w:rsidRPr="00533D5C" w:rsidR="00DE3E6F" w:rsidP="00533D5C" w:rsidRDefault="00DE3E6F">
      <w:pPr>
        <w:spacing w:line="240" w:lineRule="exact"/>
        <w:rPr>
          <w:rFonts w:ascii="Verdana" w:hAnsi="Verdana" w:cs="Courier New"/>
          <w:sz w:val="18"/>
          <w:szCs w:val="18"/>
        </w:rPr>
      </w:pPr>
    </w:p>
    <w:p w:rsidRPr="00533D5C" w:rsidR="00DE3E6F" w:rsidP="00533D5C" w:rsidRDefault="00DE3E6F">
      <w:pPr>
        <w:spacing w:line="240" w:lineRule="exact"/>
        <w:rPr>
          <w:rFonts w:ascii="Verdana" w:hAnsi="Verdana" w:cs="Courier New"/>
          <w:sz w:val="18"/>
          <w:szCs w:val="18"/>
        </w:rPr>
      </w:pPr>
      <w:r w:rsidRPr="00533D5C">
        <w:rPr>
          <w:rFonts w:ascii="Verdana" w:hAnsi="Verdana" w:cs="Courier New"/>
          <w:sz w:val="18"/>
          <w:szCs w:val="18"/>
        </w:rPr>
        <w:t>Verschillende onderzoeken van kennis</w:t>
      </w:r>
      <w:r w:rsidRPr="00533D5C" w:rsidR="00104F23">
        <w:rPr>
          <w:rFonts w:ascii="Verdana" w:hAnsi="Verdana" w:cs="Courier New"/>
          <w:sz w:val="18"/>
          <w:szCs w:val="18"/>
        </w:rPr>
        <w:t>instellingen (zoals het Planbure</w:t>
      </w:r>
      <w:r w:rsidRPr="00533D5C">
        <w:rPr>
          <w:rFonts w:ascii="Verdana" w:hAnsi="Verdana" w:cs="Courier New"/>
          <w:sz w:val="18"/>
          <w:szCs w:val="18"/>
        </w:rPr>
        <w:t xml:space="preserve">au voor de Leefomgeving en Kennisinstituut voor Strategie) zullen niet meer in 2014 worden uitgevoerd. Dit gaat gepaard met een verlaging in de geraamde ontvangsten (1,6 mln.). </w:t>
      </w:r>
    </w:p>
    <w:p w:rsidRPr="00533D5C" w:rsidR="00DE3E6F" w:rsidP="00533D5C" w:rsidRDefault="00DE3E6F">
      <w:pPr>
        <w:spacing w:line="240" w:lineRule="exact"/>
        <w:rPr>
          <w:rFonts w:ascii="Verdana" w:hAnsi="Verdana" w:cs="Courier New"/>
          <w:sz w:val="18"/>
          <w:szCs w:val="18"/>
        </w:rPr>
      </w:pPr>
    </w:p>
    <w:p w:rsidRPr="00533D5C" w:rsidR="00DE3E6F" w:rsidP="00533D5C" w:rsidRDefault="00DE3E6F">
      <w:pPr>
        <w:spacing w:line="240" w:lineRule="exact"/>
        <w:rPr>
          <w:rFonts w:ascii="Verdana" w:hAnsi="Verdana" w:cs="Courier New"/>
          <w:i/>
          <w:sz w:val="18"/>
          <w:szCs w:val="18"/>
        </w:rPr>
      </w:pPr>
      <w:r w:rsidRPr="00533D5C">
        <w:rPr>
          <w:rFonts w:ascii="Verdana" w:hAnsi="Verdana" w:cs="Courier New"/>
          <w:i/>
          <w:sz w:val="18"/>
          <w:szCs w:val="18"/>
        </w:rPr>
        <w:t>Diversen</w:t>
      </w:r>
      <w:r w:rsidRPr="00533D5C" w:rsidR="00104F23">
        <w:rPr>
          <w:rFonts w:ascii="Verdana" w:hAnsi="Verdana" w:cs="Courier New"/>
          <w:i/>
          <w:sz w:val="18"/>
          <w:szCs w:val="18"/>
        </w:rPr>
        <w:t xml:space="preserve"> - technische mutaties ontvangsten</w:t>
      </w:r>
      <w:r w:rsidRPr="00533D5C">
        <w:rPr>
          <w:rFonts w:ascii="Verdana" w:hAnsi="Verdana" w:cs="Courier New"/>
          <w:i/>
          <w:sz w:val="18"/>
          <w:szCs w:val="18"/>
        </w:rPr>
        <w:t xml:space="preserve"> </w:t>
      </w:r>
      <w:r w:rsidRPr="00533D5C" w:rsidR="00104F23">
        <w:rPr>
          <w:rFonts w:ascii="Verdana" w:hAnsi="Verdana" w:cs="Courier New"/>
          <w:i/>
          <w:sz w:val="18"/>
          <w:szCs w:val="18"/>
        </w:rPr>
        <w:t>niet tot een ijklijn behorend</w:t>
      </w:r>
    </w:p>
    <w:p w:rsidRPr="00533D5C" w:rsidR="00DE3E6F" w:rsidP="00533D5C" w:rsidRDefault="00DE3E6F">
      <w:pPr>
        <w:spacing w:line="240" w:lineRule="exact"/>
        <w:rPr>
          <w:rFonts w:ascii="Verdana" w:hAnsi="Verdana" w:cs="Courier New"/>
          <w:sz w:val="18"/>
          <w:szCs w:val="18"/>
        </w:rPr>
      </w:pPr>
      <w:r w:rsidRPr="00533D5C">
        <w:rPr>
          <w:rFonts w:ascii="Verdana" w:hAnsi="Verdana" w:cs="Courier New"/>
          <w:sz w:val="18"/>
          <w:szCs w:val="18"/>
        </w:rPr>
        <w:t xml:space="preserve">De ontvangsten van de veilingopbrengsten emissiehandel (ETS) vallen in 2014 circa 20 mln. lager uit dan geraamd. Dit wordt veroorzaakt doordat de veilingprijs per emissierecht lager uitvalt. Deze prijs is begroot op </w:t>
      </w:r>
      <w:r w:rsidRPr="00533D5C" w:rsidR="00945967">
        <w:rPr>
          <w:rFonts w:ascii="Verdana" w:hAnsi="Verdana" w:cs="Courier New"/>
          <w:sz w:val="18"/>
          <w:szCs w:val="18"/>
        </w:rPr>
        <w:t>7</w:t>
      </w:r>
      <w:r w:rsidRPr="00533D5C">
        <w:rPr>
          <w:rFonts w:ascii="Verdana" w:hAnsi="Verdana" w:cs="Courier New"/>
          <w:sz w:val="18"/>
          <w:szCs w:val="18"/>
        </w:rPr>
        <w:t>,00</w:t>
      </w:r>
      <w:r w:rsidRPr="00533D5C" w:rsidR="00945967">
        <w:rPr>
          <w:rFonts w:ascii="Verdana" w:hAnsi="Verdana" w:cs="Courier New"/>
          <w:sz w:val="18"/>
          <w:szCs w:val="18"/>
        </w:rPr>
        <w:t xml:space="preserve"> euro</w:t>
      </w:r>
      <w:r w:rsidRPr="00533D5C">
        <w:rPr>
          <w:rFonts w:ascii="Verdana" w:hAnsi="Verdana" w:cs="Courier New"/>
          <w:sz w:val="18"/>
          <w:szCs w:val="18"/>
        </w:rPr>
        <w:t xml:space="preserve"> per emissierecht, echter de gerealiseerde prijs in 2014 is gemiddeld</w:t>
      </w:r>
      <w:r w:rsidRPr="00533D5C" w:rsidR="00104F23">
        <w:rPr>
          <w:rFonts w:ascii="Verdana" w:hAnsi="Verdana" w:cs="Tahoma"/>
          <w:sz w:val="18"/>
          <w:szCs w:val="18"/>
        </w:rPr>
        <w:t xml:space="preserve"> </w:t>
      </w:r>
      <w:r w:rsidRPr="00533D5C">
        <w:rPr>
          <w:rFonts w:ascii="Verdana" w:hAnsi="Verdana" w:cs="Tahoma"/>
          <w:sz w:val="18"/>
          <w:szCs w:val="18"/>
        </w:rPr>
        <w:t xml:space="preserve"> </w:t>
      </w:r>
      <w:r w:rsidRPr="00533D5C">
        <w:rPr>
          <w:rFonts w:ascii="Verdana" w:hAnsi="Verdana" w:cs="Courier New"/>
          <w:sz w:val="18"/>
          <w:szCs w:val="18"/>
        </w:rPr>
        <w:t>5,72</w:t>
      </w:r>
      <w:r w:rsidRPr="00533D5C" w:rsidR="00104F23">
        <w:rPr>
          <w:rFonts w:ascii="Verdana" w:hAnsi="Verdana" w:cs="Courier New"/>
          <w:sz w:val="18"/>
          <w:szCs w:val="18"/>
        </w:rPr>
        <w:t xml:space="preserve"> euro</w:t>
      </w:r>
      <w:r w:rsidRPr="00533D5C">
        <w:rPr>
          <w:rFonts w:ascii="Verdana" w:hAnsi="Verdana" w:cs="Courier New"/>
          <w:sz w:val="18"/>
          <w:szCs w:val="18"/>
        </w:rPr>
        <w:t xml:space="preserve">. </w:t>
      </w:r>
    </w:p>
    <w:p w:rsidRPr="00533D5C" w:rsidR="00DE3E6F" w:rsidP="00533D5C" w:rsidRDefault="00DE3E6F">
      <w:pPr>
        <w:spacing w:line="240" w:lineRule="exact"/>
        <w:contextualSpacing/>
        <w:rPr>
          <w:rFonts w:ascii="Verdana" w:hAnsi="Verdana" w:cs="Courier New"/>
          <w:sz w:val="18"/>
          <w:szCs w:val="18"/>
        </w:rPr>
      </w:pPr>
    </w:p>
    <w:p w:rsidRPr="00533D5C" w:rsidR="00283CE9" w:rsidP="00533D5C" w:rsidRDefault="00283CE9">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697E35" w:rsidP="00533D5C" w:rsidRDefault="00512EDB">
      <w:pPr>
        <w:spacing w:line="240" w:lineRule="exact"/>
        <w:rPr>
          <w:rFonts w:ascii="Verdana" w:hAnsi="Verdana" w:cs="Verdana"/>
          <w:bCs/>
          <w:sz w:val="18"/>
          <w:szCs w:val="18"/>
        </w:rPr>
      </w:pPr>
      <w:r w:rsidRPr="00533D5C">
        <w:rPr>
          <w:rFonts w:ascii="Verdana" w:hAnsi="Verdana" w:cs="Verdana"/>
          <w:b/>
          <w:bCs/>
          <w:sz w:val="18"/>
          <w:szCs w:val="18"/>
        </w:rPr>
        <w:lastRenderedPageBreak/>
        <w:t>E</w:t>
      </w:r>
      <w:r w:rsidRPr="00533D5C" w:rsidR="007A4321">
        <w:rPr>
          <w:rFonts w:ascii="Verdana" w:hAnsi="Verdana" w:cs="Verdana"/>
          <w:b/>
          <w:bCs/>
          <w:sz w:val="18"/>
          <w:szCs w:val="18"/>
        </w:rPr>
        <w:t>conomische Zaken</w:t>
      </w:r>
      <w:r w:rsidRPr="00533D5C" w:rsidR="00104F23">
        <w:rPr>
          <w:rFonts w:ascii="Verdana" w:hAnsi="Verdana" w:cs="Verdana"/>
          <w:b/>
          <w:bCs/>
          <w:sz w:val="18"/>
          <w:szCs w:val="18"/>
        </w:rPr>
        <w:t xml:space="preserve"> </w:t>
      </w:r>
    </w:p>
    <w:p w:rsidRPr="00533D5C" w:rsidR="003B0AD1" w:rsidP="00533D5C" w:rsidRDefault="003B0AD1">
      <w:pPr>
        <w:spacing w:line="240" w:lineRule="exact"/>
        <w:rPr>
          <w:rFonts w:ascii="Verdana" w:hAnsi="Verdana" w:cs="Verdana"/>
          <w:bCs/>
          <w:sz w:val="18"/>
          <w:szCs w:val="18"/>
        </w:rPr>
      </w:pPr>
    </w:p>
    <w:tbl>
      <w:tblPr>
        <w:tblW w:w="5000" w:type="pct"/>
        <w:tblCellMar>
          <w:left w:w="70" w:type="dxa"/>
          <w:right w:w="70" w:type="dxa"/>
        </w:tblCellMar>
        <w:tblLook w:val="04A0"/>
      </w:tblPr>
      <w:tblGrid>
        <w:gridCol w:w="7790"/>
        <w:gridCol w:w="1422"/>
      </w:tblGrid>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XIII ECONOMISCHE ZAKEN: UITGAVEN</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40"/>
        </w:trPr>
        <w:tc>
          <w:tcPr>
            <w:tcW w:w="4228" w:type="pct"/>
            <w:tcBorders>
              <w:top w:val="single" w:color="000000" w:sz="8" w:space="0"/>
              <w:left w:val="nil"/>
              <w:bottom w:val="single" w:color="000000" w:sz="8" w:space="0"/>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72" w:type="pct"/>
            <w:tcBorders>
              <w:top w:val="single" w:color="000000" w:sz="8" w:space="0"/>
              <w:left w:val="nil"/>
              <w:bottom w:val="single" w:color="000000" w:sz="8" w:space="0"/>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5.107,1</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Egalisatieschuld rgd/bzk</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16,0</w:t>
            </w:r>
          </w:p>
        </w:tc>
      </w:tr>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-18,9</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p>
        </w:tc>
        <w:tc>
          <w:tcPr>
            <w:tcW w:w="772" w:type="pct"/>
            <w:tcBorders>
              <w:top w:val="single" w:color="000000" w:sz="8" w:space="0"/>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-2,9</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Ccs o.a. road</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-32,8</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Energieakkoord</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-25,0</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Ets compensatie</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-19,5</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Krediet ecn/nrg (hfr)</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25,0</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Mee en tegenvallers njn 2014</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19,3</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Rom's</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-20,0</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Voeding bmkb reserve</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26,6</w:t>
            </w:r>
          </w:p>
        </w:tc>
      </w:tr>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11,2</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p>
        </w:tc>
        <w:tc>
          <w:tcPr>
            <w:tcW w:w="772" w:type="pct"/>
            <w:tcBorders>
              <w:top w:val="single" w:color="000000" w:sz="8" w:space="0"/>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-15,2</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13,7</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p>
        </w:tc>
        <w:tc>
          <w:tcPr>
            <w:tcW w:w="772" w:type="pct"/>
            <w:tcBorders>
              <w:top w:val="single" w:color="000000" w:sz="8" w:space="0"/>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13,7</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-4,5</w:t>
            </w:r>
          </w:p>
        </w:tc>
      </w:tr>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72" w:type="pct"/>
            <w:tcBorders>
              <w:top w:val="single" w:color="000000" w:sz="8" w:space="0"/>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5.102,6</w:t>
            </w:r>
          </w:p>
        </w:tc>
      </w:tr>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57,7</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72" w:type="pct"/>
            <w:tcBorders>
              <w:top w:val="single" w:color="000000" w:sz="8" w:space="0"/>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5.160,3</w:t>
            </w:r>
          </w:p>
        </w:tc>
      </w:tr>
      <w:tr w:rsidRPr="00533D5C" w:rsidR="003B0AD1" w:rsidTr="003B0AD1">
        <w:trPr>
          <w:trHeight w:val="225"/>
        </w:trPr>
        <w:tc>
          <w:tcPr>
            <w:tcW w:w="4228"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XIII ECONOMISCHE ZAKEN: NIET-BELASTINGONTVANGSTEN</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40"/>
        </w:trPr>
        <w:tc>
          <w:tcPr>
            <w:tcW w:w="4228" w:type="pct"/>
            <w:tcBorders>
              <w:top w:val="single" w:color="000000" w:sz="8" w:space="0"/>
              <w:left w:val="nil"/>
              <w:bottom w:val="single" w:color="000000" w:sz="8" w:space="0"/>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72" w:type="pct"/>
            <w:tcBorders>
              <w:top w:val="single" w:color="000000" w:sz="8" w:space="0"/>
              <w:left w:val="nil"/>
              <w:bottom w:val="single" w:color="000000" w:sz="8" w:space="0"/>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11.796,7</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-16,1</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p>
        </w:tc>
        <w:tc>
          <w:tcPr>
            <w:tcW w:w="772" w:type="pct"/>
            <w:tcBorders>
              <w:top w:val="single" w:color="000000" w:sz="8" w:space="0"/>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-16,1</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15,1</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p>
        </w:tc>
        <w:tc>
          <w:tcPr>
            <w:tcW w:w="772" w:type="pct"/>
            <w:tcBorders>
              <w:top w:val="single" w:color="000000" w:sz="8" w:space="0"/>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15,1</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11,3</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-18,2</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p>
        </w:tc>
        <w:tc>
          <w:tcPr>
            <w:tcW w:w="772" w:type="pct"/>
            <w:tcBorders>
              <w:top w:val="single" w:color="000000" w:sz="8" w:space="0"/>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-6,9</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-7,8</w:t>
            </w:r>
          </w:p>
        </w:tc>
      </w:tr>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p>
        </w:tc>
        <w:tc>
          <w:tcPr>
            <w:tcW w:w="772" w:type="pct"/>
            <w:tcBorders>
              <w:top w:val="nil"/>
              <w:left w:val="nil"/>
              <w:bottom w:val="nil"/>
              <w:right w:val="nil"/>
            </w:tcBorders>
            <w:shd w:val="clear" w:color="auto" w:fill="auto"/>
            <w:noWrap/>
            <w:vAlign w:val="bottom"/>
            <w:hideMark/>
          </w:tcPr>
          <w:p w:rsidRPr="00533D5C" w:rsidR="003B0AD1" w:rsidP="00533D5C" w:rsidRDefault="003B0AD1">
            <w:pPr>
              <w:spacing w:line="240" w:lineRule="exact"/>
              <w:rPr>
                <w:rFonts w:ascii="Verdana" w:hAnsi="Verdana"/>
                <w:color w:val="000000"/>
                <w:sz w:val="18"/>
                <w:szCs w:val="18"/>
              </w:rPr>
            </w:pP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72" w:type="pct"/>
            <w:tcBorders>
              <w:top w:val="single" w:color="000000" w:sz="8" w:space="0"/>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11.788,9</w:t>
            </w:r>
          </w:p>
        </w:tc>
      </w:tr>
      <w:tr w:rsidRPr="00533D5C" w:rsidR="003B0AD1" w:rsidTr="003B0AD1">
        <w:trPr>
          <w:trHeight w:val="240"/>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72" w:type="pct"/>
            <w:tcBorders>
              <w:top w:val="nil"/>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2,9</w:t>
            </w:r>
          </w:p>
        </w:tc>
      </w:tr>
      <w:tr w:rsidRPr="00533D5C" w:rsidR="003B0AD1" w:rsidTr="003B0AD1">
        <w:trPr>
          <w:trHeight w:val="225"/>
        </w:trPr>
        <w:tc>
          <w:tcPr>
            <w:tcW w:w="4228" w:type="pct"/>
            <w:tcBorders>
              <w:top w:val="nil"/>
              <w:left w:val="nil"/>
              <w:bottom w:val="nil"/>
              <w:right w:val="nil"/>
            </w:tcBorders>
            <w:shd w:val="clear" w:color="auto" w:fill="auto"/>
            <w:hideMark/>
          </w:tcPr>
          <w:p w:rsidRPr="00533D5C" w:rsidR="003B0AD1" w:rsidP="00533D5C" w:rsidRDefault="003B0AD1">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72" w:type="pct"/>
            <w:tcBorders>
              <w:top w:val="single" w:color="000000" w:sz="8" w:space="0"/>
              <w:left w:val="nil"/>
              <w:bottom w:val="nil"/>
              <w:right w:val="nil"/>
            </w:tcBorders>
            <w:shd w:val="clear" w:color="auto" w:fill="auto"/>
            <w:hideMark/>
          </w:tcPr>
          <w:p w:rsidRPr="00533D5C" w:rsidR="003B0AD1" w:rsidP="00533D5C" w:rsidRDefault="003B0AD1">
            <w:pPr>
              <w:spacing w:line="240" w:lineRule="exact"/>
              <w:jc w:val="right"/>
              <w:rPr>
                <w:rFonts w:ascii="Verdana" w:hAnsi="Verdana"/>
                <w:color w:val="000000"/>
                <w:sz w:val="18"/>
                <w:szCs w:val="18"/>
              </w:rPr>
            </w:pPr>
            <w:r w:rsidRPr="00533D5C">
              <w:rPr>
                <w:rFonts w:ascii="Verdana" w:hAnsi="Verdana"/>
                <w:color w:val="000000"/>
                <w:sz w:val="18"/>
                <w:szCs w:val="18"/>
              </w:rPr>
              <w:t>11.791,8</w:t>
            </w:r>
          </w:p>
        </w:tc>
      </w:tr>
    </w:tbl>
    <w:p w:rsidRPr="00533D5C" w:rsidR="003B0AD1" w:rsidP="00533D5C" w:rsidRDefault="003B0AD1">
      <w:pPr>
        <w:spacing w:line="240" w:lineRule="exact"/>
        <w:rPr>
          <w:rFonts w:ascii="Verdana" w:hAnsi="Verdana" w:cs="Verdana"/>
          <w:b/>
          <w:bCs/>
          <w:sz w:val="18"/>
          <w:szCs w:val="18"/>
        </w:rPr>
      </w:pPr>
    </w:p>
    <w:p w:rsidRPr="00533D5C" w:rsidR="00AF43DD" w:rsidP="00533D5C" w:rsidRDefault="00AF43DD">
      <w:pPr>
        <w:spacing w:line="240" w:lineRule="exact"/>
        <w:rPr>
          <w:rFonts w:ascii="Verdana" w:hAnsi="Verdana"/>
          <w:i/>
          <w:sz w:val="18"/>
          <w:szCs w:val="18"/>
        </w:rPr>
      </w:pPr>
    </w:p>
    <w:p w:rsidRPr="00533D5C" w:rsidR="003B0AD1" w:rsidP="00533D5C" w:rsidRDefault="003B0AD1">
      <w:pPr>
        <w:spacing w:line="240" w:lineRule="exact"/>
        <w:rPr>
          <w:rFonts w:ascii="Verdana" w:hAnsi="Verdana"/>
          <w:i/>
          <w:sz w:val="18"/>
          <w:szCs w:val="18"/>
        </w:rPr>
      </w:pPr>
      <w:r w:rsidRPr="00533D5C">
        <w:rPr>
          <w:rFonts w:ascii="Verdana" w:hAnsi="Verdana"/>
          <w:i/>
          <w:sz w:val="18"/>
          <w:szCs w:val="18"/>
        </w:rPr>
        <w:br w:type="page"/>
      </w:r>
    </w:p>
    <w:p w:rsidRPr="00533D5C" w:rsidR="009679B2" w:rsidP="00533D5C" w:rsidRDefault="009679B2">
      <w:pPr>
        <w:spacing w:line="240" w:lineRule="exact"/>
        <w:rPr>
          <w:rFonts w:ascii="Verdana" w:hAnsi="Verdana"/>
          <w:i/>
          <w:sz w:val="18"/>
          <w:szCs w:val="18"/>
        </w:rPr>
      </w:pPr>
      <w:r w:rsidRPr="00533D5C">
        <w:rPr>
          <w:rFonts w:ascii="Verdana" w:hAnsi="Verdana"/>
          <w:i/>
          <w:sz w:val="18"/>
          <w:szCs w:val="18"/>
        </w:rPr>
        <w:lastRenderedPageBreak/>
        <w:t>Egalisatieschuld rgd/bzk</w:t>
      </w:r>
    </w:p>
    <w:p w:rsidRPr="00533D5C" w:rsidR="009679B2" w:rsidP="00533D5C" w:rsidRDefault="009679B2">
      <w:pPr>
        <w:spacing w:line="240" w:lineRule="exact"/>
        <w:rPr>
          <w:rFonts w:ascii="Verdana" w:hAnsi="Verdana"/>
          <w:sz w:val="18"/>
          <w:szCs w:val="18"/>
        </w:rPr>
      </w:pPr>
      <w:r w:rsidRPr="00533D5C">
        <w:rPr>
          <w:rFonts w:ascii="Verdana" w:hAnsi="Verdana"/>
          <w:sz w:val="18"/>
          <w:szCs w:val="18"/>
        </w:rPr>
        <w:t xml:space="preserve">Het kabinet heeft besloten tot een nieuwe vormgeving van het Rijkshuisvestingstelsel per 1-1-2016 (TK 2011-2012, 31 490 nr. 75). Een van de gevolgen hiervan is dat de huidige huurcontracten voortijdig moeten worden opengebroken en departementen voortijdig de egalisatievordering moeten aflossen. Met deze mutatie wordt het deel van EZ van de egalisatievordering aan BZK betaald. </w:t>
      </w:r>
    </w:p>
    <w:p w:rsidRPr="00533D5C" w:rsidR="00697E35" w:rsidP="00533D5C" w:rsidRDefault="00697E35">
      <w:pPr>
        <w:spacing w:line="240" w:lineRule="exact"/>
        <w:rPr>
          <w:rFonts w:ascii="Verdana" w:hAnsi="Verdana"/>
          <w:sz w:val="18"/>
          <w:szCs w:val="18"/>
        </w:rPr>
      </w:pPr>
    </w:p>
    <w:p w:rsidRPr="00533D5C" w:rsidR="009679B2" w:rsidP="00533D5C" w:rsidRDefault="009679B2">
      <w:pPr>
        <w:spacing w:line="240" w:lineRule="exact"/>
        <w:rPr>
          <w:rFonts w:ascii="Verdana" w:hAnsi="Verdana"/>
          <w:i/>
          <w:sz w:val="18"/>
          <w:szCs w:val="18"/>
        </w:rPr>
      </w:pPr>
      <w:r w:rsidRPr="00533D5C">
        <w:rPr>
          <w:rFonts w:ascii="Verdana" w:hAnsi="Verdana"/>
          <w:i/>
          <w:sz w:val="18"/>
          <w:szCs w:val="18"/>
        </w:rPr>
        <w:t>CCS o.a. Road</w:t>
      </w:r>
    </w:p>
    <w:p w:rsidRPr="00533D5C" w:rsidR="009679B2" w:rsidP="00533D5C" w:rsidRDefault="009679B2">
      <w:pPr>
        <w:spacing w:line="240" w:lineRule="exact"/>
        <w:rPr>
          <w:rFonts w:ascii="Verdana" w:hAnsi="Verdana"/>
          <w:sz w:val="18"/>
          <w:szCs w:val="18"/>
        </w:rPr>
      </w:pPr>
      <w:r w:rsidRPr="00533D5C">
        <w:rPr>
          <w:rFonts w:ascii="Verdana" w:hAnsi="Verdana"/>
          <w:sz w:val="18"/>
          <w:szCs w:val="18"/>
        </w:rPr>
        <w:t xml:space="preserve">Dit betreft met name het Rotterdam Opslag en Afvang Demonstratieproject (ROAD) dat in 2014 nog geen doorgang vindt, omdat de finale investeringsbeslissing nog niet genomen is. Het voor 2014 geraamde budget voor bevoorschotting kan derhalve niet benut worden. </w:t>
      </w:r>
    </w:p>
    <w:p w:rsidRPr="00533D5C" w:rsidR="009679B2" w:rsidP="00533D5C" w:rsidRDefault="009679B2">
      <w:pPr>
        <w:spacing w:line="240" w:lineRule="exact"/>
        <w:rPr>
          <w:rFonts w:ascii="Verdana" w:hAnsi="Verdana"/>
          <w:sz w:val="18"/>
          <w:szCs w:val="18"/>
        </w:rPr>
      </w:pPr>
    </w:p>
    <w:p w:rsidRPr="00533D5C" w:rsidR="009679B2" w:rsidP="00533D5C" w:rsidRDefault="009679B2">
      <w:pPr>
        <w:spacing w:line="240" w:lineRule="exact"/>
        <w:rPr>
          <w:rFonts w:ascii="Verdana" w:hAnsi="Verdana"/>
          <w:i/>
          <w:sz w:val="18"/>
          <w:szCs w:val="18"/>
        </w:rPr>
      </w:pPr>
      <w:r w:rsidRPr="00533D5C">
        <w:rPr>
          <w:rFonts w:ascii="Verdana" w:hAnsi="Verdana"/>
          <w:i/>
          <w:sz w:val="18"/>
          <w:szCs w:val="18"/>
        </w:rPr>
        <w:t>Energieakkoord</w:t>
      </w:r>
    </w:p>
    <w:p w:rsidRPr="00533D5C" w:rsidR="009679B2" w:rsidP="00533D5C" w:rsidRDefault="00472960">
      <w:pPr>
        <w:spacing w:line="240" w:lineRule="exact"/>
        <w:rPr>
          <w:rFonts w:ascii="Verdana" w:hAnsi="Verdana"/>
          <w:sz w:val="18"/>
          <w:szCs w:val="18"/>
        </w:rPr>
      </w:pPr>
      <w:r w:rsidRPr="00533D5C">
        <w:rPr>
          <w:rFonts w:ascii="Verdana" w:hAnsi="Verdana"/>
          <w:sz w:val="18"/>
          <w:szCs w:val="18"/>
        </w:rPr>
        <w:t>In het kader van het Energie</w:t>
      </w:r>
      <w:r w:rsidRPr="00533D5C" w:rsidR="009679B2">
        <w:rPr>
          <w:rFonts w:ascii="Verdana" w:hAnsi="Verdana"/>
          <w:sz w:val="18"/>
          <w:szCs w:val="18"/>
        </w:rPr>
        <w:t xml:space="preserve">akkoord is in 2014 sprake van 25 mln. aan lagere uitgaven. Dit wordt veroorzaakt doordat de subsidietoezeggingen in het kader van de regeling Demonstratie energie-innovatie (DEI) pas laat in het jaar hebben plaats gevonden en niet meer leiden tot kasuitgaven in 2014. </w:t>
      </w:r>
    </w:p>
    <w:p w:rsidRPr="00533D5C" w:rsidR="009679B2" w:rsidP="00533D5C" w:rsidRDefault="009679B2">
      <w:pPr>
        <w:spacing w:line="240" w:lineRule="exact"/>
        <w:rPr>
          <w:rFonts w:ascii="Verdana" w:hAnsi="Verdana"/>
          <w:sz w:val="18"/>
          <w:szCs w:val="18"/>
        </w:rPr>
      </w:pPr>
    </w:p>
    <w:p w:rsidRPr="00533D5C" w:rsidR="009679B2" w:rsidP="00533D5C" w:rsidRDefault="009679B2">
      <w:pPr>
        <w:spacing w:line="240" w:lineRule="exact"/>
        <w:rPr>
          <w:rFonts w:ascii="Verdana" w:hAnsi="Verdana"/>
          <w:i/>
          <w:sz w:val="18"/>
          <w:szCs w:val="18"/>
        </w:rPr>
      </w:pPr>
      <w:r w:rsidRPr="00533D5C">
        <w:rPr>
          <w:rFonts w:ascii="Verdana" w:hAnsi="Verdana"/>
          <w:i/>
          <w:sz w:val="18"/>
          <w:szCs w:val="18"/>
        </w:rPr>
        <w:t>ETS-compensatie</w:t>
      </w:r>
    </w:p>
    <w:p w:rsidRPr="00533D5C" w:rsidR="009679B2" w:rsidP="00533D5C" w:rsidRDefault="009679B2">
      <w:pPr>
        <w:spacing w:line="240" w:lineRule="exact"/>
        <w:rPr>
          <w:rFonts w:ascii="Verdana" w:hAnsi="Verdana"/>
          <w:b/>
          <w:sz w:val="18"/>
          <w:szCs w:val="18"/>
        </w:rPr>
      </w:pPr>
      <w:r w:rsidRPr="00533D5C">
        <w:rPr>
          <w:rFonts w:ascii="Verdana" w:hAnsi="Verdana"/>
          <w:sz w:val="18"/>
          <w:szCs w:val="18"/>
        </w:rPr>
        <w:t>Het beroep op de Compensatieregeling Energie-intensieve bedrijven (ETS) lag lager dan het beschikbare bedrag. Hierdoor vallen de uitgaven 19,5 mln. lager uit dan oorspronkelijk geraamd. Dit restant zal overlopen naar 2015.</w:t>
      </w:r>
    </w:p>
    <w:p w:rsidRPr="00533D5C" w:rsidR="009679B2" w:rsidP="00533D5C" w:rsidRDefault="009679B2">
      <w:pPr>
        <w:spacing w:line="240" w:lineRule="exact"/>
        <w:rPr>
          <w:rFonts w:ascii="Verdana" w:hAnsi="Verdana"/>
          <w:sz w:val="18"/>
          <w:szCs w:val="18"/>
        </w:rPr>
      </w:pPr>
    </w:p>
    <w:p w:rsidRPr="00533D5C" w:rsidR="00697E35" w:rsidP="00533D5C" w:rsidRDefault="00697E35">
      <w:pPr>
        <w:spacing w:line="240" w:lineRule="exact"/>
        <w:rPr>
          <w:rFonts w:ascii="Verdana" w:hAnsi="Verdana"/>
          <w:i/>
          <w:sz w:val="18"/>
          <w:szCs w:val="18"/>
        </w:rPr>
      </w:pPr>
      <w:r w:rsidRPr="00533D5C">
        <w:rPr>
          <w:rFonts w:ascii="Verdana" w:hAnsi="Verdana"/>
          <w:i/>
          <w:sz w:val="18"/>
          <w:szCs w:val="18"/>
        </w:rPr>
        <w:t>Krediet aan ECN/NRG (Hoge Flux Reactor)</w:t>
      </w:r>
    </w:p>
    <w:p w:rsidRPr="00533D5C" w:rsidR="009679B2" w:rsidP="00533D5C" w:rsidRDefault="009679B2">
      <w:pPr>
        <w:spacing w:line="240" w:lineRule="exact"/>
        <w:rPr>
          <w:rFonts w:ascii="Verdana" w:hAnsi="Verdana"/>
          <w:sz w:val="18"/>
          <w:szCs w:val="18"/>
        </w:rPr>
      </w:pPr>
      <w:r w:rsidRPr="00533D5C">
        <w:rPr>
          <w:rFonts w:ascii="Verdana" w:hAnsi="Verdana"/>
          <w:sz w:val="18"/>
          <w:szCs w:val="18"/>
        </w:rPr>
        <w:t>Aan het Energieonderzoek Centrum Nederland en haar dochter de Nuclear Research and Consultancy Group (ECN/NRG) wordt door het Rijk een krediet verstrekt om de continuïteit van hun bedrijfsvoering te verzekeren (TK 2014-2015, 25 422, nr. 112).</w:t>
      </w:r>
    </w:p>
    <w:p w:rsidRPr="00533D5C" w:rsidR="00697E35" w:rsidP="00533D5C" w:rsidRDefault="00697E35">
      <w:pPr>
        <w:spacing w:line="240" w:lineRule="exact"/>
        <w:rPr>
          <w:rFonts w:ascii="Verdana" w:hAnsi="Verdana"/>
          <w:i/>
          <w:sz w:val="18"/>
          <w:szCs w:val="18"/>
        </w:rPr>
      </w:pPr>
    </w:p>
    <w:p w:rsidRPr="00533D5C" w:rsidR="009679B2" w:rsidP="00533D5C" w:rsidRDefault="009679B2">
      <w:pPr>
        <w:spacing w:line="240" w:lineRule="exact"/>
        <w:rPr>
          <w:rFonts w:ascii="Verdana" w:hAnsi="Verdana"/>
          <w:i/>
          <w:sz w:val="18"/>
          <w:szCs w:val="18"/>
        </w:rPr>
      </w:pPr>
      <w:r w:rsidRPr="00533D5C">
        <w:rPr>
          <w:rFonts w:ascii="Verdana" w:hAnsi="Verdana"/>
          <w:i/>
          <w:sz w:val="18"/>
          <w:szCs w:val="18"/>
        </w:rPr>
        <w:t>Mee- en tegenvallers njn 2014</w:t>
      </w:r>
    </w:p>
    <w:p w:rsidRPr="00533D5C" w:rsidR="009679B2" w:rsidP="00533D5C" w:rsidRDefault="009679B2">
      <w:pPr>
        <w:spacing w:line="240" w:lineRule="exact"/>
        <w:rPr>
          <w:rFonts w:ascii="Verdana" w:hAnsi="Verdana"/>
          <w:sz w:val="18"/>
          <w:szCs w:val="18"/>
        </w:rPr>
      </w:pPr>
      <w:r w:rsidRPr="00533D5C">
        <w:rPr>
          <w:rFonts w:ascii="Verdana" w:hAnsi="Verdana"/>
          <w:sz w:val="18"/>
          <w:szCs w:val="18"/>
        </w:rPr>
        <w:t xml:space="preserve">Dit betreft het saldo van een aantal mee- en tegenvallers. De uitgavenmutaties in deze post betreffen voornamelijk de uitfinanciering van het project Pieken in de Delta (5 mln.), </w:t>
      </w:r>
      <w:r w:rsidRPr="00533D5C">
        <w:rPr>
          <w:rFonts w:ascii="Verdana" w:hAnsi="Verdana"/>
          <w:noProof/>
          <w:sz w:val="18"/>
          <w:szCs w:val="18"/>
        </w:rPr>
        <w:t xml:space="preserve">een hogere bijdrage (4 mln.) aan Dienst Landbouwkundig Onderzoek in verband met </w:t>
      </w:r>
      <w:r w:rsidRPr="00533D5C">
        <w:rPr>
          <w:rFonts w:ascii="Verdana" w:hAnsi="Verdana"/>
          <w:sz w:val="18"/>
          <w:szCs w:val="18"/>
        </w:rPr>
        <w:t>het in stand houden van de High Containment Unit te Lelystad,</w:t>
      </w:r>
      <w:r w:rsidRPr="00533D5C">
        <w:rPr>
          <w:rFonts w:ascii="Verdana" w:hAnsi="Verdana"/>
          <w:noProof/>
          <w:sz w:val="18"/>
          <w:szCs w:val="18"/>
        </w:rPr>
        <w:t xml:space="preserve"> </w:t>
      </w:r>
      <w:r w:rsidRPr="00533D5C">
        <w:rPr>
          <w:rFonts w:ascii="Verdana" w:hAnsi="Verdana"/>
          <w:sz w:val="18"/>
          <w:szCs w:val="18"/>
        </w:rPr>
        <w:t xml:space="preserve">en een eenmalige bijdrage van 10 mln. aan de Kamer van Koophandel ter gedeeltelijke compensatie van de transitievoorziening ten behoeve van de reorganisatie. Deze reorganisatie houdt verband met het opgaan van de 12 Kamers van Koophandel, Kamer van Koophandel NL en Syntens in één nieuwe organisatie (TK 2011-2012, 32004, nr 4). </w:t>
      </w:r>
    </w:p>
    <w:p w:rsidRPr="00533D5C" w:rsidR="009679B2" w:rsidP="00533D5C" w:rsidRDefault="009679B2">
      <w:pPr>
        <w:spacing w:line="240" w:lineRule="exact"/>
        <w:rPr>
          <w:rFonts w:ascii="Verdana" w:hAnsi="Verdana"/>
          <w:b/>
          <w:sz w:val="18"/>
          <w:szCs w:val="18"/>
        </w:rPr>
      </w:pPr>
    </w:p>
    <w:p w:rsidRPr="00533D5C" w:rsidR="00697E35" w:rsidP="00533D5C" w:rsidRDefault="00697E35">
      <w:pPr>
        <w:spacing w:line="240" w:lineRule="exact"/>
        <w:rPr>
          <w:rFonts w:ascii="Verdana" w:hAnsi="Verdana"/>
          <w:i/>
          <w:sz w:val="18"/>
          <w:szCs w:val="18"/>
        </w:rPr>
      </w:pPr>
      <w:r w:rsidRPr="00533D5C">
        <w:rPr>
          <w:rFonts w:ascii="Verdana" w:hAnsi="Verdana"/>
          <w:i/>
          <w:sz w:val="18"/>
          <w:szCs w:val="18"/>
        </w:rPr>
        <w:t xml:space="preserve">ROM’s </w:t>
      </w:r>
    </w:p>
    <w:p w:rsidRPr="00533D5C" w:rsidR="00697E35" w:rsidP="00533D5C" w:rsidRDefault="00697E35">
      <w:pPr>
        <w:spacing w:line="240" w:lineRule="exact"/>
        <w:rPr>
          <w:rFonts w:ascii="Verdana" w:hAnsi="Verdana" w:cs="Arial"/>
          <w:sz w:val="18"/>
          <w:szCs w:val="18"/>
        </w:rPr>
      </w:pPr>
      <w:r w:rsidRPr="00533D5C">
        <w:rPr>
          <w:rFonts w:ascii="Verdana" w:hAnsi="Verdana" w:cs="Arial"/>
          <w:sz w:val="18"/>
          <w:szCs w:val="18"/>
        </w:rPr>
        <w:t xml:space="preserve">De oprichting van de Regionale Ontwikkelingsmaatschappij (ROM) Noordvleugel gaat in 2014 niet door, waardoor er geen uitgaven aan de ROM’s plaatsvinden. De herschikking van kapitaal tussen de ROM’s zal in 2014 niet plaatsvinden. </w:t>
      </w:r>
    </w:p>
    <w:p w:rsidRPr="00533D5C" w:rsidR="00201F76" w:rsidP="00533D5C" w:rsidRDefault="00201F76">
      <w:pPr>
        <w:spacing w:line="240" w:lineRule="exact"/>
        <w:rPr>
          <w:rFonts w:ascii="Verdana" w:hAnsi="Verdana"/>
          <w:i/>
          <w:iCs/>
          <w:sz w:val="18"/>
          <w:szCs w:val="18"/>
        </w:rPr>
      </w:pPr>
    </w:p>
    <w:p w:rsidRPr="00533D5C" w:rsidR="009679B2" w:rsidP="00533D5C" w:rsidRDefault="009679B2">
      <w:pPr>
        <w:spacing w:line="240" w:lineRule="exact"/>
        <w:rPr>
          <w:rFonts w:ascii="Verdana" w:hAnsi="Verdana"/>
          <w:i/>
          <w:sz w:val="18"/>
          <w:szCs w:val="18"/>
        </w:rPr>
      </w:pPr>
      <w:r w:rsidRPr="00533D5C">
        <w:rPr>
          <w:rFonts w:ascii="Verdana" w:hAnsi="Verdana"/>
          <w:i/>
          <w:sz w:val="18"/>
          <w:szCs w:val="18"/>
        </w:rPr>
        <w:t>Voeding BMKB reserve</w:t>
      </w:r>
    </w:p>
    <w:p w:rsidRPr="00533D5C" w:rsidR="009679B2" w:rsidP="00533D5C" w:rsidRDefault="009679B2">
      <w:pPr>
        <w:spacing w:line="240" w:lineRule="exact"/>
        <w:rPr>
          <w:rFonts w:ascii="Verdana" w:hAnsi="Verdana"/>
          <w:sz w:val="18"/>
          <w:szCs w:val="18"/>
        </w:rPr>
      </w:pPr>
      <w:r w:rsidRPr="00533D5C">
        <w:rPr>
          <w:rFonts w:ascii="Verdana" w:hAnsi="Verdana"/>
          <w:sz w:val="18"/>
          <w:szCs w:val="18"/>
        </w:rPr>
        <w:t>De interne begrotingsreserve voor de regeling Borgstellingsfaciliteit Midden- en Kleinbedrijf (BMKB) wordt aangevuld met een bedrag van 26,6 mln. Dit is bestemd voor de dekking van de te verwachten verliesdeclaraties in de komende jaren.</w:t>
      </w:r>
    </w:p>
    <w:p w:rsidRPr="00533D5C" w:rsidR="00840343" w:rsidP="00533D5C" w:rsidRDefault="00840343">
      <w:pPr>
        <w:spacing w:line="240" w:lineRule="exact"/>
        <w:rPr>
          <w:rFonts w:ascii="Verdana" w:hAnsi="Verdana" w:cs="Verdana"/>
          <w:b/>
          <w:bCs/>
          <w:sz w:val="18"/>
          <w:szCs w:val="18"/>
        </w:rPr>
      </w:pPr>
    </w:p>
    <w:p w:rsidRPr="00533D5C" w:rsidR="00840343" w:rsidP="00533D5C" w:rsidRDefault="00840343">
      <w:pPr>
        <w:spacing w:line="240" w:lineRule="exact"/>
        <w:rPr>
          <w:rFonts w:ascii="Verdana" w:hAnsi="Verdana"/>
          <w:bCs/>
          <w:i/>
          <w:sz w:val="18"/>
          <w:szCs w:val="18"/>
        </w:rPr>
      </w:pPr>
      <w:r w:rsidRPr="00533D5C">
        <w:rPr>
          <w:rFonts w:ascii="Verdana" w:hAnsi="Verdana"/>
          <w:bCs/>
          <w:i/>
          <w:sz w:val="18"/>
          <w:szCs w:val="18"/>
        </w:rPr>
        <w:t>Diversen - technische mutaties</w:t>
      </w:r>
    </w:p>
    <w:p w:rsidRPr="00533D5C" w:rsidR="00840343" w:rsidP="00533D5C" w:rsidRDefault="00840343">
      <w:pPr>
        <w:spacing w:line="240" w:lineRule="exact"/>
        <w:rPr>
          <w:rFonts w:ascii="Verdana" w:hAnsi="Verdana"/>
          <w:sz w:val="18"/>
          <w:szCs w:val="18"/>
        </w:rPr>
      </w:pPr>
      <w:r w:rsidRPr="00533D5C">
        <w:rPr>
          <w:rFonts w:ascii="Verdana" w:hAnsi="Verdana"/>
          <w:sz w:val="18"/>
          <w:szCs w:val="18"/>
        </w:rPr>
        <w:t>De grootste mutatie binnen deze post is de overheveling naar EZ van 25 mln</w:t>
      </w:r>
      <w:r w:rsidRPr="00533D5C" w:rsidR="00472960">
        <w:rPr>
          <w:rFonts w:ascii="Verdana" w:hAnsi="Verdana"/>
          <w:sz w:val="18"/>
          <w:szCs w:val="18"/>
        </w:rPr>
        <w:t>.</w:t>
      </w:r>
      <w:r w:rsidRPr="00533D5C">
        <w:rPr>
          <w:rFonts w:ascii="Verdana" w:hAnsi="Verdana"/>
          <w:sz w:val="18"/>
          <w:szCs w:val="18"/>
        </w:rPr>
        <w:t xml:space="preserve"> vanuit de aanvullende post ten</w:t>
      </w:r>
      <w:r w:rsidRPr="00533D5C" w:rsidR="00472960">
        <w:rPr>
          <w:rFonts w:ascii="Verdana" w:hAnsi="Verdana"/>
          <w:sz w:val="18"/>
          <w:szCs w:val="18"/>
        </w:rPr>
        <w:t xml:space="preserve"> behoeve van het Toekomstfonds </w:t>
      </w:r>
      <w:r w:rsidRPr="00533D5C">
        <w:rPr>
          <w:rFonts w:ascii="Verdana" w:hAnsi="Verdana"/>
          <w:sz w:val="18"/>
          <w:szCs w:val="18"/>
        </w:rPr>
        <w:t>voor investeringen in fundamenteel en toegepast onderzoek, zoals aangekondigd in de brief aan de Tweede</w:t>
      </w:r>
    </w:p>
    <w:p w:rsidRPr="00533D5C" w:rsidR="00840343" w:rsidP="00533D5C" w:rsidRDefault="00840343">
      <w:pPr>
        <w:spacing w:line="240" w:lineRule="exact"/>
        <w:rPr>
          <w:rFonts w:ascii="Verdana" w:hAnsi="Verdana"/>
          <w:sz w:val="18"/>
          <w:szCs w:val="18"/>
        </w:rPr>
      </w:pPr>
      <w:r w:rsidRPr="00533D5C">
        <w:rPr>
          <w:rFonts w:ascii="Verdana" w:hAnsi="Verdana"/>
          <w:sz w:val="18"/>
          <w:szCs w:val="18"/>
        </w:rPr>
        <w:t>Kamer van 16 september 2014 (TK, 34 000 XIII nr. 5). Deze middelen zullen via het Innovatiefonds meegaan naar 2015 en zullen dan bij 1</w:t>
      </w:r>
      <w:r w:rsidRPr="00533D5C">
        <w:rPr>
          <w:rFonts w:ascii="Verdana" w:hAnsi="Verdana"/>
          <w:sz w:val="18"/>
          <w:szCs w:val="18"/>
          <w:vertAlign w:val="superscript"/>
        </w:rPr>
        <w:t>e</w:t>
      </w:r>
      <w:r w:rsidRPr="00533D5C">
        <w:rPr>
          <w:rFonts w:ascii="Verdana" w:hAnsi="Verdana"/>
          <w:sz w:val="18"/>
          <w:szCs w:val="18"/>
        </w:rPr>
        <w:t xml:space="preserve"> suppletoire begroting 2015 worden  toegevoegd aan artikel 19 (Toekomstfonds) van de EZ-begroting.</w:t>
      </w:r>
    </w:p>
    <w:p w:rsidRPr="00533D5C" w:rsidR="009679B2" w:rsidP="00533D5C" w:rsidRDefault="009679B2">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Sociale Zaken en Werkgelegenheid</w:t>
      </w:r>
    </w:p>
    <w:p w:rsidRPr="00533D5C" w:rsidR="00FD3E6E" w:rsidP="00533D5C" w:rsidRDefault="00FD3E6E">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6771"/>
        <w:gridCol w:w="2441"/>
      </w:tblGrid>
      <w:tr w:rsidRPr="00FD3E6E" w:rsidR="00FD3E6E" w:rsidTr="00533D5C">
        <w:trPr>
          <w:trHeight w:val="225"/>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XV SOCIALE ZAKEN EN WERKGELEGENHEID: UITGAVEN</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25"/>
        </w:trPr>
        <w:tc>
          <w:tcPr>
            <w:tcW w:w="3675" w:type="pct"/>
            <w:tcBorders>
              <w:top w:val="single" w:color="000000" w:sz="8" w:space="0"/>
              <w:left w:val="nil"/>
              <w:bottom w:val="single" w:color="000000" w:sz="8" w:space="0"/>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 </w:t>
            </w:r>
          </w:p>
        </w:tc>
        <w:tc>
          <w:tcPr>
            <w:tcW w:w="1325" w:type="pct"/>
            <w:tcBorders>
              <w:top w:val="single" w:color="000000" w:sz="8" w:space="0"/>
              <w:left w:val="nil"/>
              <w:bottom w:val="single" w:color="000000" w:sz="8" w:space="0"/>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2014</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Stand Miljoenennota 2015 (excl. IS)</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32.913,6</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Mee- en tegenvallers</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180" w:firstLineChars="100"/>
              <w:rPr>
                <w:rFonts w:ascii="Verdana" w:hAnsi="Verdana"/>
                <w:color w:val="000000"/>
                <w:sz w:val="18"/>
                <w:szCs w:val="18"/>
              </w:rPr>
            </w:pPr>
            <w:r w:rsidRPr="00FD3E6E">
              <w:rPr>
                <w:rFonts w:ascii="Verdana" w:hAnsi="Verdana"/>
                <w:color w:val="000000"/>
                <w:sz w:val="18"/>
                <w:szCs w:val="18"/>
              </w:rPr>
              <w:t>Sociale zekerheid</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360" w:firstLineChars="200"/>
              <w:rPr>
                <w:rFonts w:ascii="Verdana" w:hAnsi="Verdana"/>
                <w:color w:val="000000"/>
                <w:sz w:val="18"/>
                <w:szCs w:val="18"/>
              </w:rPr>
            </w:pPr>
            <w:r w:rsidRPr="00FD3E6E">
              <w:rPr>
                <w:rFonts w:ascii="Verdana" w:hAnsi="Verdana"/>
                <w:color w:val="000000"/>
                <w:sz w:val="18"/>
                <w:szCs w:val="18"/>
              </w:rPr>
              <w:t>Leningen inburgering</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-23,9</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360" w:firstLineChars="200"/>
              <w:rPr>
                <w:rFonts w:ascii="Verdana" w:hAnsi="Verdana"/>
                <w:color w:val="000000"/>
                <w:sz w:val="18"/>
                <w:szCs w:val="18"/>
              </w:rPr>
            </w:pPr>
            <w:r w:rsidRPr="00FD3E6E">
              <w:rPr>
                <w:rFonts w:ascii="Verdana" w:hAnsi="Verdana"/>
                <w:color w:val="000000"/>
                <w:sz w:val="18"/>
                <w:szCs w:val="18"/>
              </w:rPr>
              <w:t>Toeslagenwet</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21,0</w:t>
            </w:r>
          </w:p>
        </w:tc>
      </w:tr>
      <w:tr w:rsidRPr="00FD3E6E" w:rsidR="00FD3E6E" w:rsidTr="00533D5C">
        <w:trPr>
          <w:trHeight w:val="225"/>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360" w:firstLineChars="200"/>
              <w:rPr>
                <w:rFonts w:ascii="Verdana" w:hAnsi="Verdana"/>
                <w:color w:val="000000"/>
                <w:sz w:val="18"/>
                <w:szCs w:val="18"/>
              </w:rPr>
            </w:pPr>
            <w:r w:rsidRPr="00FD3E6E">
              <w:rPr>
                <w:rFonts w:ascii="Verdana" w:hAnsi="Verdana"/>
                <w:color w:val="000000"/>
                <w:sz w:val="18"/>
                <w:szCs w:val="18"/>
              </w:rPr>
              <w:t>Diversen</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4,2</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p>
        </w:tc>
        <w:tc>
          <w:tcPr>
            <w:tcW w:w="1325" w:type="pct"/>
            <w:tcBorders>
              <w:top w:val="single" w:color="000000" w:sz="8" w:space="0"/>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1,3</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Beleidsmatige mutaties</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180" w:firstLineChars="100"/>
              <w:rPr>
                <w:rFonts w:ascii="Verdana" w:hAnsi="Verdana"/>
                <w:color w:val="000000"/>
                <w:sz w:val="18"/>
                <w:szCs w:val="18"/>
              </w:rPr>
            </w:pPr>
            <w:r w:rsidRPr="00FD3E6E">
              <w:rPr>
                <w:rFonts w:ascii="Verdana" w:hAnsi="Verdana"/>
                <w:color w:val="000000"/>
                <w:sz w:val="18"/>
                <w:szCs w:val="18"/>
              </w:rPr>
              <w:t>Rijksbegroting in enge zin</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360" w:firstLineChars="200"/>
              <w:rPr>
                <w:rFonts w:ascii="Verdana" w:hAnsi="Verdana"/>
                <w:color w:val="000000"/>
                <w:sz w:val="18"/>
                <w:szCs w:val="18"/>
              </w:rPr>
            </w:pPr>
            <w:r w:rsidRPr="00FD3E6E">
              <w:rPr>
                <w:rFonts w:ascii="Verdana" w:hAnsi="Verdana"/>
                <w:color w:val="000000"/>
                <w:sz w:val="18"/>
                <w:szCs w:val="18"/>
              </w:rPr>
              <w:t>Diversen</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-12,5</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180" w:firstLineChars="100"/>
              <w:rPr>
                <w:rFonts w:ascii="Verdana" w:hAnsi="Verdana"/>
                <w:color w:val="000000"/>
                <w:sz w:val="18"/>
                <w:szCs w:val="18"/>
              </w:rPr>
            </w:pPr>
            <w:r w:rsidRPr="00FD3E6E">
              <w:rPr>
                <w:rFonts w:ascii="Verdana" w:hAnsi="Verdana"/>
                <w:color w:val="000000"/>
                <w:sz w:val="18"/>
                <w:szCs w:val="18"/>
              </w:rPr>
              <w:t>Sociale zekerheid</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25"/>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360" w:firstLineChars="200"/>
              <w:rPr>
                <w:rFonts w:ascii="Verdana" w:hAnsi="Verdana"/>
                <w:color w:val="000000"/>
                <w:sz w:val="18"/>
                <w:szCs w:val="18"/>
              </w:rPr>
            </w:pPr>
            <w:r w:rsidRPr="00FD3E6E">
              <w:rPr>
                <w:rFonts w:ascii="Verdana" w:hAnsi="Verdana"/>
                <w:color w:val="000000"/>
                <w:sz w:val="18"/>
                <w:szCs w:val="18"/>
              </w:rPr>
              <w:t>Diversen</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-8,9</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p>
        </w:tc>
        <w:tc>
          <w:tcPr>
            <w:tcW w:w="1325" w:type="pct"/>
            <w:tcBorders>
              <w:top w:val="single" w:color="000000" w:sz="8" w:space="0"/>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-21,4</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Technische mutaties</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180" w:firstLineChars="100"/>
              <w:rPr>
                <w:rFonts w:ascii="Verdana" w:hAnsi="Verdana"/>
                <w:color w:val="000000"/>
                <w:sz w:val="18"/>
                <w:szCs w:val="18"/>
              </w:rPr>
            </w:pPr>
            <w:r w:rsidRPr="00FD3E6E">
              <w:rPr>
                <w:rFonts w:ascii="Verdana" w:hAnsi="Verdana"/>
                <w:color w:val="000000"/>
                <w:sz w:val="18"/>
                <w:szCs w:val="18"/>
              </w:rPr>
              <w:t>Rijksbegroting in enge zin</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360" w:firstLineChars="200"/>
              <w:rPr>
                <w:rFonts w:ascii="Verdana" w:hAnsi="Verdana"/>
                <w:color w:val="000000"/>
                <w:sz w:val="18"/>
                <w:szCs w:val="18"/>
              </w:rPr>
            </w:pPr>
            <w:r w:rsidRPr="00FD3E6E">
              <w:rPr>
                <w:rFonts w:ascii="Verdana" w:hAnsi="Verdana"/>
                <w:color w:val="000000"/>
                <w:sz w:val="18"/>
                <w:szCs w:val="18"/>
              </w:rPr>
              <w:t>Diversen</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0,7</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180" w:firstLineChars="100"/>
              <w:rPr>
                <w:rFonts w:ascii="Verdana" w:hAnsi="Verdana"/>
                <w:color w:val="000000"/>
                <w:sz w:val="18"/>
                <w:szCs w:val="18"/>
              </w:rPr>
            </w:pPr>
            <w:r w:rsidRPr="00FD3E6E">
              <w:rPr>
                <w:rFonts w:ascii="Verdana" w:hAnsi="Verdana"/>
                <w:color w:val="000000"/>
                <w:sz w:val="18"/>
                <w:szCs w:val="18"/>
              </w:rPr>
              <w:t>Sociale zekerheid</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360" w:firstLineChars="200"/>
              <w:rPr>
                <w:rFonts w:ascii="Verdana" w:hAnsi="Verdana"/>
                <w:color w:val="000000"/>
                <w:sz w:val="18"/>
                <w:szCs w:val="18"/>
              </w:rPr>
            </w:pPr>
            <w:r w:rsidRPr="00FD3E6E">
              <w:rPr>
                <w:rFonts w:ascii="Verdana" w:hAnsi="Verdana"/>
                <w:color w:val="000000"/>
                <w:sz w:val="18"/>
                <w:szCs w:val="18"/>
              </w:rPr>
              <w:t>Diversen</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15,7</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180" w:firstLineChars="100"/>
              <w:rPr>
                <w:rFonts w:ascii="Verdana" w:hAnsi="Verdana"/>
                <w:color w:val="000000"/>
                <w:sz w:val="18"/>
                <w:szCs w:val="18"/>
              </w:rPr>
            </w:pPr>
            <w:r w:rsidRPr="00FD3E6E">
              <w:rPr>
                <w:rFonts w:ascii="Verdana" w:hAnsi="Verdana"/>
                <w:color w:val="000000"/>
                <w:sz w:val="18"/>
                <w:szCs w:val="18"/>
              </w:rPr>
              <w:t>Niet tot een ijklijn behorend</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25"/>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360" w:firstLineChars="200"/>
              <w:rPr>
                <w:rFonts w:ascii="Verdana" w:hAnsi="Verdana"/>
                <w:color w:val="000000"/>
                <w:sz w:val="18"/>
                <w:szCs w:val="18"/>
              </w:rPr>
            </w:pPr>
            <w:r w:rsidRPr="00FD3E6E">
              <w:rPr>
                <w:rFonts w:ascii="Verdana" w:hAnsi="Verdana"/>
                <w:color w:val="000000"/>
                <w:sz w:val="18"/>
                <w:szCs w:val="18"/>
              </w:rPr>
              <w:t>Diversen</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-0,7</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p>
        </w:tc>
        <w:tc>
          <w:tcPr>
            <w:tcW w:w="1325" w:type="pct"/>
            <w:tcBorders>
              <w:top w:val="single" w:color="000000" w:sz="8" w:space="0"/>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15,7</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Totaal mutaties sinds Miljoenennota 2015</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-4,4</w:t>
            </w:r>
          </w:p>
        </w:tc>
      </w:tr>
      <w:tr w:rsidRPr="00FD3E6E" w:rsidR="00FD3E6E" w:rsidTr="00533D5C">
        <w:trPr>
          <w:trHeight w:val="225"/>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Stand Najaarsnota 2014 (subtotaal)</w:t>
            </w:r>
          </w:p>
        </w:tc>
        <w:tc>
          <w:tcPr>
            <w:tcW w:w="1325" w:type="pct"/>
            <w:tcBorders>
              <w:top w:val="single" w:color="000000" w:sz="8" w:space="0"/>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32.909,2</w:t>
            </w:r>
          </w:p>
        </w:tc>
      </w:tr>
      <w:tr w:rsidRPr="00FD3E6E" w:rsidR="00FD3E6E" w:rsidTr="00533D5C">
        <w:trPr>
          <w:trHeight w:val="225"/>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Totaal Internationale samenwerking</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0,5</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Stand Najaarsnota 2014</w:t>
            </w:r>
          </w:p>
        </w:tc>
        <w:tc>
          <w:tcPr>
            <w:tcW w:w="1325" w:type="pct"/>
            <w:tcBorders>
              <w:top w:val="single" w:color="000000" w:sz="8" w:space="0"/>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32.909,7</w:t>
            </w:r>
          </w:p>
        </w:tc>
      </w:tr>
      <w:tr w:rsidRPr="00FD3E6E" w:rsidR="00FD3E6E" w:rsidTr="00533D5C">
        <w:trPr>
          <w:trHeight w:val="210"/>
        </w:trPr>
        <w:tc>
          <w:tcPr>
            <w:tcW w:w="367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25"/>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XV SOCIALE ZAKEN EN WERKGELEGENHEID: NIET-BELASTINGONTVANGSTEN</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25"/>
        </w:trPr>
        <w:tc>
          <w:tcPr>
            <w:tcW w:w="3675" w:type="pct"/>
            <w:tcBorders>
              <w:top w:val="single" w:color="000000" w:sz="8" w:space="0"/>
              <w:left w:val="nil"/>
              <w:bottom w:val="single" w:color="000000" w:sz="8" w:space="0"/>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 </w:t>
            </w:r>
          </w:p>
        </w:tc>
        <w:tc>
          <w:tcPr>
            <w:tcW w:w="1325" w:type="pct"/>
            <w:tcBorders>
              <w:top w:val="single" w:color="000000" w:sz="8" w:space="0"/>
              <w:left w:val="nil"/>
              <w:bottom w:val="single" w:color="000000" w:sz="8" w:space="0"/>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2014</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Stand Miljoenennota 2015 (excl. IS)</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1.978,0</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Beleidsmatige mutaties</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180" w:firstLineChars="100"/>
              <w:rPr>
                <w:rFonts w:ascii="Verdana" w:hAnsi="Verdana"/>
                <w:color w:val="000000"/>
                <w:sz w:val="18"/>
                <w:szCs w:val="18"/>
              </w:rPr>
            </w:pPr>
            <w:r w:rsidRPr="00FD3E6E">
              <w:rPr>
                <w:rFonts w:ascii="Verdana" w:hAnsi="Verdana"/>
                <w:color w:val="000000"/>
                <w:sz w:val="18"/>
                <w:szCs w:val="18"/>
              </w:rPr>
              <w:t>Sociale zekerheid</w:t>
            </w: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25"/>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ind w:firstLine="360" w:firstLineChars="200"/>
              <w:rPr>
                <w:rFonts w:ascii="Verdana" w:hAnsi="Verdana"/>
                <w:color w:val="000000"/>
                <w:sz w:val="18"/>
                <w:szCs w:val="18"/>
              </w:rPr>
            </w:pPr>
            <w:r w:rsidRPr="00FD3E6E">
              <w:rPr>
                <w:rFonts w:ascii="Verdana" w:hAnsi="Verdana"/>
                <w:color w:val="000000"/>
                <w:sz w:val="18"/>
                <w:szCs w:val="18"/>
              </w:rPr>
              <w:t>Diversen</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0,6</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p>
        </w:tc>
        <w:tc>
          <w:tcPr>
            <w:tcW w:w="1325" w:type="pct"/>
            <w:tcBorders>
              <w:top w:val="single" w:color="000000" w:sz="8" w:space="0"/>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0,6</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Totaal mutaties sinds Miljoenennota 2015</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0,6</w:t>
            </w:r>
          </w:p>
        </w:tc>
      </w:tr>
      <w:tr w:rsidRPr="00FD3E6E" w:rsidR="00FD3E6E" w:rsidTr="00533D5C">
        <w:trPr>
          <w:trHeight w:val="225"/>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p>
        </w:tc>
        <w:tc>
          <w:tcPr>
            <w:tcW w:w="1325" w:type="pct"/>
            <w:tcBorders>
              <w:top w:val="nil"/>
              <w:left w:val="nil"/>
              <w:bottom w:val="nil"/>
              <w:right w:val="nil"/>
            </w:tcBorders>
            <w:shd w:val="clear" w:color="auto" w:fill="auto"/>
            <w:noWrap/>
            <w:vAlign w:val="bottom"/>
            <w:hideMark/>
          </w:tcPr>
          <w:p w:rsidRPr="00FD3E6E" w:rsidR="00FD3E6E" w:rsidP="00533D5C" w:rsidRDefault="00FD3E6E">
            <w:pPr>
              <w:spacing w:line="240" w:lineRule="exact"/>
              <w:rPr>
                <w:rFonts w:ascii="Verdana" w:hAnsi="Verdana"/>
                <w:color w:val="000000"/>
                <w:sz w:val="18"/>
                <w:szCs w:val="18"/>
              </w:rPr>
            </w:pP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Stand Najaarsnota 2014 (subtotaal)</w:t>
            </w:r>
          </w:p>
        </w:tc>
        <w:tc>
          <w:tcPr>
            <w:tcW w:w="1325" w:type="pct"/>
            <w:tcBorders>
              <w:top w:val="single" w:color="000000" w:sz="8" w:space="0"/>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1.978,6</w:t>
            </w:r>
          </w:p>
        </w:tc>
      </w:tr>
      <w:tr w:rsidRPr="00FD3E6E" w:rsidR="00FD3E6E" w:rsidTr="00533D5C">
        <w:trPr>
          <w:trHeight w:val="225"/>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Totaal Internationale samenwerking</w:t>
            </w:r>
          </w:p>
        </w:tc>
        <w:tc>
          <w:tcPr>
            <w:tcW w:w="1325" w:type="pct"/>
            <w:tcBorders>
              <w:top w:val="nil"/>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0,0</w:t>
            </w:r>
          </w:p>
        </w:tc>
      </w:tr>
      <w:tr w:rsidRPr="00FD3E6E" w:rsidR="00FD3E6E" w:rsidTr="00533D5C">
        <w:trPr>
          <w:trHeight w:val="210"/>
        </w:trPr>
        <w:tc>
          <w:tcPr>
            <w:tcW w:w="3675" w:type="pct"/>
            <w:tcBorders>
              <w:top w:val="nil"/>
              <w:left w:val="nil"/>
              <w:bottom w:val="nil"/>
              <w:right w:val="nil"/>
            </w:tcBorders>
            <w:shd w:val="clear" w:color="auto" w:fill="auto"/>
            <w:hideMark/>
          </w:tcPr>
          <w:p w:rsidRPr="00FD3E6E" w:rsidR="00FD3E6E" w:rsidP="00533D5C" w:rsidRDefault="00FD3E6E">
            <w:pPr>
              <w:spacing w:line="240" w:lineRule="exact"/>
              <w:rPr>
                <w:rFonts w:ascii="Verdana" w:hAnsi="Verdana"/>
                <w:color w:val="000000"/>
                <w:sz w:val="18"/>
                <w:szCs w:val="18"/>
              </w:rPr>
            </w:pPr>
            <w:r w:rsidRPr="00FD3E6E">
              <w:rPr>
                <w:rFonts w:ascii="Verdana" w:hAnsi="Verdana"/>
                <w:color w:val="000000"/>
                <w:sz w:val="18"/>
                <w:szCs w:val="18"/>
              </w:rPr>
              <w:t>Stand Najaarsnota 2014</w:t>
            </w:r>
          </w:p>
        </w:tc>
        <w:tc>
          <w:tcPr>
            <w:tcW w:w="1325" w:type="pct"/>
            <w:tcBorders>
              <w:top w:val="single" w:color="000000" w:sz="8" w:space="0"/>
              <w:left w:val="nil"/>
              <w:bottom w:val="nil"/>
              <w:right w:val="nil"/>
            </w:tcBorders>
            <w:shd w:val="clear" w:color="auto" w:fill="auto"/>
            <w:hideMark/>
          </w:tcPr>
          <w:p w:rsidRPr="00FD3E6E" w:rsidR="00FD3E6E" w:rsidP="00533D5C" w:rsidRDefault="00FD3E6E">
            <w:pPr>
              <w:spacing w:line="240" w:lineRule="exact"/>
              <w:jc w:val="right"/>
              <w:rPr>
                <w:rFonts w:ascii="Verdana" w:hAnsi="Verdana"/>
                <w:color w:val="000000"/>
                <w:sz w:val="18"/>
                <w:szCs w:val="18"/>
              </w:rPr>
            </w:pPr>
            <w:r w:rsidRPr="00FD3E6E">
              <w:rPr>
                <w:rFonts w:ascii="Verdana" w:hAnsi="Verdana"/>
                <w:color w:val="000000"/>
                <w:sz w:val="18"/>
                <w:szCs w:val="18"/>
              </w:rPr>
              <w:t>1.978,6</w:t>
            </w:r>
          </w:p>
        </w:tc>
      </w:tr>
    </w:tbl>
    <w:p w:rsidRPr="00533D5C" w:rsidR="00FD3E6E" w:rsidP="00533D5C" w:rsidRDefault="00FD3E6E">
      <w:pPr>
        <w:spacing w:line="240" w:lineRule="exact"/>
        <w:rPr>
          <w:rFonts w:ascii="Verdana" w:hAnsi="Verdana" w:cs="Verdana"/>
          <w:b/>
          <w:bCs/>
          <w:sz w:val="18"/>
          <w:szCs w:val="18"/>
        </w:rPr>
      </w:pPr>
    </w:p>
    <w:p w:rsidRPr="00533D5C" w:rsidR="00FA6DDB" w:rsidP="00533D5C" w:rsidRDefault="00FA6DDB">
      <w:pPr>
        <w:spacing w:line="240" w:lineRule="exact"/>
        <w:contextualSpacing/>
        <w:rPr>
          <w:rFonts w:ascii="Verdana" w:hAnsi="Verdana"/>
          <w:i/>
          <w:sz w:val="18"/>
          <w:szCs w:val="18"/>
        </w:rPr>
      </w:pPr>
      <w:r w:rsidRPr="00533D5C">
        <w:rPr>
          <w:rFonts w:ascii="Verdana" w:hAnsi="Verdana"/>
          <w:i/>
          <w:sz w:val="18"/>
          <w:szCs w:val="18"/>
        </w:rPr>
        <w:t>Leningen inburgering</w:t>
      </w:r>
    </w:p>
    <w:p w:rsidRPr="00533D5C" w:rsidR="00FA6DDB" w:rsidP="00533D5C" w:rsidRDefault="00FA6DDB">
      <w:pPr>
        <w:pStyle w:val="Lijstopsomteken"/>
        <w:numPr>
          <w:ilvl w:val="0"/>
          <w:numId w:val="0"/>
        </w:numPr>
        <w:spacing w:line="240" w:lineRule="exact"/>
        <w:contextualSpacing/>
        <w:rPr>
          <w:sz w:val="18"/>
          <w:szCs w:val="18"/>
        </w:rPr>
      </w:pPr>
      <w:r w:rsidRPr="00533D5C">
        <w:rPr>
          <w:sz w:val="18"/>
          <w:szCs w:val="18"/>
        </w:rPr>
        <w:t>Hoewel het aantal asielzoekers in Nederland in 2014 toegenomen is, blijft het aantal leningen achter bij de verwachtingen. Reden hiervoor is dat asielgerechtigden drie jaar de tijd hebben om in te burgeren. Niet iedereen maakt in het eerste jaar gebruik van de leenfaciliteit. Het aantal leningen is wel toegenomen ten opzichte van het vorige en eerste jaar van het nieuwe leenstelsel.</w:t>
      </w:r>
    </w:p>
    <w:p w:rsidRPr="00533D5C" w:rsidR="00FA6DDB" w:rsidP="00533D5C" w:rsidRDefault="00FA6DDB">
      <w:pPr>
        <w:spacing w:line="240" w:lineRule="exact"/>
        <w:contextualSpacing/>
        <w:rPr>
          <w:rFonts w:ascii="Verdana" w:hAnsi="Verdana"/>
          <w:sz w:val="18"/>
          <w:szCs w:val="18"/>
        </w:rPr>
      </w:pPr>
    </w:p>
    <w:p w:rsidRPr="00533D5C" w:rsidR="00FA6DDB" w:rsidP="00533D5C" w:rsidRDefault="00FA6DDB">
      <w:pPr>
        <w:spacing w:line="240" w:lineRule="exact"/>
        <w:contextualSpacing/>
        <w:rPr>
          <w:rFonts w:ascii="Verdana" w:hAnsi="Verdana"/>
          <w:i/>
          <w:sz w:val="18"/>
          <w:szCs w:val="18"/>
        </w:rPr>
      </w:pPr>
      <w:r w:rsidRPr="00533D5C">
        <w:rPr>
          <w:rFonts w:ascii="Verdana" w:hAnsi="Verdana"/>
          <w:i/>
          <w:sz w:val="18"/>
          <w:szCs w:val="18"/>
        </w:rPr>
        <w:t>Toeslagenwet</w:t>
      </w:r>
    </w:p>
    <w:p w:rsidRPr="00533D5C" w:rsidR="00FA6DDB" w:rsidP="00533D5C" w:rsidRDefault="00FA6DDB">
      <w:pPr>
        <w:spacing w:line="240" w:lineRule="exact"/>
        <w:contextualSpacing/>
        <w:rPr>
          <w:rFonts w:ascii="Verdana" w:hAnsi="Verdana"/>
          <w:sz w:val="18"/>
          <w:szCs w:val="18"/>
        </w:rPr>
      </w:pPr>
      <w:r w:rsidRPr="00533D5C">
        <w:rPr>
          <w:rFonts w:ascii="Verdana" w:hAnsi="Verdana"/>
          <w:sz w:val="18"/>
          <w:szCs w:val="18"/>
        </w:rPr>
        <w:t>De tegenvaller op de Toeslagenwet is met name het gevolg van een toename van het aantal gerechtigden in de WAO/WIA (16,1 mln.) en een hogere gemiddelde toeslag (4,4 mln.).</w:t>
      </w:r>
    </w:p>
    <w:p w:rsidRPr="00533D5C" w:rsidR="00E96E52" w:rsidP="00533D5C" w:rsidRDefault="00E96E52">
      <w:pPr>
        <w:spacing w:line="240" w:lineRule="exact"/>
        <w:rPr>
          <w:rFonts w:ascii="Verdana" w:hAnsi="Verdana" w:cs="Verdana"/>
          <w:b/>
          <w:bCs/>
          <w:sz w:val="18"/>
          <w:szCs w:val="18"/>
        </w:rPr>
      </w:pPr>
    </w:p>
    <w:p w:rsidRPr="00533D5C" w:rsidR="00AF43DD" w:rsidP="00533D5C" w:rsidRDefault="00AF43DD">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DD019D" w:rsidP="00533D5C" w:rsidRDefault="00212804">
      <w:pPr>
        <w:spacing w:line="240" w:lineRule="exact"/>
        <w:rPr>
          <w:rFonts w:ascii="Verdana" w:hAnsi="Verdana" w:cs="Verdana"/>
          <w:b/>
          <w:bCs/>
          <w:sz w:val="18"/>
          <w:szCs w:val="18"/>
        </w:rPr>
      </w:pPr>
      <w:r w:rsidRPr="00533D5C">
        <w:rPr>
          <w:rFonts w:ascii="Verdana" w:hAnsi="Verdana" w:cs="Verdana"/>
          <w:b/>
          <w:bCs/>
          <w:sz w:val="18"/>
          <w:szCs w:val="18"/>
        </w:rPr>
        <w:lastRenderedPageBreak/>
        <w:t>Soc</w:t>
      </w:r>
      <w:r w:rsidRPr="00533D5C" w:rsidR="009862F9">
        <w:rPr>
          <w:rFonts w:ascii="Verdana" w:hAnsi="Verdana" w:cs="Verdana"/>
          <w:b/>
          <w:bCs/>
          <w:sz w:val="18"/>
          <w:szCs w:val="18"/>
        </w:rPr>
        <w:t>iale Zekerheid</w:t>
      </w:r>
    </w:p>
    <w:p w:rsidRPr="00533D5C" w:rsidR="00BE0A1B" w:rsidP="00533D5C" w:rsidRDefault="00BE0A1B">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583"/>
        <w:gridCol w:w="1629"/>
      </w:tblGrid>
      <w:tr w:rsidRPr="00533D5C" w:rsidR="00BE0A1B" w:rsidTr="00490E87">
        <w:trPr>
          <w:trHeight w:val="225"/>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SOCIALE ZEKERHEID: UITGAVEN</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25"/>
        </w:trPr>
        <w:tc>
          <w:tcPr>
            <w:tcW w:w="4116" w:type="pct"/>
            <w:tcBorders>
              <w:top w:val="single" w:color="000000" w:sz="8" w:space="0"/>
              <w:left w:val="nil"/>
              <w:bottom w:val="single" w:color="000000" w:sz="8" w:space="0"/>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84" w:type="pct"/>
            <w:tcBorders>
              <w:top w:val="single" w:color="000000" w:sz="8" w:space="0"/>
              <w:left w:val="nil"/>
              <w:bottom w:val="single" w:color="000000" w:sz="8" w:space="0"/>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Stand Miljoenennota 2015</w:t>
            </w: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76.546,4</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Sociale zekerheid</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Wao</w:t>
            </w: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39,1</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Ww</w:t>
            </w: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-115,4</w:t>
            </w:r>
          </w:p>
        </w:tc>
      </w:tr>
      <w:tr w:rsidRPr="00533D5C" w:rsidR="00BE0A1B" w:rsidTr="00490E87">
        <w:trPr>
          <w:trHeight w:val="225"/>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-13,0</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p>
        </w:tc>
        <w:tc>
          <w:tcPr>
            <w:tcW w:w="884" w:type="pct"/>
            <w:tcBorders>
              <w:top w:val="single" w:color="000000" w:sz="8" w:space="0"/>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-89,3</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Sociale zekerheid</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25"/>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-14,3</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p>
        </w:tc>
        <w:tc>
          <w:tcPr>
            <w:tcW w:w="884" w:type="pct"/>
            <w:tcBorders>
              <w:top w:val="single" w:color="000000" w:sz="8" w:space="0"/>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-14,3</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Sociale zekerheid</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25"/>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15,7</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p>
        </w:tc>
        <w:tc>
          <w:tcPr>
            <w:tcW w:w="884" w:type="pct"/>
            <w:tcBorders>
              <w:top w:val="single" w:color="000000" w:sz="8" w:space="0"/>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15,7</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25"/>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-87,9</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84" w:type="pct"/>
            <w:tcBorders>
              <w:top w:val="single" w:color="000000" w:sz="8" w:space="0"/>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76.458,4</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10"/>
        </w:trPr>
        <w:tc>
          <w:tcPr>
            <w:tcW w:w="4116"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10"/>
        </w:trPr>
        <w:tc>
          <w:tcPr>
            <w:tcW w:w="4116"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p>
        </w:tc>
      </w:tr>
      <w:tr w:rsidRPr="00533D5C" w:rsidR="00BE0A1B" w:rsidTr="0011334B">
        <w:trPr>
          <w:trHeight w:val="296"/>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SOCIALE ZEKERHEID: NIET-BELASTINGONTVANGSTEN</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25"/>
        </w:trPr>
        <w:tc>
          <w:tcPr>
            <w:tcW w:w="4116" w:type="pct"/>
            <w:tcBorders>
              <w:top w:val="single" w:color="000000" w:sz="8" w:space="0"/>
              <w:left w:val="nil"/>
              <w:bottom w:val="single" w:color="000000" w:sz="8" w:space="0"/>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84" w:type="pct"/>
            <w:tcBorders>
              <w:top w:val="single" w:color="000000" w:sz="8" w:space="0"/>
              <w:left w:val="nil"/>
              <w:bottom w:val="single" w:color="000000" w:sz="8" w:space="0"/>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Stand Miljoenennota 2015</w:t>
            </w: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1.275,3</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Sociale zekerheid</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25"/>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1,0</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p>
        </w:tc>
        <w:tc>
          <w:tcPr>
            <w:tcW w:w="884" w:type="pct"/>
            <w:tcBorders>
              <w:top w:val="single" w:color="000000" w:sz="8" w:space="0"/>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1,0</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Sociale zekerheid</w:t>
            </w: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25"/>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0,6</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p>
        </w:tc>
        <w:tc>
          <w:tcPr>
            <w:tcW w:w="884" w:type="pct"/>
            <w:tcBorders>
              <w:top w:val="single" w:color="000000" w:sz="8" w:space="0"/>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0,6</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p>
        </w:tc>
        <w:tc>
          <w:tcPr>
            <w:tcW w:w="884" w:type="pct"/>
            <w:tcBorders>
              <w:top w:val="nil"/>
              <w:left w:val="nil"/>
              <w:bottom w:val="nil"/>
              <w:right w:val="nil"/>
            </w:tcBorders>
            <w:shd w:val="clear" w:color="auto" w:fill="auto"/>
            <w:noWrap/>
            <w:vAlign w:val="bottom"/>
            <w:hideMark/>
          </w:tcPr>
          <w:p w:rsidRPr="00533D5C" w:rsidR="00BE0A1B" w:rsidP="00533D5C" w:rsidRDefault="00BE0A1B">
            <w:pPr>
              <w:spacing w:line="240" w:lineRule="exact"/>
              <w:rPr>
                <w:rFonts w:ascii="Verdana" w:hAnsi="Verdana"/>
                <w:color w:val="000000"/>
                <w:sz w:val="18"/>
                <w:szCs w:val="18"/>
              </w:rPr>
            </w:pPr>
          </w:p>
        </w:tc>
      </w:tr>
      <w:tr w:rsidRPr="00533D5C" w:rsidR="00BE0A1B" w:rsidTr="00490E87">
        <w:trPr>
          <w:trHeight w:val="225"/>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84" w:type="pct"/>
            <w:tcBorders>
              <w:top w:val="nil"/>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1,6</w:t>
            </w:r>
          </w:p>
        </w:tc>
      </w:tr>
      <w:tr w:rsidRPr="00533D5C" w:rsidR="00BE0A1B" w:rsidTr="00490E87">
        <w:trPr>
          <w:trHeight w:val="210"/>
        </w:trPr>
        <w:tc>
          <w:tcPr>
            <w:tcW w:w="4116" w:type="pct"/>
            <w:tcBorders>
              <w:top w:val="nil"/>
              <w:left w:val="nil"/>
              <w:bottom w:val="nil"/>
              <w:right w:val="nil"/>
            </w:tcBorders>
            <w:shd w:val="clear" w:color="auto" w:fill="auto"/>
            <w:hideMark/>
          </w:tcPr>
          <w:p w:rsidRPr="00533D5C" w:rsidR="00BE0A1B" w:rsidP="00533D5C" w:rsidRDefault="00BE0A1B">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84" w:type="pct"/>
            <w:tcBorders>
              <w:top w:val="single" w:color="000000" w:sz="8" w:space="0"/>
              <w:left w:val="nil"/>
              <w:bottom w:val="nil"/>
              <w:right w:val="nil"/>
            </w:tcBorders>
            <w:shd w:val="clear" w:color="auto" w:fill="auto"/>
            <w:hideMark/>
          </w:tcPr>
          <w:p w:rsidRPr="00533D5C" w:rsidR="00BE0A1B" w:rsidP="00533D5C" w:rsidRDefault="00BE0A1B">
            <w:pPr>
              <w:spacing w:line="240" w:lineRule="exact"/>
              <w:jc w:val="right"/>
              <w:rPr>
                <w:rFonts w:ascii="Verdana" w:hAnsi="Verdana"/>
                <w:color w:val="000000"/>
                <w:sz w:val="18"/>
                <w:szCs w:val="18"/>
              </w:rPr>
            </w:pPr>
            <w:r w:rsidRPr="00533D5C">
              <w:rPr>
                <w:rFonts w:ascii="Verdana" w:hAnsi="Verdana"/>
                <w:color w:val="000000"/>
                <w:sz w:val="18"/>
                <w:szCs w:val="18"/>
              </w:rPr>
              <w:t>1.276,9</w:t>
            </w:r>
          </w:p>
        </w:tc>
      </w:tr>
    </w:tbl>
    <w:p w:rsidRPr="00533D5C" w:rsidR="00BE0A1B" w:rsidP="00533D5C" w:rsidRDefault="00BE0A1B">
      <w:pPr>
        <w:spacing w:line="240" w:lineRule="exact"/>
        <w:rPr>
          <w:rFonts w:ascii="Verdana" w:hAnsi="Verdana" w:cs="Verdana"/>
          <w:b/>
          <w:bCs/>
          <w:sz w:val="18"/>
          <w:szCs w:val="18"/>
        </w:rPr>
      </w:pPr>
    </w:p>
    <w:p w:rsidRPr="00533D5C" w:rsidR="00BE0A1B" w:rsidP="00533D5C" w:rsidRDefault="00BE0A1B">
      <w:pPr>
        <w:pStyle w:val="Lijstopsomteken"/>
        <w:numPr>
          <w:ilvl w:val="0"/>
          <w:numId w:val="0"/>
        </w:numPr>
        <w:tabs>
          <w:tab w:val="left" w:pos="708"/>
        </w:tabs>
        <w:spacing w:line="240" w:lineRule="exact"/>
        <w:ind w:left="227" w:hanging="227"/>
        <w:contextualSpacing/>
        <w:rPr>
          <w:i/>
          <w:sz w:val="18"/>
          <w:szCs w:val="18"/>
        </w:rPr>
      </w:pPr>
      <w:r w:rsidRPr="00533D5C">
        <w:rPr>
          <w:i/>
          <w:sz w:val="18"/>
          <w:szCs w:val="18"/>
        </w:rPr>
        <w:t xml:space="preserve">WAO </w:t>
      </w:r>
    </w:p>
    <w:p w:rsidRPr="00533D5C" w:rsidR="00BE0A1B" w:rsidP="00533D5C" w:rsidRDefault="00BE0A1B">
      <w:pPr>
        <w:pStyle w:val="Lijstopsomteken"/>
        <w:numPr>
          <w:ilvl w:val="0"/>
          <w:numId w:val="0"/>
        </w:numPr>
        <w:tabs>
          <w:tab w:val="left" w:pos="708"/>
        </w:tabs>
        <w:spacing w:line="240" w:lineRule="exact"/>
        <w:ind w:left="227" w:hanging="227"/>
        <w:contextualSpacing/>
        <w:rPr>
          <w:sz w:val="18"/>
          <w:szCs w:val="18"/>
        </w:rPr>
      </w:pPr>
      <w:r w:rsidRPr="00533D5C">
        <w:rPr>
          <w:sz w:val="18"/>
          <w:szCs w:val="18"/>
        </w:rPr>
        <w:t>De tegenvaller op de arbeidsongeschiktheidsregelingen wordt voornamelijk veroorzaakt doordat de</w:t>
      </w:r>
    </w:p>
    <w:p w:rsidRPr="00533D5C" w:rsidR="00BE0A1B" w:rsidP="00533D5C" w:rsidRDefault="00BE0A1B">
      <w:pPr>
        <w:pStyle w:val="Lijstopsomteken"/>
        <w:numPr>
          <w:ilvl w:val="0"/>
          <w:numId w:val="0"/>
        </w:numPr>
        <w:tabs>
          <w:tab w:val="left" w:pos="708"/>
        </w:tabs>
        <w:spacing w:line="240" w:lineRule="exact"/>
        <w:contextualSpacing/>
        <w:rPr>
          <w:sz w:val="18"/>
          <w:szCs w:val="18"/>
        </w:rPr>
      </w:pPr>
      <w:r w:rsidRPr="00533D5C">
        <w:rPr>
          <w:sz w:val="18"/>
          <w:szCs w:val="18"/>
        </w:rPr>
        <w:t xml:space="preserve">uitstroom in de WAO tegenvalt. Hierdoor </w:t>
      </w:r>
      <w:r w:rsidRPr="00533D5C" w:rsidR="001F773A">
        <w:rPr>
          <w:sz w:val="18"/>
          <w:szCs w:val="18"/>
        </w:rPr>
        <w:t>daalt het aantal uitkeringsjaren minder dan verwacht</w:t>
      </w:r>
      <w:r w:rsidRPr="00533D5C" w:rsidR="00472960">
        <w:rPr>
          <w:sz w:val="18"/>
          <w:szCs w:val="18"/>
        </w:rPr>
        <w:t xml:space="preserve"> </w:t>
      </w:r>
      <w:r w:rsidRPr="00533D5C">
        <w:rPr>
          <w:sz w:val="18"/>
          <w:szCs w:val="18"/>
        </w:rPr>
        <w:t>(22,2 mln.). Daarnaast valt ook de gemiddelde jaaruitkering hoger uit (16,5 mln.).</w:t>
      </w:r>
    </w:p>
    <w:p w:rsidRPr="00533D5C" w:rsidR="00BE0A1B" w:rsidP="00533D5C" w:rsidRDefault="00BE0A1B">
      <w:pPr>
        <w:spacing w:line="240" w:lineRule="exact"/>
        <w:rPr>
          <w:rFonts w:ascii="Verdana" w:hAnsi="Verdana"/>
          <w:i/>
          <w:sz w:val="18"/>
          <w:szCs w:val="18"/>
        </w:rPr>
      </w:pPr>
    </w:p>
    <w:p w:rsidRPr="00533D5C" w:rsidR="00BE0A1B" w:rsidP="00533D5C" w:rsidRDefault="00BE0A1B">
      <w:pPr>
        <w:pStyle w:val="Lijstopsomteken"/>
        <w:numPr>
          <w:ilvl w:val="0"/>
          <w:numId w:val="0"/>
        </w:numPr>
        <w:tabs>
          <w:tab w:val="left" w:pos="708"/>
        </w:tabs>
        <w:spacing w:line="240" w:lineRule="exact"/>
        <w:ind w:left="227" w:hanging="227"/>
        <w:contextualSpacing/>
        <w:rPr>
          <w:i/>
          <w:sz w:val="18"/>
          <w:szCs w:val="18"/>
        </w:rPr>
      </w:pPr>
      <w:r w:rsidRPr="00533D5C">
        <w:rPr>
          <w:i/>
          <w:sz w:val="18"/>
          <w:szCs w:val="18"/>
        </w:rPr>
        <w:t>WW</w:t>
      </w:r>
    </w:p>
    <w:p w:rsidRPr="00533D5C" w:rsidR="001F773A" w:rsidP="00533D5C" w:rsidRDefault="00BE0A1B">
      <w:pPr>
        <w:pStyle w:val="Lijstopsomteken"/>
        <w:numPr>
          <w:ilvl w:val="0"/>
          <w:numId w:val="0"/>
        </w:numPr>
        <w:tabs>
          <w:tab w:val="left" w:pos="708"/>
        </w:tabs>
        <w:spacing w:line="240" w:lineRule="exact"/>
        <w:contextualSpacing/>
        <w:rPr>
          <w:sz w:val="18"/>
          <w:szCs w:val="18"/>
        </w:rPr>
      </w:pPr>
      <w:r w:rsidRPr="00533D5C">
        <w:rPr>
          <w:sz w:val="18"/>
          <w:szCs w:val="18"/>
        </w:rPr>
        <w:t xml:space="preserve">Op basis van realisatiegegevens van het UWV worden de uitgaven aan de WW naar beneden bijgesteld. Deze meevaller is een saldo van verschillende posten. </w:t>
      </w:r>
      <w:r w:rsidRPr="00533D5C" w:rsidR="001F773A">
        <w:rPr>
          <w:rFonts w:cs="Calibri"/>
          <w:sz w:val="18"/>
          <w:szCs w:val="18"/>
        </w:rPr>
        <w:t xml:space="preserve">De grootste meevaller ontstaat door een toename van de baten in </w:t>
      </w:r>
      <w:r w:rsidRPr="00533D5C" w:rsidR="00945967">
        <w:rPr>
          <w:rFonts w:cs="Calibri"/>
          <w:sz w:val="18"/>
          <w:szCs w:val="18"/>
        </w:rPr>
        <w:t>het Algemeen Werkloosheidsfonds</w:t>
      </w:r>
      <w:r w:rsidRPr="00533D5C" w:rsidR="001F773A">
        <w:rPr>
          <w:rFonts w:cs="Calibri"/>
          <w:sz w:val="18"/>
          <w:szCs w:val="18"/>
        </w:rPr>
        <w:t xml:space="preserve"> (77 mln.), voornamelijk omdat het verhaal op faillissementsuitkeringen is toegenomen. Een eerdere stijging van de faillissementen, die destijds een tegenvaller op de faillissementsuitkeringen als gevolg had, leidt nu tot hogere inkomsten uit verhaal. Verder daalt de deeltijdfactor, waardoor het aantal uitkeringsjaren afneemt (41 mln.).</w:t>
      </w:r>
      <w:r w:rsidRPr="00533D5C" w:rsidR="004E19A5">
        <w:rPr>
          <w:rFonts w:cs="Calibri"/>
          <w:sz w:val="18"/>
          <w:szCs w:val="18"/>
        </w:rPr>
        <w:t xml:space="preserve"> </w:t>
      </w:r>
      <w:r w:rsidRPr="00533D5C" w:rsidR="001F773A">
        <w:rPr>
          <w:rFonts w:cs="Calibri"/>
          <w:sz w:val="18"/>
          <w:szCs w:val="18"/>
        </w:rPr>
        <w:t>Daarnaast zijn er meevallers door een huidige daling van de faillissementsuitkeringen, de afbouwhoogte van de vorst-ww en een correctie in de uitkeringslasten in verband met een meevaller in het aantal uitkeringsgerechtigden. Een hogere gemiddelde jaaruitkering (45 mln.) zorgt voor een tegenvaller.</w:t>
      </w:r>
    </w:p>
    <w:p w:rsidRPr="00533D5C" w:rsidR="00A36B02"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Volksgezondheid, Welzijn en Sport</w:t>
      </w:r>
      <w:r w:rsidRPr="00533D5C" w:rsidR="00F176EB">
        <w:rPr>
          <w:rFonts w:ascii="Verdana" w:hAnsi="Verdana" w:cs="Verdana"/>
          <w:b/>
          <w:bCs/>
          <w:sz w:val="18"/>
          <w:szCs w:val="18"/>
        </w:rPr>
        <w:t xml:space="preserve"> </w:t>
      </w:r>
    </w:p>
    <w:p w:rsidRPr="00533D5C" w:rsidR="009F39E9" w:rsidP="00533D5C" w:rsidRDefault="009F39E9">
      <w:pPr>
        <w:spacing w:line="240" w:lineRule="exact"/>
        <w:rPr>
          <w:rFonts w:ascii="Verdana" w:hAnsi="Verdana" w:cs="Verdana"/>
          <w:b/>
          <w:bCs/>
          <w:sz w:val="18"/>
          <w:szCs w:val="18"/>
        </w:rPr>
      </w:pPr>
    </w:p>
    <w:tbl>
      <w:tblPr>
        <w:tblW w:w="9089" w:type="dxa"/>
        <w:tblInd w:w="53" w:type="dxa"/>
        <w:tblCellMar>
          <w:left w:w="70" w:type="dxa"/>
          <w:right w:w="70" w:type="dxa"/>
        </w:tblCellMar>
        <w:tblLook w:val="04A0"/>
      </w:tblPr>
      <w:tblGrid>
        <w:gridCol w:w="7672"/>
        <w:gridCol w:w="1417"/>
      </w:tblGrid>
      <w:tr w:rsidRPr="00533D5C" w:rsidR="009F39E9" w:rsidTr="0011334B">
        <w:trPr>
          <w:trHeight w:val="229"/>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XVI VOLKSGEZONDHEID, WELZIJN EN SPORT: UITGAVEN</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40"/>
        </w:trPr>
        <w:tc>
          <w:tcPr>
            <w:tcW w:w="7672" w:type="dxa"/>
            <w:tcBorders>
              <w:top w:val="single" w:color="000000" w:sz="8" w:space="0"/>
              <w:left w:val="nil"/>
              <w:bottom w:val="single" w:color="000000" w:sz="8" w:space="0"/>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1417" w:type="dxa"/>
            <w:tcBorders>
              <w:top w:val="single" w:color="000000" w:sz="8" w:space="0"/>
              <w:left w:val="nil"/>
              <w:bottom w:val="single" w:color="000000" w:sz="8" w:space="0"/>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15051,4</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Privatisering rijksinstellingen</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15,4</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Taakstellende onderuitputting en ontvangstenraming</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39,7</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-27,0</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Zorg</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40"/>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Subsidies capaciteit opleidingen</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-15,2</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p>
        </w:tc>
        <w:tc>
          <w:tcPr>
            <w:tcW w:w="1417" w:type="dxa"/>
            <w:tcBorders>
              <w:top w:val="single" w:color="000000" w:sz="8" w:space="0"/>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12,9</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-1,6</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40"/>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-1,0</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p>
        </w:tc>
        <w:tc>
          <w:tcPr>
            <w:tcW w:w="1417" w:type="dxa"/>
            <w:tcBorders>
              <w:top w:val="single" w:color="000000" w:sz="8" w:space="0"/>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-2,6</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10,2</w:t>
            </w:r>
          </w:p>
        </w:tc>
      </w:tr>
      <w:tr w:rsidRPr="00533D5C" w:rsidR="009F39E9" w:rsidTr="009F39E9">
        <w:trPr>
          <w:trHeight w:val="240"/>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1417" w:type="dxa"/>
            <w:tcBorders>
              <w:top w:val="single" w:color="000000" w:sz="8" w:space="0"/>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15061,6</w:t>
            </w:r>
          </w:p>
        </w:tc>
      </w:tr>
      <w:tr w:rsidRPr="00533D5C" w:rsidR="009F39E9" w:rsidTr="009F39E9">
        <w:trPr>
          <w:trHeight w:val="240"/>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5,5</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1417" w:type="dxa"/>
            <w:tcBorders>
              <w:top w:val="single" w:color="000000" w:sz="8" w:space="0"/>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15067,1</w:t>
            </w:r>
          </w:p>
        </w:tc>
      </w:tr>
      <w:tr w:rsidRPr="00533D5C" w:rsidR="009F39E9" w:rsidTr="009F39E9">
        <w:trPr>
          <w:trHeight w:val="225"/>
        </w:trPr>
        <w:tc>
          <w:tcPr>
            <w:tcW w:w="7672"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p>
        </w:tc>
      </w:tr>
      <w:tr w:rsidRPr="00533D5C" w:rsidR="009F39E9" w:rsidTr="0011334B">
        <w:trPr>
          <w:trHeight w:val="222"/>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XVI VOLKSGEZONDHEID, WELZIJN EN SPORT: NIET-BELASTINGONTVANGSTEN</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40"/>
        </w:trPr>
        <w:tc>
          <w:tcPr>
            <w:tcW w:w="7672" w:type="dxa"/>
            <w:tcBorders>
              <w:top w:val="single" w:color="000000" w:sz="8" w:space="0"/>
              <w:left w:val="nil"/>
              <w:bottom w:val="single" w:color="000000" w:sz="8" w:space="0"/>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1417" w:type="dxa"/>
            <w:tcBorders>
              <w:top w:val="single" w:color="000000" w:sz="8" w:space="0"/>
              <w:left w:val="nil"/>
              <w:bottom w:val="single" w:color="000000" w:sz="8" w:space="0"/>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125,9</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Vaststelling instellingssubsidie</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19,5</w:t>
            </w:r>
          </w:p>
        </w:tc>
      </w:tr>
      <w:tr w:rsidRPr="00533D5C" w:rsidR="009F39E9" w:rsidTr="009F39E9">
        <w:trPr>
          <w:trHeight w:val="240"/>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40,7</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p>
        </w:tc>
        <w:tc>
          <w:tcPr>
            <w:tcW w:w="1417" w:type="dxa"/>
            <w:tcBorders>
              <w:top w:val="single" w:color="000000" w:sz="8" w:space="0"/>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60,2</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40"/>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18,2</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p>
        </w:tc>
        <w:tc>
          <w:tcPr>
            <w:tcW w:w="1417" w:type="dxa"/>
            <w:tcBorders>
              <w:top w:val="single" w:color="000000" w:sz="8" w:space="0"/>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18,2</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78,3</w:t>
            </w:r>
          </w:p>
        </w:tc>
      </w:tr>
      <w:tr w:rsidRPr="00533D5C" w:rsidR="009F39E9" w:rsidTr="009F39E9">
        <w:trPr>
          <w:trHeight w:val="240"/>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p>
        </w:tc>
        <w:tc>
          <w:tcPr>
            <w:tcW w:w="1417" w:type="dxa"/>
            <w:tcBorders>
              <w:top w:val="nil"/>
              <w:left w:val="nil"/>
              <w:bottom w:val="nil"/>
              <w:right w:val="nil"/>
            </w:tcBorders>
            <w:shd w:val="clear" w:color="auto" w:fill="auto"/>
            <w:noWrap/>
            <w:vAlign w:val="bottom"/>
            <w:hideMark/>
          </w:tcPr>
          <w:p w:rsidRPr="00533D5C" w:rsidR="009F39E9" w:rsidP="00533D5C" w:rsidRDefault="009F39E9">
            <w:pPr>
              <w:spacing w:line="240" w:lineRule="exact"/>
              <w:rPr>
                <w:rFonts w:ascii="Verdana" w:hAnsi="Verdana"/>
                <w:color w:val="000000"/>
                <w:sz w:val="18"/>
                <w:szCs w:val="18"/>
              </w:rPr>
            </w:pP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1417" w:type="dxa"/>
            <w:tcBorders>
              <w:top w:val="single" w:color="000000" w:sz="8" w:space="0"/>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204,3</w:t>
            </w:r>
          </w:p>
        </w:tc>
      </w:tr>
      <w:tr w:rsidRPr="00533D5C" w:rsidR="009F39E9" w:rsidTr="009F39E9">
        <w:trPr>
          <w:trHeight w:val="240"/>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1417" w:type="dxa"/>
            <w:tcBorders>
              <w:top w:val="nil"/>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9F39E9" w:rsidTr="009F39E9">
        <w:trPr>
          <w:trHeight w:val="225"/>
        </w:trPr>
        <w:tc>
          <w:tcPr>
            <w:tcW w:w="7672" w:type="dxa"/>
            <w:tcBorders>
              <w:top w:val="nil"/>
              <w:left w:val="nil"/>
              <w:bottom w:val="nil"/>
              <w:right w:val="nil"/>
            </w:tcBorders>
            <w:shd w:val="clear" w:color="auto" w:fill="auto"/>
            <w:hideMark/>
          </w:tcPr>
          <w:p w:rsidRPr="00533D5C" w:rsidR="009F39E9" w:rsidP="00533D5C" w:rsidRDefault="009F39E9">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1417" w:type="dxa"/>
            <w:tcBorders>
              <w:top w:val="single" w:color="000000" w:sz="8" w:space="0"/>
              <w:left w:val="nil"/>
              <w:bottom w:val="nil"/>
              <w:right w:val="nil"/>
            </w:tcBorders>
            <w:shd w:val="clear" w:color="auto" w:fill="auto"/>
            <w:hideMark/>
          </w:tcPr>
          <w:p w:rsidRPr="00533D5C" w:rsidR="009F39E9" w:rsidP="00533D5C" w:rsidRDefault="009F39E9">
            <w:pPr>
              <w:spacing w:line="240" w:lineRule="exact"/>
              <w:jc w:val="right"/>
              <w:rPr>
                <w:rFonts w:ascii="Verdana" w:hAnsi="Verdana"/>
                <w:color w:val="000000"/>
                <w:sz w:val="18"/>
                <w:szCs w:val="18"/>
              </w:rPr>
            </w:pPr>
            <w:r w:rsidRPr="00533D5C">
              <w:rPr>
                <w:rFonts w:ascii="Verdana" w:hAnsi="Verdana"/>
                <w:color w:val="000000"/>
                <w:sz w:val="18"/>
                <w:szCs w:val="18"/>
              </w:rPr>
              <w:t>204,3</w:t>
            </w:r>
          </w:p>
        </w:tc>
      </w:tr>
    </w:tbl>
    <w:p w:rsidRPr="00533D5C" w:rsidR="009F39E9" w:rsidP="00533D5C" w:rsidRDefault="009F39E9">
      <w:pPr>
        <w:spacing w:line="240" w:lineRule="exact"/>
        <w:rPr>
          <w:rFonts w:ascii="Verdana" w:hAnsi="Verdana" w:cs="Verdana"/>
          <w:b/>
          <w:bCs/>
          <w:sz w:val="18"/>
          <w:szCs w:val="18"/>
        </w:rPr>
      </w:pPr>
    </w:p>
    <w:p w:rsidRPr="00533D5C" w:rsidR="009F39E9" w:rsidP="00533D5C" w:rsidRDefault="009F39E9">
      <w:pPr>
        <w:spacing w:line="240" w:lineRule="exact"/>
        <w:rPr>
          <w:rFonts w:ascii="Verdana" w:hAnsi="Verdana" w:cs="Verdana"/>
          <w:b/>
          <w:bCs/>
          <w:sz w:val="18"/>
          <w:szCs w:val="18"/>
        </w:rPr>
      </w:pPr>
    </w:p>
    <w:p w:rsidRPr="00533D5C" w:rsidR="00BE0A1B" w:rsidP="00533D5C" w:rsidRDefault="00BE0A1B">
      <w:pPr>
        <w:spacing w:line="240" w:lineRule="exact"/>
        <w:rPr>
          <w:rFonts w:ascii="Verdana" w:hAnsi="Verdana"/>
          <w:i/>
          <w:sz w:val="18"/>
          <w:szCs w:val="18"/>
        </w:rPr>
      </w:pPr>
      <w:r w:rsidRPr="00533D5C">
        <w:rPr>
          <w:rFonts w:ascii="Verdana" w:hAnsi="Verdana"/>
          <w:i/>
          <w:sz w:val="18"/>
          <w:szCs w:val="18"/>
        </w:rPr>
        <w:t>Privatisering rijksinstellingen</w:t>
      </w:r>
    </w:p>
    <w:p w:rsidRPr="00533D5C" w:rsidR="00BE0A1B" w:rsidP="00533D5C" w:rsidRDefault="00BE0A1B">
      <w:pPr>
        <w:spacing w:line="240" w:lineRule="exact"/>
        <w:rPr>
          <w:rFonts w:ascii="Verdana" w:hAnsi="Verdana"/>
          <w:sz w:val="18"/>
          <w:szCs w:val="18"/>
        </w:rPr>
      </w:pPr>
      <w:r w:rsidRPr="00533D5C">
        <w:rPr>
          <w:rFonts w:ascii="Verdana" w:hAnsi="Verdana"/>
          <w:sz w:val="18"/>
          <w:szCs w:val="18"/>
        </w:rPr>
        <w:t>De rijksinstellingen Almata en de Lindenhorst zijn per 1 juli 2014 geprivatiseerd. De kosten voor deze privatisering zijn hoger uitgevallen dan begroot (onder andere als gevolg van extra kosten voor boventallig personeel, de afkoop van een pand en de overgang van medewerkers naar een andere CAO).</w:t>
      </w:r>
    </w:p>
    <w:p w:rsidRPr="00533D5C" w:rsidR="00BE0A1B" w:rsidP="00533D5C" w:rsidRDefault="00BE0A1B">
      <w:pPr>
        <w:spacing w:line="240" w:lineRule="exact"/>
        <w:rPr>
          <w:rFonts w:ascii="Verdana" w:hAnsi="Verdana"/>
          <w:i/>
          <w:sz w:val="18"/>
          <w:szCs w:val="18"/>
        </w:rPr>
      </w:pPr>
    </w:p>
    <w:p w:rsidRPr="00533D5C" w:rsidR="00BE0A1B" w:rsidP="00533D5C" w:rsidRDefault="00BE0A1B">
      <w:pPr>
        <w:spacing w:line="240" w:lineRule="exact"/>
        <w:rPr>
          <w:rFonts w:ascii="Verdana" w:hAnsi="Verdana"/>
          <w:i/>
          <w:sz w:val="18"/>
          <w:szCs w:val="18"/>
        </w:rPr>
      </w:pPr>
      <w:r w:rsidRPr="00533D5C">
        <w:rPr>
          <w:rFonts w:ascii="Verdana" w:hAnsi="Verdana"/>
          <w:i/>
          <w:sz w:val="18"/>
          <w:szCs w:val="18"/>
        </w:rPr>
        <w:t>Taakstellende onderuitputting en ontvangstenraming</w:t>
      </w:r>
    </w:p>
    <w:p w:rsidRPr="00533D5C" w:rsidR="00BE0A1B" w:rsidP="00533D5C" w:rsidRDefault="004316B2">
      <w:pPr>
        <w:spacing w:line="240" w:lineRule="exact"/>
        <w:rPr>
          <w:rFonts w:ascii="Verdana" w:hAnsi="Verdana"/>
          <w:sz w:val="18"/>
          <w:szCs w:val="18"/>
        </w:rPr>
      </w:pPr>
      <w:r w:rsidRPr="00533D5C">
        <w:rPr>
          <w:rFonts w:ascii="Verdana" w:hAnsi="Verdana"/>
          <w:sz w:val="18"/>
          <w:szCs w:val="18"/>
        </w:rPr>
        <w:t>Dit betreft de oningevulde taakstelling op de begroting van VWS. Deze wordt nu ingevuld met de bij de 2</w:t>
      </w:r>
      <w:r w:rsidRPr="00533D5C">
        <w:rPr>
          <w:rFonts w:ascii="Verdana" w:hAnsi="Verdana"/>
          <w:sz w:val="18"/>
          <w:szCs w:val="18"/>
          <w:vertAlign w:val="superscript"/>
        </w:rPr>
        <w:t>e</w:t>
      </w:r>
      <w:r w:rsidRPr="00533D5C">
        <w:rPr>
          <w:rFonts w:ascii="Verdana" w:hAnsi="Verdana"/>
          <w:sz w:val="18"/>
          <w:szCs w:val="18"/>
        </w:rPr>
        <w:t xml:space="preserve"> suppletoire begrotingswet gepresenteerde onderuitputting.</w:t>
      </w:r>
    </w:p>
    <w:p w:rsidRPr="00533D5C" w:rsidR="00BE0A1B" w:rsidP="00533D5C" w:rsidRDefault="00BE0A1B">
      <w:pPr>
        <w:spacing w:line="240" w:lineRule="exact"/>
        <w:rPr>
          <w:rFonts w:ascii="Verdana" w:hAnsi="Verdana"/>
          <w:i/>
          <w:sz w:val="18"/>
          <w:szCs w:val="18"/>
        </w:rPr>
      </w:pPr>
    </w:p>
    <w:p w:rsidRPr="00533D5C" w:rsidR="00BE0A1B" w:rsidP="00533D5C" w:rsidRDefault="00BE0A1B">
      <w:pPr>
        <w:spacing w:line="240" w:lineRule="exact"/>
        <w:rPr>
          <w:rFonts w:ascii="Verdana" w:hAnsi="Verdana"/>
          <w:i/>
          <w:sz w:val="18"/>
          <w:szCs w:val="18"/>
        </w:rPr>
      </w:pPr>
      <w:r w:rsidRPr="00533D5C">
        <w:rPr>
          <w:rFonts w:ascii="Verdana" w:hAnsi="Verdana"/>
          <w:i/>
          <w:sz w:val="18"/>
          <w:szCs w:val="18"/>
        </w:rPr>
        <w:t xml:space="preserve">Diversen – Beleidsmatige mutaties - Rijksbegroting in enge zin </w:t>
      </w:r>
    </w:p>
    <w:p w:rsidRPr="00533D5C" w:rsidR="00BE0A1B" w:rsidP="00533D5C" w:rsidRDefault="00BE0A1B">
      <w:pPr>
        <w:spacing w:line="240" w:lineRule="exact"/>
        <w:rPr>
          <w:rFonts w:ascii="Verdana" w:hAnsi="Verdana" w:cs="Courier New"/>
          <w:sz w:val="18"/>
          <w:szCs w:val="18"/>
        </w:rPr>
      </w:pPr>
      <w:r w:rsidRPr="00533D5C">
        <w:rPr>
          <w:rFonts w:ascii="Verdana" w:hAnsi="Verdana" w:cs="Courier New"/>
          <w:sz w:val="18"/>
          <w:szCs w:val="18"/>
        </w:rPr>
        <w:lastRenderedPageBreak/>
        <w:t>Het betreft het saldo van een aantal kleine mutaties</w:t>
      </w:r>
      <w:r w:rsidRPr="00533D5C" w:rsidR="009F39E9">
        <w:rPr>
          <w:rFonts w:ascii="Verdana" w:hAnsi="Verdana" w:cs="Courier New"/>
          <w:sz w:val="18"/>
          <w:szCs w:val="18"/>
        </w:rPr>
        <w:t>. Onder andere een mutatie</w:t>
      </w:r>
      <w:r w:rsidRPr="00533D5C" w:rsidR="009F39E9">
        <w:rPr>
          <w:rFonts w:ascii="Verdana" w:hAnsi="Verdana"/>
          <w:sz w:val="18"/>
          <w:szCs w:val="18"/>
        </w:rPr>
        <w:t xml:space="preserve"> in het kader van de ramp MH17 in Oekraïne. Het ministerie van VWS heeft hiertoe op 10 november een herdenkingsbijeenkomst voor de slachtoffers van MH17 georganiseerd (2,5 mln.). Daarnaast is er sprake van </w:t>
      </w:r>
      <w:r w:rsidRPr="00533D5C">
        <w:rPr>
          <w:rFonts w:ascii="Verdana" w:hAnsi="Verdana" w:cs="Courier New"/>
          <w:sz w:val="18"/>
          <w:szCs w:val="18"/>
        </w:rPr>
        <w:t xml:space="preserve">een knelpunt bij de uitvoering van InvoorZorg! tranche 2014 (9,6 mln.), vrijval van middelen bij de versterking van het regionaal arbeidsmarktbeleid doordat de werkzaamheden later dan gepland zijn aangevangen (8,6 mln.) en ruimte bij de subsidies aan het CIZ (7,4 mln.).  </w:t>
      </w:r>
    </w:p>
    <w:p w:rsidRPr="00533D5C" w:rsidR="00BE0A1B" w:rsidP="00533D5C" w:rsidRDefault="00BE0A1B">
      <w:pPr>
        <w:spacing w:line="240" w:lineRule="exact"/>
        <w:rPr>
          <w:rFonts w:ascii="Verdana" w:hAnsi="Verdana"/>
          <w:i/>
          <w:sz w:val="18"/>
          <w:szCs w:val="18"/>
        </w:rPr>
      </w:pPr>
    </w:p>
    <w:p w:rsidRPr="00533D5C" w:rsidR="00BE0A1B" w:rsidP="00533D5C" w:rsidRDefault="00BE0A1B">
      <w:pPr>
        <w:spacing w:line="240" w:lineRule="exact"/>
        <w:rPr>
          <w:rFonts w:ascii="Verdana" w:hAnsi="Verdana"/>
          <w:i/>
          <w:sz w:val="18"/>
          <w:szCs w:val="18"/>
        </w:rPr>
      </w:pPr>
      <w:r w:rsidRPr="00533D5C">
        <w:rPr>
          <w:rFonts w:ascii="Verdana" w:hAnsi="Verdana"/>
          <w:i/>
          <w:sz w:val="18"/>
          <w:szCs w:val="18"/>
        </w:rPr>
        <w:t>Subsidies capaciteit opleidingen</w:t>
      </w:r>
    </w:p>
    <w:p w:rsidRPr="00533D5C" w:rsidR="00BE0A1B" w:rsidP="00533D5C" w:rsidRDefault="00BE0A1B">
      <w:pPr>
        <w:autoSpaceDE w:val="0"/>
        <w:spacing w:line="240" w:lineRule="exact"/>
        <w:rPr>
          <w:rFonts w:ascii="Verdana" w:hAnsi="Verdana"/>
          <w:sz w:val="18"/>
          <w:szCs w:val="18"/>
        </w:rPr>
      </w:pPr>
      <w:r w:rsidRPr="00533D5C">
        <w:rPr>
          <w:rFonts w:ascii="Verdana" w:hAnsi="Verdana"/>
          <w:sz w:val="18"/>
          <w:szCs w:val="18"/>
        </w:rPr>
        <w:t>De vaststelling van subsidies in het kader van de opleidingen tot ziekenhuisarts leidt tot 15,2 mln. onderuitputting in 2014.</w:t>
      </w:r>
    </w:p>
    <w:p w:rsidRPr="00533D5C" w:rsidR="00BE0A1B" w:rsidP="00533D5C" w:rsidRDefault="00BE0A1B">
      <w:pPr>
        <w:spacing w:line="240" w:lineRule="exact"/>
        <w:rPr>
          <w:rFonts w:ascii="Verdana" w:hAnsi="Verdana"/>
          <w:sz w:val="18"/>
          <w:szCs w:val="18"/>
        </w:rPr>
      </w:pPr>
    </w:p>
    <w:p w:rsidRPr="00533D5C" w:rsidR="00BE0A1B" w:rsidP="00533D5C" w:rsidRDefault="00BE0A1B">
      <w:pPr>
        <w:spacing w:line="240" w:lineRule="exact"/>
        <w:rPr>
          <w:rFonts w:ascii="Verdana" w:hAnsi="Verdana"/>
          <w:i/>
          <w:iCs/>
          <w:sz w:val="18"/>
          <w:szCs w:val="18"/>
        </w:rPr>
      </w:pPr>
      <w:r w:rsidRPr="00533D5C">
        <w:rPr>
          <w:rFonts w:ascii="Verdana" w:hAnsi="Verdana"/>
          <w:i/>
          <w:iCs/>
          <w:sz w:val="18"/>
          <w:szCs w:val="18"/>
        </w:rPr>
        <w:t>Diversen – Technische mutaties - Rijksbegroting in enge zin</w:t>
      </w:r>
    </w:p>
    <w:p w:rsidRPr="00533D5C" w:rsidR="00BE0A1B" w:rsidP="00533D5C" w:rsidRDefault="00BE0A1B">
      <w:pPr>
        <w:pStyle w:val="Normaalweb"/>
        <w:shd w:val="clear" w:color="auto" w:fill="FFFFFF"/>
        <w:spacing w:before="0" w:beforeAutospacing="0" w:after="0" w:afterAutospacing="0" w:line="240" w:lineRule="exact"/>
        <w:rPr>
          <w:rFonts w:ascii="Verdana" w:hAnsi="Verdana" w:cs="Calibri"/>
          <w:color w:val="000000"/>
          <w:sz w:val="18"/>
          <w:szCs w:val="18"/>
        </w:rPr>
      </w:pPr>
      <w:r w:rsidRPr="00533D5C">
        <w:rPr>
          <w:rFonts w:ascii="Verdana" w:hAnsi="Verdana"/>
          <w:sz w:val="18"/>
          <w:szCs w:val="18"/>
        </w:rPr>
        <w:t xml:space="preserve">Het betreft het saldo van een aantal kleine technische mutaties en desalderingen waaronder een overboeking van kader R naar kader S </w:t>
      </w:r>
      <w:r w:rsidRPr="00533D5C">
        <w:rPr>
          <w:rFonts w:ascii="Verdana" w:hAnsi="Verdana"/>
          <w:color w:val="000000"/>
          <w:sz w:val="18"/>
          <w:szCs w:val="18"/>
        </w:rPr>
        <w:t>ter compensati</w:t>
      </w:r>
      <w:r w:rsidRPr="00533D5C" w:rsidR="00945967">
        <w:rPr>
          <w:rFonts w:ascii="Verdana" w:hAnsi="Verdana"/>
          <w:color w:val="000000"/>
          <w:sz w:val="18"/>
          <w:szCs w:val="18"/>
        </w:rPr>
        <w:t>e voor de hogere uitgaven aan kinderbijslag en kindgebonden budget</w:t>
      </w:r>
      <w:r w:rsidRPr="00533D5C">
        <w:rPr>
          <w:rFonts w:ascii="Verdana" w:hAnsi="Verdana"/>
          <w:color w:val="000000"/>
          <w:sz w:val="18"/>
          <w:szCs w:val="18"/>
        </w:rPr>
        <w:t xml:space="preserve"> a.g.v. het uitstel van de invoering van het wetsvoorstel verbetering positie pleegouders </w:t>
      </w:r>
      <w:r w:rsidRPr="00533D5C">
        <w:rPr>
          <w:rFonts w:ascii="Verdana" w:hAnsi="Verdana"/>
          <w:sz w:val="18"/>
          <w:szCs w:val="18"/>
        </w:rPr>
        <w:t>(18,2 mln.).</w:t>
      </w:r>
      <w:r w:rsidRPr="00533D5C">
        <w:rPr>
          <w:rFonts w:ascii="Verdana" w:hAnsi="Verdana"/>
          <w:color w:val="000000"/>
          <w:sz w:val="18"/>
          <w:szCs w:val="18"/>
        </w:rPr>
        <w:t xml:space="preserve"> </w:t>
      </w:r>
    </w:p>
    <w:p w:rsidRPr="00533D5C" w:rsidR="00BE0A1B" w:rsidP="00533D5C" w:rsidRDefault="00BE0A1B">
      <w:pPr>
        <w:spacing w:line="240" w:lineRule="exact"/>
        <w:rPr>
          <w:rFonts w:ascii="Verdana" w:hAnsi="Verdana"/>
          <w:i/>
          <w:sz w:val="18"/>
          <w:szCs w:val="18"/>
        </w:rPr>
      </w:pPr>
    </w:p>
    <w:p w:rsidRPr="00533D5C" w:rsidR="00BE0A1B" w:rsidP="00533D5C" w:rsidRDefault="00BE0A1B">
      <w:pPr>
        <w:spacing w:line="240" w:lineRule="exact"/>
        <w:rPr>
          <w:rFonts w:ascii="Verdana" w:hAnsi="Verdana"/>
          <w:i/>
          <w:sz w:val="18"/>
          <w:szCs w:val="18"/>
        </w:rPr>
      </w:pPr>
      <w:r w:rsidRPr="00533D5C">
        <w:rPr>
          <w:rFonts w:ascii="Verdana" w:hAnsi="Verdana"/>
          <w:i/>
          <w:sz w:val="18"/>
          <w:szCs w:val="18"/>
        </w:rPr>
        <w:t>Diversen – Technische mutaties – Niet tot de ijklijn behorend</w:t>
      </w:r>
    </w:p>
    <w:p w:rsidRPr="00533D5C" w:rsidR="00BE0A1B" w:rsidP="00533D5C" w:rsidRDefault="00BE0A1B">
      <w:pPr>
        <w:spacing w:line="240" w:lineRule="exact"/>
        <w:rPr>
          <w:rFonts w:ascii="Verdana" w:hAnsi="Verdana"/>
          <w:sz w:val="18"/>
          <w:szCs w:val="18"/>
        </w:rPr>
      </w:pPr>
      <w:r w:rsidRPr="00533D5C">
        <w:rPr>
          <w:rFonts w:ascii="Verdana" w:hAnsi="Verdana"/>
          <w:sz w:val="18"/>
          <w:szCs w:val="18"/>
        </w:rPr>
        <w:t>Dit betreft een technische mutatie ten behoeve van de overboeking naar het ministerie van Financiën (Belastingdienst) van de uitvoeringskosten van de Tegemoetkoming Specifieke Zorgkosten (TSZ) en de Tegemoetkoming Buitengewone Uitgaven (TBU).</w:t>
      </w:r>
    </w:p>
    <w:p w:rsidRPr="00533D5C" w:rsidR="00BE0A1B" w:rsidP="00533D5C" w:rsidRDefault="00BE0A1B">
      <w:pPr>
        <w:spacing w:line="240" w:lineRule="exact"/>
        <w:rPr>
          <w:rFonts w:ascii="Verdana" w:hAnsi="Verdana"/>
          <w:sz w:val="18"/>
          <w:szCs w:val="18"/>
        </w:rPr>
      </w:pPr>
    </w:p>
    <w:p w:rsidRPr="00533D5C" w:rsidR="00BE0A1B" w:rsidP="00533D5C" w:rsidRDefault="00BE0A1B">
      <w:pPr>
        <w:spacing w:line="240" w:lineRule="exact"/>
        <w:rPr>
          <w:rFonts w:ascii="Verdana" w:hAnsi="Verdana"/>
          <w:i/>
          <w:sz w:val="18"/>
          <w:szCs w:val="18"/>
        </w:rPr>
      </w:pPr>
      <w:r w:rsidRPr="00533D5C">
        <w:rPr>
          <w:rFonts w:ascii="Verdana" w:hAnsi="Verdana"/>
          <w:i/>
          <w:sz w:val="18"/>
          <w:szCs w:val="18"/>
        </w:rPr>
        <w:t>Vaststelling instellingsubsidie</w:t>
      </w:r>
    </w:p>
    <w:p w:rsidRPr="00533D5C" w:rsidR="00BE0A1B" w:rsidP="00533D5C" w:rsidRDefault="00BE0A1B">
      <w:pPr>
        <w:spacing w:line="240" w:lineRule="exact"/>
        <w:rPr>
          <w:rFonts w:ascii="Verdana" w:hAnsi="Verdana"/>
          <w:sz w:val="18"/>
          <w:szCs w:val="18"/>
        </w:rPr>
      </w:pPr>
      <w:r w:rsidRPr="00533D5C">
        <w:rPr>
          <w:rFonts w:ascii="Verdana" w:hAnsi="Verdana"/>
          <w:sz w:val="18"/>
          <w:szCs w:val="18"/>
        </w:rPr>
        <w:t>Met ingang van 2013 loopt de financiering van de huisartsenopleiding via de beschikbaarheidbijdrage en is de subsidierelatie van VWS met de Stichting Beroeps Opleiding Huisartsen (SBOH) geëindigd. Een gevolg van de beëindiging van de subsidierelatie is dat de SBOH het met subsidie opgebouwd vermogen aan VWS moet terugbetalen.</w:t>
      </w:r>
    </w:p>
    <w:p w:rsidRPr="00533D5C" w:rsidR="00BE0A1B" w:rsidP="00533D5C" w:rsidRDefault="00BE0A1B">
      <w:pPr>
        <w:spacing w:line="240" w:lineRule="exact"/>
        <w:rPr>
          <w:rFonts w:ascii="Verdana" w:hAnsi="Verdana"/>
          <w:i/>
          <w:sz w:val="18"/>
          <w:szCs w:val="18"/>
        </w:rPr>
      </w:pPr>
    </w:p>
    <w:p w:rsidRPr="00533D5C" w:rsidR="00BE0A1B" w:rsidP="00533D5C" w:rsidRDefault="00BE0A1B">
      <w:pPr>
        <w:spacing w:line="240" w:lineRule="exact"/>
        <w:rPr>
          <w:rFonts w:ascii="Verdana" w:hAnsi="Verdana"/>
          <w:i/>
          <w:sz w:val="18"/>
          <w:szCs w:val="18"/>
        </w:rPr>
      </w:pPr>
      <w:r w:rsidRPr="00533D5C">
        <w:rPr>
          <w:rFonts w:ascii="Verdana" w:hAnsi="Verdana"/>
          <w:i/>
          <w:sz w:val="18"/>
          <w:szCs w:val="18"/>
        </w:rPr>
        <w:t xml:space="preserve">Diversen – Beleidsmatige mutaties - Rijksbegroting in enge zin </w:t>
      </w:r>
    </w:p>
    <w:p w:rsidRPr="00533D5C" w:rsidR="00BE0A1B" w:rsidP="00533D5C" w:rsidRDefault="00BE0A1B">
      <w:pPr>
        <w:spacing w:line="240" w:lineRule="exact"/>
        <w:rPr>
          <w:rFonts w:ascii="Verdana" w:hAnsi="Verdana" w:cs="Courier New"/>
          <w:sz w:val="18"/>
          <w:szCs w:val="18"/>
        </w:rPr>
      </w:pPr>
      <w:r w:rsidRPr="00533D5C">
        <w:rPr>
          <w:rFonts w:ascii="Verdana" w:hAnsi="Verdana" w:cs="Courier New"/>
          <w:sz w:val="18"/>
          <w:szCs w:val="18"/>
        </w:rPr>
        <w:t xml:space="preserve">Het betreft het saldo van een aantal kleine mutaties waaronder een meevaller bij de ontvangsten van de regeling wanbetalers/onverzekerden (12,6 mln.), ontvangsten door een te hoge bevoorschotting van de SVB (8,1 mln.) en hogere ontvangsten bij de </w:t>
      </w:r>
      <w:r w:rsidRPr="00533D5C" w:rsidR="00945967">
        <w:rPr>
          <w:rFonts w:ascii="Verdana" w:hAnsi="Verdana" w:cs="Courier New"/>
          <w:sz w:val="18"/>
          <w:szCs w:val="18"/>
        </w:rPr>
        <w:t>Nederlandse Voedsel- en Warenautoriteit (</w:t>
      </w:r>
      <w:r w:rsidRPr="00533D5C">
        <w:rPr>
          <w:rFonts w:ascii="Verdana" w:hAnsi="Verdana" w:cs="Courier New"/>
          <w:sz w:val="18"/>
          <w:szCs w:val="18"/>
        </w:rPr>
        <w:t>NVWA</w:t>
      </w:r>
      <w:r w:rsidRPr="00533D5C" w:rsidR="00945967">
        <w:rPr>
          <w:rFonts w:ascii="Verdana" w:hAnsi="Verdana" w:cs="Courier New"/>
          <w:sz w:val="18"/>
          <w:szCs w:val="18"/>
        </w:rPr>
        <w:t>)</w:t>
      </w:r>
      <w:r w:rsidRPr="00533D5C">
        <w:rPr>
          <w:rFonts w:ascii="Verdana" w:hAnsi="Verdana" w:cs="Courier New"/>
          <w:sz w:val="18"/>
          <w:szCs w:val="18"/>
        </w:rPr>
        <w:t xml:space="preserve"> door niet meer benodigde middelen voor de leegstand van gebouwen en doordat de NVWA hogere boetes oplegt (6 mln.).</w:t>
      </w:r>
    </w:p>
    <w:p w:rsidRPr="00533D5C" w:rsidR="00BE0A1B" w:rsidP="00533D5C" w:rsidRDefault="00BE0A1B">
      <w:pPr>
        <w:spacing w:line="240" w:lineRule="exact"/>
        <w:rPr>
          <w:rFonts w:ascii="Verdana" w:hAnsi="Verdana" w:cs="Courier New"/>
          <w:sz w:val="18"/>
          <w:szCs w:val="18"/>
        </w:rPr>
      </w:pPr>
    </w:p>
    <w:p w:rsidRPr="00533D5C" w:rsidR="00BE0A1B" w:rsidP="00533D5C" w:rsidRDefault="00BE0A1B">
      <w:pPr>
        <w:spacing w:line="240" w:lineRule="exact"/>
        <w:rPr>
          <w:rFonts w:ascii="Verdana" w:hAnsi="Verdana"/>
          <w:i/>
          <w:iCs/>
          <w:sz w:val="18"/>
          <w:szCs w:val="18"/>
        </w:rPr>
      </w:pPr>
      <w:r w:rsidRPr="00533D5C">
        <w:rPr>
          <w:rFonts w:ascii="Verdana" w:hAnsi="Verdana"/>
          <w:i/>
          <w:iCs/>
          <w:sz w:val="18"/>
          <w:szCs w:val="18"/>
        </w:rPr>
        <w:t>Diversen – Technische mutaties - Rijksbegroting in enge zin</w:t>
      </w:r>
    </w:p>
    <w:p w:rsidRPr="00533D5C" w:rsidR="00BE0A1B" w:rsidP="00533D5C" w:rsidRDefault="00BE0A1B">
      <w:pPr>
        <w:pStyle w:val="Geenafstand"/>
        <w:spacing w:line="240" w:lineRule="exact"/>
        <w:rPr>
          <w:rFonts w:ascii="Verdana" w:hAnsi="Verdana"/>
          <w:sz w:val="18"/>
          <w:szCs w:val="18"/>
        </w:rPr>
      </w:pPr>
      <w:r w:rsidRPr="00533D5C">
        <w:rPr>
          <w:rFonts w:ascii="Verdana" w:hAnsi="Verdana"/>
          <w:sz w:val="18"/>
          <w:szCs w:val="18"/>
        </w:rPr>
        <w:t>Het betreft een optelsom van verschillende technische mutaties en desalderingen.</w:t>
      </w:r>
    </w:p>
    <w:p w:rsidRPr="00533D5C" w:rsidR="00DD019D" w:rsidP="00533D5C" w:rsidRDefault="00DD019D">
      <w:pPr>
        <w:spacing w:line="240" w:lineRule="exact"/>
        <w:rPr>
          <w:rFonts w:ascii="Verdana" w:hAnsi="Verdana" w:cs="Verdana"/>
          <w:b/>
          <w:bCs/>
          <w:sz w:val="18"/>
          <w:szCs w:val="18"/>
        </w:rPr>
      </w:pPr>
    </w:p>
    <w:p w:rsidRPr="00533D5C" w:rsidR="00DD019D" w:rsidP="00533D5C" w:rsidRDefault="00DD019D">
      <w:pPr>
        <w:spacing w:line="240" w:lineRule="exact"/>
        <w:rPr>
          <w:rFonts w:ascii="Verdana" w:hAnsi="Verdana" w:cs="Verdana"/>
          <w:b/>
          <w:bCs/>
          <w:sz w:val="18"/>
          <w:szCs w:val="18"/>
        </w:rPr>
      </w:pPr>
    </w:p>
    <w:p w:rsidRPr="00533D5C" w:rsidR="00DD019D" w:rsidP="00533D5C" w:rsidRDefault="00DD019D">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DD019D" w:rsidP="00533D5C" w:rsidRDefault="00212804">
      <w:pPr>
        <w:spacing w:line="240" w:lineRule="exact"/>
        <w:rPr>
          <w:rFonts w:ascii="Verdana" w:hAnsi="Verdana" w:cs="Verdana"/>
          <w:b/>
          <w:bCs/>
          <w:sz w:val="18"/>
          <w:szCs w:val="18"/>
        </w:rPr>
      </w:pPr>
      <w:r w:rsidRPr="00533D5C">
        <w:rPr>
          <w:rFonts w:ascii="Verdana" w:hAnsi="Verdana" w:cs="Verdana"/>
          <w:b/>
          <w:bCs/>
          <w:sz w:val="18"/>
          <w:szCs w:val="18"/>
        </w:rPr>
        <w:lastRenderedPageBreak/>
        <w:t>Budgettair Kader Zorg</w:t>
      </w:r>
    </w:p>
    <w:p w:rsidRPr="00533D5C" w:rsidR="00E25A51" w:rsidP="00533D5C" w:rsidRDefault="00E25A51">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725"/>
        <w:gridCol w:w="1487"/>
      </w:tblGrid>
      <w:tr w:rsidRPr="00533D5C" w:rsidR="00E25A51" w:rsidTr="00A216B7">
        <w:trPr>
          <w:trHeight w:val="225"/>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r w:rsidRPr="00533D5C">
              <w:rPr>
                <w:rFonts w:ascii="Verdana" w:hAnsi="Verdana"/>
                <w:color w:val="000000"/>
                <w:sz w:val="18"/>
                <w:szCs w:val="18"/>
              </w:rPr>
              <w:t>ZORG: UITGAVEN</w:t>
            </w:r>
          </w:p>
        </w:tc>
        <w:tc>
          <w:tcPr>
            <w:tcW w:w="807" w:type="pct"/>
            <w:tcBorders>
              <w:top w:val="nil"/>
              <w:left w:val="nil"/>
              <w:bottom w:val="nil"/>
              <w:right w:val="nil"/>
            </w:tcBorders>
            <w:shd w:val="clear" w:color="auto" w:fill="auto"/>
            <w:noWrap/>
            <w:vAlign w:val="bottom"/>
            <w:hideMark/>
          </w:tcPr>
          <w:p w:rsidRPr="00533D5C" w:rsidR="00E25A51" w:rsidP="00533D5C" w:rsidRDefault="00E25A51">
            <w:pPr>
              <w:spacing w:line="240" w:lineRule="exact"/>
              <w:rPr>
                <w:rFonts w:ascii="Verdana" w:hAnsi="Verdana"/>
                <w:color w:val="000000"/>
                <w:sz w:val="18"/>
                <w:szCs w:val="18"/>
              </w:rPr>
            </w:pPr>
          </w:p>
        </w:tc>
      </w:tr>
      <w:tr w:rsidRPr="00533D5C" w:rsidR="00E25A51" w:rsidTr="00A216B7">
        <w:trPr>
          <w:trHeight w:val="225"/>
        </w:trPr>
        <w:tc>
          <w:tcPr>
            <w:tcW w:w="4193" w:type="pct"/>
            <w:tcBorders>
              <w:top w:val="single" w:color="000000" w:sz="8" w:space="0"/>
              <w:left w:val="nil"/>
              <w:bottom w:val="single" w:color="000000" w:sz="8" w:space="0"/>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07" w:type="pct"/>
            <w:tcBorders>
              <w:top w:val="single" w:color="000000" w:sz="8" w:space="0"/>
              <w:left w:val="nil"/>
              <w:bottom w:val="single" w:color="000000" w:sz="8" w:space="0"/>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r w:rsidRPr="00533D5C">
              <w:rPr>
                <w:rFonts w:ascii="Verdana" w:hAnsi="Verdana"/>
                <w:color w:val="000000"/>
                <w:sz w:val="18"/>
                <w:szCs w:val="18"/>
              </w:rPr>
              <w:t>Stand Miljoenennota 2015</w:t>
            </w:r>
          </w:p>
        </w:tc>
        <w:tc>
          <w:tcPr>
            <w:tcW w:w="807" w:type="pct"/>
            <w:tcBorders>
              <w:top w:val="nil"/>
              <w:left w:val="nil"/>
              <w:bottom w:val="nil"/>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71.482,1</w:t>
            </w: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807" w:type="pct"/>
            <w:tcBorders>
              <w:top w:val="nil"/>
              <w:left w:val="nil"/>
              <w:bottom w:val="nil"/>
              <w:right w:val="nil"/>
            </w:tcBorders>
            <w:shd w:val="clear" w:color="auto" w:fill="auto"/>
            <w:noWrap/>
            <w:vAlign w:val="bottom"/>
            <w:hideMark/>
          </w:tcPr>
          <w:p w:rsidRPr="00533D5C" w:rsidR="00E25A51" w:rsidP="00533D5C" w:rsidRDefault="00E25A51">
            <w:pPr>
              <w:spacing w:line="240" w:lineRule="exact"/>
              <w:rPr>
                <w:rFonts w:ascii="Verdana" w:hAnsi="Verdana"/>
                <w:color w:val="000000"/>
                <w:sz w:val="18"/>
                <w:szCs w:val="18"/>
              </w:rPr>
            </w:pP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Zorg</w:t>
            </w:r>
          </w:p>
        </w:tc>
        <w:tc>
          <w:tcPr>
            <w:tcW w:w="807" w:type="pct"/>
            <w:tcBorders>
              <w:top w:val="nil"/>
              <w:left w:val="nil"/>
              <w:bottom w:val="nil"/>
              <w:right w:val="nil"/>
            </w:tcBorders>
            <w:shd w:val="clear" w:color="auto" w:fill="auto"/>
            <w:noWrap/>
            <w:vAlign w:val="bottom"/>
            <w:hideMark/>
          </w:tcPr>
          <w:p w:rsidRPr="00533D5C" w:rsidR="00E25A51" w:rsidP="00533D5C" w:rsidRDefault="00E25A51">
            <w:pPr>
              <w:spacing w:line="240" w:lineRule="exact"/>
              <w:rPr>
                <w:rFonts w:ascii="Verdana" w:hAnsi="Verdana"/>
                <w:color w:val="000000"/>
                <w:sz w:val="18"/>
                <w:szCs w:val="18"/>
              </w:rPr>
            </w:pPr>
          </w:p>
        </w:tc>
      </w:tr>
      <w:tr w:rsidRPr="00533D5C" w:rsidR="00E25A51" w:rsidTr="00A216B7">
        <w:trPr>
          <w:trHeight w:val="225"/>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Voorlopige realisatie 2014</w:t>
            </w:r>
          </w:p>
        </w:tc>
        <w:tc>
          <w:tcPr>
            <w:tcW w:w="807" w:type="pct"/>
            <w:tcBorders>
              <w:top w:val="nil"/>
              <w:left w:val="nil"/>
              <w:bottom w:val="nil"/>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w:t>
            </w:r>
            <w:r w:rsidRPr="00533D5C" w:rsidR="002B65C5">
              <w:rPr>
                <w:rFonts w:ascii="Verdana" w:hAnsi="Verdana"/>
                <w:color w:val="000000"/>
                <w:sz w:val="18"/>
                <w:szCs w:val="18"/>
              </w:rPr>
              <w:t>1</w:t>
            </w:r>
            <w:r w:rsidRPr="00533D5C">
              <w:rPr>
                <w:rFonts w:ascii="Verdana" w:hAnsi="Verdana"/>
                <w:color w:val="000000"/>
                <w:sz w:val="18"/>
                <w:szCs w:val="18"/>
              </w:rPr>
              <w:t>50,0</w:t>
            </w: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p>
        </w:tc>
        <w:tc>
          <w:tcPr>
            <w:tcW w:w="807" w:type="pct"/>
            <w:tcBorders>
              <w:top w:val="single" w:color="000000" w:sz="8" w:space="0"/>
              <w:left w:val="nil"/>
              <w:bottom w:val="nil"/>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w:t>
            </w:r>
            <w:r w:rsidRPr="00533D5C" w:rsidR="002B65C5">
              <w:rPr>
                <w:rFonts w:ascii="Verdana" w:hAnsi="Verdana"/>
                <w:color w:val="000000"/>
                <w:sz w:val="18"/>
                <w:szCs w:val="18"/>
              </w:rPr>
              <w:t>1</w:t>
            </w:r>
            <w:r w:rsidRPr="00533D5C">
              <w:rPr>
                <w:rFonts w:ascii="Verdana" w:hAnsi="Verdana"/>
                <w:color w:val="000000"/>
                <w:sz w:val="18"/>
                <w:szCs w:val="18"/>
              </w:rPr>
              <w:t>50,0</w:t>
            </w: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07" w:type="pct"/>
            <w:tcBorders>
              <w:top w:val="nil"/>
              <w:left w:val="nil"/>
              <w:bottom w:val="nil"/>
              <w:right w:val="nil"/>
            </w:tcBorders>
            <w:shd w:val="clear" w:color="auto" w:fill="auto"/>
            <w:noWrap/>
            <w:vAlign w:val="bottom"/>
            <w:hideMark/>
          </w:tcPr>
          <w:p w:rsidRPr="00533D5C" w:rsidR="00E25A51" w:rsidP="00533D5C" w:rsidRDefault="00E25A51">
            <w:pPr>
              <w:spacing w:line="240" w:lineRule="exact"/>
              <w:rPr>
                <w:rFonts w:ascii="Verdana" w:hAnsi="Verdana"/>
                <w:color w:val="000000"/>
                <w:sz w:val="18"/>
                <w:szCs w:val="18"/>
              </w:rPr>
            </w:pP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Zorg</w:t>
            </w:r>
          </w:p>
        </w:tc>
        <w:tc>
          <w:tcPr>
            <w:tcW w:w="807" w:type="pct"/>
            <w:tcBorders>
              <w:top w:val="nil"/>
              <w:left w:val="nil"/>
              <w:bottom w:val="nil"/>
              <w:right w:val="nil"/>
            </w:tcBorders>
            <w:shd w:val="clear" w:color="auto" w:fill="auto"/>
            <w:noWrap/>
            <w:vAlign w:val="bottom"/>
            <w:hideMark/>
          </w:tcPr>
          <w:p w:rsidRPr="00533D5C" w:rsidR="00E25A51" w:rsidP="00533D5C" w:rsidRDefault="00E25A51">
            <w:pPr>
              <w:spacing w:line="240" w:lineRule="exact"/>
              <w:rPr>
                <w:rFonts w:ascii="Verdana" w:hAnsi="Verdana"/>
                <w:color w:val="000000"/>
                <w:sz w:val="18"/>
                <w:szCs w:val="18"/>
              </w:rPr>
            </w:pPr>
          </w:p>
        </w:tc>
      </w:tr>
      <w:tr w:rsidRPr="00533D5C" w:rsidR="00E25A51" w:rsidTr="00A216B7">
        <w:trPr>
          <w:trHeight w:val="225"/>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07" w:type="pct"/>
            <w:tcBorders>
              <w:top w:val="nil"/>
              <w:left w:val="nil"/>
              <w:bottom w:val="nil"/>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-15,2</w:t>
            </w: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p>
        </w:tc>
        <w:tc>
          <w:tcPr>
            <w:tcW w:w="807" w:type="pct"/>
            <w:tcBorders>
              <w:top w:val="single" w:color="000000" w:sz="8" w:space="0"/>
              <w:left w:val="nil"/>
              <w:bottom w:val="nil"/>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-15,2</w:t>
            </w: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p>
        </w:tc>
        <w:tc>
          <w:tcPr>
            <w:tcW w:w="807" w:type="pct"/>
            <w:tcBorders>
              <w:top w:val="nil"/>
              <w:left w:val="nil"/>
              <w:bottom w:val="nil"/>
              <w:right w:val="nil"/>
            </w:tcBorders>
            <w:shd w:val="clear" w:color="auto" w:fill="auto"/>
            <w:noWrap/>
            <w:vAlign w:val="bottom"/>
            <w:hideMark/>
          </w:tcPr>
          <w:p w:rsidRPr="00533D5C" w:rsidR="00E25A51" w:rsidP="00533D5C" w:rsidRDefault="00E25A51">
            <w:pPr>
              <w:spacing w:line="240" w:lineRule="exact"/>
              <w:rPr>
                <w:rFonts w:ascii="Verdana" w:hAnsi="Verdana"/>
                <w:color w:val="000000"/>
                <w:sz w:val="18"/>
                <w:szCs w:val="18"/>
              </w:rPr>
            </w:pPr>
          </w:p>
        </w:tc>
      </w:tr>
      <w:tr w:rsidRPr="00533D5C" w:rsidR="00E25A51" w:rsidTr="00A216B7">
        <w:trPr>
          <w:trHeight w:val="225"/>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07" w:type="pct"/>
            <w:tcBorders>
              <w:top w:val="nil"/>
              <w:left w:val="nil"/>
              <w:bottom w:val="nil"/>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w:t>
            </w:r>
            <w:r w:rsidRPr="00533D5C" w:rsidR="002B65C5">
              <w:rPr>
                <w:rFonts w:ascii="Verdana" w:hAnsi="Verdana"/>
                <w:color w:val="000000"/>
                <w:sz w:val="18"/>
                <w:szCs w:val="18"/>
              </w:rPr>
              <w:t>1</w:t>
            </w:r>
            <w:r w:rsidRPr="00533D5C">
              <w:rPr>
                <w:rFonts w:ascii="Verdana" w:hAnsi="Verdana"/>
                <w:color w:val="000000"/>
                <w:sz w:val="18"/>
                <w:szCs w:val="18"/>
              </w:rPr>
              <w:t>65,2</w:t>
            </w: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07" w:type="pct"/>
            <w:tcBorders>
              <w:top w:val="single" w:color="000000" w:sz="8" w:space="0"/>
              <w:left w:val="nil"/>
              <w:bottom w:val="nil"/>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71.</w:t>
            </w:r>
            <w:r w:rsidRPr="00533D5C" w:rsidR="002B65C5">
              <w:rPr>
                <w:rFonts w:ascii="Verdana" w:hAnsi="Verdana"/>
                <w:color w:val="000000"/>
                <w:sz w:val="18"/>
                <w:szCs w:val="18"/>
              </w:rPr>
              <w:t>3</w:t>
            </w:r>
            <w:r w:rsidRPr="00533D5C">
              <w:rPr>
                <w:rFonts w:ascii="Verdana" w:hAnsi="Verdana"/>
                <w:color w:val="000000"/>
                <w:sz w:val="18"/>
                <w:szCs w:val="18"/>
              </w:rPr>
              <w:t>16,9</w:t>
            </w: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p>
        </w:tc>
        <w:tc>
          <w:tcPr>
            <w:tcW w:w="807" w:type="pct"/>
            <w:tcBorders>
              <w:top w:val="nil"/>
              <w:left w:val="nil"/>
              <w:bottom w:val="nil"/>
              <w:right w:val="nil"/>
            </w:tcBorders>
            <w:shd w:val="clear" w:color="auto" w:fill="auto"/>
            <w:noWrap/>
            <w:vAlign w:val="bottom"/>
            <w:hideMark/>
          </w:tcPr>
          <w:p w:rsidRPr="00533D5C" w:rsidR="00E25A51" w:rsidP="00533D5C" w:rsidRDefault="00E25A51">
            <w:pPr>
              <w:spacing w:line="240" w:lineRule="exact"/>
              <w:rPr>
                <w:rFonts w:ascii="Verdana" w:hAnsi="Verdana"/>
                <w:color w:val="000000"/>
                <w:sz w:val="18"/>
                <w:szCs w:val="18"/>
              </w:rPr>
            </w:pP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p>
        </w:tc>
        <w:tc>
          <w:tcPr>
            <w:tcW w:w="807"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p>
        </w:tc>
      </w:tr>
      <w:tr w:rsidRPr="00533D5C" w:rsidR="00E25A51" w:rsidTr="00A216B7">
        <w:trPr>
          <w:trHeight w:val="225"/>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r w:rsidRPr="00533D5C">
              <w:rPr>
                <w:rFonts w:ascii="Verdana" w:hAnsi="Verdana"/>
                <w:color w:val="000000"/>
                <w:sz w:val="18"/>
                <w:szCs w:val="18"/>
              </w:rPr>
              <w:t>ZORG: NIET-BELASTINGONTVANGSTEN</w:t>
            </w:r>
          </w:p>
        </w:tc>
        <w:tc>
          <w:tcPr>
            <w:tcW w:w="807" w:type="pct"/>
            <w:tcBorders>
              <w:top w:val="nil"/>
              <w:left w:val="nil"/>
              <w:bottom w:val="nil"/>
              <w:right w:val="nil"/>
            </w:tcBorders>
            <w:shd w:val="clear" w:color="auto" w:fill="auto"/>
            <w:noWrap/>
            <w:vAlign w:val="bottom"/>
            <w:hideMark/>
          </w:tcPr>
          <w:p w:rsidRPr="00533D5C" w:rsidR="00E25A51" w:rsidP="00533D5C" w:rsidRDefault="00E25A51">
            <w:pPr>
              <w:spacing w:line="240" w:lineRule="exact"/>
              <w:rPr>
                <w:rFonts w:ascii="Verdana" w:hAnsi="Verdana"/>
                <w:color w:val="000000"/>
                <w:sz w:val="18"/>
                <w:szCs w:val="18"/>
              </w:rPr>
            </w:pPr>
          </w:p>
        </w:tc>
      </w:tr>
      <w:tr w:rsidRPr="00533D5C" w:rsidR="00E25A51" w:rsidTr="00A216B7">
        <w:trPr>
          <w:trHeight w:val="225"/>
        </w:trPr>
        <w:tc>
          <w:tcPr>
            <w:tcW w:w="4193" w:type="pct"/>
            <w:tcBorders>
              <w:top w:val="single" w:color="000000" w:sz="8" w:space="0"/>
              <w:left w:val="nil"/>
              <w:bottom w:val="single" w:color="000000" w:sz="8" w:space="0"/>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07" w:type="pct"/>
            <w:tcBorders>
              <w:top w:val="single" w:color="000000" w:sz="8" w:space="0"/>
              <w:left w:val="nil"/>
              <w:bottom w:val="single" w:color="000000" w:sz="8" w:space="0"/>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r w:rsidRPr="00533D5C">
              <w:rPr>
                <w:rFonts w:ascii="Verdana" w:hAnsi="Verdana"/>
                <w:color w:val="000000"/>
                <w:sz w:val="18"/>
                <w:szCs w:val="18"/>
              </w:rPr>
              <w:t>Stand Miljoenennota 2015</w:t>
            </w:r>
          </w:p>
        </w:tc>
        <w:tc>
          <w:tcPr>
            <w:tcW w:w="807" w:type="pct"/>
            <w:tcBorders>
              <w:top w:val="nil"/>
              <w:left w:val="nil"/>
              <w:bottom w:val="nil"/>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5.110,1</w:t>
            </w: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p>
        </w:tc>
        <w:tc>
          <w:tcPr>
            <w:tcW w:w="807" w:type="pct"/>
            <w:tcBorders>
              <w:top w:val="nil"/>
              <w:left w:val="nil"/>
              <w:bottom w:val="nil"/>
              <w:right w:val="nil"/>
            </w:tcBorders>
            <w:shd w:val="clear" w:color="auto" w:fill="auto"/>
            <w:noWrap/>
            <w:vAlign w:val="bottom"/>
            <w:hideMark/>
          </w:tcPr>
          <w:p w:rsidRPr="00533D5C" w:rsidR="00E25A51" w:rsidP="00533D5C" w:rsidRDefault="00E25A51">
            <w:pPr>
              <w:spacing w:line="240" w:lineRule="exact"/>
              <w:rPr>
                <w:rFonts w:ascii="Verdana" w:hAnsi="Verdana"/>
                <w:color w:val="000000"/>
                <w:sz w:val="18"/>
                <w:szCs w:val="18"/>
              </w:rPr>
            </w:pPr>
          </w:p>
        </w:tc>
      </w:tr>
      <w:tr w:rsidRPr="00533D5C" w:rsidR="00E25A51" w:rsidTr="00A216B7">
        <w:trPr>
          <w:trHeight w:val="225"/>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07" w:type="pct"/>
            <w:tcBorders>
              <w:top w:val="nil"/>
              <w:left w:val="nil"/>
              <w:bottom w:val="nil"/>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E25A51" w:rsidTr="00A216B7">
        <w:trPr>
          <w:trHeight w:val="210"/>
        </w:trPr>
        <w:tc>
          <w:tcPr>
            <w:tcW w:w="4193" w:type="pct"/>
            <w:tcBorders>
              <w:top w:val="nil"/>
              <w:left w:val="nil"/>
              <w:bottom w:val="nil"/>
              <w:right w:val="nil"/>
            </w:tcBorders>
            <w:shd w:val="clear" w:color="auto" w:fill="auto"/>
            <w:hideMark/>
          </w:tcPr>
          <w:p w:rsidRPr="00533D5C" w:rsidR="00E25A51" w:rsidP="00533D5C" w:rsidRDefault="00E25A51">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07" w:type="pct"/>
            <w:tcBorders>
              <w:top w:val="single" w:color="000000" w:sz="8" w:space="0"/>
              <w:left w:val="nil"/>
              <w:bottom w:val="nil"/>
              <w:right w:val="nil"/>
            </w:tcBorders>
            <w:shd w:val="clear" w:color="auto" w:fill="auto"/>
            <w:hideMark/>
          </w:tcPr>
          <w:p w:rsidRPr="00533D5C" w:rsidR="00E25A51" w:rsidP="00533D5C" w:rsidRDefault="00E25A51">
            <w:pPr>
              <w:spacing w:line="240" w:lineRule="exact"/>
              <w:jc w:val="right"/>
              <w:rPr>
                <w:rFonts w:ascii="Verdana" w:hAnsi="Verdana"/>
                <w:color w:val="000000"/>
                <w:sz w:val="18"/>
                <w:szCs w:val="18"/>
              </w:rPr>
            </w:pPr>
            <w:r w:rsidRPr="00533D5C">
              <w:rPr>
                <w:rFonts w:ascii="Verdana" w:hAnsi="Verdana"/>
                <w:color w:val="000000"/>
                <w:sz w:val="18"/>
                <w:szCs w:val="18"/>
              </w:rPr>
              <w:t>5.110,1</w:t>
            </w:r>
          </w:p>
        </w:tc>
      </w:tr>
    </w:tbl>
    <w:p w:rsidRPr="00533D5C" w:rsidR="00E25A51" w:rsidP="00533D5C" w:rsidRDefault="00E25A51">
      <w:pPr>
        <w:spacing w:line="240" w:lineRule="exact"/>
        <w:rPr>
          <w:rFonts w:ascii="Verdana" w:hAnsi="Verdana" w:cs="Verdana"/>
          <w:b/>
          <w:bCs/>
          <w:sz w:val="18"/>
          <w:szCs w:val="18"/>
        </w:rPr>
      </w:pPr>
    </w:p>
    <w:p w:rsidRPr="00533D5C" w:rsidR="00EF63D2" w:rsidP="00533D5C" w:rsidRDefault="00EF63D2">
      <w:pPr>
        <w:spacing w:line="240" w:lineRule="exact"/>
        <w:rPr>
          <w:rFonts w:ascii="Verdana" w:hAnsi="Verdana"/>
          <w:i/>
          <w:sz w:val="18"/>
          <w:szCs w:val="18"/>
        </w:rPr>
      </w:pPr>
    </w:p>
    <w:p w:rsidRPr="00533D5C" w:rsidR="00E25A51" w:rsidP="00533D5C" w:rsidRDefault="00E25A51">
      <w:pPr>
        <w:spacing w:line="240" w:lineRule="exact"/>
        <w:rPr>
          <w:rFonts w:ascii="Verdana" w:hAnsi="Verdana"/>
          <w:i/>
          <w:sz w:val="18"/>
          <w:szCs w:val="18"/>
        </w:rPr>
      </w:pPr>
      <w:r w:rsidRPr="00533D5C">
        <w:rPr>
          <w:rFonts w:ascii="Verdana" w:hAnsi="Verdana"/>
          <w:i/>
          <w:sz w:val="18"/>
          <w:szCs w:val="18"/>
        </w:rPr>
        <w:t>Voorlopige realisatie 2014</w:t>
      </w:r>
    </w:p>
    <w:p w:rsidRPr="00533D5C" w:rsidR="00E25A51" w:rsidP="00533D5C" w:rsidRDefault="00E25A51">
      <w:pPr>
        <w:spacing w:line="240" w:lineRule="exact"/>
        <w:rPr>
          <w:rFonts w:ascii="Verdana" w:hAnsi="Verdana"/>
          <w:sz w:val="18"/>
          <w:szCs w:val="18"/>
        </w:rPr>
      </w:pPr>
      <w:r w:rsidRPr="00533D5C">
        <w:rPr>
          <w:rFonts w:ascii="Verdana" w:hAnsi="Verdana"/>
          <w:sz w:val="18"/>
          <w:szCs w:val="18"/>
        </w:rPr>
        <w:t>Op basis van voorlopige gegevens over het eerste half jaar van 2014 van het Zorginstituut Nederland (ZiNL) zijn de zorguitgaven 2014 geactualiseerd. Binnen het Budgettair Kader Zorg (BKZ) tekent zich een onderschrijdi</w:t>
      </w:r>
      <w:r w:rsidRPr="00533D5C" w:rsidR="00FD6020">
        <w:rPr>
          <w:rFonts w:ascii="Verdana" w:hAnsi="Verdana"/>
          <w:sz w:val="18"/>
          <w:szCs w:val="18"/>
        </w:rPr>
        <w:t xml:space="preserve">ng af van circa </w:t>
      </w:r>
      <w:r w:rsidRPr="00533D5C" w:rsidR="002B65C5">
        <w:rPr>
          <w:rFonts w:ascii="Verdana" w:hAnsi="Verdana"/>
          <w:sz w:val="18"/>
          <w:szCs w:val="18"/>
        </w:rPr>
        <w:t>1</w:t>
      </w:r>
      <w:r w:rsidRPr="00533D5C">
        <w:rPr>
          <w:rFonts w:ascii="Verdana" w:hAnsi="Verdana"/>
          <w:sz w:val="18"/>
          <w:szCs w:val="18"/>
        </w:rPr>
        <w:t xml:space="preserve">50 </w:t>
      </w:r>
      <w:r w:rsidRPr="00533D5C" w:rsidR="00916D17">
        <w:rPr>
          <w:rFonts w:ascii="Verdana" w:hAnsi="Verdana"/>
          <w:sz w:val="18"/>
          <w:szCs w:val="18"/>
        </w:rPr>
        <w:t>mln</w:t>
      </w:r>
      <w:r w:rsidRPr="00533D5C">
        <w:rPr>
          <w:rFonts w:ascii="Verdana" w:hAnsi="Verdana"/>
          <w:sz w:val="18"/>
          <w:szCs w:val="18"/>
        </w:rPr>
        <w:t>. Deze geraamde onderschrijding kan nog wijzigen op grond van de realisatiecijfers over geheel 2014. U wordt daarover bij jaarv</w:t>
      </w:r>
      <w:r w:rsidRPr="00533D5C" w:rsidR="00FD6020">
        <w:rPr>
          <w:rFonts w:ascii="Verdana" w:hAnsi="Verdana"/>
          <w:sz w:val="18"/>
          <w:szCs w:val="18"/>
        </w:rPr>
        <w:t>erslag 2014 nader geïnformeerd.</w:t>
      </w:r>
    </w:p>
    <w:p w:rsidRPr="00533D5C" w:rsidR="004E62C1" w:rsidP="00533D5C" w:rsidRDefault="004E62C1">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833C05" w:rsidP="00533D5C" w:rsidRDefault="00833C05">
      <w:pPr>
        <w:spacing w:line="240" w:lineRule="exact"/>
        <w:rPr>
          <w:rFonts w:ascii="Verdana" w:hAnsi="Verdana" w:cs="Verdana"/>
          <w:b/>
          <w:bCs/>
          <w:sz w:val="18"/>
          <w:szCs w:val="18"/>
        </w:rPr>
      </w:pPr>
      <w:r w:rsidRPr="00533D5C">
        <w:rPr>
          <w:rFonts w:ascii="Verdana" w:hAnsi="Verdana" w:cs="Verdana"/>
          <w:b/>
          <w:bCs/>
          <w:sz w:val="18"/>
          <w:szCs w:val="18"/>
        </w:rPr>
        <w:lastRenderedPageBreak/>
        <w:t>Bui</w:t>
      </w:r>
      <w:r w:rsidRPr="00533D5C" w:rsidR="0057192F">
        <w:rPr>
          <w:rFonts w:ascii="Verdana" w:hAnsi="Verdana" w:cs="Verdana"/>
          <w:b/>
          <w:bCs/>
          <w:sz w:val="18"/>
          <w:szCs w:val="18"/>
        </w:rPr>
        <w:t>tenlandse Handel &amp; Ontwikkelingssamenwerking</w:t>
      </w:r>
    </w:p>
    <w:p w:rsidRPr="00533D5C" w:rsidR="00A216B7" w:rsidP="00533D5C" w:rsidRDefault="00A216B7">
      <w:pPr>
        <w:spacing w:line="240" w:lineRule="exact"/>
        <w:rPr>
          <w:rFonts w:ascii="Verdana" w:hAnsi="Verdana" w:cs="Verdana"/>
          <w:b/>
          <w:bCs/>
          <w:sz w:val="18"/>
          <w:szCs w:val="18"/>
        </w:rPr>
      </w:pPr>
    </w:p>
    <w:tbl>
      <w:tblPr>
        <w:tblW w:w="9231" w:type="dxa"/>
        <w:tblInd w:w="53" w:type="dxa"/>
        <w:tblCellMar>
          <w:left w:w="70" w:type="dxa"/>
          <w:right w:w="70" w:type="dxa"/>
        </w:tblCellMar>
        <w:tblLook w:val="04A0"/>
      </w:tblPr>
      <w:tblGrid>
        <w:gridCol w:w="7672"/>
        <w:gridCol w:w="1559"/>
      </w:tblGrid>
      <w:tr w:rsidRPr="00533D5C" w:rsidR="00A216B7" w:rsidTr="0011334B">
        <w:trPr>
          <w:trHeight w:val="229"/>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XVII BUITENLANDSE HANDEL &amp; ONTWIKKELINGSSAMENWERKING: UITGAVEN</w:t>
            </w:r>
          </w:p>
        </w:tc>
        <w:tc>
          <w:tcPr>
            <w:tcW w:w="1559" w:type="dxa"/>
            <w:tcBorders>
              <w:top w:val="nil"/>
              <w:left w:val="nil"/>
              <w:bottom w:val="nil"/>
              <w:right w:val="nil"/>
            </w:tcBorders>
            <w:shd w:val="clear" w:color="auto" w:fill="auto"/>
            <w:noWrap/>
            <w:vAlign w:val="bottom"/>
            <w:hideMark/>
          </w:tcPr>
          <w:p w:rsidRPr="00533D5C" w:rsidR="00A216B7" w:rsidP="00533D5C" w:rsidRDefault="00A216B7">
            <w:pPr>
              <w:spacing w:line="240" w:lineRule="exact"/>
              <w:rPr>
                <w:rFonts w:ascii="Verdana" w:hAnsi="Verdana"/>
                <w:color w:val="000000"/>
                <w:sz w:val="18"/>
                <w:szCs w:val="18"/>
              </w:rPr>
            </w:pPr>
          </w:p>
        </w:tc>
      </w:tr>
      <w:tr w:rsidRPr="00533D5C" w:rsidR="00A216B7" w:rsidTr="00A216B7">
        <w:trPr>
          <w:trHeight w:val="240"/>
        </w:trPr>
        <w:tc>
          <w:tcPr>
            <w:tcW w:w="7672" w:type="dxa"/>
            <w:tcBorders>
              <w:top w:val="single" w:color="000000" w:sz="8" w:space="0"/>
              <w:left w:val="nil"/>
              <w:bottom w:val="single" w:color="000000" w:sz="8" w:space="0"/>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1559" w:type="dxa"/>
            <w:tcBorders>
              <w:top w:val="single" w:color="000000" w:sz="8" w:space="0"/>
              <w:left w:val="nil"/>
              <w:bottom w:val="single" w:color="000000" w:sz="8" w:space="0"/>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A216B7" w:rsidTr="00A216B7">
        <w:trPr>
          <w:trHeight w:val="225"/>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1559" w:type="dxa"/>
            <w:tcBorders>
              <w:top w:val="nil"/>
              <w:left w:val="nil"/>
              <w:bottom w:val="nil"/>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A216B7" w:rsidTr="00A216B7">
        <w:trPr>
          <w:trHeight w:val="225"/>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1559" w:type="dxa"/>
            <w:tcBorders>
              <w:top w:val="nil"/>
              <w:left w:val="nil"/>
              <w:bottom w:val="nil"/>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A216B7" w:rsidTr="00A216B7">
        <w:trPr>
          <w:trHeight w:val="240"/>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p>
        </w:tc>
        <w:tc>
          <w:tcPr>
            <w:tcW w:w="1559" w:type="dxa"/>
            <w:tcBorders>
              <w:top w:val="nil"/>
              <w:left w:val="nil"/>
              <w:bottom w:val="nil"/>
              <w:right w:val="nil"/>
            </w:tcBorders>
            <w:shd w:val="clear" w:color="auto" w:fill="auto"/>
            <w:noWrap/>
            <w:vAlign w:val="bottom"/>
            <w:hideMark/>
          </w:tcPr>
          <w:p w:rsidRPr="00533D5C" w:rsidR="00A216B7" w:rsidP="00533D5C" w:rsidRDefault="00A216B7">
            <w:pPr>
              <w:spacing w:line="240" w:lineRule="exact"/>
              <w:rPr>
                <w:rFonts w:ascii="Verdana" w:hAnsi="Verdana"/>
                <w:color w:val="000000"/>
                <w:sz w:val="18"/>
                <w:szCs w:val="18"/>
              </w:rPr>
            </w:pPr>
          </w:p>
        </w:tc>
      </w:tr>
      <w:tr w:rsidRPr="00533D5C" w:rsidR="00A216B7" w:rsidTr="00A216B7">
        <w:trPr>
          <w:trHeight w:val="225"/>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1559" w:type="dxa"/>
            <w:tcBorders>
              <w:top w:val="single" w:color="000000" w:sz="8" w:space="0"/>
              <w:left w:val="nil"/>
              <w:bottom w:val="nil"/>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A216B7" w:rsidTr="00A216B7">
        <w:trPr>
          <w:trHeight w:val="240"/>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1559" w:type="dxa"/>
            <w:tcBorders>
              <w:top w:val="nil"/>
              <w:left w:val="nil"/>
              <w:bottom w:val="nil"/>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2723,3</w:t>
            </w:r>
          </w:p>
        </w:tc>
      </w:tr>
      <w:tr w:rsidRPr="00533D5C" w:rsidR="00A216B7" w:rsidTr="00A216B7">
        <w:trPr>
          <w:trHeight w:val="225"/>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1559" w:type="dxa"/>
            <w:tcBorders>
              <w:top w:val="single" w:color="000000" w:sz="8" w:space="0"/>
              <w:left w:val="nil"/>
              <w:bottom w:val="nil"/>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2723,3</w:t>
            </w:r>
          </w:p>
        </w:tc>
      </w:tr>
      <w:tr w:rsidRPr="00533D5C" w:rsidR="00A216B7" w:rsidTr="00A216B7">
        <w:trPr>
          <w:trHeight w:val="225"/>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p>
        </w:tc>
        <w:tc>
          <w:tcPr>
            <w:tcW w:w="1559" w:type="dxa"/>
            <w:tcBorders>
              <w:top w:val="nil"/>
              <w:left w:val="nil"/>
              <w:bottom w:val="nil"/>
              <w:right w:val="nil"/>
            </w:tcBorders>
            <w:shd w:val="clear" w:color="auto" w:fill="auto"/>
            <w:noWrap/>
            <w:vAlign w:val="bottom"/>
            <w:hideMark/>
          </w:tcPr>
          <w:p w:rsidRPr="00533D5C" w:rsidR="00A216B7" w:rsidP="00533D5C" w:rsidRDefault="00A216B7">
            <w:pPr>
              <w:spacing w:line="240" w:lineRule="exact"/>
              <w:rPr>
                <w:rFonts w:ascii="Verdana" w:hAnsi="Verdana"/>
                <w:color w:val="000000"/>
                <w:sz w:val="18"/>
                <w:szCs w:val="18"/>
              </w:rPr>
            </w:pPr>
          </w:p>
        </w:tc>
      </w:tr>
      <w:tr w:rsidRPr="00533D5C" w:rsidR="00A216B7" w:rsidTr="00A216B7">
        <w:trPr>
          <w:trHeight w:val="225"/>
        </w:trPr>
        <w:tc>
          <w:tcPr>
            <w:tcW w:w="7672" w:type="dxa"/>
            <w:tcBorders>
              <w:top w:val="nil"/>
              <w:left w:val="nil"/>
              <w:bottom w:val="nil"/>
              <w:right w:val="nil"/>
            </w:tcBorders>
            <w:shd w:val="clear" w:color="auto" w:fill="auto"/>
            <w:noWrap/>
            <w:vAlign w:val="bottom"/>
            <w:hideMark/>
          </w:tcPr>
          <w:p w:rsidRPr="00533D5C" w:rsidR="00A216B7" w:rsidP="00533D5C" w:rsidRDefault="00A216B7">
            <w:pPr>
              <w:spacing w:line="240" w:lineRule="exact"/>
              <w:rPr>
                <w:rFonts w:ascii="Verdana" w:hAnsi="Verdana"/>
                <w:color w:val="000000"/>
                <w:sz w:val="18"/>
                <w:szCs w:val="18"/>
              </w:rPr>
            </w:pPr>
          </w:p>
        </w:tc>
        <w:tc>
          <w:tcPr>
            <w:tcW w:w="1559" w:type="dxa"/>
            <w:tcBorders>
              <w:top w:val="nil"/>
              <w:left w:val="nil"/>
              <w:bottom w:val="nil"/>
              <w:right w:val="nil"/>
            </w:tcBorders>
            <w:shd w:val="clear" w:color="auto" w:fill="auto"/>
            <w:noWrap/>
            <w:vAlign w:val="bottom"/>
            <w:hideMark/>
          </w:tcPr>
          <w:p w:rsidRPr="00533D5C" w:rsidR="00A216B7" w:rsidP="00533D5C" w:rsidRDefault="00A216B7">
            <w:pPr>
              <w:spacing w:line="240" w:lineRule="exact"/>
              <w:rPr>
                <w:rFonts w:ascii="Verdana" w:hAnsi="Verdana"/>
                <w:color w:val="000000"/>
                <w:sz w:val="18"/>
                <w:szCs w:val="18"/>
              </w:rPr>
            </w:pPr>
          </w:p>
        </w:tc>
      </w:tr>
      <w:tr w:rsidRPr="00533D5C" w:rsidR="00A216B7" w:rsidTr="00A216B7">
        <w:trPr>
          <w:trHeight w:val="225"/>
        </w:trPr>
        <w:tc>
          <w:tcPr>
            <w:tcW w:w="7672" w:type="dxa"/>
            <w:tcBorders>
              <w:top w:val="nil"/>
              <w:left w:val="nil"/>
              <w:bottom w:val="nil"/>
              <w:right w:val="nil"/>
            </w:tcBorders>
            <w:shd w:val="clear" w:color="auto" w:fill="auto"/>
            <w:noWrap/>
            <w:vAlign w:val="bottom"/>
            <w:hideMark/>
          </w:tcPr>
          <w:p w:rsidRPr="00533D5C" w:rsidR="00A216B7" w:rsidP="00533D5C" w:rsidRDefault="00A216B7">
            <w:pPr>
              <w:spacing w:line="240" w:lineRule="exact"/>
              <w:rPr>
                <w:rFonts w:ascii="Verdana" w:hAnsi="Verdana"/>
                <w:color w:val="000000"/>
                <w:sz w:val="18"/>
                <w:szCs w:val="18"/>
              </w:rPr>
            </w:pPr>
          </w:p>
        </w:tc>
        <w:tc>
          <w:tcPr>
            <w:tcW w:w="1559" w:type="dxa"/>
            <w:tcBorders>
              <w:top w:val="nil"/>
              <w:left w:val="nil"/>
              <w:bottom w:val="nil"/>
              <w:right w:val="nil"/>
            </w:tcBorders>
            <w:shd w:val="clear" w:color="auto" w:fill="auto"/>
            <w:noWrap/>
            <w:vAlign w:val="bottom"/>
            <w:hideMark/>
          </w:tcPr>
          <w:p w:rsidRPr="00533D5C" w:rsidR="00A216B7" w:rsidP="00533D5C" w:rsidRDefault="00A216B7">
            <w:pPr>
              <w:spacing w:line="240" w:lineRule="exact"/>
              <w:rPr>
                <w:rFonts w:ascii="Verdana" w:hAnsi="Verdana"/>
                <w:color w:val="000000"/>
                <w:sz w:val="18"/>
                <w:szCs w:val="18"/>
              </w:rPr>
            </w:pPr>
          </w:p>
        </w:tc>
      </w:tr>
      <w:tr w:rsidRPr="00533D5C" w:rsidR="00A216B7" w:rsidTr="00A216B7">
        <w:trPr>
          <w:trHeight w:val="225"/>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p>
        </w:tc>
        <w:tc>
          <w:tcPr>
            <w:tcW w:w="1559"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p>
        </w:tc>
      </w:tr>
      <w:tr w:rsidRPr="00533D5C" w:rsidR="00A216B7" w:rsidTr="0011334B">
        <w:trPr>
          <w:trHeight w:val="454"/>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XVII BUITENLANDSE HANDEL &amp; ONTWIKKELINGSSAMENWERKING: NIET-BELASTINGONTVANGSTEN</w:t>
            </w:r>
          </w:p>
        </w:tc>
        <w:tc>
          <w:tcPr>
            <w:tcW w:w="1559" w:type="dxa"/>
            <w:tcBorders>
              <w:top w:val="nil"/>
              <w:left w:val="nil"/>
              <w:bottom w:val="nil"/>
              <w:right w:val="nil"/>
            </w:tcBorders>
            <w:shd w:val="clear" w:color="auto" w:fill="auto"/>
            <w:noWrap/>
            <w:vAlign w:val="bottom"/>
            <w:hideMark/>
          </w:tcPr>
          <w:p w:rsidRPr="00533D5C" w:rsidR="00A216B7" w:rsidP="00533D5C" w:rsidRDefault="00A216B7">
            <w:pPr>
              <w:spacing w:line="240" w:lineRule="exact"/>
              <w:rPr>
                <w:rFonts w:ascii="Verdana" w:hAnsi="Verdana"/>
                <w:color w:val="000000"/>
                <w:sz w:val="18"/>
                <w:szCs w:val="18"/>
              </w:rPr>
            </w:pPr>
          </w:p>
        </w:tc>
      </w:tr>
      <w:tr w:rsidRPr="00533D5C" w:rsidR="00A216B7" w:rsidTr="00A216B7">
        <w:trPr>
          <w:trHeight w:val="240"/>
        </w:trPr>
        <w:tc>
          <w:tcPr>
            <w:tcW w:w="7672" w:type="dxa"/>
            <w:tcBorders>
              <w:top w:val="single" w:color="000000" w:sz="8" w:space="0"/>
              <w:left w:val="nil"/>
              <w:bottom w:val="single" w:color="000000" w:sz="8" w:space="0"/>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1559" w:type="dxa"/>
            <w:tcBorders>
              <w:top w:val="single" w:color="000000" w:sz="8" w:space="0"/>
              <w:left w:val="nil"/>
              <w:bottom w:val="single" w:color="000000" w:sz="8" w:space="0"/>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A216B7" w:rsidTr="00A216B7">
        <w:trPr>
          <w:trHeight w:val="225"/>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1559" w:type="dxa"/>
            <w:tcBorders>
              <w:top w:val="nil"/>
              <w:left w:val="nil"/>
              <w:bottom w:val="nil"/>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27,5</w:t>
            </w:r>
          </w:p>
        </w:tc>
      </w:tr>
      <w:tr w:rsidRPr="00533D5C" w:rsidR="00A216B7" w:rsidTr="00A216B7">
        <w:trPr>
          <w:trHeight w:val="225"/>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1559" w:type="dxa"/>
            <w:tcBorders>
              <w:top w:val="nil"/>
              <w:left w:val="nil"/>
              <w:bottom w:val="nil"/>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A216B7" w:rsidTr="00A216B7">
        <w:trPr>
          <w:trHeight w:val="240"/>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p>
        </w:tc>
        <w:tc>
          <w:tcPr>
            <w:tcW w:w="1559" w:type="dxa"/>
            <w:tcBorders>
              <w:top w:val="nil"/>
              <w:left w:val="nil"/>
              <w:bottom w:val="nil"/>
              <w:right w:val="nil"/>
            </w:tcBorders>
            <w:shd w:val="clear" w:color="auto" w:fill="auto"/>
            <w:noWrap/>
            <w:vAlign w:val="bottom"/>
            <w:hideMark/>
          </w:tcPr>
          <w:p w:rsidRPr="00533D5C" w:rsidR="00A216B7" w:rsidP="00533D5C" w:rsidRDefault="00A216B7">
            <w:pPr>
              <w:spacing w:line="240" w:lineRule="exact"/>
              <w:rPr>
                <w:rFonts w:ascii="Verdana" w:hAnsi="Verdana"/>
                <w:color w:val="000000"/>
                <w:sz w:val="18"/>
                <w:szCs w:val="18"/>
              </w:rPr>
            </w:pPr>
          </w:p>
        </w:tc>
      </w:tr>
      <w:tr w:rsidRPr="00533D5C" w:rsidR="00A216B7" w:rsidTr="00A216B7">
        <w:trPr>
          <w:trHeight w:val="225"/>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1559" w:type="dxa"/>
            <w:tcBorders>
              <w:top w:val="single" w:color="000000" w:sz="8" w:space="0"/>
              <w:left w:val="nil"/>
              <w:bottom w:val="nil"/>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27,5</w:t>
            </w:r>
          </w:p>
        </w:tc>
      </w:tr>
      <w:tr w:rsidRPr="00533D5C" w:rsidR="00A216B7" w:rsidTr="00A216B7">
        <w:trPr>
          <w:trHeight w:val="240"/>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1559" w:type="dxa"/>
            <w:tcBorders>
              <w:top w:val="nil"/>
              <w:left w:val="nil"/>
              <w:bottom w:val="nil"/>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82,7</w:t>
            </w:r>
          </w:p>
        </w:tc>
      </w:tr>
      <w:tr w:rsidRPr="00533D5C" w:rsidR="00A216B7" w:rsidTr="00A216B7">
        <w:trPr>
          <w:trHeight w:val="225"/>
        </w:trPr>
        <w:tc>
          <w:tcPr>
            <w:tcW w:w="7672" w:type="dxa"/>
            <w:tcBorders>
              <w:top w:val="nil"/>
              <w:left w:val="nil"/>
              <w:bottom w:val="nil"/>
              <w:right w:val="nil"/>
            </w:tcBorders>
            <w:shd w:val="clear" w:color="auto" w:fill="auto"/>
            <w:hideMark/>
          </w:tcPr>
          <w:p w:rsidRPr="00533D5C" w:rsidR="00A216B7" w:rsidP="00533D5C" w:rsidRDefault="00A216B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1559" w:type="dxa"/>
            <w:tcBorders>
              <w:top w:val="single" w:color="000000" w:sz="8" w:space="0"/>
              <w:left w:val="nil"/>
              <w:bottom w:val="nil"/>
              <w:right w:val="nil"/>
            </w:tcBorders>
            <w:shd w:val="clear" w:color="auto" w:fill="auto"/>
            <w:hideMark/>
          </w:tcPr>
          <w:p w:rsidRPr="00533D5C" w:rsidR="00A216B7" w:rsidP="00533D5C" w:rsidRDefault="00A216B7">
            <w:pPr>
              <w:spacing w:line="240" w:lineRule="exact"/>
              <w:jc w:val="right"/>
              <w:rPr>
                <w:rFonts w:ascii="Verdana" w:hAnsi="Verdana"/>
                <w:color w:val="000000"/>
                <w:sz w:val="18"/>
                <w:szCs w:val="18"/>
              </w:rPr>
            </w:pPr>
            <w:r w:rsidRPr="00533D5C">
              <w:rPr>
                <w:rFonts w:ascii="Verdana" w:hAnsi="Verdana"/>
                <w:color w:val="000000"/>
                <w:sz w:val="18"/>
                <w:szCs w:val="18"/>
              </w:rPr>
              <w:t>110,2</w:t>
            </w:r>
          </w:p>
        </w:tc>
      </w:tr>
    </w:tbl>
    <w:p w:rsidRPr="00533D5C" w:rsidR="00A216B7" w:rsidP="00533D5C" w:rsidRDefault="00A216B7">
      <w:pPr>
        <w:spacing w:line="240" w:lineRule="exact"/>
        <w:rPr>
          <w:rFonts w:ascii="Verdana" w:hAnsi="Verdana" w:cs="Verdana"/>
          <w:b/>
          <w:bCs/>
          <w:sz w:val="18"/>
          <w:szCs w:val="18"/>
        </w:rPr>
      </w:pPr>
    </w:p>
    <w:p w:rsidRPr="00533D5C" w:rsidR="00CE0619" w:rsidP="00533D5C" w:rsidRDefault="00CE0619">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3C0598" w:rsidP="00533D5C" w:rsidRDefault="003C0598">
      <w:pPr>
        <w:spacing w:line="240" w:lineRule="exact"/>
        <w:rPr>
          <w:rFonts w:ascii="Verdana" w:hAnsi="Verdana" w:cs="Verdana"/>
          <w:b/>
          <w:bCs/>
          <w:sz w:val="18"/>
          <w:szCs w:val="18"/>
        </w:rPr>
      </w:pPr>
      <w:r w:rsidRPr="00533D5C">
        <w:rPr>
          <w:rFonts w:ascii="Verdana" w:hAnsi="Verdana" w:cs="Verdana"/>
          <w:b/>
          <w:bCs/>
          <w:sz w:val="18"/>
          <w:szCs w:val="18"/>
        </w:rPr>
        <w:lastRenderedPageBreak/>
        <w:t>Wonen &amp; Rijksdienst</w:t>
      </w:r>
    </w:p>
    <w:p w:rsidRPr="00533D5C" w:rsidR="002E65E1" w:rsidP="00533D5C" w:rsidRDefault="002E65E1">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628"/>
        <w:gridCol w:w="1584"/>
      </w:tblGrid>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XVIII WONEN &amp; RIJKSDIENST: UITGAVEN</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3.502,2</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Mee- en tegenvallers</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-17,5</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-17,5</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Kasschuif nef</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-25,0</w:t>
            </w: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Meeropbrengst grondverkopen</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20,0</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-5,0</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5,7</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5,7</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-16,8</w:t>
            </w: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3.485,4</w:t>
            </w: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3.485,4</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r>
      <w:tr w:rsidRPr="00533D5C" w:rsidR="002E65E1" w:rsidTr="00C811E5">
        <w:trPr>
          <w:trHeight w:val="166"/>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XVIII WONEN &amp; RIJKSDIENST: NIET-BELASTINGONTVANGSTEN</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619,6</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Meeropbrengst grondverkopen</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20,0</w:t>
            </w: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1,5</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21,5</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2,5</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2,5</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24,0</w:t>
            </w: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643,6</w:t>
            </w: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643,6</w:t>
            </w:r>
          </w:p>
        </w:tc>
      </w:tr>
    </w:tbl>
    <w:p w:rsidRPr="00533D5C" w:rsidR="002E65E1" w:rsidP="00533D5C" w:rsidRDefault="002E65E1">
      <w:pPr>
        <w:spacing w:line="240" w:lineRule="exact"/>
        <w:rPr>
          <w:rFonts w:ascii="Verdana" w:hAnsi="Verdana" w:cs="Verdana"/>
          <w:b/>
          <w:bCs/>
          <w:sz w:val="18"/>
          <w:szCs w:val="18"/>
        </w:rPr>
      </w:pPr>
    </w:p>
    <w:p w:rsidRPr="00533D5C" w:rsidR="00EF63D2" w:rsidP="00533D5C" w:rsidRDefault="00EF63D2">
      <w:pPr>
        <w:spacing w:line="240" w:lineRule="exact"/>
        <w:rPr>
          <w:rFonts w:ascii="Verdana" w:hAnsi="Verdana"/>
          <w:i/>
          <w:sz w:val="18"/>
          <w:szCs w:val="18"/>
        </w:rPr>
      </w:pPr>
    </w:p>
    <w:p w:rsidRPr="00533D5C" w:rsidR="002E65E1" w:rsidP="00533D5C" w:rsidRDefault="002E65E1">
      <w:pPr>
        <w:spacing w:line="240" w:lineRule="exact"/>
        <w:rPr>
          <w:rFonts w:ascii="Verdana" w:hAnsi="Verdana"/>
          <w:i/>
          <w:sz w:val="18"/>
          <w:szCs w:val="18"/>
        </w:rPr>
      </w:pPr>
      <w:r w:rsidRPr="00533D5C">
        <w:rPr>
          <w:rFonts w:ascii="Verdana" w:hAnsi="Verdana"/>
          <w:i/>
          <w:sz w:val="18"/>
          <w:szCs w:val="18"/>
        </w:rPr>
        <w:t>Diversen – mee- en tegenvallers (uitgaven)</w:t>
      </w:r>
    </w:p>
    <w:p w:rsidRPr="00533D5C" w:rsidR="002E65E1" w:rsidP="00533D5C" w:rsidRDefault="008B2276">
      <w:pPr>
        <w:spacing w:line="240" w:lineRule="exact"/>
        <w:rPr>
          <w:rFonts w:ascii="Verdana" w:hAnsi="Verdana"/>
          <w:sz w:val="18"/>
          <w:szCs w:val="18"/>
        </w:rPr>
      </w:pPr>
      <w:r w:rsidRPr="00533D5C">
        <w:rPr>
          <w:rFonts w:ascii="Verdana" w:hAnsi="Verdana"/>
          <w:sz w:val="18"/>
          <w:szCs w:val="18"/>
        </w:rPr>
        <w:t>Een deel van de middelen als gevolg van de meeropbrengsten uit grondverkopen (zie ook ontvangsten en beleidsmatige mutaties) schuift via de eindejaarsmarge door naar 2015</w:t>
      </w:r>
      <w:r w:rsidRPr="00533D5C" w:rsidR="00945967">
        <w:rPr>
          <w:rFonts w:ascii="Verdana" w:hAnsi="Verdana"/>
          <w:sz w:val="18"/>
          <w:szCs w:val="18"/>
        </w:rPr>
        <w:t>. D</w:t>
      </w:r>
      <w:r w:rsidRPr="00533D5C">
        <w:rPr>
          <w:rFonts w:ascii="Verdana" w:hAnsi="Verdana"/>
          <w:sz w:val="18"/>
          <w:szCs w:val="18"/>
        </w:rPr>
        <w:t xml:space="preserve">aarnaast is er sprake van vertraging bij de renovatie van </w:t>
      </w:r>
      <w:r w:rsidRPr="00533D5C" w:rsidR="00945967">
        <w:rPr>
          <w:rFonts w:ascii="Verdana" w:hAnsi="Verdana"/>
          <w:sz w:val="18"/>
          <w:szCs w:val="18"/>
        </w:rPr>
        <w:t>de tuinmuur van park Sorghvliet, o</w:t>
      </w:r>
      <w:r w:rsidRPr="00533D5C">
        <w:rPr>
          <w:rFonts w:ascii="Verdana" w:hAnsi="Verdana"/>
          <w:sz w:val="18"/>
          <w:szCs w:val="18"/>
        </w:rPr>
        <w:t xml:space="preserve">ok die uitgaven schuiven door. </w:t>
      </w:r>
    </w:p>
    <w:p w:rsidRPr="00533D5C" w:rsidR="002E65E1" w:rsidP="00533D5C" w:rsidRDefault="002E65E1">
      <w:pPr>
        <w:spacing w:line="240" w:lineRule="exact"/>
        <w:rPr>
          <w:rFonts w:ascii="Verdana" w:hAnsi="Verdana"/>
          <w:sz w:val="18"/>
          <w:szCs w:val="18"/>
        </w:rPr>
      </w:pPr>
    </w:p>
    <w:p w:rsidRPr="00533D5C" w:rsidR="002E65E1" w:rsidP="00533D5C" w:rsidRDefault="002E65E1">
      <w:pPr>
        <w:spacing w:line="240" w:lineRule="exact"/>
        <w:rPr>
          <w:rFonts w:ascii="Verdana" w:hAnsi="Verdana"/>
          <w:i/>
          <w:sz w:val="18"/>
          <w:szCs w:val="18"/>
        </w:rPr>
      </w:pPr>
      <w:r w:rsidRPr="00533D5C">
        <w:rPr>
          <w:rFonts w:ascii="Verdana" w:hAnsi="Verdana"/>
          <w:i/>
          <w:sz w:val="18"/>
          <w:szCs w:val="18"/>
        </w:rPr>
        <w:t xml:space="preserve">Kasschuif NEF </w:t>
      </w:r>
    </w:p>
    <w:p w:rsidRPr="00533D5C" w:rsidR="002E65E1" w:rsidP="00533D5C" w:rsidRDefault="002E65E1">
      <w:pPr>
        <w:spacing w:line="240" w:lineRule="exact"/>
        <w:rPr>
          <w:rFonts w:ascii="Verdana" w:hAnsi="Verdana"/>
          <w:sz w:val="18"/>
          <w:szCs w:val="18"/>
        </w:rPr>
      </w:pPr>
      <w:r w:rsidRPr="00533D5C">
        <w:rPr>
          <w:rFonts w:ascii="Verdana" w:hAnsi="Verdana"/>
          <w:sz w:val="18"/>
          <w:szCs w:val="18"/>
        </w:rPr>
        <w:t xml:space="preserve">Het kabinet geeft op het gebied van de financiering van energiebesparende maatregelen een impuls met revolverende fondsen voor energiebesparing van woningen (Kamerstukken II, 30 196, 2013–2014, nr. 223). In januari 2014 is een fonds voor eigenaren-bewoners gestart in de vorm van het Nationaal Energiebespaarfonds (NEF) met een rijksbijdrage van 75 mln. Met dit bedrag plus de bijdrage vanuit de markt komt er in totaal 300 mln. beschikbaar voor leningen voor </w:t>
      </w:r>
      <w:r w:rsidRPr="00533D5C">
        <w:rPr>
          <w:rFonts w:ascii="Verdana" w:hAnsi="Verdana"/>
          <w:sz w:val="18"/>
          <w:szCs w:val="18"/>
        </w:rPr>
        <w:lastRenderedPageBreak/>
        <w:t xml:space="preserve">eigenaren-bewoners. Van de totale rijksbijdrage is 50 mln. uitgekeerd in het fonds. De resterende 25 mln. wordt meegenomen naar volgend jaar. </w:t>
      </w:r>
    </w:p>
    <w:p w:rsidRPr="00533D5C" w:rsidR="002E65E1" w:rsidP="00533D5C" w:rsidRDefault="002E65E1">
      <w:pPr>
        <w:spacing w:line="240" w:lineRule="exact"/>
        <w:rPr>
          <w:rFonts w:ascii="Verdana" w:hAnsi="Verdana"/>
          <w:sz w:val="18"/>
          <w:szCs w:val="18"/>
        </w:rPr>
      </w:pPr>
    </w:p>
    <w:p w:rsidRPr="00533D5C" w:rsidR="002E65E1" w:rsidP="00533D5C" w:rsidRDefault="002E65E1">
      <w:pPr>
        <w:spacing w:line="240" w:lineRule="exact"/>
        <w:rPr>
          <w:rFonts w:ascii="Verdana" w:hAnsi="Verdana"/>
          <w:i/>
          <w:sz w:val="18"/>
          <w:szCs w:val="18"/>
        </w:rPr>
      </w:pPr>
      <w:r w:rsidRPr="00533D5C">
        <w:rPr>
          <w:rFonts w:ascii="Verdana" w:hAnsi="Verdana"/>
          <w:i/>
          <w:sz w:val="18"/>
          <w:szCs w:val="18"/>
        </w:rPr>
        <w:t>Meeropbrengsten grondverkoop</w:t>
      </w:r>
    </w:p>
    <w:p w:rsidRPr="00533D5C" w:rsidR="002E65E1" w:rsidP="00533D5C" w:rsidRDefault="002E65E1">
      <w:pPr>
        <w:spacing w:line="240" w:lineRule="exact"/>
        <w:rPr>
          <w:rFonts w:ascii="Verdana" w:hAnsi="Verdana"/>
          <w:sz w:val="18"/>
          <w:szCs w:val="18"/>
        </w:rPr>
      </w:pPr>
      <w:r w:rsidRPr="00533D5C">
        <w:rPr>
          <w:rFonts w:ascii="Verdana" w:hAnsi="Verdana"/>
          <w:sz w:val="18"/>
          <w:szCs w:val="18"/>
        </w:rPr>
        <w:t xml:space="preserve">Dit betreft de afkoop van een meerwaardeclausule van Groningen Seaports. </w:t>
      </w:r>
    </w:p>
    <w:p w:rsidRPr="00533D5C" w:rsidR="002E65E1" w:rsidP="00533D5C" w:rsidRDefault="002E65E1">
      <w:pPr>
        <w:spacing w:line="240" w:lineRule="exact"/>
        <w:rPr>
          <w:rFonts w:ascii="Verdana" w:hAnsi="Verdana"/>
          <w:sz w:val="18"/>
          <w:szCs w:val="18"/>
        </w:rPr>
      </w:pPr>
    </w:p>
    <w:p w:rsidRPr="00533D5C" w:rsidR="002E65E1" w:rsidP="00533D5C" w:rsidRDefault="002E65E1">
      <w:pPr>
        <w:spacing w:line="240" w:lineRule="exact"/>
        <w:rPr>
          <w:rFonts w:ascii="Verdana" w:hAnsi="Verdana"/>
          <w:i/>
          <w:sz w:val="18"/>
          <w:szCs w:val="18"/>
        </w:rPr>
      </w:pPr>
      <w:r w:rsidRPr="00533D5C">
        <w:rPr>
          <w:rFonts w:ascii="Verdana" w:hAnsi="Verdana"/>
          <w:i/>
          <w:sz w:val="18"/>
          <w:szCs w:val="18"/>
        </w:rPr>
        <w:t>Diversen – technische mutaties (uitgaven)</w:t>
      </w:r>
    </w:p>
    <w:p w:rsidRPr="00533D5C" w:rsidR="002E65E1" w:rsidP="00533D5C" w:rsidRDefault="002E65E1">
      <w:pPr>
        <w:spacing w:line="240" w:lineRule="exact"/>
        <w:rPr>
          <w:rFonts w:ascii="Verdana" w:hAnsi="Verdana"/>
          <w:sz w:val="18"/>
          <w:szCs w:val="18"/>
        </w:rPr>
      </w:pPr>
      <w:r w:rsidRPr="00533D5C">
        <w:rPr>
          <w:rFonts w:ascii="Verdana" w:hAnsi="Verdana"/>
          <w:sz w:val="18"/>
          <w:szCs w:val="18"/>
        </w:rPr>
        <w:t xml:space="preserve">Dit betreft onder andere aanvulling van negatief eigen vermogen van </w:t>
      </w:r>
      <w:r w:rsidRPr="00533D5C" w:rsidR="00945967">
        <w:rPr>
          <w:rFonts w:ascii="Verdana" w:hAnsi="Verdana"/>
          <w:sz w:val="18"/>
          <w:szCs w:val="18"/>
        </w:rPr>
        <w:t>de Uitvoeringsorganisatie Bedrijfsvoering Rijk (</w:t>
      </w:r>
      <w:r w:rsidRPr="00533D5C">
        <w:rPr>
          <w:rFonts w:ascii="Verdana" w:hAnsi="Verdana"/>
          <w:sz w:val="18"/>
          <w:szCs w:val="18"/>
        </w:rPr>
        <w:t>UBR</w:t>
      </w:r>
      <w:r w:rsidRPr="00533D5C" w:rsidR="00945967">
        <w:rPr>
          <w:rFonts w:ascii="Verdana" w:hAnsi="Verdana"/>
          <w:sz w:val="18"/>
          <w:szCs w:val="18"/>
        </w:rPr>
        <w:t>)</w:t>
      </w:r>
      <w:r w:rsidRPr="00533D5C">
        <w:rPr>
          <w:rFonts w:ascii="Verdana" w:hAnsi="Verdana"/>
          <w:sz w:val="18"/>
          <w:szCs w:val="18"/>
        </w:rPr>
        <w:t xml:space="preserve"> van circa 4,5 mln. Een deel van het surplus eigen vermogen van Logius, dat bij Voorjaarsnota is teruggestort aan het moederdepartement, wordt overgeheveld naar de begroting van BZK (VII) voor de uitvoering van de Generieke Digitale Infrastructuur in 2014. Over 2013 heeft SSC-ICT Haaglanden een positief resultaat behaald dat heeft geleid tot een surplus eigen vermogen. Dit surplus wordt aan de opdrachtgevers (I&amp;M, VWS, SZW en BZK) teruggestort.</w:t>
      </w:r>
    </w:p>
    <w:p w:rsidRPr="00533D5C" w:rsidR="002E65E1" w:rsidP="00533D5C" w:rsidRDefault="002E65E1">
      <w:pPr>
        <w:spacing w:line="240" w:lineRule="exact"/>
        <w:rPr>
          <w:rFonts w:ascii="Verdana" w:hAnsi="Verdana"/>
          <w:sz w:val="18"/>
          <w:szCs w:val="18"/>
        </w:rPr>
      </w:pPr>
    </w:p>
    <w:p w:rsidRPr="00533D5C" w:rsidR="002E65E1" w:rsidP="00533D5C" w:rsidRDefault="002E65E1">
      <w:pPr>
        <w:spacing w:line="240" w:lineRule="exact"/>
        <w:rPr>
          <w:rFonts w:ascii="Verdana" w:hAnsi="Verdana"/>
          <w:i/>
          <w:sz w:val="18"/>
          <w:szCs w:val="18"/>
        </w:rPr>
      </w:pPr>
      <w:r w:rsidRPr="00533D5C">
        <w:rPr>
          <w:rFonts w:ascii="Verdana" w:hAnsi="Verdana"/>
          <w:i/>
          <w:sz w:val="18"/>
          <w:szCs w:val="18"/>
        </w:rPr>
        <w:t>Diversen – beleidsmatige mutaties (niet-belastingontvangsten)</w:t>
      </w:r>
    </w:p>
    <w:p w:rsidRPr="00533D5C" w:rsidR="002E65E1" w:rsidP="00533D5C" w:rsidRDefault="002E65E1">
      <w:pPr>
        <w:spacing w:line="240" w:lineRule="exact"/>
        <w:rPr>
          <w:rFonts w:ascii="Verdana" w:hAnsi="Verdana"/>
          <w:sz w:val="18"/>
          <w:szCs w:val="18"/>
        </w:rPr>
      </w:pPr>
      <w:r w:rsidRPr="00533D5C">
        <w:rPr>
          <w:rFonts w:ascii="Verdana" w:hAnsi="Verdana"/>
          <w:sz w:val="18"/>
          <w:szCs w:val="18"/>
        </w:rPr>
        <w:t xml:space="preserve">In september 2014 zijn middels een veiling zeven extra concessies voor tankstations langs snelwegen vergeven. </w:t>
      </w:r>
    </w:p>
    <w:p w:rsidRPr="00533D5C" w:rsidR="002E65E1" w:rsidP="00533D5C" w:rsidRDefault="002E65E1">
      <w:pPr>
        <w:spacing w:line="240" w:lineRule="exact"/>
        <w:rPr>
          <w:rFonts w:ascii="Verdana" w:hAnsi="Verdana"/>
          <w:sz w:val="18"/>
          <w:szCs w:val="18"/>
        </w:rPr>
      </w:pPr>
    </w:p>
    <w:p w:rsidRPr="00533D5C" w:rsidR="002E65E1" w:rsidP="00533D5C" w:rsidRDefault="002E65E1">
      <w:pPr>
        <w:spacing w:line="240" w:lineRule="exact"/>
        <w:rPr>
          <w:rFonts w:ascii="Verdana" w:hAnsi="Verdana"/>
          <w:i/>
          <w:sz w:val="18"/>
          <w:szCs w:val="18"/>
        </w:rPr>
      </w:pPr>
      <w:r w:rsidRPr="00533D5C">
        <w:rPr>
          <w:rFonts w:ascii="Verdana" w:hAnsi="Verdana"/>
          <w:i/>
          <w:sz w:val="18"/>
          <w:szCs w:val="18"/>
        </w:rPr>
        <w:t>Diversen – technische mutaties (niet-belastingontvangsten)</w:t>
      </w:r>
    </w:p>
    <w:p w:rsidRPr="00533D5C" w:rsidR="002E65E1" w:rsidP="00533D5C" w:rsidRDefault="002E65E1">
      <w:pPr>
        <w:spacing w:line="240" w:lineRule="exact"/>
        <w:rPr>
          <w:rFonts w:ascii="Verdana" w:hAnsi="Verdana"/>
          <w:sz w:val="18"/>
          <w:szCs w:val="18"/>
        </w:rPr>
      </w:pPr>
      <w:r w:rsidRPr="00533D5C">
        <w:rPr>
          <w:rFonts w:ascii="Verdana" w:hAnsi="Verdana"/>
          <w:sz w:val="18"/>
          <w:szCs w:val="18"/>
        </w:rPr>
        <w:t>Het merendeel betreft afrekening van voorschotten uit 2012 en 2013.</w:t>
      </w:r>
    </w:p>
    <w:p w:rsidRPr="00533D5C" w:rsidR="002E65E1" w:rsidP="00533D5C" w:rsidRDefault="002E65E1">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F91DB9"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Gemeentefonds</w:t>
      </w:r>
    </w:p>
    <w:p w:rsidRPr="00533D5C" w:rsidR="002E65E1" w:rsidP="00533D5C" w:rsidRDefault="002E65E1">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628"/>
        <w:gridCol w:w="1584"/>
      </w:tblGrid>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B GEMEENTEFONDS: UITGAVEN</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18.741,5</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21,7</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21,7</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21,7</w:t>
            </w: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18.763,2</w:t>
            </w: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18.763,2</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B GEMEENTEFONDS: NIET-BELASTINGONTVANGSTEN</w:t>
            </w: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0,1</w:t>
            </w: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0,1</w:t>
            </w:r>
          </w:p>
        </w:tc>
      </w:tr>
      <w:tr w:rsidRPr="00533D5C" w:rsidR="002E65E1" w:rsidTr="002E65E1">
        <w:trPr>
          <w:trHeight w:val="225"/>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p>
        </w:tc>
      </w:tr>
      <w:tr w:rsidRPr="00533D5C" w:rsidR="002E65E1" w:rsidTr="002E65E1">
        <w:trPr>
          <w:trHeight w:val="210"/>
        </w:trPr>
        <w:tc>
          <w:tcPr>
            <w:tcW w:w="4140"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0,1</w:t>
            </w:r>
          </w:p>
        </w:tc>
      </w:tr>
    </w:tbl>
    <w:p w:rsidRPr="00533D5C" w:rsidR="002E65E1" w:rsidP="00533D5C" w:rsidRDefault="002E65E1">
      <w:pPr>
        <w:spacing w:line="240" w:lineRule="exact"/>
        <w:rPr>
          <w:rFonts w:ascii="Verdana" w:hAnsi="Verdana" w:cs="Verdana"/>
          <w:b/>
          <w:bCs/>
          <w:sz w:val="18"/>
          <w:szCs w:val="18"/>
        </w:rPr>
      </w:pPr>
    </w:p>
    <w:p w:rsidRPr="00533D5C" w:rsidR="00ED7D3D" w:rsidP="00533D5C" w:rsidRDefault="00ED7D3D">
      <w:pPr>
        <w:spacing w:line="240" w:lineRule="exact"/>
        <w:rPr>
          <w:rFonts w:ascii="Verdana" w:hAnsi="Verdana"/>
          <w:i/>
          <w:sz w:val="18"/>
          <w:szCs w:val="18"/>
        </w:rPr>
      </w:pPr>
    </w:p>
    <w:p w:rsidRPr="00533D5C" w:rsidR="002E65E1" w:rsidP="00533D5C" w:rsidRDefault="002E65E1">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Provinciefonds</w:t>
      </w:r>
    </w:p>
    <w:p w:rsidRPr="00533D5C" w:rsidR="002E65E1" w:rsidP="00533D5C" w:rsidRDefault="002E65E1">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827"/>
        <w:gridCol w:w="1385"/>
      </w:tblGrid>
      <w:tr w:rsidRPr="00533D5C" w:rsidR="002E65E1" w:rsidTr="002E65E1">
        <w:trPr>
          <w:trHeight w:val="225"/>
        </w:trPr>
        <w:tc>
          <w:tcPr>
            <w:tcW w:w="4248"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C PROVINCIEFONDS: UITGAVEN</w:t>
            </w:r>
          </w:p>
        </w:tc>
        <w:tc>
          <w:tcPr>
            <w:tcW w:w="752"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2E65E1" w:rsidTr="002E65E1">
        <w:trPr>
          <w:trHeight w:val="210"/>
        </w:trPr>
        <w:tc>
          <w:tcPr>
            <w:tcW w:w="4248"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1.277,4</w:t>
            </w:r>
          </w:p>
        </w:tc>
      </w:tr>
      <w:tr w:rsidRPr="00533D5C" w:rsidR="002E65E1" w:rsidTr="002E65E1">
        <w:trPr>
          <w:trHeight w:val="210"/>
        </w:trPr>
        <w:tc>
          <w:tcPr>
            <w:tcW w:w="4248"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52"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248" w:type="pct"/>
            <w:tcBorders>
              <w:top w:val="nil"/>
              <w:left w:val="nil"/>
              <w:bottom w:val="nil"/>
              <w:right w:val="nil"/>
            </w:tcBorders>
            <w:shd w:val="clear" w:color="auto" w:fill="auto"/>
            <w:hideMark/>
          </w:tcPr>
          <w:p w:rsidRPr="00533D5C" w:rsidR="002E65E1" w:rsidP="00533D5C" w:rsidRDefault="002E65E1">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52"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25"/>
        </w:trPr>
        <w:tc>
          <w:tcPr>
            <w:tcW w:w="4248" w:type="pct"/>
            <w:tcBorders>
              <w:top w:val="nil"/>
              <w:left w:val="nil"/>
              <w:bottom w:val="nil"/>
              <w:right w:val="nil"/>
            </w:tcBorders>
            <w:shd w:val="clear" w:color="auto" w:fill="auto"/>
            <w:hideMark/>
          </w:tcPr>
          <w:p w:rsidRPr="00533D5C" w:rsidR="002E65E1" w:rsidP="00533D5C" w:rsidRDefault="002E65E1">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12,1</w:t>
            </w:r>
          </w:p>
        </w:tc>
      </w:tr>
      <w:tr w:rsidRPr="00533D5C" w:rsidR="002E65E1" w:rsidTr="002E65E1">
        <w:trPr>
          <w:trHeight w:val="210"/>
        </w:trPr>
        <w:tc>
          <w:tcPr>
            <w:tcW w:w="4248"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12,1</w:t>
            </w:r>
          </w:p>
        </w:tc>
      </w:tr>
      <w:tr w:rsidRPr="00533D5C" w:rsidR="002E65E1" w:rsidTr="002E65E1">
        <w:trPr>
          <w:trHeight w:val="210"/>
        </w:trPr>
        <w:tc>
          <w:tcPr>
            <w:tcW w:w="4248"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52"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12,1</w:t>
            </w:r>
          </w:p>
        </w:tc>
      </w:tr>
      <w:tr w:rsidRPr="00533D5C" w:rsidR="002E65E1" w:rsidTr="002E65E1">
        <w:trPr>
          <w:trHeight w:val="225"/>
        </w:trPr>
        <w:tc>
          <w:tcPr>
            <w:tcW w:w="4248"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2E65E1" w:rsidP="00533D5C" w:rsidRDefault="002E65E1">
            <w:pPr>
              <w:spacing w:line="240" w:lineRule="exact"/>
              <w:rPr>
                <w:rFonts w:ascii="Verdana" w:hAnsi="Verdana"/>
                <w:color w:val="000000"/>
                <w:sz w:val="18"/>
                <w:szCs w:val="18"/>
              </w:rPr>
            </w:pPr>
          </w:p>
        </w:tc>
      </w:tr>
      <w:tr w:rsidRPr="00533D5C" w:rsidR="002E65E1" w:rsidTr="002E65E1">
        <w:trPr>
          <w:trHeight w:val="210"/>
        </w:trPr>
        <w:tc>
          <w:tcPr>
            <w:tcW w:w="4248"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1.289,5</w:t>
            </w:r>
          </w:p>
        </w:tc>
      </w:tr>
      <w:tr w:rsidRPr="00533D5C" w:rsidR="002E65E1" w:rsidTr="002E65E1">
        <w:trPr>
          <w:trHeight w:val="225"/>
        </w:trPr>
        <w:tc>
          <w:tcPr>
            <w:tcW w:w="4248"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p>
        </w:tc>
      </w:tr>
      <w:tr w:rsidRPr="00533D5C" w:rsidR="002E65E1" w:rsidTr="002E65E1">
        <w:trPr>
          <w:trHeight w:val="210"/>
        </w:trPr>
        <w:tc>
          <w:tcPr>
            <w:tcW w:w="4248" w:type="pct"/>
            <w:tcBorders>
              <w:top w:val="nil"/>
              <w:left w:val="nil"/>
              <w:bottom w:val="nil"/>
              <w:right w:val="nil"/>
            </w:tcBorders>
            <w:shd w:val="clear" w:color="auto" w:fill="auto"/>
            <w:hideMark/>
          </w:tcPr>
          <w:p w:rsidRPr="00533D5C" w:rsidR="002E65E1" w:rsidP="00533D5C" w:rsidRDefault="002E65E1">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52" w:type="pct"/>
            <w:tcBorders>
              <w:top w:val="single" w:color="000000" w:sz="8" w:space="0"/>
              <w:left w:val="nil"/>
              <w:bottom w:val="nil"/>
              <w:right w:val="nil"/>
            </w:tcBorders>
            <w:shd w:val="clear" w:color="auto" w:fill="auto"/>
            <w:hideMark/>
          </w:tcPr>
          <w:p w:rsidRPr="00533D5C" w:rsidR="002E65E1" w:rsidP="00533D5C" w:rsidRDefault="002E65E1">
            <w:pPr>
              <w:spacing w:line="240" w:lineRule="exact"/>
              <w:jc w:val="right"/>
              <w:rPr>
                <w:rFonts w:ascii="Verdana" w:hAnsi="Verdana"/>
                <w:color w:val="000000"/>
                <w:sz w:val="18"/>
                <w:szCs w:val="18"/>
              </w:rPr>
            </w:pPr>
            <w:r w:rsidRPr="00533D5C">
              <w:rPr>
                <w:rFonts w:ascii="Verdana" w:hAnsi="Verdana"/>
                <w:color w:val="000000"/>
                <w:sz w:val="18"/>
                <w:szCs w:val="18"/>
              </w:rPr>
              <w:t>1.289,5</w:t>
            </w:r>
          </w:p>
        </w:tc>
      </w:tr>
    </w:tbl>
    <w:p w:rsidRPr="00533D5C" w:rsidR="002E65E1" w:rsidP="00533D5C" w:rsidRDefault="002E65E1">
      <w:pPr>
        <w:spacing w:line="240" w:lineRule="exact"/>
        <w:rPr>
          <w:rFonts w:ascii="Verdana" w:hAnsi="Verdana" w:cs="Verdana"/>
          <w:b/>
          <w:bCs/>
          <w:sz w:val="18"/>
          <w:szCs w:val="18"/>
        </w:rPr>
      </w:pPr>
    </w:p>
    <w:tbl>
      <w:tblPr>
        <w:tblW w:w="5000" w:type="pct"/>
        <w:tblCellMar>
          <w:top w:w="15" w:type="dxa"/>
          <w:left w:w="15" w:type="dxa"/>
          <w:bottom w:w="15" w:type="dxa"/>
          <w:right w:w="15" w:type="dxa"/>
        </w:tblCellMar>
        <w:tblLook w:val="04A0"/>
      </w:tblPr>
      <w:tblGrid>
        <w:gridCol w:w="7915"/>
        <w:gridCol w:w="1187"/>
      </w:tblGrid>
      <w:tr w:rsidRPr="00533D5C" w:rsidR="00EA417C" w:rsidTr="00EA417C">
        <w:tc>
          <w:tcPr>
            <w:tcW w:w="4348" w:type="pct"/>
            <w:tcBorders>
              <w:left w:val="nil"/>
              <w:right w:val="nil"/>
            </w:tcBorders>
            <w:hideMark/>
          </w:tcPr>
          <w:p w:rsidRPr="00533D5C" w:rsidR="00EA417C" w:rsidP="00533D5C" w:rsidRDefault="00EA417C">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tcBorders>
              <w:left w:val="nil"/>
              <w:right w:val="nil"/>
            </w:tcBorders>
            <w:hideMark/>
          </w:tcPr>
          <w:p w:rsidRPr="00533D5C" w:rsidR="00EA417C" w:rsidP="00533D5C" w:rsidRDefault="00EA417C">
            <w:pPr>
              <w:spacing w:line="240" w:lineRule="exact"/>
              <w:rPr>
                <w:rFonts w:ascii="Verdana" w:hAnsi="Verdana" w:cs="Courier New"/>
                <w:sz w:val="18"/>
                <w:szCs w:val="18"/>
              </w:rPr>
            </w:pPr>
            <w:r w:rsidRPr="00533D5C">
              <w:rPr>
                <w:rFonts w:ascii="Verdana" w:hAnsi="Verdana" w:cs="Courier New"/>
                <w:sz w:val="18"/>
                <w:szCs w:val="18"/>
              </w:rPr>
              <w:t> </w:t>
            </w:r>
          </w:p>
        </w:tc>
      </w:tr>
      <w:tr w:rsidRPr="00533D5C" w:rsidR="00EA417C" w:rsidTr="00EA417C">
        <w:tc>
          <w:tcPr>
            <w:tcW w:w="4348" w:type="pct"/>
            <w:tcBorders>
              <w:left w:val="nil"/>
              <w:right w:val="nil"/>
            </w:tcBorders>
            <w:hideMark/>
          </w:tcPr>
          <w:p w:rsidRPr="00533D5C" w:rsidR="00EA417C" w:rsidP="00533D5C" w:rsidRDefault="00EA417C">
            <w:pPr>
              <w:spacing w:line="240" w:lineRule="exact"/>
              <w:rPr>
                <w:rFonts w:ascii="Verdana" w:hAnsi="Verdana" w:cs="Courier New"/>
                <w:sz w:val="18"/>
                <w:szCs w:val="18"/>
              </w:rPr>
            </w:pPr>
            <w:r w:rsidRPr="00533D5C">
              <w:rPr>
                <w:rFonts w:ascii="Verdana" w:hAnsi="Verdana" w:cs="Courier New"/>
                <w:sz w:val="18"/>
                <w:szCs w:val="18"/>
              </w:rPr>
              <w:t>C PROVINCIEFONDS: NIET-BELASTINGONTVANGSTEN</w:t>
            </w:r>
          </w:p>
        </w:tc>
        <w:tc>
          <w:tcPr>
            <w:tcW w:w="652" w:type="pct"/>
            <w:hideMark/>
          </w:tcPr>
          <w:p w:rsidRPr="00533D5C" w:rsidR="00EA417C" w:rsidP="00533D5C" w:rsidRDefault="00EA417C">
            <w:pPr>
              <w:spacing w:line="240" w:lineRule="exact"/>
              <w:rPr>
                <w:rFonts w:ascii="Verdana" w:hAnsi="Verdana"/>
                <w:sz w:val="18"/>
                <w:szCs w:val="18"/>
              </w:rPr>
            </w:pPr>
          </w:p>
        </w:tc>
      </w:tr>
      <w:tr w:rsidRPr="00533D5C" w:rsidR="00EA417C" w:rsidTr="00EA417C">
        <w:tc>
          <w:tcPr>
            <w:tcW w:w="4348" w:type="pct"/>
            <w:tcBorders>
              <w:top w:val="single" w:color="000000" w:sz="6" w:space="0"/>
              <w:left w:val="nil"/>
              <w:bottom w:val="single" w:color="000000" w:sz="6" w:space="0"/>
              <w:right w:val="nil"/>
            </w:tcBorders>
            <w:hideMark/>
          </w:tcPr>
          <w:p w:rsidRPr="00533D5C" w:rsidR="00EA417C" w:rsidP="00533D5C" w:rsidRDefault="00EA417C">
            <w:pPr>
              <w:spacing w:line="240" w:lineRule="exact"/>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533D5C" w:rsidR="00EA417C" w:rsidP="00533D5C" w:rsidRDefault="00B66C8F">
            <w:pPr>
              <w:spacing w:line="240" w:lineRule="exact"/>
              <w:jc w:val="right"/>
              <w:rPr>
                <w:rFonts w:ascii="Verdana" w:hAnsi="Verdana" w:cs="Courier New"/>
                <w:sz w:val="18"/>
                <w:szCs w:val="18"/>
              </w:rPr>
            </w:pPr>
            <w:r w:rsidRPr="00533D5C">
              <w:rPr>
                <w:rFonts w:ascii="Verdana" w:hAnsi="Verdana" w:cs="Courier New"/>
                <w:sz w:val="18"/>
                <w:szCs w:val="18"/>
              </w:rPr>
              <w:t>2014</w:t>
            </w:r>
          </w:p>
        </w:tc>
      </w:tr>
      <w:tr w:rsidRPr="00533D5C" w:rsidR="00EA417C" w:rsidTr="00EA417C">
        <w:tc>
          <w:tcPr>
            <w:tcW w:w="4348" w:type="pct"/>
            <w:tcBorders>
              <w:left w:val="nil"/>
              <w:right w:val="nil"/>
            </w:tcBorders>
            <w:hideMark/>
          </w:tcPr>
          <w:p w:rsidRPr="00533D5C" w:rsidR="00EA417C" w:rsidP="00533D5C" w:rsidRDefault="002E65E1">
            <w:pPr>
              <w:spacing w:line="240" w:lineRule="exact"/>
              <w:rPr>
                <w:rFonts w:ascii="Verdana" w:hAnsi="Verdana" w:cs="Courier New"/>
                <w:sz w:val="18"/>
                <w:szCs w:val="18"/>
              </w:rPr>
            </w:pPr>
            <w:r w:rsidRPr="00533D5C">
              <w:rPr>
                <w:rFonts w:ascii="Verdana" w:hAnsi="Verdana" w:cs="Courier New"/>
                <w:sz w:val="18"/>
                <w:szCs w:val="18"/>
              </w:rPr>
              <w:t>Stand Miljoenennota 2015</w:t>
            </w:r>
            <w:r w:rsidRPr="00533D5C" w:rsidR="00EA417C">
              <w:rPr>
                <w:rFonts w:ascii="Verdana" w:hAnsi="Verdana" w:cs="Courier New"/>
                <w:sz w:val="18"/>
                <w:szCs w:val="18"/>
              </w:rPr>
              <w:t xml:space="preserve"> (excl. IS)</w:t>
            </w:r>
          </w:p>
        </w:tc>
        <w:tc>
          <w:tcPr>
            <w:tcW w:w="652" w:type="pct"/>
            <w:tcBorders>
              <w:top w:val="single" w:color="000000" w:sz="6" w:space="0"/>
              <w:left w:val="nil"/>
              <w:right w:val="nil"/>
            </w:tcBorders>
            <w:hideMark/>
          </w:tcPr>
          <w:p w:rsidRPr="00533D5C" w:rsidR="00EA417C" w:rsidP="00533D5C" w:rsidRDefault="00EA417C">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EA417C" w:rsidTr="00EA417C">
        <w:tc>
          <w:tcPr>
            <w:tcW w:w="4348" w:type="pct"/>
            <w:tcBorders>
              <w:left w:val="nil"/>
              <w:right w:val="nil"/>
            </w:tcBorders>
            <w:hideMark/>
          </w:tcPr>
          <w:p w:rsidRPr="00533D5C" w:rsidR="00EA417C" w:rsidP="00533D5C" w:rsidRDefault="00EA417C">
            <w:pPr>
              <w:spacing w:line="240" w:lineRule="exact"/>
              <w:rPr>
                <w:rFonts w:ascii="Verdana" w:hAnsi="Verdana" w:cs="Courier New"/>
                <w:sz w:val="18"/>
                <w:szCs w:val="18"/>
              </w:rPr>
            </w:pPr>
            <w:r w:rsidRPr="00533D5C">
              <w:rPr>
                <w:rFonts w:ascii="Verdana" w:hAnsi="Verdana" w:cs="Courier New"/>
                <w:sz w:val="18"/>
                <w:szCs w:val="18"/>
              </w:rPr>
              <w:t>Totaal mutaties sinds Miljoenenno</w:t>
            </w:r>
            <w:r w:rsidRPr="00533D5C" w:rsidR="002E65E1">
              <w:rPr>
                <w:rFonts w:ascii="Verdana" w:hAnsi="Verdana" w:cs="Courier New"/>
                <w:sz w:val="18"/>
                <w:szCs w:val="18"/>
              </w:rPr>
              <w:t>ta 2015</w:t>
            </w:r>
          </w:p>
        </w:tc>
        <w:tc>
          <w:tcPr>
            <w:tcW w:w="652" w:type="pct"/>
            <w:tcBorders>
              <w:left w:val="nil"/>
              <w:right w:val="nil"/>
            </w:tcBorders>
            <w:hideMark/>
          </w:tcPr>
          <w:p w:rsidRPr="00533D5C" w:rsidR="00EA417C" w:rsidP="00533D5C" w:rsidRDefault="00EA417C">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EA417C" w:rsidTr="00EA417C">
        <w:tc>
          <w:tcPr>
            <w:tcW w:w="4348" w:type="pct"/>
            <w:tcBorders>
              <w:left w:val="nil"/>
              <w:right w:val="nil"/>
            </w:tcBorders>
            <w:hideMark/>
          </w:tcPr>
          <w:p w:rsidRPr="00533D5C" w:rsidR="00EA417C" w:rsidP="00533D5C" w:rsidRDefault="00EA417C">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hideMark/>
          </w:tcPr>
          <w:p w:rsidRPr="00533D5C" w:rsidR="00EA417C" w:rsidP="00533D5C" w:rsidRDefault="00EA417C">
            <w:pPr>
              <w:spacing w:line="240" w:lineRule="exact"/>
              <w:rPr>
                <w:rFonts w:ascii="Verdana" w:hAnsi="Verdana"/>
                <w:sz w:val="18"/>
                <w:szCs w:val="18"/>
              </w:rPr>
            </w:pPr>
          </w:p>
        </w:tc>
      </w:tr>
      <w:tr w:rsidRPr="00533D5C" w:rsidR="00EA417C" w:rsidTr="00EA417C">
        <w:tc>
          <w:tcPr>
            <w:tcW w:w="4348" w:type="pct"/>
            <w:tcBorders>
              <w:left w:val="nil"/>
              <w:right w:val="nil"/>
            </w:tcBorders>
            <w:hideMark/>
          </w:tcPr>
          <w:p w:rsidRPr="00533D5C" w:rsidR="00EA417C" w:rsidP="00533D5C" w:rsidRDefault="002E65E1">
            <w:pPr>
              <w:spacing w:line="240" w:lineRule="exact"/>
              <w:rPr>
                <w:rFonts w:ascii="Verdana" w:hAnsi="Verdana" w:cs="Courier New"/>
                <w:sz w:val="18"/>
                <w:szCs w:val="18"/>
              </w:rPr>
            </w:pPr>
            <w:r w:rsidRPr="00533D5C">
              <w:rPr>
                <w:rFonts w:ascii="Verdana" w:hAnsi="Verdana" w:cs="Courier New"/>
                <w:sz w:val="18"/>
                <w:szCs w:val="18"/>
              </w:rPr>
              <w:t>Stand Najaarsnota 2014</w:t>
            </w:r>
            <w:r w:rsidRPr="00533D5C" w:rsidR="00EA417C">
              <w:rPr>
                <w:rFonts w:ascii="Verdana" w:hAnsi="Verdana" w:cs="Courier New"/>
                <w:sz w:val="18"/>
                <w:szCs w:val="18"/>
              </w:rPr>
              <w:t xml:space="preserve"> (subtotaal)</w:t>
            </w:r>
          </w:p>
        </w:tc>
        <w:tc>
          <w:tcPr>
            <w:tcW w:w="652" w:type="pct"/>
            <w:tcBorders>
              <w:top w:val="single" w:color="000000" w:sz="6" w:space="0"/>
              <w:left w:val="nil"/>
              <w:right w:val="nil"/>
            </w:tcBorders>
            <w:hideMark/>
          </w:tcPr>
          <w:p w:rsidRPr="00533D5C" w:rsidR="00EA417C" w:rsidP="00533D5C" w:rsidRDefault="00EA417C">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EA417C" w:rsidTr="00EA417C">
        <w:tc>
          <w:tcPr>
            <w:tcW w:w="4348" w:type="pct"/>
            <w:tcBorders>
              <w:left w:val="nil"/>
              <w:right w:val="nil"/>
            </w:tcBorders>
            <w:hideMark/>
          </w:tcPr>
          <w:p w:rsidRPr="00533D5C" w:rsidR="00EA417C" w:rsidP="00533D5C" w:rsidRDefault="00EA417C">
            <w:pPr>
              <w:spacing w:line="240" w:lineRule="exact"/>
              <w:rPr>
                <w:rFonts w:ascii="Verdana" w:hAnsi="Verdana" w:cs="Courier New"/>
                <w:sz w:val="18"/>
                <w:szCs w:val="18"/>
              </w:rPr>
            </w:pPr>
            <w:r w:rsidRPr="00533D5C">
              <w:rPr>
                <w:rFonts w:ascii="Verdana" w:hAnsi="Verdana" w:cs="Courier New"/>
                <w:sz w:val="18"/>
                <w:szCs w:val="18"/>
              </w:rPr>
              <w:t>Totaal Internationale samenwerking</w:t>
            </w:r>
          </w:p>
        </w:tc>
        <w:tc>
          <w:tcPr>
            <w:tcW w:w="652" w:type="pct"/>
            <w:tcBorders>
              <w:left w:val="nil"/>
              <w:right w:val="nil"/>
            </w:tcBorders>
            <w:hideMark/>
          </w:tcPr>
          <w:p w:rsidRPr="00533D5C" w:rsidR="00EA417C" w:rsidP="00533D5C" w:rsidRDefault="00EA417C">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EA417C" w:rsidTr="00EA417C">
        <w:tc>
          <w:tcPr>
            <w:tcW w:w="4348" w:type="pct"/>
            <w:tcBorders>
              <w:left w:val="nil"/>
              <w:right w:val="nil"/>
            </w:tcBorders>
            <w:hideMark/>
          </w:tcPr>
          <w:p w:rsidRPr="00533D5C" w:rsidR="00EA417C" w:rsidP="00533D5C" w:rsidRDefault="002E65E1">
            <w:pPr>
              <w:spacing w:line="240" w:lineRule="exact"/>
              <w:rPr>
                <w:rFonts w:ascii="Verdana" w:hAnsi="Verdana" w:cs="Courier New"/>
                <w:sz w:val="18"/>
                <w:szCs w:val="18"/>
              </w:rPr>
            </w:pPr>
            <w:r w:rsidRPr="00533D5C">
              <w:rPr>
                <w:rFonts w:ascii="Verdana" w:hAnsi="Verdana" w:cs="Courier New"/>
                <w:sz w:val="18"/>
                <w:szCs w:val="18"/>
              </w:rPr>
              <w:t>Stand Najaarsnota 2014</w:t>
            </w:r>
          </w:p>
        </w:tc>
        <w:tc>
          <w:tcPr>
            <w:tcW w:w="652" w:type="pct"/>
            <w:tcBorders>
              <w:top w:val="single" w:color="000000" w:sz="6" w:space="0"/>
              <w:left w:val="nil"/>
              <w:right w:val="nil"/>
            </w:tcBorders>
            <w:hideMark/>
          </w:tcPr>
          <w:p w:rsidRPr="00533D5C" w:rsidR="00EA417C" w:rsidP="00533D5C" w:rsidRDefault="00EA417C">
            <w:pPr>
              <w:spacing w:line="240" w:lineRule="exact"/>
              <w:jc w:val="right"/>
              <w:rPr>
                <w:rFonts w:ascii="Verdana" w:hAnsi="Verdana" w:cs="Courier New"/>
                <w:sz w:val="18"/>
                <w:szCs w:val="18"/>
              </w:rPr>
            </w:pPr>
            <w:r w:rsidRPr="00533D5C">
              <w:rPr>
                <w:rFonts w:ascii="Verdana" w:hAnsi="Verdana" w:cs="Courier New"/>
                <w:sz w:val="18"/>
                <w:szCs w:val="18"/>
              </w:rPr>
              <w:t>0,0</w:t>
            </w:r>
          </w:p>
        </w:tc>
      </w:tr>
    </w:tbl>
    <w:p w:rsidRPr="00533D5C" w:rsidR="00EA417C" w:rsidP="00533D5C" w:rsidRDefault="00EA417C">
      <w:pPr>
        <w:spacing w:line="240" w:lineRule="exact"/>
        <w:rPr>
          <w:rFonts w:ascii="Verdana" w:hAnsi="Verdana" w:cs="Verdana"/>
          <w:sz w:val="18"/>
          <w:szCs w:val="18"/>
        </w:rPr>
      </w:pPr>
    </w:p>
    <w:p w:rsidRPr="00533D5C" w:rsidR="002E65E1" w:rsidP="00533D5C" w:rsidRDefault="002E65E1">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Infrastructuurfonds</w:t>
      </w:r>
    </w:p>
    <w:p w:rsidRPr="00533D5C" w:rsidR="00880694" w:rsidP="00533D5C" w:rsidRDefault="00880694">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628"/>
        <w:gridCol w:w="1584"/>
      </w:tblGrid>
      <w:tr w:rsidRPr="00533D5C" w:rsidR="00880694" w:rsidTr="00880694">
        <w:trPr>
          <w:trHeight w:val="225"/>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A INFRASTRUCTUURFONDS: UITGAVEN</w:t>
            </w: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6.149,0</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Saldo 2014 art. 12 wegen</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100,6</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Saldo 2014 art. 13 spoor</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-124,8</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Saldo 2014 art. 15 vaarwegen</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18,9</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Saldo 2014 art. 17 megaprojecten</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-35,1</w:t>
            </w:r>
          </w:p>
        </w:tc>
      </w:tr>
      <w:tr w:rsidRPr="00533D5C" w:rsidR="00880694" w:rsidTr="00880694">
        <w:trPr>
          <w:trHeight w:val="225"/>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-6,3</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-46,7</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25"/>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14,9</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14,9</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-31,8</w:t>
            </w:r>
          </w:p>
        </w:tc>
      </w:tr>
      <w:tr w:rsidRPr="00533D5C" w:rsidR="00880694" w:rsidTr="00880694">
        <w:trPr>
          <w:trHeight w:val="225"/>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6.117,2</w:t>
            </w:r>
          </w:p>
        </w:tc>
      </w:tr>
      <w:tr w:rsidRPr="00533D5C" w:rsidR="00880694" w:rsidTr="00880694">
        <w:trPr>
          <w:trHeight w:val="225"/>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6.117,2</w:t>
            </w:r>
          </w:p>
        </w:tc>
      </w:tr>
      <w:tr w:rsidRPr="00533D5C" w:rsidR="00880694" w:rsidTr="00880694">
        <w:trPr>
          <w:trHeight w:val="210"/>
        </w:trPr>
        <w:tc>
          <w:tcPr>
            <w:tcW w:w="414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p>
        </w:tc>
      </w:tr>
      <w:tr w:rsidRPr="00533D5C" w:rsidR="00880694" w:rsidTr="00013134">
        <w:trPr>
          <w:trHeight w:val="262"/>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A INFRASTRUCTUURFONDS: NIET-BELASTINGONTVANGSTEN</w:t>
            </w: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6.149,0</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Saldo 2014 art. 12 wegen</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-23,9</w:t>
            </w:r>
          </w:p>
        </w:tc>
      </w:tr>
      <w:tr w:rsidRPr="00533D5C" w:rsidR="00880694" w:rsidTr="00880694">
        <w:trPr>
          <w:trHeight w:val="225"/>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1,5</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-22,4</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25"/>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14,9</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14,9</w:t>
            </w: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-7,5</w:t>
            </w:r>
          </w:p>
        </w:tc>
      </w:tr>
      <w:tr w:rsidRPr="00533D5C" w:rsidR="00880694" w:rsidTr="00880694">
        <w:trPr>
          <w:trHeight w:val="225"/>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880694" w:rsidP="00533D5C" w:rsidRDefault="00880694">
            <w:pPr>
              <w:spacing w:line="240" w:lineRule="exact"/>
              <w:rPr>
                <w:rFonts w:ascii="Verdana" w:hAnsi="Verdana"/>
                <w:color w:val="000000"/>
                <w:sz w:val="18"/>
                <w:szCs w:val="18"/>
              </w:rPr>
            </w:pP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6.141,5</w:t>
            </w:r>
          </w:p>
        </w:tc>
      </w:tr>
      <w:tr w:rsidRPr="00533D5C" w:rsidR="00880694" w:rsidTr="00880694">
        <w:trPr>
          <w:trHeight w:val="225"/>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p>
        </w:tc>
      </w:tr>
      <w:tr w:rsidRPr="00533D5C" w:rsidR="00880694" w:rsidTr="00880694">
        <w:trPr>
          <w:trHeight w:val="210"/>
        </w:trPr>
        <w:tc>
          <w:tcPr>
            <w:tcW w:w="4140" w:type="pct"/>
            <w:tcBorders>
              <w:top w:val="nil"/>
              <w:left w:val="nil"/>
              <w:bottom w:val="nil"/>
              <w:right w:val="nil"/>
            </w:tcBorders>
            <w:shd w:val="clear" w:color="auto" w:fill="auto"/>
            <w:hideMark/>
          </w:tcPr>
          <w:p w:rsidRPr="00533D5C" w:rsidR="00880694" w:rsidP="00533D5C" w:rsidRDefault="00880694">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880694" w:rsidP="00533D5C" w:rsidRDefault="00880694">
            <w:pPr>
              <w:spacing w:line="240" w:lineRule="exact"/>
              <w:jc w:val="right"/>
              <w:rPr>
                <w:rFonts w:ascii="Verdana" w:hAnsi="Verdana"/>
                <w:color w:val="000000"/>
                <w:sz w:val="18"/>
                <w:szCs w:val="18"/>
              </w:rPr>
            </w:pPr>
            <w:r w:rsidRPr="00533D5C">
              <w:rPr>
                <w:rFonts w:ascii="Verdana" w:hAnsi="Verdana"/>
                <w:color w:val="000000"/>
                <w:sz w:val="18"/>
                <w:szCs w:val="18"/>
              </w:rPr>
              <w:t>6.141,5</w:t>
            </w:r>
          </w:p>
        </w:tc>
      </w:tr>
    </w:tbl>
    <w:p w:rsidRPr="00533D5C" w:rsidR="00880694" w:rsidP="00533D5C" w:rsidRDefault="00880694">
      <w:pPr>
        <w:spacing w:line="240" w:lineRule="exact"/>
        <w:rPr>
          <w:rFonts w:ascii="Verdana" w:hAnsi="Verdana" w:cs="Verdana"/>
          <w:b/>
          <w:bCs/>
          <w:sz w:val="18"/>
          <w:szCs w:val="18"/>
        </w:rPr>
      </w:pPr>
    </w:p>
    <w:p w:rsidRPr="00533D5C" w:rsidR="00EF63D2" w:rsidP="00533D5C" w:rsidRDefault="00EF63D2">
      <w:pPr>
        <w:spacing w:line="240" w:lineRule="exact"/>
        <w:rPr>
          <w:rFonts w:ascii="Verdana" w:hAnsi="Verdana" w:cs="Courier New"/>
          <w:i/>
          <w:sz w:val="18"/>
          <w:szCs w:val="18"/>
        </w:rPr>
      </w:pPr>
    </w:p>
    <w:p w:rsidRPr="00533D5C" w:rsidR="00C6149E" w:rsidP="00533D5C" w:rsidRDefault="00C6149E">
      <w:pPr>
        <w:spacing w:line="240" w:lineRule="exact"/>
        <w:rPr>
          <w:rFonts w:ascii="Verdana" w:hAnsi="Verdana" w:cs="Courier New"/>
          <w:i/>
          <w:sz w:val="18"/>
          <w:szCs w:val="18"/>
        </w:rPr>
      </w:pPr>
      <w:r w:rsidRPr="00533D5C">
        <w:rPr>
          <w:rFonts w:ascii="Verdana" w:hAnsi="Verdana" w:cs="Courier New"/>
          <w:i/>
          <w:sz w:val="18"/>
          <w:szCs w:val="18"/>
        </w:rPr>
        <w:t>Saldo 2014 art. 12 wegen uitgaven</w:t>
      </w:r>
    </w:p>
    <w:p w:rsidRPr="00533D5C" w:rsidR="00C6149E" w:rsidP="00533D5C" w:rsidRDefault="00C6149E">
      <w:pPr>
        <w:spacing w:line="240" w:lineRule="exact"/>
        <w:rPr>
          <w:rFonts w:ascii="Verdana" w:hAnsi="Verdana" w:cs="Courier New"/>
          <w:sz w:val="18"/>
          <w:szCs w:val="18"/>
        </w:rPr>
      </w:pPr>
      <w:r w:rsidRPr="00533D5C">
        <w:rPr>
          <w:rFonts w:ascii="Verdana" w:hAnsi="Verdana" w:cs="Courier New"/>
          <w:sz w:val="18"/>
          <w:szCs w:val="18"/>
        </w:rPr>
        <w:t>Op het artikel wegen is sprake van een overschrijding van ru</w:t>
      </w:r>
      <w:r w:rsidRPr="00533D5C" w:rsidR="00945967">
        <w:rPr>
          <w:rFonts w:ascii="Verdana" w:hAnsi="Verdana" w:cs="Courier New"/>
          <w:sz w:val="18"/>
          <w:szCs w:val="18"/>
        </w:rPr>
        <w:t>im 100 mln. Binnen</w:t>
      </w:r>
      <w:r w:rsidRPr="00533D5C">
        <w:rPr>
          <w:rFonts w:ascii="Verdana" w:hAnsi="Verdana" w:cs="Courier New"/>
          <w:sz w:val="18"/>
          <w:szCs w:val="18"/>
        </w:rPr>
        <w:t xml:space="preserve"> het artikel is sprake van minder uitgaven voor Beheer, Onderhoud en Vervanging als gevolg van vertraging in de aanbesteding van enkele projecten binnen het programma Vervanging en Renovatie (- 13 mln). </w:t>
      </w:r>
    </w:p>
    <w:p w:rsidRPr="00533D5C" w:rsidR="00C6149E" w:rsidP="00533D5C" w:rsidRDefault="00C6149E">
      <w:pPr>
        <w:spacing w:line="240" w:lineRule="exact"/>
        <w:rPr>
          <w:rFonts w:ascii="Verdana" w:hAnsi="Verdana"/>
          <w:sz w:val="18"/>
          <w:szCs w:val="18"/>
        </w:rPr>
      </w:pPr>
      <w:r w:rsidRPr="00533D5C">
        <w:rPr>
          <w:rFonts w:ascii="Verdana" w:hAnsi="Verdana" w:cs="Courier New"/>
          <w:sz w:val="18"/>
          <w:szCs w:val="18"/>
        </w:rPr>
        <w:t xml:space="preserve">Op aanleg wordt – zoals gemeld in de begroting van het Infrastructuurfonds – gewerkt met een overprogrammering (in 2014: 157 mln). Ten opzichte van de programmering is er minder gerealiseerd (-80 mln), wat leidt tot een overschrijding op aanleg van 77 mln. De belangrijkste veroorzakers van de lagere realisatie op aanleg zijn A1/A6/A9 Schiphol-Amsterdam, Almere, A4 Delft – Schiedam, Beter Benutten en A13/A16 Rotterdam. Daarnaast zijn er lagere uitgaven (-32 mln) voor Geïntegreerde Contractvormen die vooral worden veroorzaakt door het project N33 Assen-Zuidbroek. </w:t>
      </w:r>
      <w:r w:rsidRPr="00533D5C">
        <w:rPr>
          <w:rFonts w:ascii="Verdana" w:hAnsi="Verdana"/>
          <w:sz w:val="18"/>
          <w:szCs w:val="18"/>
        </w:rPr>
        <w:t xml:space="preserve">Bij de begroting 2015 is een negatieve investeringsruimte gepresenteerd voor 2014 (minregel in verband met het niet volledig uitkeren van de prijsbijstelling). Het minbedrag voor 2014 (68 mln) wordt bij najaarsnota opgelost. </w:t>
      </w:r>
    </w:p>
    <w:p w:rsidRPr="00533D5C" w:rsidR="00C6149E" w:rsidP="00533D5C" w:rsidRDefault="00C6149E">
      <w:pPr>
        <w:spacing w:line="240" w:lineRule="exact"/>
        <w:rPr>
          <w:rFonts w:ascii="Verdana" w:hAnsi="Verdana"/>
          <w:sz w:val="18"/>
          <w:szCs w:val="18"/>
        </w:rPr>
      </w:pPr>
    </w:p>
    <w:p w:rsidRPr="00533D5C" w:rsidR="00C6149E" w:rsidP="00533D5C" w:rsidRDefault="00C6149E">
      <w:pPr>
        <w:spacing w:line="240" w:lineRule="exact"/>
        <w:rPr>
          <w:rFonts w:ascii="Verdana" w:hAnsi="Verdana" w:cs="Courier New"/>
          <w:i/>
          <w:sz w:val="18"/>
          <w:szCs w:val="18"/>
        </w:rPr>
      </w:pPr>
      <w:r w:rsidRPr="00533D5C">
        <w:rPr>
          <w:rFonts w:ascii="Verdana" w:hAnsi="Verdana" w:cs="Courier New"/>
          <w:i/>
          <w:sz w:val="18"/>
          <w:szCs w:val="18"/>
        </w:rPr>
        <w:lastRenderedPageBreak/>
        <w:t>Saldo 2014 art. 13 spoor</w:t>
      </w:r>
    </w:p>
    <w:p w:rsidRPr="00533D5C" w:rsidR="00C6149E" w:rsidP="00533D5C" w:rsidRDefault="00C6149E">
      <w:pPr>
        <w:spacing w:line="240" w:lineRule="exact"/>
        <w:rPr>
          <w:rFonts w:ascii="Verdana" w:hAnsi="Verdana" w:cs="Courier New"/>
          <w:sz w:val="18"/>
          <w:szCs w:val="18"/>
        </w:rPr>
      </w:pPr>
      <w:r w:rsidRPr="00533D5C">
        <w:rPr>
          <w:rFonts w:ascii="Verdana" w:hAnsi="Verdana" w:cs="Courier New"/>
          <w:sz w:val="18"/>
          <w:szCs w:val="18"/>
        </w:rPr>
        <w:t xml:space="preserve">Op het artikel spoor is sprake van een onderschrijding van bijna 125 mln. Binnen het artikel zijn er lagere uitgaven (-17 mln.) voor beheer, onderhoud en vervanging omdat de wijzigingsbeschikking aan ProRail in 2014 lager uitvalt dan verwacht. Op aanleg wordt ook gewerkt met overprogrammering (in 2014: 27 mln). Ten opzichte van de programmering is er minder gerealiseerd (-133 mln), wat leidt tot een onderschrijding op aanleg van 106 mln. De belangrijkste veroorzakers van de lagere realisatie op aanleg zijn: Sporendriehoek Noord-Nederland, Goederencorridor Rotterdam-Genua, Programma kleine functiewijzigingen, Vleuten-Geldermalsen, Rijswijk-Schiedam incl. Spoorcorridor Delft, AKI Veiligheidsknelpunten en Punctualiteit en capaciteitsknelpunten (ATG). De lagere uitgaven (-14 mln.) op </w:t>
      </w:r>
      <w:r w:rsidRPr="00533D5C" w:rsidR="00945967">
        <w:rPr>
          <w:rFonts w:ascii="Verdana" w:hAnsi="Verdana" w:cs="Courier New"/>
          <w:sz w:val="18"/>
          <w:szCs w:val="18"/>
        </w:rPr>
        <w:t>g</w:t>
      </w:r>
      <w:r w:rsidRPr="00533D5C">
        <w:rPr>
          <w:rFonts w:ascii="Verdana" w:hAnsi="Verdana" w:cs="Courier New"/>
          <w:sz w:val="18"/>
          <w:szCs w:val="18"/>
        </w:rPr>
        <w:t>eïntegreerde contractvormen/PPS zijn het gevolg van meevallende renteaanpassingen en een lagere beschikbaarheidsvergoeding. Bij de begroting 2015 is een negatieve investeringsruimte gepresenteerd voor 2014 (in verband met het niet volledig uitkeren van de prijsbijstelling). Deze wordt nu opgeheven (13 mln).</w:t>
      </w:r>
    </w:p>
    <w:p w:rsidRPr="00533D5C" w:rsidR="00C6149E" w:rsidP="00533D5C" w:rsidRDefault="00C6149E">
      <w:pPr>
        <w:spacing w:line="240" w:lineRule="exact"/>
        <w:rPr>
          <w:rFonts w:ascii="Verdana" w:hAnsi="Verdana" w:cs="Courier New"/>
          <w:sz w:val="18"/>
          <w:szCs w:val="18"/>
        </w:rPr>
      </w:pPr>
    </w:p>
    <w:p w:rsidRPr="00533D5C" w:rsidR="00C6149E" w:rsidP="00533D5C" w:rsidRDefault="00C6149E">
      <w:pPr>
        <w:spacing w:line="240" w:lineRule="exact"/>
        <w:rPr>
          <w:rFonts w:ascii="Verdana" w:hAnsi="Verdana" w:cs="Courier New"/>
          <w:i/>
          <w:sz w:val="18"/>
          <w:szCs w:val="18"/>
        </w:rPr>
      </w:pPr>
      <w:r w:rsidRPr="00533D5C">
        <w:rPr>
          <w:rFonts w:ascii="Verdana" w:hAnsi="Verdana" w:cs="Courier New"/>
          <w:i/>
          <w:sz w:val="18"/>
          <w:szCs w:val="18"/>
        </w:rPr>
        <w:t>Saldo 2014 art. 15 vaarwegen</w:t>
      </w:r>
    </w:p>
    <w:p w:rsidRPr="00533D5C" w:rsidR="00C6149E" w:rsidP="00533D5C" w:rsidRDefault="00C6149E">
      <w:pPr>
        <w:spacing w:line="240" w:lineRule="exact"/>
        <w:rPr>
          <w:rFonts w:ascii="Verdana" w:hAnsi="Verdana" w:cs="Courier New"/>
          <w:sz w:val="18"/>
          <w:szCs w:val="18"/>
        </w:rPr>
      </w:pPr>
      <w:r w:rsidRPr="00533D5C">
        <w:rPr>
          <w:rFonts w:ascii="Verdana" w:hAnsi="Verdana" w:cs="Courier New"/>
          <w:sz w:val="18"/>
          <w:szCs w:val="18"/>
        </w:rPr>
        <w:t>Op het vaarwegen artikel is sprake van een overschrijding van bijna 19 mln. Binnen het artikel zijn voor het programma Vervanging en Renovatie lagere uitgaven voor de projecten Impuls Groot Onderhoud, NoMo-AOV en Berging Baltic Ace (-14 mln.). Op aanleg wordt ook gewerkt met overprogrammering (in 2014: 21 mln</w:t>
      </w:r>
      <w:r w:rsidRPr="00533D5C" w:rsidR="00916D17">
        <w:rPr>
          <w:rFonts w:ascii="Verdana" w:hAnsi="Verdana" w:cs="Courier New"/>
          <w:sz w:val="18"/>
          <w:szCs w:val="18"/>
        </w:rPr>
        <w:t>.</w:t>
      </w:r>
      <w:r w:rsidRPr="00533D5C">
        <w:rPr>
          <w:rFonts w:ascii="Verdana" w:hAnsi="Verdana" w:cs="Courier New"/>
          <w:sz w:val="18"/>
          <w:szCs w:val="18"/>
        </w:rPr>
        <w:t>). Ten opzichte van de programmering is er minder gerealiseerd (-7 mln</w:t>
      </w:r>
      <w:r w:rsidRPr="00533D5C" w:rsidR="00916D17">
        <w:rPr>
          <w:rFonts w:ascii="Verdana" w:hAnsi="Verdana" w:cs="Courier New"/>
          <w:sz w:val="18"/>
          <w:szCs w:val="18"/>
        </w:rPr>
        <w:t>.</w:t>
      </w:r>
      <w:r w:rsidRPr="00533D5C">
        <w:rPr>
          <w:rFonts w:ascii="Verdana" w:hAnsi="Verdana" w:cs="Courier New"/>
          <w:sz w:val="18"/>
          <w:szCs w:val="18"/>
        </w:rPr>
        <w:t xml:space="preserve">), wat leidt tot een overschrijding op aanleg van 14 mln. </w:t>
      </w:r>
      <w:r w:rsidRPr="00533D5C" w:rsidR="00945967">
        <w:rPr>
          <w:rFonts w:ascii="Verdana" w:hAnsi="Verdana" w:cs="Courier New"/>
          <w:sz w:val="18"/>
          <w:szCs w:val="18"/>
        </w:rPr>
        <w:t xml:space="preserve">Bij de begroting is een </w:t>
      </w:r>
      <w:r w:rsidRPr="00533D5C">
        <w:rPr>
          <w:rFonts w:ascii="Verdana" w:hAnsi="Verdana" w:cs="Courier New"/>
          <w:sz w:val="18"/>
          <w:szCs w:val="18"/>
        </w:rPr>
        <w:t>negatieve investeringsruimte gepresenteerd voor 2014 (in verband met het niet volledig uitkeren van de prijsbijstelling). Deze wordt nu opgeheven (19 mln</w:t>
      </w:r>
      <w:r w:rsidRPr="00533D5C" w:rsidR="00916D17">
        <w:rPr>
          <w:rFonts w:ascii="Verdana" w:hAnsi="Verdana" w:cs="Courier New"/>
          <w:sz w:val="18"/>
          <w:szCs w:val="18"/>
        </w:rPr>
        <w:t>.</w:t>
      </w:r>
      <w:r w:rsidRPr="00533D5C">
        <w:rPr>
          <w:rFonts w:ascii="Verdana" w:hAnsi="Verdana" w:cs="Courier New"/>
          <w:sz w:val="18"/>
          <w:szCs w:val="18"/>
        </w:rPr>
        <w:t>).</w:t>
      </w:r>
    </w:p>
    <w:p w:rsidRPr="00533D5C" w:rsidR="00C6149E" w:rsidP="00533D5C" w:rsidRDefault="00C6149E">
      <w:pPr>
        <w:spacing w:line="240" w:lineRule="exact"/>
        <w:rPr>
          <w:rFonts w:ascii="Verdana" w:hAnsi="Verdana" w:cs="Courier New"/>
          <w:i/>
          <w:sz w:val="18"/>
          <w:szCs w:val="18"/>
        </w:rPr>
      </w:pPr>
    </w:p>
    <w:p w:rsidRPr="00533D5C" w:rsidR="00C6149E" w:rsidP="00533D5C" w:rsidRDefault="00C6149E">
      <w:pPr>
        <w:spacing w:line="240" w:lineRule="exact"/>
        <w:rPr>
          <w:rFonts w:ascii="Verdana" w:hAnsi="Verdana" w:cs="Courier New"/>
          <w:i/>
          <w:sz w:val="18"/>
          <w:szCs w:val="18"/>
        </w:rPr>
      </w:pPr>
      <w:r w:rsidRPr="00533D5C">
        <w:rPr>
          <w:rFonts w:ascii="Verdana" w:hAnsi="Verdana" w:cs="Courier New"/>
          <w:i/>
          <w:sz w:val="18"/>
          <w:szCs w:val="18"/>
        </w:rPr>
        <w:t>Saldo 2014 art. 17 megaprojecten</w:t>
      </w:r>
    </w:p>
    <w:p w:rsidRPr="00533D5C" w:rsidR="00C6149E" w:rsidP="00533D5C" w:rsidRDefault="00C6149E">
      <w:pPr>
        <w:spacing w:line="240" w:lineRule="exact"/>
        <w:rPr>
          <w:rFonts w:ascii="Verdana" w:hAnsi="Verdana" w:cs="Courier New"/>
          <w:sz w:val="18"/>
          <w:szCs w:val="18"/>
        </w:rPr>
      </w:pPr>
      <w:r w:rsidRPr="00533D5C">
        <w:rPr>
          <w:rFonts w:ascii="Verdana" w:hAnsi="Verdana" w:cs="Courier New"/>
          <w:sz w:val="18"/>
          <w:szCs w:val="18"/>
        </w:rPr>
        <w:t>Dit betreft het saldo van uitgaven op artikel 17 Megaprojecten. De uitgaven aan de Betuweroute vallen lager uit (-2,5 mln.) omdat er in 2014 geen beroep wordt gedaan op de post onvoorzien. De lagere uitgaven (-6 mln.) voor de HSL worden veroorzaakt doordat een groot deel van de ontvangsten die aan het uitgavenbudget zijn toegevoegd niet meer in 2014 wordt uitgegeven. Er zijn ook lagere uitgaven (-17,5 mln.) aan ERTMS doordat IenM, ProRail en NS sinds de start van de kwartiermakersfase vooral capaciteit uit de eigen organisaties hebben gehaald. De lagere uitgaven (- 9 mln</w:t>
      </w:r>
      <w:r w:rsidRPr="00533D5C" w:rsidR="00916D17">
        <w:rPr>
          <w:rFonts w:ascii="Verdana" w:hAnsi="Verdana" w:cs="Courier New"/>
          <w:sz w:val="18"/>
          <w:szCs w:val="18"/>
        </w:rPr>
        <w:t>.</w:t>
      </w:r>
      <w:r w:rsidRPr="00533D5C">
        <w:rPr>
          <w:rFonts w:ascii="Verdana" w:hAnsi="Verdana" w:cs="Courier New"/>
          <w:sz w:val="18"/>
          <w:szCs w:val="18"/>
        </w:rPr>
        <w:t>) voor de ZuidasDok worden veroorzaakt doordat een deel van de uitgaven voor Functievrij maken (voorbereiding realisatie) in 2014</w:t>
      </w:r>
      <w:r w:rsidRPr="00533D5C" w:rsidR="00916D17">
        <w:rPr>
          <w:rFonts w:ascii="Verdana" w:hAnsi="Verdana" w:cs="Courier New"/>
          <w:sz w:val="18"/>
          <w:szCs w:val="18"/>
        </w:rPr>
        <w:t xml:space="preserve"> doorschuiven naar latere jaren.</w:t>
      </w:r>
    </w:p>
    <w:p w:rsidRPr="00533D5C" w:rsidR="00C6149E" w:rsidP="00533D5C" w:rsidRDefault="00C6149E">
      <w:pPr>
        <w:spacing w:line="240" w:lineRule="exact"/>
        <w:rPr>
          <w:rFonts w:ascii="Verdana" w:hAnsi="Verdana" w:cs="Courier New"/>
          <w:i/>
          <w:sz w:val="18"/>
          <w:szCs w:val="18"/>
        </w:rPr>
      </w:pPr>
    </w:p>
    <w:p w:rsidRPr="00533D5C" w:rsidR="00C6149E" w:rsidP="00533D5C" w:rsidRDefault="00C6149E">
      <w:pPr>
        <w:spacing w:line="240" w:lineRule="exact"/>
        <w:rPr>
          <w:rFonts w:ascii="Verdana" w:hAnsi="Verdana" w:cs="Courier New"/>
          <w:i/>
          <w:sz w:val="18"/>
          <w:szCs w:val="18"/>
        </w:rPr>
      </w:pPr>
      <w:r w:rsidRPr="00533D5C">
        <w:rPr>
          <w:rFonts w:ascii="Verdana" w:hAnsi="Verdana" w:cs="Courier New"/>
          <w:i/>
          <w:sz w:val="18"/>
          <w:szCs w:val="18"/>
        </w:rPr>
        <w:t>Diversen</w:t>
      </w:r>
      <w:r w:rsidRPr="00533D5C" w:rsidR="00673CF1">
        <w:rPr>
          <w:rFonts w:ascii="Verdana" w:hAnsi="Verdana" w:cs="Courier New"/>
          <w:i/>
          <w:sz w:val="18"/>
          <w:szCs w:val="18"/>
        </w:rPr>
        <w:t xml:space="preserve"> - Beleidsmatige mutaties</w:t>
      </w:r>
    </w:p>
    <w:p w:rsidRPr="00533D5C" w:rsidR="00C6149E" w:rsidP="00533D5C" w:rsidRDefault="00C6149E">
      <w:pPr>
        <w:spacing w:line="240" w:lineRule="exact"/>
        <w:rPr>
          <w:rFonts w:ascii="Verdana" w:hAnsi="Verdana" w:cs="Courier New"/>
          <w:sz w:val="18"/>
          <w:szCs w:val="18"/>
        </w:rPr>
      </w:pPr>
      <w:r w:rsidRPr="00533D5C">
        <w:rPr>
          <w:rFonts w:ascii="Verdana" w:hAnsi="Verdana" w:cs="Courier New"/>
          <w:sz w:val="18"/>
          <w:szCs w:val="18"/>
        </w:rPr>
        <w:t xml:space="preserve">Dit betreft het saldo van verschillende mutaties. De belangrijkste worden toegelicht. </w:t>
      </w:r>
    </w:p>
    <w:p w:rsidRPr="00533D5C" w:rsidR="00C6149E" w:rsidP="00533D5C" w:rsidRDefault="00C6149E">
      <w:pPr>
        <w:spacing w:line="240" w:lineRule="exact"/>
        <w:rPr>
          <w:rFonts w:ascii="Verdana" w:hAnsi="Verdana" w:cs="Courier New"/>
          <w:sz w:val="18"/>
          <w:szCs w:val="18"/>
        </w:rPr>
      </w:pPr>
      <w:r w:rsidRPr="00533D5C">
        <w:rPr>
          <w:rFonts w:ascii="Verdana" w:hAnsi="Verdana" w:cs="Courier New"/>
          <w:sz w:val="18"/>
          <w:szCs w:val="18"/>
        </w:rPr>
        <w:t>Op artikel 18 Overige Uitgaven en Ontvangsten worden de lagere uitgaven (-3 mln.) aan Externe Veiligheid veroorzaakt door de vertraging bij de invoering van de Wet Basisnet, waardoor RWS niet het oorspronkelijke opkoopprogramma (woningen) heeft kunnen uitvoeren. Daarnaast zijn er lagere uitgaven (</w:t>
      </w:r>
      <w:r w:rsidRPr="00533D5C" w:rsidR="00673FF9">
        <w:rPr>
          <w:rFonts w:ascii="Verdana" w:hAnsi="Verdana" w:cs="Courier New"/>
          <w:sz w:val="18"/>
          <w:szCs w:val="18"/>
        </w:rPr>
        <w:t>-</w:t>
      </w:r>
      <w:r w:rsidRPr="00533D5C">
        <w:rPr>
          <w:rFonts w:ascii="Verdana" w:hAnsi="Verdana" w:cs="Courier New"/>
          <w:sz w:val="18"/>
          <w:szCs w:val="18"/>
        </w:rPr>
        <w:t>1 mln.) voor artikelonderdeel 18.03 Intermodaal Vervoer. Die worden veroorzaakt doordat het project “Container Transferium Alblasserdam”</w:t>
      </w:r>
      <w:r w:rsidRPr="00533D5C" w:rsidR="00945967">
        <w:rPr>
          <w:rFonts w:ascii="Verdana" w:hAnsi="Verdana" w:cs="Courier New"/>
          <w:sz w:val="18"/>
          <w:szCs w:val="18"/>
        </w:rPr>
        <w:t xml:space="preserve"> pas in 2015 wordt opgeleverd.</w:t>
      </w:r>
    </w:p>
    <w:p w:rsidRPr="00533D5C" w:rsidR="00C6149E" w:rsidP="00533D5C" w:rsidRDefault="00C6149E">
      <w:pPr>
        <w:spacing w:line="240" w:lineRule="exact"/>
        <w:rPr>
          <w:rFonts w:ascii="Verdana" w:hAnsi="Verdana" w:cs="Courier New"/>
          <w:i/>
          <w:sz w:val="18"/>
          <w:szCs w:val="18"/>
        </w:rPr>
      </w:pPr>
    </w:p>
    <w:p w:rsidRPr="00533D5C" w:rsidR="00C6149E" w:rsidP="00533D5C" w:rsidRDefault="00C6149E">
      <w:pPr>
        <w:spacing w:line="240" w:lineRule="exact"/>
        <w:rPr>
          <w:rFonts w:ascii="Verdana" w:hAnsi="Verdana" w:cs="Courier New"/>
          <w:i/>
          <w:sz w:val="18"/>
          <w:szCs w:val="18"/>
        </w:rPr>
      </w:pPr>
      <w:r w:rsidRPr="00533D5C">
        <w:rPr>
          <w:rFonts w:ascii="Verdana" w:hAnsi="Verdana" w:cs="Courier New"/>
          <w:i/>
          <w:sz w:val="18"/>
          <w:szCs w:val="18"/>
        </w:rPr>
        <w:t>Diversen</w:t>
      </w:r>
      <w:r w:rsidRPr="00533D5C" w:rsidR="00673CF1">
        <w:rPr>
          <w:rFonts w:ascii="Verdana" w:hAnsi="Verdana" w:cs="Courier New"/>
          <w:i/>
          <w:sz w:val="18"/>
          <w:szCs w:val="18"/>
        </w:rPr>
        <w:t xml:space="preserve"> - Technische mutaties uitgaven</w:t>
      </w:r>
    </w:p>
    <w:p w:rsidRPr="00533D5C" w:rsidR="00C6149E" w:rsidP="00533D5C" w:rsidRDefault="00C6149E">
      <w:pPr>
        <w:spacing w:line="240" w:lineRule="exact"/>
        <w:rPr>
          <w:rFonts w:ascii="Verdana" w:hAnsi="Verdana" w:cs="Courier New"/>
          <w:sz w:val="18"/>
          <w:szCs w:val="18"/>
        </w:rPr>
      </w:pPr>
      <w:r w:rsidRPr="00533D5C">
        <w:rPr>
          <w:rFonts w:ascii="Verdana" w:hAnsi="Verdana" w:cs="Courier New"/>
          <w:sz w:val="18"/>
          <w:szCs w:val="18"/>
        </w:rPr>
        <w:t xml:space="preserve">Dit betreft het saldo van verschillende mutaties. De belangrijkste wordt toegelicht. </w:t>
      </w:r>
    </w:p>
    <w:p w:rsidRPr="00533D5C" w:rsidR="00C6149E" w:rsidP="00533D5C" w:rsidRDefault="00C6149E">
      <w:pPr>
        <w:pStyle w:val="Lijstalinea"/>
        <w:numPr>
          <w:ilvl w:val="0"/>
          <w:numId w:val="17"/>
        </w:numPr>
        <w:spacing w:line="240" w:lineRule="exact"/>
        <w:contextualSpacing/>
        <w:rPr>
          <w:rFonts w:ascii="Verdana" w:hAnsi="Verdana" w:cs="Courier New"/>
          <w:sz w:val="18"/>
          <w:szCs w:val="18"/>
        </w:rPr>
      </w:pPr>
      <w:r w:rsidRPr="00533D5C">
        <w:rPr>
          <w:rFonts w:ascii="Verdana" w:hAnsi="Verdana" w:cs="Courier New"/>
          <w:sz w:val="18"/>
          <w:szCs w:val="18"/>
        </w:rPr>
        <w:t xml:space="preserve">Een overboeking (-9 mln.) van het Infrastructuurfonds artikel 13 Spoor naar HXII artikel 16 Spoor ten behoeve van het project Pilot ERTMS (deel NS); </w:t>
      </w:r>
    </w:p>
    <w:p w:rsidRPr="00533D5C" w:rsidR="00C6149E" w:rsidP="00533D5C" w:rsidRDefault="00C6149E">
      <w:pPr>
        <w:pStyle w:val="Lijstalinea"/>
        <w:numPr>
          <w:ilvl w:val="0"/>
          <w:numId w:val="17"/>
        </w:numPr>
        <w:spacing w:line="240" w:lineRule="exact"/>
        <w:contextualSpacing/>
        <w:rPr>
          <w:rFonts w:ascii="Verdana" w:hAnsi="Verdana" w:cs="Courier New"/>
          <w:sz w:val="18"/>
          <w:szCs w:val="18"/>
        </w:rPr>
      </w:pPr>
      <w:r w:rsidRPr="00533D5C">
        <w:rPr>
          <w:rFonts w:ascii="Verdana" w:hAnsi="Verdana" w:cs="Courier New"/>
          <w:sz w:val="18"/>
          <w:szCs w:val="18"/>
        </w:rPr>
        <w:t>Verscheidene medeoverheden hebben geld overgemaakt naar het Infrastructuurfonds voor aanleg Wegen. Per saldo gaat het om 17 mln. Hiervoor worden zowel de uit</w:t>
      </w:r>
      <w:r w:rsidRPr="00533D5C" w:rsidR="00945967">
        <w:rPr>
          <w:rFonts w:ascii="Verdana" w:hAnsi="Verdana" w:cs="Courier New"/>
          <w:sz w:val="18"/>
          <w:szCs w:val="18"/>
        </w:rPr>
        <w:t>gaven als ontvangsten van het Infrastructuurfonds</w:t>
      </w:r>
      <w:r w:rsidRPr="00533D5C">
        <w:rPr>
          <w:rFonts w:ascii="Verdana" w:hAnsi="Verdana" w:cs="Courier New"/>
          <w:sz w:val="18"/>
          <w:szCs w:val="18"/>
        </w:rPr>
        <w:t xml:space="preserve"> verhoogd;</w:t>
      </w:r>
    </w:p>
    <w:p w:rsidRPr="00533D5C" w:rsidR="00C6149E" w:rsidP="00533D5C" w:rsidRDefault="00C6149E">
      <w:pPr>
        <w:pStyle w:val="Lijstalinea"/>
        <w:numPr>
          <w:ilvl w:val="0"/>
          <w:numId w:val="17"/>
        </w:numPr>
        <w:spacing w:line="240" w:lineRule="exact"/>
        <w:contextualSpacing/>
        <w:rPr>
          <w:rFonts w:ascii="Verdana" w:hAnsi="Verdana" w:cs="Courier New"/>
          <w:sz w:val="18"/>
          <w:szCs w:val="18"/>
        </w:rPr>
      </w:pPr>
      <w:r w:rsidRPr="00533D5C">
        <w:rPr>
          <w:rFonts w:ascii="Verdana" w:hAnsi="Verdana" w:cs="Courier New"/>
          <w:sz w:val="18"/>
          <w:szCs w:val="18"/>
        </w:rPr>
        <w:t>De verkoop van restgronden en door aannemers betaalde afkoopsommen voor niet uitgevoerd herstelwerk met betrekking tot de HSL-ZUID leiden tot een toename van 6 mln. van zowel de ontvangsten als de uitgaven op artikel 17 Megaprojecten.</w:t>
      </w:r>
    </w:p>
    <w:p w:rsidRPr="00533D5C" w:rsidR="00C6149E" w:rsidP="00533D5C" w:rsidRDefault="00C6149E">
      <w:pPr>
        <w:spacing w:line="240" w:lineRule="exact"/>
        <w:rPr>
          <w:rFonts w:ascii="Verdana" w:hAnsi="Verdana" w:cs="Courier New"/>
          <w:sz w:val="18"/>
          <w:szCs w:val="18"/>
        </w:rPr>
      </w:pPr>
    </w:p>
    <w:p w:rsidRPr="00533D5C" w:rsidR="00C6149E" w:rsidP="00533D5C" w:rsidRDefault="00C6149E">
      <w:pPr>
        <w:spacing w:line="240" w:lineRule="exact"/>
        <w:rPr>
          <w:rFonts w:ascii="Verdana" w:hAnsi="Verdana" w:cs="Courier New"/>
          <w:i/>
          <w:sz w:val="18"/>
          <w:szCs w:val="18"/>
        </w:rPr>
      </w:pPr>
      <w:r w:rsidRPr="00533D5C">
        <w:rPr>
          <w:rFonts w:ascii="Verdana" w:hAnsi="Verdana" w:cs="Courier New"/>
          <w:i/>
          <w:sz w:val="18"/>
          <w:szCs w:val="18"/>
        </w:rPr>
        <w:t>Saldo 2014 art. 12 wegen</w:t>
      </w:r>
      <w:r w:rsidRPr="00533D5C" w:rsidR="00673CF1">
        <w:rPr>
          <w:rFonts w:ascii="Verdana" w:hAnsi="Verdana" w:cs="Courier New"/>
          <w:i/>
          <w:sz w:val="18"/>
          <w:szCs w:val="18"/>
        </w:rPr>
        <w:t xml:space="preserve"> ontvangsten</w:t>
      </w:r>
    </w:p>
    <w:p w:rsidRPr="00533D5C" w:rsidR="00C6149E" w:rsidP="00533D5C" w:rsidRDefault="00C6149E">
      <w:pPr>
        <w:spacing w:line="240" w:lineRule="exact"/>
        <w:rPr>
          <w:rFonts w:ascii="Verdana" w:hAnsi="Verdana" w:cs="Courier New"/>
          <w:sz w:val="18"/>
          <w:szCs w:val="18"/>
        </w:rPr>
      </w:pPr>
      <w:r w:rsidRPr="00533D5C">
        <w:rPr>
          <w:rFonts w:ascii="Verdana" w:hAnsi="Verdana" w:cs="Courier New"/>
          <w:sz w:val="18"/>
          <w:szCs w:val="18"/>
        </w:rPr>
        <w:t xml:space="preserve">De lagere ontvangsten (-24 mln.) op artikel 12 Hoofdwegennet worden met name veroorzaakt door het later ontvangen van bijdragen aan het project N33 Assen-Zuidbroek als gevolg van een aangepaste uitvoeringsplanning. </w:t>
      </w:r>
    </w:p>
    <w:p w:rsidRPr="00533D5C" w:rsidR="00C6149E" w:rsidP="00533D5C" w:rsidRDefault="00C6149E">
      <w:pPr>
        <w:spacing w:line="240" w:lineRule="exact"/>
        <w:rPr>
          <w:rFonts w:ascii="Verdana" w:hAnsi="Verdana" w:cs="Courier New"/>
          <w:sz w:val="18"/>
          <w:szCs w:val="18"/>
        </w:rPr>
      </w:pPr>
    </w:p>
    <w:p w:rsidRPr="00533D5C" w:rsidR="00C6149E" w:rsidP="00533D5C" w:rsidRDefault="00C6149E">
      <w:pPr>
        <w:spacing w:line="240" w:lineRule="exact"/>
        <w:rPr>
          <w:rFonts w:ascii="Verdana" w:hAnsi="Verdana" w:cs="Courier New"/>
          <w:i/>
          <w:sz w:val="18"/>
          <w:szCs w:val="18"/>
        </w:rPr>
      </w:pPr>
      <w:r w:rsidRPr="00533D5C">
        <w:rPr>
          <w:rFonts w:ascii="Verdana" w:hAnsi="Verdana" w:cs="Courier New"/>
          <w:i/>
          <w:sz w:val="18"/>
          <w:szCs w:val="18"/>
        </w:rPr>
        <w:lastRenderedPageBreak/>
        <w:t xml:space="preserve">Diversen - </w:t>
      </w:r>
      <w:r w:rsidRPr="00533D5C" w:rsidR="00673CF1">
        <w:rPr>
          <w:rFonts w:ascii="Verdana" w:hAnsi="Verdana" w:cs="Courier New"/>
          <w:i/>
          <w:sz w:val="18"/>
          <w:szCs w:val="18"/>
        </w:rPr>
        <w:t>Technische mutaties ontvangsten</w:t>
      </w:r>
    </w:p>
    <w:p w:rsidRPr="00533D5C" w:rsidR="00C6149E" w:rsidP="00533D5C" w:rsidRDefault="00C6149E">
      <w:pPr>
        <w:spacing w:line="240" w:lineRule="exact"/>
        <w:rPr>
          <w:rFonts w:ascii="Verdana" w:hAnsi="Verdana" w:cs="Courier New"/>
          <w:sz w:val="18"/>
          <w:szCs w:val="18"/>
        </w:rPr>
      </w:pPr>
      <w:r w:rsidRPr="00533D5C">
        <w:rPr>
          <w:rFonts w:ascii="Verdana" w:hAnsi="Verdana" w:cs="Courier New"/>
          <w:sz w:val="18"/>
          <w:szCs w:val="18"/>
        </w:rPr>
        <w:t xml:space="preserve">Dit betreft het saldo van verschillende mutaties. De belangrijkste worden toegelicht. </w:t>
      </w:r>
    </w:p>
    <w:p w:rsidRPr="00533D5C" w:rsidR="00C6149E" w:rsidP="00533D5C" w:rsidRDefault="00C6149E">
      <w:pPr>
        <w:pStyle w:val="Lijstalinea"/>
        <w:numPr>
          <w:ilvl w:val="0"/>
          <w:numId w:val="18"/>
        </w:numPr>
        <w:spacing w:line="240" w:lineRule="exact"/>
        <w:contextualSpacing/>
        <w:rPr>
          <w:rFonts w:ascii="Verdana" w:hAnsi="Verdana" w:cs="Courier New"/>
          <w:sz w:val="18"/>
          <w:szCs w:val="18"/>
        </w:rPr>
      </w:pPr>
      <w:r w:rsidRPr="00533D5C">
        <w:rPr>
          <w:rFonts w:ascii="Verdana" w:hAnsi="Verdana" w:cs="Courier New"/>
          <w:sz w:val="18"/>
          <w:szCs w:val="18"/>
        </w:rPr>
        <w:t xml:space="preserve">Een overboeking (-9 mln.) van het Infrastructuurfonds artikel 13 Spoor naar HXII artikel 16 Spoor ten behoeve van het project Pilot ERTMS (deel NS); </w:t>
      </w:r>
    </w:p>
    <w:p w:rsidRPr="00533D5C" w:rsidR="00C6149E" w:rsidP="00533D5C" w:rsidRDefault="00C6149E">
      <w:pPr>
        <w:pStyle w:val="Lijstalinea"/>
        <w:numPr>
          <w:ilvl w:val="0"/>
          <w:numId w:val="18"/>
        </w:numPr>
        <w:spacing w:line="240" w:lineRule="exact"/>
        <w:contextualSpacing/>
        <w:rPr>
          <w:rFonts w:ascii="Verdana" w:hAnsi="Verdana" w:cs="Courier New"/>
          <w:sz w:val="18"/>
          <w:szCs w:val="18"/>
        </w:rPr>
      </w:pPr>
      <w:r w:rsidRPr="00533D5C">
        <w:rPr>
          <w:rFonts w:ascii="Verdana" w:hAnsi="Verdana" w:cs="Courier New"/>
          <w:sz w:val="18"/>
          <w:szCs w:val="18"/>
        </w:rPr>
        <w:t xml:space="preserve">Verscheidene medeoverheden hebben geld overgemaakt naar het Infrastructuurfonds voor aanleg Wegen. Per saldo gaat het om 17 mln. Hiervoor worden zowel de uitgaven als ontvangsten van het IF verhoogd. </w:t>
      </w:r>
    </w:p>
    <w:p w:rsidRPr="00533D5C" w:rsidR="00C6149E" w:rsidP="00533D5C" w:rsidRDefault="00C6149E">
      <w:pPr>
        <w:pStyle w:val="Lijstalinea"/>
        <w:numPr>
          <w:ilvl w:val="0"/>
          <w:numId w:val="18"/>
        </w:numPr>
        <w:spacing w:line="240" w:lineRule="exact"/>
        <w:contextualSpacing/>
        <w:rPr>
          <w:rFonts w:ascii="Verdana" w:hAnsi="Verdana" w:cs="Courier New"/>
          <w:sz w:val="18"/>
          <w:szCs w:val="18"/>
        </w:rPr>
      </w:pPr>
      <w:r w:rsidRPr="00533D5C">
        <w:rPr>
          <w:rFonts w:ascii="Verdana" w:hAnsi="Verdana" w:cs="Courier New"/>
          <w:sz w:val="18"/>
          <w:szCs w:val="18"/>
        </w:rPr>
        <w:t>De verkoop van restgronden en door aannemers betaalde afkoopsommen voor niet uitgevoerd herstelwerk met betrekking tot de HSL-ZUID leiden tot een toename van 6 mln. van zowel de ontvangsten als de uitgaven op artikel 17 Megaprojecten.</w:t>
      </w:r>
    </w:p>
    <w:p w:rsidRPr="00533D5C" w:rsidR="00512EDB" w:rsidP="00533D5C" w:rsidRDefault="00880694">
      <w:pPr>
        <w:spacing w:line="240" w:lineRule="exact"/>
        <w:rPr>
          <w:rFonts w:ascii="Verdana" w:hAnsi="Verdana" w:cs="Verdana"/>
          <w:b/>
          <w:bCs/>
          <w:sz w:val="18"/>
          <w:szCs w:val="18"/>
        </w:rPr>
      </w:pPr>
      <w:r w:rsidRPr="00533D5C">
        <w:rPr>
          <w:rFonts w:ascii="Verdana" w:hAnsi="Verdana" w:cs="Verdana"/>
          <w:b/>
          <w:bCs/>
          <w:sz w:val="18"/>
          <w:szCs w:val="18"/>
        </w:rPr>
        <w:br w:type="page"/>
      </w:r>
      <w:r w:rsidRPr="00533D5C" w:rsidR="00C05141">
        <w:rPr>
          <w:rFonts w:ascii="Verdana" w:hAnsi="Verdana" w:cs="Verdana"/>
          <w:b/>
          <w:bCs/>
          <w:sz w:val="18"/>
          <w:szCs w:val="18"/>
        </w:rPr>
        <w:lastRenderedPageBreak/>
        <w:t>Diergezondheidsfonds</w:t>
      </w:r>
    </w:p>
    <w:p w:rsidRPr="00533D5C" w:rsidR="003175B4" w:rsidP="00533D5C" w:rsidRDefault="003175B4">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827"/>
        <w:gridCol w:w="1385"/>
      </w:tblGrid>
      <w:tr w:rsidRPr="00533D5C" w:rsidR="003175B4" w:rsidTr="003175B4">
        <w:trPr>
          <w:trHeight w:val="225"/>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F DIERGEZONDHEIDSFONDS: UITGAVEN</w:t>
            </w: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20,2</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25"/>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2,2</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2,2</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2,2</w:t>
            </w:r>
          </w:p>
        </w:tc>
      </w:tr>
      <w:tr w:rsidRPr="00533D5C" w:rsidR="003175B4" w:rsidTr="003175B4">
        <w:trPr>
          <w:trHeight w:val="225"/>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22,4</w:t>
            </w:r>
          </w:p>
        </w:tc>
      </w:tr>
      <w:tr w:rsidRPr="00533D5C" w:rsidR="003175B4" w:rsidTr="003175B4">
        <w:trPr>
          <w:trHeight w:val="225"/>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52" w:type="pct"/>
            <w:tcBorders>
              <w:top w:val="single" w:color="000000" w:sz="8" w:space="0"/>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22,4</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10"/>
        </w:trPr>
        <w:tc>
          <w:tcPr>
            <w:tcW w:w="4248"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C811E5">
        <w:trPr>
          <w:trHeight w:val="248"/>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F DIERGEZONDHEIDSFONDS: NIET-BELASTINGONTVANGSTEN</w:t>
            </w: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20,2</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Niet tot een ijklijn behorend</w:t>
            </w: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25"/>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2,2</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2,2</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2,2</w:t>
            </w:r>
          </w:p>
        </w:tc>
      </w:tr>
      <w:tr w:rsidRPr="00533D5C" w:rsidR="003175B4" w:rsidTr="003175B4">
        <w:trPr>
          <w:trHeight w:val="225"/>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22,4</w:t>
            </w:r>
          </w:p>
        </w:tc>
      </w:tr>
      <w:tr w:rsidRPr="00533D5C" w:rsidR="003175B4" w:rsidTr="003175B4">
        <w:trPr>
          <w:trHeight w:val="225"/>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52" w:type="pct"/>
            <w:tcBorders>
              <w:top w:val="single" w:color="000000" w:sz="8" w:space="0"/>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22,4</w:t>
            </w:r>
          </w:p>
        </w:tc>
      </w:tr>
    </w:tbl>
    <w:p w:rsidRPr="00533D5C" w:rsidR="003175B4" w:rsidP="00533D5C" w:rsidRDefault="003175B4">
      <w:pPr>
        <w:spacing w:line="240" w:lineRule="exact"/>
        <w:rPr>
          <w:rFonts w:ascii="Verdana" w:hAnsi="Verdana" w:cs="Verdana"/>
          <w:b/>
          <w:bCs/>
          <w:sz w:val="18"/>
          <w:szCs w:val="18"/>
        </w:rPr>
      </w:pPr>
    </w:p>
    <w:p w:rsidRPr="00533D5C" w:rsidR="003175B4" w:rsidP="00533D5C" w:rsidRDefault="003175B4">
      <w:pPr>
        <w:spacing w:line="240" w:lineRule="exact"/>
        <w:rPr>
          <w:rFonts w:ascii="Verdana" w:hAnsi="Verdana" w:cs="Verdana"/>
          <w:b/>
          <w:bCs/>
          <w:sz w:val="18"/>
          <w:szCs w:val="18"/>
          <w:lang w:val="en-US"/>
        </w:rPr>
      </w:pPr>
      <w:r w:rsidRPr="00533D5C">
        <w:rPr>
          <w:rFonts w:ascii="Verdana" w:hAnsi="Verdana" w:cs="Verdana"/>
          <w:b/>
          <w:bCs/>
          <w:sz w:val="18"/>
          <w:szCs w:val="18"/>
          <w:lang w:val="en-US"/>
        </w:rPr>
        <w:br w:type="page"/>
      </w:r>
    </w:p>
    <w:p w:rsidRPr="00533D5C" w:rsidR="004925F3" w:rsidP="00533D5C" w:rsidRDefault="005B5FE7">
      <w:pPr>
        <w:spacing w:line="240" w:lineRule="exact"/>
        <w:rPr>
          <w:rFonts w:ascii="Verdana" w:hAnsi="Verdana" w:cs="Verdana"/>
          <w:b/>
          <w:bCs/>
          <w:sz w:val="18"/>
          <w:szCs w:val="18"/>
          <w:lang w:val="en-US"/>
        </w:rPr>
      </w:pPr>
      <w:r w:rsidRPr="00533D5C">
        <w:rPr>
          <w:rFonts w:ascii="Verdana" w:hAnsi="Verdana" w:cs="Verdana"/>
          <w:b/>
          <w:bCs/>
          <w:sz w:val="18"/>
          <w:szCs w:val="18"/>
          <w:lang w:val="en-US"/>
        </w:rPr>
        <w:lastRenderedPageBreak/>
        <w:t>Accres Gemeentefonds</w:t>
      </w:r>
    </w:p>
    <w:p w:rsidRPr="00533D5C" w:rsidR="005C0903" w:rsidP="00533D5C" w:rsidRDefault="005C0903">
      <w:pPr>
        <w:spacing w:line="240" w:lineRule="exact"/>
        <w:rPr>
          <w:rFonts w:ascii="Verdana" w:hAnsi="Verdana" w:cs="Verdana"/>
          <w:b/>
          <w:bCs/>
          <w:sz w:val="18"/>
          <w:szCs w:val="18"/>
          <w:lang w:val="en-US"/>
        </w:rPr>
      </w:pPr>
    </w:p>
    <w:tbl>
      <w:tblPr>
        <w:tblW w:w="5000" w:type="pct"/>
        <w:tblCellMar>
          <w:left w:w="70" w:type="dxa"/>
          <w:right w:w="70" w:type="dxa"/>
        </w:tblCellMar>
        <w:tblLook w:val="04A0"/>
      </w:tblPr>
      <w:tblGrid>
        <w:gridCol w:w="8335"/>
        <w:gridCol w:w="877"/>
      </w:tblGrid>
      <w:tr w:rsidRPr="00533D5C" w:rsidR="005C0903" w:rsidTr="005C0903">
        <w:trPr>
          <w:trHeight w:val="24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ACCRES GEMEENTEFONDS: UITGAVEN</w:t>
            </w:r>
          </w:p>
        </w:tc>
        <w:tc>
          <w:tcPr>
            <w:tcW w:w="476" w:type="pct"/>
            <w:tcBorders>
              <w:top w:val="nil"/>
              <w:left w:val="nil"/>
              <w:bottom w:val="nil"/>
              <w:right w:val="nil"/>
            </w:tcBorders>
            <w:shd w:val="clear" w:color="auto" w:fill="auto"/>
            <w:noWrap/>
            <w:vAlign w:val="bottom"/>
            <w:hideMark/>
          </w:tcPr>
          <w:p w:rsidRPr="00533D5C" w:rsidR="005C0903" w:rsidP="00533D5C" w:rsidRDefault="005C0903">
            <w:pPr>
              <w:spacing w:line="240" w:lineRule="exact"/>
              <w:rPr>
                <w:rFonts w:ascii="Verdana" w:hAnsi="Verdana"/>
                <w:color w:val="000000"/>
                <w:sz w:val="18"/>
                <w:szCs w:val="18"/>
              </w:rPr>
            </w:pPr>
          </w:p>
        </w:tc>
      </w:tr>
      <w:tr w:rsidRPr="00533D5C" w:rsidR="005C0903" w:rsidTr="005C0903">
        <w:trPr>
          <w:trHeight w:val="240"/>
        </w:trPr>
        <w:tc>
          <w:tcPr>
            <w:tcW w:w="4524" w:type="pct"/>
            <w:tcBorders>
              <w:top w:val="single" w:color="000000" w:sz="8" w:space="0"/>
              <w:left w:val="nil"/>
              <w:bottom w:val="single" w:color="000000" w:sz="8" w:space="0"/>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476" w:type="pct"/>
            <w:tcBorders>
              <w:top w:val="single" w:color="000000" w:sz="8" w:space="0"/>
              <w:left w:val="nil"/>
              <w:bottom w:val="single" w:color="000000" w:sz="8" w:space="0"/>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5C0903" w:rsidTr="005C0903">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5C0903">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5C0903">
        <w:trPr>
          <w:trHeight w:val="24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p>
        </w:tc>
        <w:tc>
          <w:tcPr>
            <w:tcW w:w="476" w:type="pct"/>
            <w:tcBorders>
              <w:top w:val="nil"/>
              <w:left w:val="nil"/>
              <w:bottom w:val="nil"/>
              <w:right w:val="nil"/>
            </w:tcBorders>
            <w:shd w:val="clear" w:color="auto" w:fill="auto"/>
            <w:noWrap/>
            <w:vAlign w:val="bottom"/>
            <w:hideMark/>
          </w:tcPr>
          <w:p w:rsidRPr="00533D5C" w:rsidR="005C0903" w:rsidP="00533D5C" w:rsidRDefault="005C0903">
            <w:pPr>
              <w:spacing w:line="240" w:lineRule="exact"/>
              <w:rPr>
                <w:rFonts w:ascii="Verdana" w:hAnsi="Verdana"/>
                <w:color w:val="000000"/>
                <w:sz w:val="18"/>
                <w:szCs w:val="18"/>
              </w:rPr>
            </w:pPr>
          </w:p>
        </w:tc>
      </w:tr>
      <w:tr w:rsidRPr="00533D5C" w:rsidR="005C0903" w:rsidTr="005C0903">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476" w:type="pct"/>
            <w:tcBorders>
              <w:top w:val="single" w:color="000000" w:sz="8" w:space="0"/>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5C0903">
        <w:trPr>
          <w:trHeight w:val="24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5C0903">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476" w:type="pct"/>
            <w:tcBorders>
              <w:top w:val="single" w:color="000000" w:sz="8" w:space="0"/>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5C0903">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p>
        </w:tc>
        <w:tc>
          <w:tcPr>
            <w:tcW w:w="476" w:type="pct"/>
            <w:tcBorders>
              <w:top w:val="nil"/>
              <w:left w:val="nil"/>
              <w:bottom w:val="nil"/>
              <w:right w:val="nil"/>
            </w:tcBorders>
            <w:shd w:val="clear" w:color="auto" w:fill="auto"/>
            <w:noWrap/>
            <w:vAlign w:val="bottom"/>
            <w:hideMark/>
          </w:tcPr>
          <w:p w:rsidRPr="00533D5C" w:rsidR="005C0903" w:rsidP="00533D5C" w:rsidRDefault="005C0903">
            <w:pPr>
              <w:spacing w:line="240" w:lineRule="exact"/>
              <w:rPr>
                <w:rFonts w:ascii="Verdana" w:hAnsi="Verdana"/>
                <w:color w:val="000000"/>
                <w:sz w:val="18"/>
                <w:szCs w:val="18"/>
              </w:rPr>
            </w:pPr>
          </w:p>
        </w:tc>
      </w:tr>
      <w:tr w:rsidRPr="00533D5C" w:rsidR="005C0903" w:rsidTr="005C0903">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p>
        </w:tc>
      </w:tr>
      <w:tr w:rsidRPr="00533D5C" w:rsidR="005C0903" w:rsidTr="005C0903">
        <w:trPr>
          <w:trHeight w:val="27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ACCRES GEMEENTEFONDS: NIET-BELASTINGONTVANGSTEN</w:t>
            </w:r>
          </w:p>
        </w:tc>
        <w:tc>
          <w:tcPr>
            <w:tcW w:w="476" w:type="pct"/>
            <w:tcBorders>
              <w:top w:val="nil"/>
              <w:left w:val="nil"/>
              <w:bottom w:val="nil"/>
              <w:right w:val="nil"/>
            </w:tcBorders>
            <w:shd w:val="clear" w:color="auto" w:fill="auto"/>
            <w:noWrap/>
            <w:vAlign w:val="bottom"/>
            <w:hideMark/>
          </w:tcPr>
          <w:p w:rsidRPr="00533D5C" w:rsidR="005C0903" w:rsidP="00533D5C" w:rsidRDefault="005C0903">
            <w:pPr>
              <w:spacing w:line="240" w:lineRule="exact"/>
              <w:rPr>
                <w:rFonts w:ascii="Verdana" w:hAnsi="Verdana"/>
                <w:color w:val="000000"/>
                <w:sz w:val="18"/>
                <w:szCs w:val="18"/>
              </w:rPr>
            </w:pPr>
          </w:p>
        </w:tc>
      </w:tr>
      <w:tr w:rsidRPr="00533D5C" w:rsidR="005C0903" w:rsidTr="005C0903">
        <w:trPr>
          <w:trHeight w:val="240"/>
        </w:trPr>
        <w:tc>
          <w:tcPr>
            <w:tcW w:w="4524" w:type="pct"/>
            <w:tcBorders>
              <w:top w:val="single" w:color="000000" w:sz="8" w:space="0"/>
              <w:left w:val="nil"/>
              <w:bottom w:val="single" w:color="000000" w:sz="8" w:space="0"/>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476" w:type="pct"/>
            <w:tcBorders>
              <w:top w:val="single" w:color="000000" w:sz="8" w:space="0"/>
              <w:left w:val="nil"/>
              <w:bottom w:val="single" w:color="000000" w:sz="8" w:space="0"/>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5C0903" w:rsidTr="005C0903">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5C0903">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5C0903">
        <w:trPr>
          <w:trHeight w:val="24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p>
        </w:tc>
        <w:tc>
          <w:tcPr>
            <w:tcW w:w="476" w:type="pct"/>
            <w:tcBorders>
              <w:top w:val="nil"/>
              <w:left w:val="nil"/>
              <w:bottom w:val="nil"/>
              <w:right w:val="nil"/>
            </w:tcBorders>
            <w:shd w:val="clear" w:color="auto" w:fill="auto"/>
            <w:noWrap/>
            <w:vAlign w:val="bottom"/>
            <w:hideMark/>
          </w:tcPr>
          <w:p w:rsidRPr="00533D5C" w:rsidR="005C0903" w:rsidP="00533D5C" w:rsidRDefault="005C0903">
            <w:pPr>
              <w:spacing w:line="240" w:lineRule="exact"/>
              <w:rPr>
                <w:rFonts w:ascii="Verdana" w:hAnsi="Verdana"/>
                <w:color w:val="000000"/>
                <w:sz w:val="18"/>
                <w:szCs w:val="18"/>
              </w:rPr>
            </w:pPr>
          </w:p>
        </w:tc>
      </w:tr>
      <w:tr w:rsidRPr="00533D5C" w:rsidR="005C0903" w:rsidTr="005C0903">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476" w:type="pct"/>
            <w:tcBorders>
              <w:top w:val="single" w:color="000000" w:sz="8" w:space="0"/>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5C0903">
        <w:trPr>
          <w:trHeight w:val="24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5C0903">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476" w:type="pct"/>
            <w:tcBorders>
              <w:top w:val="single" w:color="000000" w:sz="8" w:space="0"/>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bl>
    <w:p w:rsidRPr="00533D5C" w:rsidR="003175B4" w:rsidP="00533D5C" w:rsidRDefault="003175B4">
      <w:pPr>
        <w:spacing w:line="240" w:lineRule="exact"/>
        <w:rPr>
          <w:rFonts w:ascii="Verdana" w:hAnsi="Verdana" w:cs="Verdana"/>
          <w:b/>
          <w:bCs/>
          <w:sz w:val="18"/>
          <w:szCs w:val="18"/>
          <w:lang w:val="en-US"/>
        </w:rPr>
      </w:pPr>
      <w:r w:rsidRPr="00533D5C">
        <w:rPr>
          <w:rFonts w:ascii="Verdana" w:hAnsi="Verdana" w:cs="Verdana"/>
          <w:b/>
          <w:bCs/>
          <w:sz w:val="18"/>
          <w:szCs w:val="18"/>
          <w:lang w:val="en-US"/>
        </w:rPr>
        <w:br w:type="page"/>
      </w:r>
    </w:p>
    <w:p w:rsidRPr="00533D5C" w:rsidR="00BA6D14" w:rsidP="00533D5C" w:rsidRDefault="00BA6D14">
      <w:pPr>
        <w:spacing w:line="240" w:lineRule="exact"/>
        <w:rPr>
          <w:rFonts w:ascii="Verdana" w:hAnsi="Verdana" w:cs="Verdana"/>
          <w:b/>
          <w:bCs/>
          <w:sz w:val="18"/>
          <w:szCs w:val="18"/>
          <w:lang w:val="en-US"/>
        </w:rPr>
      </w:pPr>
      <w:r w:rsidRPr="00533D5C">
        <w:rPr>
          <w:rFonts w:ascii="Verdana" w:hAnsi="Verdana" w:cs="Verdana"/>
          <w:b/>
          <w:bCs/>
          <w:sz w:val="18"/>
          <w:szCs w:val="18"/>
          <w:lang w:val="en-US"/>
        </w:rPr>
        <w:lastRenderedPageBreak/>
        <w:t>Accres Provinciefonds</w:t>
      </w:r>
    </w:p>
    <w:p w:rsidRPr="00533D5C" w:rsidR="005C0903" w:rsidP="00533D5C" w:rsidRDefault="005C0903">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8335"/>
        <w:gridCol w:w="877"/>
      </w:tblGrid>
      <w:tr w:rsidRPr="00533D5C" w:rsidR="005C0903" w:rsidTr="00EE0D82">
        <w:trPr>
          <w:trHeight w:val="24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ACCRES PROVINCIEFONDS: UITGAVEN</w:t>
            </w:r>
          </w:p>
        </w:tc>
        <w:tc>
          <w:tcPr>
            <w:tcW w:w="476" w:type="pct"/>
            <w:tcBorders>
              <w:top w:val="nil"/>
              <w:left w:val="nil"/>
              <w:bottom w:val="nil"/>
              <w:right w:val="nil"/>
            </w:tcBorders>
            <w:shd w:val="clear" w:color="auto" w:fill="auto"/>
            <w:noWrap/>
            <w:vAlign w:val="bottom"/>
            <w:hideMark/>
          </w:tcPr>
          <w:p w:rsidRPr="00533D5C" w:rsidR="005C0903" w:rsidP="00533D5C" w:rsidRDefault="005C0903">
            <w:pPr>
              <w:spacing w:line="240" w:lineRule="exact"/>
              <w:rPr>
                <w:rFonts w:ascii="Verdana" w:hAnsi="Verdana"/>
                <w:color w:val="000000"/>
                <w:sz w:val="18"/>
                <w:szCs w:val="18"/>
              </w:rPr>
            </w:pPr>
          </w:p>
        </w:tc>
      </w:tr>
      <w:tr w:rsidRPr="00533D5C" w:rsidR="005C0903" w:rsidTr="00EE0D82">
        <w:trPr>
          <w:trHeight w:val="240"/>
        </w:trPr>
        <w:tc>
          <w:tcPr>
            <w:tcW w:w="4524" w:type="pct"/>
            <w:tcBorders>
              <w:top w:val="single" w:color="000000" w:sz="8" w:space="0"/>
              <w:left w:val="nil"/>
              <w:bottom w:val="single" w:color="000000" w:sz="8" w:space="0"/>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476" w:type="pct"/>
            <w:tcBorders>
              <w:top w:val="single" w:color="000000" w:sz="8" w:space="0"/>
              <w:left w:val="nil"/>
              <w:bottom w:val="single" w:color="000000" w:sz="8" w:space="0"/>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5C0903" w:rsidTr="00EE0D82">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EE0D82">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EE0D82">
        <w:trPr>
          <w:trHeight w:val="24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p>
        </w:tc>
        <w:tc>
          <w:tcPr>
            <w:tcW w:w="476" w:type="pct"/>
            <w:tcBorders>
              <w:top w:val="nil"/>
              <w:left w:val="nil"/>
              <w:bottom w:val="nil"/>
              <w:right w:val="nil"/>
            </w:tcBorders>
            <w:shd w:val="clear" w:color="auto" w:fill="auto"/>
            <w:noWrap/>
            <w:vAlign w:val="bottom"/>
            <w:hideMark/>
          </w:tcPr>
          <w:p w:rsidRPr="00533D5C" w:rsidR="005C0903" w:rsidP="00533D5C" w:rsidRDefault="005C0903">
            <w:pPr>
              <w:spacing w:line="240" w:lineRule="exact"/>
              <w:rPr>
                <w:rFonts w:ascii="Verdana" w:hAnsi="Verdana"/>
                <w:color w:val="000000"/>
                <w:sz w:val="18"/>
                <w:szCs w:val="18"/>
              </w:rPr>
            </w:pPr>
          </w:p>
        </w:tc>
      </w:tr>
      <w:tr w:rsidRPr="00533D5C" w:rsidR="005C0903" w:rsidTr="00EE0D82">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476" w:type="pct"/>
            <w:tcBorders>
              <w:top w:val="single" w:color="000000" w:sz="8" w:space="0"/>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EE0D82">
        <w:trPr>
          <w:trHeight w:val="24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EE0D82">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476" w:type="pct"/>
            <w:tcBorders>
              <w:top w:val="single" w:color="000000" w:sz="8" w:space="0"/>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EE0D82">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p>
        </w:tc>
        <w:tc>
          <w:tcPr>
            <w:tcW w:w="476" w:type="pct"/>
            <w:tcBorders>
              <w:top w:val="nil"/>
              <w:left w:val="nil"/>
              <w:bottom w:val="nil"/>
              <w:right w:val="nil"/>
            </w:tcBorders>
            <w:shd w:val="clear" w:color="auto" w:fill="auto"/>
            <w:noWrap/>
            <w:vAlign w:val="bottom"/>
            <w:hideMark/>
          </w:tcPr>
          <w:p w:rsidRPr="00533D5C" w:rsidR="005C0903" w:rsidP="00533D5C" w:rsidRDefault="005C0903">
            <w:pPr>
              <w:spacing w:line="240" w:lineRule="exact"/>
              <w:rPr>
                <w:rFonts w:ascii="Verdana" w:hAnsi="Verdana"/>
                <w:color w:val="000000"/>
                <w:sz w:val="18"/>
                <w:szCs w:val="18"/>
              </w:rPr>
            </w:pPr>
          </w:p>
        </w:tc>
      </w:tr>
      <w:tr w:rsidRPr="00533D5C" w:rsidR="005C0903" w:rsidTr="00EE0D82">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p>
        </w:tc>
      </w:tr>
      <w:tr w:rsidRPr="00533D5C" w:rsidR="005C0903" w:rsidTr="00EE0D82">
        <w:trPr>
          <w:trHeight w:val="27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ACCRES PROVINCIEFONDS: NIET-BELASTINGONTVANGSTEN</w:t>
            </w:r>
          </w:p>
        </w:tc>
        <w:tc>
          <w:tcPr>
            <w:tcW w:w="476" w:type="pct"/>
            <w:tcBorders>
              <w:top w:val="nil"/>
              <w:left w:val="nil"/>
              <w:bottom w:val="nil"/>
              <w:right w:val="nil"/>
            </w:tcBorders>
            <w:shd w:val="clear" w:color="auto" w:fill="auto"/>
            <w:noWrap/>
            <w:vAlign w:val="bottom"/>
            <w:hideMark/>
          </w:tcPr>
          <w:p w:rsidRPr="00533D5C" w:rsidR="005C0903" w:rsidP="00533D5C" w:rsidRDefault="005C0903">
            <w:pPr>
              <w:spacing w:line="240" w:lineRule="exact"/>
              <w:rPr>
                <w:rFonts w:ascii="Verdana" w:hAnsi="Verdana"/>
                <w:color w:val="000000"/>
                <w:sz w:val="18"/>
                <w:szCs w:val="18"/>
              </w:rPr>
            </w:pPr>
          </w:p>
        </w:tc>
      </w:tr>
      <w:tr w:rsidRPr="00533D5C" w:rsidR="005C0903" w:rsidTr="00EE0D82">
        <w:trPr>
          <w:trHeight w:val="240"/>
        </w:trPr>
        <w:tc>
          <w:tcPr>
            <w:tcW w:w="4524" w:type="pct"/>
            <w:tcBorders>
              <w:top w:val="single" w:color="000000" w:sz="8" w:space="0"/>
              <w:left w:val="nil"/>
              <w:bottom w:val="single" w:color="000000" w:sz="8" w:space="0"/>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476" w:type="pct"/>
            <w:tcBorders>
              <w:top w:val="single" w:color="000000" w:sz="8" w:space="0"/>
              <w:left w:val="nil"/>
              <w:bottom w:val="single" w:color="000000" w:sz="8" w:space="0"/>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5C0903" w:rsidTr="00EE0D82">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EE0D82">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EE0D82">
        <w:trPr>
          <w:trHeight w:val="24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p>
        </w:tc>
        <w:tc>
          <w:tcPr>
            <w:tcW w:w="476" w:type="pct"/>
            <w:tcBorders>
              <w:top w:val="nil"/>
              <w:left w:val="nil"/>
              <w:bottom w:val="nil"/>
              <w:right w:val="nil"/>
            </w:tcBorders>
            <w:shd w:val="clear" w:color="auto" w:fill="auto"/>
            <w:noWrap/>
            <w:vAlign w:val="bottom"/>
            <w:hideMark/>
          </w:tcPr>
          <w:p w:rsidRPr="00533D5C" w:rsidR="005C0903" w:rsidP="00533D5C" w:rsidRDefault="005C0903">
            <w:pPr>
              <w:spacing w:line="240" w:lineRule="exact"/>
              <w:rPr>
                <w:rFonts w:ascii="Verdana" w:hAnsi="Verdana"/>
                <w:color w:val="000000"/>
                <w:sz w:val="18"/>
                <w:szCs w:val="18"/>
              </w:rPr>
            </w:pPr>
          </w:p>
        </w:tc>
      </w:tr>
      <w:tr w:rsidRPr="00533D5C" w:rsidR="005C0903" w:rsidTr="00EE0D82">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476" w:type="pct"/>
            <w:tcBorders>
              <w:top w:val="single" w:color="000000" w:sz="8" w:space="0"/>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EE0D82">
        <w:trPr>
          <w:trHeight w:val="240"/>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476" w:type="pct"/>
            <w:tcBorders>
              <w:top w:val="nil"/>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5C0903" w:rsidTr="00EE0D82">
        <w:trPr>
          <w:trHeight w:val="225"/>
        </w:trPr>
        <w:tc>
          <w:tcPr>
            <w:tcW w:w="4524" w:type="pct"/>
            <w:tcBorders>
              <w:top w:val="nil"/>
              <w:left w:val="nil"/>
              <w:bottom w:val="nil"/>
              <w:right w:val="nil"/>
            </w:tcBorders>
            <w:shd w:val="clear" w:color="auto" w:fill="auto"/>
            <w:hideMark/>
          </w:tcPr>
          <w:p w:rsidRPr="00533D5C" w:rsidR="005C0903" w:rsidP="00533D5C" w:rsidRDefault="005C0903">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476" w:type="pct"/>
            <w:tcBorders>
              <w:top w:val="single" w:color="000000" w:sz="8" w:space="0"/>
              <w:left w:val="nil"/>
              <w:bottom w:val="nil"/>
              <w:right w:val="nil"/>
            </w:tcBorders>
            <w:shd w:val="clear" w:color="auto" w:fill="auto"/>
            <w:hideMark/>
          </w:tcPr>
          <w:p w:rsidRPr="00533D5C" w:rsidR="005C0903" w:rsidP="00533D5C" w:rsidRDefault="005C0903">
            <w:pPr>
              <w:spacing w:line="240" w:lineRule="exact"/>
              <w:jc w:val="right"/>
              <w:rPr>
                <w:rFonts w:ascii="Verdana" w:hAnsi="Verdana"/>
                <w:color w:val="000000"/>
                <w:sz w:val="18"/>
                <w:szCs w:val="18"/>
              </w:rPr>
            </w:pPr>
            <w:r w:rsidRPr="00533D5C">
              <w:rPr>
                <w:rFonts w:ascii="Verdana" w:hAnsi="Verdana"/>
                <w:color w:val="000000"/>
                <w:sz w:val="18"/>
                <w:szCs w:val="18"/>
              </w:rPr>
              <w:t>0,0</w:t>
            </w:r>
          </w:p>
        </w:tc>
      </w:tr>
    </w:tbl>
    <w:p w:rsidRPr="00533D5C" w:rsidR="005D154D" w:rsidP="00533D5C" w:rsidRDefault="00BA6D14">
      <w:pPr>
        <w:spacing w:line="240" w:lineRule="exact"/>
        <w:rPr>
          <w:rFonts w:ascii="Verdana" w:hAnsi="Verdana" w:cs="Verdana"/>
          <w:b/>
          <w:bCs/>
          <w:sz w:val="18"/>
          <w:szCs w:val="18"/>
          <w:lang w:val="en-US"/>
        </w:rPr>
      </w:pPr>
      <w:r w:rsidRPr="00533D5C">
        <w:rPr>
          <w:rFonts w:ascii="Verdana" w:hAnsi="Verdana" w:cs="Verdana"/>
          <w:b/>
          <w:bCs/>
          <w:sz w:val="18"/>
          <w:szCs w:val="18"/>
        </w:rPr>
        <w:br w:type="page"/>
      </w:r>
      <w:r w:rsidRPr="00533D5C" w:rsidR="005569FA">
        <w:rPr>
          <w:rFonts w:ascii="Verdana" w:hAnsi="Verdana" w:cs="Verdana"/>
          <w:b/>
          <w:bCs/>
          <w:sz w:val="18"/>
          <w:szCs w:val="18"/>
          <w:lang w:val="en-US"/>
        </w:rPr>
        <w:lastRenderedPageBreak/>
        <w:t>BES-fonds</w:t>
      </w:r>
    </w:p>
    <w:p w:rsidRPr="00533D5C" w:rsidR="003175B4" w:rsidP="00533D5C" w:rsidRDefault="003175B4">
      <w:pPr>
        <w:spacing w:line="240" w:lineRule="exact"/>
        <w:rPr>
          <w:rFonts w:ascii="Verdana" w:hAnsi="Verdana" w:cs="Verdana"/>
          <w:b/>
          <w:bCs/>
          <w:sz w:val="18"/>
          <w:szCs w:val="18"/>
          <w:lang w:val="en-US"/>
        </w:rPr>
      </w:pPr>
    </w:p>
    <w:tbl>
      <w:tblPr>
        <w:tblW w:w="5000" w:type="pct"/>
        <w:tblCellMar>
          <w:left w:w="70" w:type="dxa"/>
          <w:right w:w="70" w:type="dxa"/>
        </w:tblCellMar>
        <w:tblLook w:val="04A0"/>
      </w:tblPr>
      <w:tblGrid>
        <w:gridCol w:w="7827"/>
        <w:gridCol w:w="1385"/>
      </w:tblGrid>
      <w:tr w:rsidRPr="00533D5C" w:rsidR="003175B4" w:rsidTr="003175B4">
        <w:trPr>
          <w:trHeight w:val="225"/>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H BES-FONDS: UITGAVEN</w:t>
            </w: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25"/>
        </w:trPr>
        <w:tc>
          <w:tcPr>
            <w:tcW w:w="4248" w:type="pct"/>
            <w:tcBorders>
              <w:top w:val="single" w:color="000000" w:sz="8" w:space="0"/>
              <w:left w:val="nil"/>
              <w:bottom w:val="single" w:color="000000" w:sz="8" w:space="0"/>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52" w:type="pct"/>
            <w:tcBorders>
              <w:top w:val="single" w:color="000000" w:sz="8" w:space="0"/>
              <w:left w:val="nil"/>
              <w:bottom w:val="single" w:color="000000" w:sz="8" w:space="0"/>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32</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25"/>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4,9</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p>
        </w:tc>
        <w:tc>
          <w:tcPr>
            <w:tcW w:w="752" w:type="pct"/>
            <w:tcBorders>
              <w:top w:val="single" w:color="000000" w:sz="8" w:space="0"/>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4,9</w:t>
            </w: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4,9</w:t>
            </w:r>
          </w:p>
        </w:tc>
      </w:tr>
      <w:tr w:rsidRPr="00533D5C" w:rsidR="003175B4" w:rsidTr="003175B4">
        <w:trPr>
          <w:trHeight w:val="225"/>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p>
        </w:tc>
        <w:tc>
          <w:tcPr>
            <w:tcW w:w="752" w:type="pct"/>
            <w:tcBorders>
              <w:top w:val="nil"/>
              <w:left w:val="nil"/>
              <w:bottom w:val="nil"/>
              <w:right w:val="nil"/>
            </w:tcBorders>
            <w:shd w:val="clear" w:color="auto" w:fill="auto"/>
            <w:noWrap/>
            <w:vAlign w:val="bottom"/>
            <w:hideMark/>
          </w:tcPr>
          <w:p w:rsidRPr="00533D5C" w:rsidR="003175B4" w:rsidP="00533D5C" w:rsidRDefault="003175B4">
            <w:pPr>
              <w:spacing w:line="240" w:lineRule="exact"/>
              <w:rPr>
                <w:rFonts w:ascii="Verdana" w:hAnsi="Verdana"/>
                <w:color w:val="000000"/>
                <w:sz w:val="18"/>
                <w:szCs w:val="18"/>
              </w:rPr>
            </w:pP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752" w:type="pct"/>
            <w:tcBorders>
              <w:top w:val="single" w:color="000000" w:sz="8" w:space="0"/>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36,9</w:t>
            </w:r>
          </w:p>
        </w:tc>
      </w:tr>
      <w:tr w:rsidRPr="00533D5C" w:rsidR="003175B4" w:rsidTr="003175B4">
        <w:trPr>
          <w:trHeight w:val="225"/>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752" w:type="pct"/>
            <w:tcBorders>
              <w:top w:val="nil"/>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p>
        </w:tc>
      </w:tr>
      <w:tr w:rsidRPr="00533D5C" w:rsidR="003175B4" w:rsidTr="003175B4">
        <w:trPr>
          <w:trHeight w:val="210"/>
        </w:trPr>
        <w:tc>
          <w:tcPr>
            <w:tcW w:w="4248" w:type="pct"/>
            <w:tcBorders>
              <w:top w:val="nil"/>
              <w:left w:val="nil"/>
              <w:bottom w:val="nil"/>
              <w:right w:val="nil"/>
            </w:tcBorders>
            <w:shd w:val="clear" w:color="auto" w:fill="auto"/>
            <w:hideMark/>
          </w:tcPr>
          <w:p w:rsidRPr="00533D5C" w:rsidR="003175B4" w:rsidP="00533D5C" w:rsidRDefault="003175B4">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52" w:type="pct"/>
            <w:tcBorders>
              <w:top w:val="single" w:color="000000" w:sz="8" w:space="0"/>
              <w:left w:val="nil"/>
              <w:bottom w:val="nil"/>
              <w:right w:val="nil"/>
            </w:tcBorders>
            <w:shd w:val="clear" w:color="auto" w:fill="auto"/>
            <w:hideMark/>
          </w:tcPr>
          <w:p w:rsidRPr="00533D5C" w:rsidR="003175B4" w:rsidP="00533D5C" w:rsidRDefault="003175B4">
            <w:pPr>
              <w:spacing w:line="240" w:lineRule="exact"/>
              <w:jc w:val="right"/>
              <w:rPr>
                <w:rFonts w:ascii="Verdana" w:hAnsi="Verdana"/>
                <w:color w:val="000000"/>
                <w:sz w:val="18"/>
                <w:szCs w:val="18"/>
              </w:rPr>
            </w:pPr>
            <w:r w:rsidRPr="00533D5C">
              <w:rPr>
                <w:rFonts w:ascii="Verdana" w:hAnsi="Verdana"/>
                <w:color w:val="000000"/>
                <w:sz w:val="18"/>
                <w:szCs w:val="18"/>
              </w:rPr>
              <w:t>36,9</w:t>
            </w:r>
          </w:p>
        </w:tc>
      </w:tr>
    </w:tbl>
    <w:p w:rsidRPr="00533D5C" w:rsidR="003175B4" w:rsidP="00533D5C" w:rsidRDefault="003175B4">
      <w:pPr>
        <w:spacing w:line="240" w:lineRule="exact"/>
        <w:rPr>
          <w:rFonts w:ascii="Verdana" w:hAnsi="Verdana" w:cs="Verdana"/>
          <w:b/>
          <w:bCs/>
          <w:sz w:val="18"/>
          <w:szCs w:val="18"/>
          <w:lang w:val="en-US"/>
        </w:rPr>
      </w:pPr>
    </w:p>
    <w:p w:rsidRPr="00533D5C" w:rsidR="00013134" w:rsidP="00533D5C" w:rsidRDefault="00013134">
      <w:pPr>
        <w:spacing w:line="240" w:lineRule="exact"/>
        <w:rPr>
          <w:rFonts w:ascii="Verdana" w:hAnsi="Verdana" w:cs="Verdana"/>
          <w:b/>
          <w:bCs/>
          <w:sz w:val="18"/>
          <w:szCs w:val="18"/>
          <w:lang w:val="en-US"/>
        </w:rPr>
      </w:pPr>
    </w:p>
    <w:tbl>
      <w:tblPr>
        <w:tblW w:w="5000" w:type="pct"/>
        <w:tblCellMar>
          <w:top w:w="15" w:type="dxa"/>
          <w:left w:w="15" w:type="dxa"/>
          <w:bottom w:w="15" w:type="dxa"/>
          <w:right w:w="15" w:type="dxa"/>
        </w:tblCellMar>
        <w:tblLook w:val="04A0"/>
      </w:tblPr>
      <w:tblGrid>
        <w:gridCol w:w="7915"/>
        <w:gridCol w:w="1187"/>
      </w:tblGrid>
      <w:tr w:rsidRPr="00533D5C" w:rsidR="00240FC3" w:rsidTr="00240FC3">
        <w:tc>
          <w:tcPr>
            <w:tcW w:w="4348" w:type="pct"/>
            <w:tcBorders>
              <w:left w:val="nil"/>
              <w:right w:val="nil"/>
            </w:tcBorders>
            <w:hideMark/>
          </w:tcPr>
          <w:p w:rsidRPr="00533D5C" w:rsidR="00240FC3" w:rsidP="00533D5C" w:rsidRDefault="00240FC3">
            <w:pPr>
              <w:spacing w:line="240" w:lineRule="exact"/>
              <w:rPr>
                <w:rFonts w:ascii="Verdana" w:hAnsi="Verdana" w:cs="Courier New"/>
                <w:sz w:val="18"/>
                <w:szCs w:val="18"/>
              </w:rPr>
            </w:pPr>
            <w:r w:rsidRPr="00533D5C">
              <w:rPr>
                <w:rFonts w:ascii="Verdana" w:hAnsi="Verdana" w:cs="Courier New"/>
                <w:sz w:val="18"/>
                <w:szCs w:val="18"/>
              </w:rPr>
              <w:t>H BES-FONDS: NIET-BELASTINGONTVANGSTEN</w:t>
            </w:r>
          </w:p>
        </w:tc>
        <w:tc>
          <w:tcPr>
            <w:tcW w:w="652" w:type="pct"/>
            <w:hideMark/>
          </w:tcPr>
          <w:p w:rsidRPr="00533D5C" w:rsidR="00240FC3" w:rsidP="00533D5C" w:rsidRDefault="00240FC3">
            <w:pPr>
              <w:spacing w:line="240" w:lineRule="exact"/>
              <w:rPr>
                <w:rFonts w:ascii="Verdana" w:hAnsi="Verdana"/>
                <w:sz w:val="18"/>
                <w:szCs w:val="18"/>
              </w:rPr>
            </w:pPr>
          </w:p>
        </w:tc>
      </w:tr>
      <w:tr w:rsidRPr="00533D5C" w:rsidR="00240FC3" w:rsidTr="00240FC3">
        <w:tc>
          <w:tcPr>
            <w:tcW w:w="4348" w:type="pct"/>
            <w:tcBorders>
              <w:top w:val="single" w:color="000000" w:sz="6" w:space="0"/>
              <w:left w:val="nil"/>
              <w:bottom w:val="single" w:color="000000" w:sz="6" w:space="0"/>
              <w:right w:val="nil"/>
            </w:tcBorders>
            <w:hideMark/>
          </w:tcPr>
          <w:p w:rsidRPr="00533D5C" w:rsidR="00240FC3" w:rsidP="00533D5C" w:rsidRDefault="00240FC3">
            <w:pPr>
              <w:spacing w:line="240" w:lineRule="exact"/>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533D5C" w:rsidR="00240FC3" w:rsidP="00533D5C" w:rsidRDefault="00240FC3">
            <w:pPr>
              <w:spacing w:line="240" w:lineRule="exact"/>
              <w:jc w:val="right"/>
              <w:rPr>
                <w:rFonts w:ascii="Verdana" w:hAnsi="Verdana" w:cs="Courier New"/>
                <w:sz w:val="18"/>
                <w:szCs w:val="18"/>
              </w:rPr>
            </w:pPr>
            <w:r w:rsidRPr="00533D5C">
              <w:rPr>
                <w:rFonts w:ascii="Verdana" w:hAnsi="Verdana" w:cs="Courier New"/>
                <w:sz w:val="18"/>
                <w:szCs w:val="18"/>
              </w:rPr>
              <w:t>201</w:t>
            </w:r>
            <w:r w:rsidRPr="00533D5C" w:rsidR="003175B4">
              <w:rPr>
                <w:rFonts w:ascii="Verdana" w:hAnsi="Verdana" w:cs="Courier New"/>
                <w:sz w:val="18"/>
                <w:szCs w:val="18"/>
              </w:rPr>
              <w:t>4</w:t>
            </w:r>
          </w:p>
        </w:tc>
      </w:tr>
      <w:tr w:rsidRPr="00533D5C" w:rsidR="00240FC3" w:rsidTr="00240FC3">
        <w:tc>
          <w:tcPr>
            <w:tcW w:w="4348" w:type="pct"/>
            <w:tcBorders>
              <w:left w:val="nil"/>
              <w:right w:val="nil"/>
            </w:tcBorders>
            <w:hideMark/>
          </w:tcPr>
          <w:p w:rsidRPr="00533D5C" w:rsidR="00240FC3" w:rsidP="00533D5C" w:rsidRDefault="003175B4">
            <w:pPr>
              <w:spacing w:line="240" w:lineRule="exact"/>
              <w:rPr>
                <w:rFonts w:ascii="Verdana" w:hAnsi="Verdana" w:cs="Courier New"/>
                <w:sz w:val="18"/>
                <w:szCs w:val="18"/>
              </w:rPr>
            </w:pPr>
            <w:r w:rsidRPr="00533D5C">
              <w:rPr>
                <w:rFonts w:ascii="Verdana" w:hAnsi="Verdana" w:cs="Courier New"/>
                <w:sz w:val="18"/>
                <w:szCs w:val="18"/>
              </w:rPr>
              <w:t>Stand Miljoenennota 2015</w:t>
            </w:r>
            <w:r w:rsidRPr="00533D5C" w:rsidR="00240FC3">
              <w:rPr>
                <w:rFonts w:ascii="Verdana" w:hAnsi="Verdana" w:cs="Courier New"/>
                <w:sz w:val="18"/>
                <w:szCs w:val="18"/>
              </w:rPr>
              <w:t xml:space="preserve"> (excl. IS)</w:t>
            </w:r>
          </w:p>
        </w:tc>
        <w:tc>
          <w:tcPr>
            <w:tcW w:w="652" w:type="pct"/>
            <w:tcBorders>
              <w:top w:val="single" w:color="000000" w:sz="6" w:space="0"/>
              <w:left w:val="nil"/>
              <w:right w:val="nil"/>
            </w:tcBorders>
            <w:hideMark/>
          </w:tcPr>
          <w:p w:rsidRPr="00533D5C" w:rsidR="00240FC3" w:rsidP="00533D5C" w:rsidRDefault="00240FC3">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240FC3" w:rsidTr="00240FC3">
        <w:tc>
          <w:tcPr>
            <w:tcW w:w="4348" w:type="pct"/>
            <w:tcBorders>
              <w:left w:val="nil"/>
              <w:right w:val="nil"/>
            </w:tcBorders>
            <w:hideMark/>
          </w:tcPr>
          <w:p w:rsidRPr="00533D5C" w:rsidR="00240FC3" w:rsidP="00533D5C" w:rsidRDefault="00240FC3">
            <w:pPr>
              <w:spacing w:line="240" w:lineRule="exact"/>
              <w:rPr>
                <w:rFonts w:ascii="Verdana" w:hAnsi="Verdana" w:cs="Courier New"/>
                <w:sz w:val="18"/>
                <w:szCs w:val="18"/>
              </w:rPr>
            </w:pPr>
            <w:r w:rsidRPr="00533D5C">
              <w:rPr>
                <w:rFonts w:ascii="Verdana" w:hAnsi="Verdana" w:cs="Courier New"/>
                <w:sz w:val="18"/>
                <w:szCs w:val="18"/>
              </w:rPr>
              <w:t>Totaal mutaties sinds Miljoene</w:t>
            </w:r>
            <w:r w:rsidRPr="00533D5C" w:rsidR="003175B4">
              <w:rPr>
                <w:rFonts w:ascii="Verdana" w:hAnsi="Verdana" w:cs="Courier New"/>
                <w:sz w:val="18"/>
                <w:szCs w:val="18"/>
              </w:rPr>
              <w:t>nnota 2015</w:t>
            </w:r>
          </w:p>
        </w:tc>
        <w:tc>
          <w:tcPr>
            <w:tcW w:w="652" w:type="pct"/>
            <w:tcBorders>
              <w:left w:val="nil"/>
              <w:right w:val="nil"/>
            </w:tcBorders>
            <w:hideMark/>
          </w:tcPr>
          <w:p w:rsidRPr="00533D5C" w:rsidR="00240FC3" w:rsidP="00533D5C" w:rsidRDefault="00240FC3">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240FC3" w:rsidTr="00240FC3">
        <w:tc>
          <w:tcPr>
            <w:tcW w:w="4348" w:type="pct"/>
            <w:tcBorders>
              <w:left w:val="nil"/>
              <w:right w:val="nil"/>
            </w:tcBorders>
            <w:hideMark/>
          </w:tcPr>
          <w:p w:rsidRPr="00533D5C" w:rsidR="00240FC3" w:rsidP="00533D5C" w:rsidRDefault="00240FC3">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hideMark/>
          </w:tcPr>
          <w:p w:rsidRPr="00533D5C" w:rsidR="00240FC3" w:rsidP="00533D5C" w:rsidRDefault="00240FC3">
            <w:pPr>
              <w:spacing w:line="240" w:lineRule="exact"/>
              <w:rPr>
                <w:rFonts w:ascii="Verdana" w:hAnsi="Verdana"/>
                <w:sz w:val="18"/>
                <w:szCs w:val="18"/>
              </w:rPr>
            </w:pPr>
          </w:p>
        </w:tc>
      </w:tr>
      <w:tr w:rsidRPr="00533D5C" w:rsidR="00240FC3" w:rsidTr="00240FC3">
        <w:tc>
          <w:tcPr>
            <w:tcW w:w="4348" w:type="pct"/>
            <w:tcBorders>
              <w:left w:val="nil"/>
              <w:right w:val="nil"/>
            </w:tcBorders>
            <w:hideMark/>
          </w:tcPr>
          <w:p w:rsidRPr="00533D5C" w:rsidR="00240FC3" w:rsidP="00533D5C" w:rsidRDefault="003175B4">
            <w:pPr>
              <w:spacing w:line="240" w:lineRule="exact"/>
              <w:rPr>
                <w:rFonts w:ascii="Verdana" w:hAnsi="Verdana" w:cs="Courier New"/>
                <w:sz w:val="18"/>
                <w:szCs w:val="18"/>
              </w:rPr>
            </w:pPr>
            <w:r w:rsidRPr="00533D5C">
              <w:rPr>
                <w:rFonts w:ascii="Verdana" w:hAnsi="Verdana" w:cs="Courier New"/>
                <w:sz w:val="18"/>
                <w:szCs w:val="18"/>
              </w:rPr>
              <w:t>Stand Najaarsnota 2014</w:t>
            </w:r>
            <w:r w:rsidRPr="00533D5C" w:rsidR="00240FC3">
              <w:rPr>
                <w:rFonts w:ascii="Verdana" w:hAnsi="Verdana" w:cs="Courier New"/>
                <w:sz w:val="18"/>
                <w:szCs w:val="18"/>
              </w:rPr>
              <w:t xml:space="preserve"> (subtotaal)</w:t>
            </w:r>
          </w:p>
        </w:tc>
        <w:tc>
          <w:tcPr>
            <w:tcW w:w="652" w:type="pct"/>
            <w:tcBorders>
              <w:top w:val="single" w:color="000000" w:sz="6" w:space="0"/>
              <w:left w:val="nil"/>
              <w:right w:val="nil"/>
            </w:tcBorders>
            <w:hideMark/>
          </w:tcPr>
          <w:p w:rsidRPr="00533D5C" w:rsidR="00240FC3" w:rsidP="00533D5C" w:rsidRDefault="00240FC3">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240FC3" w:rsidTr="00240FC3">
        <w:tc>
          <w:tcPr>
            <w:tcW w:w="4348" w:type="pct"/>
            <w:tcBorders>
              <w:left w:val="nil"/>
              <w:right w:val="nil"/>
            </w:tcBorders>
            <w:hideMark/>
          </w:tcPr>
          <w:p w:rsidRPr="00533D5C" w:rsidR="00240FC3" w:rsidP="00533D5C" w:rsidRDefault="00240FC3">
            <w:pPr>
              <w:spacing w:line="240" w:lineRule="exact"/>
              <w:rPr>
                <w:rFonts w:ascii="Verdana" w:hAnsi="Verdana" w:cs="Courier New"/>
                <w:sz w:val="18"/>
                <w:szCs w:val="18"/>
              </w:rPr>
            </w:pPr>
            <w:r w:rsidRPr="00533D5C">
              <w:rPr>
                <w:rFonts w:ascii="Verdana" w:hAnsi="Verdana" w:cs="Courier New"/>
                <w:sz w:val="18"/>
                <w:szCs w:val="18"/>
              </w:rPr>
              <w:t>Totaal Internationale samenwerking</w:t>
            </w:r>
          </w:p>
        </w:tc>
        <w:tc>
          <w:tcPr>
            <w:tcW w:w="652" w:type="pct"/>
            <w:tcBorders>
              <w:left w:val="nil"/>
              <w:right w:val="nil"/>
            </w:tcBorders>
            <w:hideMark/>
          </w:tcPr>
          <w:p w:rsidRPr="00533D5C" w:rsidR="00240FC3" w:rsidP="00533D5C" w:rsidRDefault="00240FC3">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240FC3" w:rsidTr="00240FC3">
        <w:tc>
          <w:tcPr>
            <w:tcW w:w="4348" w:type="pct"/>
            <w:tcBorders>
              <w:left w:val="nil"/>
              <w:right w:val="nil"/>
            </w:tcBorders>
            <w:hideMark/>
          </w:tcPr>
          <w:p w:rsidRPr="00533D5C" w:rsidR="00240FC3" w:rsidP="00533D5C" w:rsidRDefault="003175B4">
            <w:pPr>
              <w:spacing w:line="240" w:lineRule="exact"/>
              <w:rPr>
                <w:rFonts w:ascii="Verdana" w:hAnsi="Verdana" w:cs="Courier New"/>
                <w:sz w:val="18"/>
                <w:szCs w:val="18"/>
              </w:rPr>
            </w:pPr>
            <w:r w:rsidRPr="00533D5C">
              <w:rPr>
                <w:rFonts w:ascii="Verdana" w:hAnsi="Verdana" w:cs="Courier New"/>
                <w:sz w:val="18"/>
                <w:szCs w:val="18"/>
              </w:rPr>
              <w:t>Stand Najaarsnota 2014</w:t>
            </w:r>
          </w:p>
        </w:tc>
        <w:tc>
          <w:tcPr>
            <w:tcW w:w="652" w:type="pct"/>
            <w:tcBorders>
              <w:top w:val="single" w:color="000000" w:sz="6" w:space="0"/>
              <w:left w:val="nil"/>
              <w:right w:val="nil"/>
            </w:tcBorders>
            <w:hideMark/>
          </w:tcPr>
          <w:p w:rsidRPr="00533D5C" w:rsidR="00240FC3" w:rsidP="00533D5C" w:rsidRDefault="00240FC3">
            <w:pPr>
              <w:spacing w:line="240" w:lineRule="exact"/>
              <w:jc w:val="right"/>
              <w:rPr>
                <w:rFonts w:ascii="Verdana" w:hAnsi="Verdana" w:cs="Courier New"/>
                <w:sz w:val="18"/>
                <w:szCs w:val="18"/>
              </w:rPr>
            </w:pPr>
            <w:r w:rsidRPr="00533D5C">
              <w:rPr>
                <w:rFonts w:ascii="Verdana" w:hAnsi="Verdana" w:cs="Courier New"/>
                <w:sz w:val="18"/>
                <w:szCs w:val="18"/>
              </w:rPr>
              <w:t>0,0</w:t>
            </w:r>
          </w:p>
        </w:tc>
      </w:tr>
    </w:tbl>
    <w:p w:rsidRPr="00533D5C" w:rsidR="004925F3" w:rsidP="00533D5C" w:rsidRDefault="004925F3">
      <w:pPr>
        <w:spacing w:line="240" w:lineRule="exact"/>
        <w:rPr>
          <w:rFonts w:ascii="Verdana" w:hAnsi="Verdana" w:cs="Verdana"/>
          <w:b/>
          <w:bCs/>
          <w:sz w:val="18"/>
          <w:szCs w:val="18"/>
        </w:rPr>
      </w:pPr>
    </w:p>
    <w:p w:rsidRPr="00533D5C" w:rsidR="00EF63D2" w:rsidP="00533D5C" w:rsidRDefault="00EF63D2">
      <w:pPr>
        <w:spacing w:line="240" w:lineRule="exact"/>
        <w:rPr>
          <w:rFonts w:ascii="Verdana" w:hAnsi="Verdana"/>
          <w:i/>
          <w:sz w:val="18"/>
          <w:szCs w:val="18"/>
        </w:rPr>
      </w:pPr>
    </w:p>
    <w:p w:rsidRPr="00533D5C" w:rsidR="003175B4" w:rsidP="00533D5C" w:rsidRDefault="003175B4">
      <w:pPr>
        <w:spacing w:line="240" w:lineRule="exact"/>
        <w:rPr>
          <w:rFonts w:ascii="Verdana" w:hAnsi="Verdana"/>
          <w:i/>
          <w:sz w:val="18"/>
          <w:szCs w:val="18"/>
        </w:rPr>
      </w:pPr>
      <w:r w:rsidRPr="00533D5C">
        <w:rPr>
          <w:rFonts w:ascii="Verdana" w:hAnsi="Verdana"/>
          <w:i/>
          <w:sz w:val="18"/>
          <w:szCs w:val="18"/>
        </w:rPr>
        <w:t>Diversen</w:t>
      </w:r>
    </w:p>
    <w:p w:rsidRPr="00533D5C" w:rsidR="003175B4" w:rsidP="00533D5C" w:rsidRDefault="003175B4">
      <w:pPr>
        <w:spacing w:line="240" w:lineRule="exact"/>
        <w:rPr>
          <w:rFonts w:ascii="Verdana" w:hAnsi="Verdana"/>
          <w:sz w:val="18"/>
          <w:szCs w:val="18"/>
        </w:rPr>
      </w:pPr>
      <w:r w:rsidRPr="00533D5C">
        <w:rPr>
          <w:rFonts w:ascii="Verdana" w:hAnsi="Verdana"/>
          <w:sz w:val="18"/>
          <w:szCs w:val="18"/>
        </w:rPr>
        <w:t xml:space="preserve">Dit betreft onder meer een eenmalige bijdrage van I&amp;M van circa 3,8 mln. ter verbetering van de kwaliteit van het drinkwater op Bonaire, Saba en Sint Eustatius. </w:t>
      </w:r>
    </w:p>
    <w:p w:rsidRPr="00533D5C" w:rsidR="004925F3" w:rsidP="00533D5C" w:rsidRDefault="004925F3">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4925F3" w:rsidP="00533D5C" w:rsidRDefault="004925F3">
      <w:pPr>
        <w:spacing w:line="240" w:lineRule="exact"/>
        <w:rPr>
          <w:rFonts w:ascii="Verdana" w:hAnsi="Verdana" w:cs="Verdana"/>
          <w:b/>
          <w:bCs/>
          <w:sz w:val="18"/>
          <w:szCs w:val="18"/>
        </w:rPr>
      </w:pPr>
      <w:r w:rsidRPr="00533D5C">
        <w:rPr>
          <w:rFonts w:ascii="Verdana" w:hAnsi="Verdana" w:cs="Verdana"/>
          <w:b/>
          <w:bCs/>
          <w:sz w:val="18"/>
          <w:szCs w:val="18"/>
        </w:rPr>
        <w:lastRenderedPageBreak/>
        <w:t>Deltafonds</w:t>
      </w:r>
    </w:p>
    <w:p w:rsidRPr="00533D5C" w:rsidR="00226BFA" w:rsidP="00533D5C" w:rsidRDefault="00226BFA">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628"/>
        <w:gridCol w:w="1584"/>
      </w:tblGrid>
      <w:tr w:rsidRPr="00533D5C" w:rsidR="00226BFA" w:rsidTr="00226BFA">
        <w:trPr>
          <w:trHeight w:val="225"/>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J DELTAFONDS: UITGAVEN</w:t>
            </w: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1.213,4</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Saldo 2014 art.1</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36,0</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Saldo 2014 art.4</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15,0</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Saldo 2014 art.5</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23,3</w:t>
            </w:r>
          </w:p>
        </w:tc>
      </w:tr>
      <w:tr w:rsidRPr="00533D5C" w:rsidR="00226BFA" w:rsidTr="00226BFA">
        <w:trPr>
          <w:trHeight w:val="225"/>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-12,3</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62,0</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25"/>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0,7</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0,7</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62,8</w:t>
            </w:r>
          </w:p>
        </w:tc>
      </w:tr>
      <w:tr w:rsidRPr="00533D5C" w:rsidR="00226BFA" w:rsidTr="00226BFA">
        <w:trPr>
          <w:trHeight w:val="225"/>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1.276,2</w:t>
            </w:r>
          </w:p>
        </w:tc>
      </w:tr>
      <w:tr w:rsidRPr="00533D5C" w:rsidR="00226BFA" w:rsidTr="00226BFA">
        <w:trPr>
          <w:trHeight w:val="225"/>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1.276,2</w:t>
            </w:r>
          </w:p>
        </w:tc>
      </w:tr>
      <w:tr w:rsidRPr="00533D5C" w:rsidR="00226BFA" w:rsidTr="00226BFA">
        <w:trPr>
          <w:trHeight w:val="210"/>
        </w:trPr>
        <w:tc>
          <w:tcPr>
            <w:tcW w:w="414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25"/>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J DELTAFONDS: NIET-BELASTINGONTVANGSTEN</w:t>
            </w: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1.213,4</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Saldo 2014 art.1</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18,7</w:t>
            </w:r>
          </w:p>
        </w:tc>
      </w:tr>
      <w:tr w:rsidRPr="00533D5C" w:rsidR="00226BFA" w:rsidTr="00226BFA">
        <w:trPr>
          <w:trHeight w:val="225"/>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0,8</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19,5</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25"/>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0,7</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0,7</w:t>
            </w: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20,2</w:t>
            </w:r>
          </w:p>
        </w:tc>
      </w:tr>
      <w:tr w:rsidRPr="00533D5C" w:rsidR="00226BFA" w:rsidTr="00226BFA">
        <w:trPr>
          <w:trHeight w:val="225"/>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226BFA" w:rsidP="00533D5C" w:rsidRDefault="00226BFA">
            <w:pPr>
              <w:spacing w:line="240" w:lineRule="exact"/>
              <w:rPr>
                <w:rFonts w:ascii="Verdana" w:hAnsi="Verdana"/>
                <w:color w:val="000000"/>
                <w:sz w:val="18"/>
                <w:szCs w:val="18"/>
              </w:rPr>
            </w:pP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1.233,6</w:t>
            </w:r>
          </w:p>
        </w:tc>
      </w:tr>
      <w:tr w:rsidRPr="00533D5C" w:rsidR="00226BFA" w:rsidTr="00226BFA">
        <w:trPr>
          <w:trHeight w:val="225"/>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p>
        </w:tc>
      </w:tr>
      <w:tr w:rsidRPr="00533D5C" w:rsidR="00226BFA" w:rsidTr="00226BFA">
        <w:trPr>
          <w:trHeight w:val="210"/>
        </w:trPr>
        <w:tc>
          <w:tcPr>
            <w:tcW w:w="4140" w:type="pct"/>
            <w:tcBorders>
              <w:top w:val="nil"/>
              <w:left w:val="nil"/>
              <w:bottom w:val="nil"/>
              <w:right w:val="nil"/>
            </w:tcBorders>
            <w:shd w:val="clear" w:color="auto" w:fill="auto"/>
            <w:hideMark/>
          </w:tcPr>
          <w:p w:rsidRPr="00533D5C" w:rsidR="00226BFA" w:rsidP="00533D5C" w:rsidRDefault="00226BFA">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226BFA" w:rsidP="00533D5C" w:rsidRDefault="00226BFA">
            <w:pPr>
              <w:spacing w:line="240" w:lineRule="exact"/>
              <w:jc w:val="right"/>
              <w:rPr>
                <w:rFonts w:ascii="Verdana" w:hAnsi="Verdana"/>
                <w:color w:val="000000"/>
                <w:sz w:val="18"/>
                <w:szCs w:val="18"/>
              </w:rPr>
            </w:pPr>
            <w:r w:rsidRPr="00533D5C">
              <w:rPr>
                <w:rFonts w:ascii="Verdana" w:hAnsi="Verdana"/>
                <w:color w:val="000000"/>
                <w:sz w:val="18"/>
                <w:szCs w:val="18"/>
              </w:rPr>
              <w:t>1.233,6</w:t>
            </w:r>
          </w:p>
        </w:tc>
      </w:tr>
    </w:tbl>
    <w:p w:rsidRPr="00533D5C" w:rsidR="00226BFA" w:rsidP="00533D5C" w:rsidRDefault="00226BFA">
      <w:pPr>
        <w:spacing w:line="240" w:lineRule="exact"/>
        <w:rPr>
          <w:rFonts w:ascii="Verdana" w:hAnsi="Verdana" w:cs="Verdana"/>
          <w:b/>
          <w:bCs/>
          <w:sz w:val="18"/>
          <w:szCs w:val="18"/>
        </w:rPr>
      </w:pPr>
    </w:p>
    <w:p w:rsidRPr="00533D5C" w:rsidR="00EF63D2" w:rsidP="00533D5C" w:rsidRDefault="00EF63D2">
      <w:pPr>
        <w:spacing w:line="240" w:lineRule="exact"/>
        <w:rPr>
          <w:rFonts w:ascii="Verdana" w:hAnsi="Verdana" w:cs="Courier New"/>
          <w:i/>
          <w:sz w:val="18"/>
          <w:szCs w:val="18"/>
        </w:rPr>
      </w:pPr>
    </w:p>
    <w:p w:rsidRPr="00533D5C" w:rsidR="00226BFA" w:rsidP="00533D5C" w:rsidRDefault="00226BFA">
      <w:pPr>
        <w:spacing w:line="240" w:lineRule="exact"/>
        <w:rPr>
          <w:rFonts w:ascii="Verdana" w:hAnsi="Verdana" w:cs="Courier New"/>
          <w:sz w:val="18"/>
          <w:szCs w:val="18"/>
        </w:rPr>
      </w:pPr>
      <w:r w:rsidRPr="00533D5C">
        <w:rPr>
          <w:rFonts w:ascii="Verdana" w:hAnsi="Verdana" w:cs="Courier New"/>
          <w:i/>
          <w:sz w:val="18"/>
          <w:szCs w:val="18"/>
        </w:rPr>
        <w:t>Saldo 2014 art. 1</w:t>
      </w:r>
    </w:p>
    <w:p w:rsidRPr="00533D5C" w:rsidR="00226BFA" w:rsidP="00533D5C" w:rsidRDefault="00226BFA">
      <w:pPr>
        <w:spacing w:line="240" w:lineRule="exact"/>
        <w:rPr>
          <w:rFonts w:ascii="Verdana" w:hAnsi="Verdana" w:cs="Courier New"/>
          <w:sz w:val="18"/>
          <w:szCs w:val="18"/>
        </w:rPr>
      </w:pPr>
      <w:r w:rsidRPr="00533D5C">
        <w:rPr>
          <w:rFonts w:ascii="Verdana" w:hAnsi="Verdana" w:cs="Courier New"/>
          <w:sz w:val="18"/>
          <w:szCs w:val="18"/>
        </w:rPr>
        <w:t>Er is sprake van onderuitputting van de budgetten voor de Maaswerken (-16 mln.), de realisatieprogramma’s waterveiligheid (-81 mln.), verkenning- en planstudies (-8 mln.) en een vertraging bij rivierverruiming (-11 mln.). Daarnaast zijn de uitgaven aan het Hoogwaterbeschermingsprogramma (HWBP) (79 mln.) en Ruimte voor de Rivier (68 mln.) hoger dan voorzien als gevolg van een versnelde uitvoering.</w:t>
      </w:r>
    </w:p>
    <w:p w:rsidRPr="00533D5C" w:rsidR="00226BFA" w:rsidP="00533D5C" w:rsidRDefault="00226BFA">
      <w:pPr>
        <w:spacing w:line="240" w:lineRule="exact"/>
        <w:rPr>
          <w:rFonts w:ascii="Verdana" w:hAnsi="Verdana" w:cs="Courier New"/>
          <w:sz w:val="18"/>
          <w:szCs w:val="18"/>
        </w:rPr>
      </w:pPr>
    </w:p>
    <w:p w:rsidRPr="00533D5C" w:rsidR="00226BFA" w:rsidP="00533D5C" w:rsidRDefault="00226BFA">
      <w:pPr>
        <w:spacing w:line="240" w:lineRule="exact"/>
        <w:rPr>
          <w:rFonts w:ascii="Verdana" w:hAnsi="Verdana" w:cs="Courier New"/>
          <w:sz w:val="18"/>
          <w:szCs w:val="18"/>
        </w:rPr>
      </w:pPr>
      <w:r w:rsidRPr="00533D5C">
        <w:rPr>
          <w:rFonts w:ascii="Verdana" w:hAnsi="Verdana" w:cs="Courier New"/>
          <w:i/>
          <w:sz w:val="18"/>
          <w:szCs w:val="18"/>
        </w:rPr>
        <w:t>Saldo 2014 art. 4</w:t>
      </w:r>
    </w:p>
    <w:p w:rsidRPr="00533D5C" w:rsidR="00226BFA" w:rsidP="00533D5C" w:rsidRDefault="00226BFA">
      <w:pPr>
        <w:spacing w:line="240" w:lineRule="exact"/>
        <w:rPr>
          <w:rFonts w:ascii="Verdana" w:hAnsi="Verdana" w:cs="Courier New"/>
          <w:sz w:val="18"/>
          <w:szCs w:val="18"/>
        </w:rPr>
      </w:pPr>
      <w:r w:rsidRPr="00533D5C">
        <w:rPr>
          <w:rFonts w:ascii="Verdana" w:hAnsi="Verdana" w:cs="Courier New"/>
          <w:sz w:val="18"/>
          <w:szCs w:val="18"/>
        </w:rPr>
        <w:t>De bijdrage vanuit het Deltafonds voor het Toekomstbestendig Ecologisch Systeem project Marker Wadden die voor 2015 en 2016 begroot was, wordt in 2014 gerealiseerd. Dit leidt tot een toename van de uitgaven (15 mln.).</w:t>
      </w:r>
    </w:p>
    <w:p w:rsidRPr="00533D5C" w:rsidR="00226BFA" w:rsidP="00533D5C" w:rsidRDefault="00226BFA">
      <w:pPr>
        <w:spacing w:line="240" w:lineRule="exact"/>
        <w:rPr>
          <w:rFonts w:ascii="Verdana" w:hAnsi="Verdana" w:cs="Courier New"/>
          <w:sz w:val="18"/>
          <w:szCs w:val="18"/>
        </w:rPr>
      </w:pPr>
    </w:p>
    <w:p w:rsidRPr="00533D5C" w:rsidR="00226BFA" w:rsidP="00533D5C" w:rsidRDefault="00226BFA">
      <w:pPr>
        <w:spacing w:line="240" w:lineRule="exact"/>
        <w:rPr>
          <w:rFonts w:ascii="Verdana" w:hAnsi="Verdana" w:cs="Courier New"/>
          <w:i/>
          <w:sz w:val="18"/>
          <w:szCs w:val="18"/>
        </w:rPr>
      </w:pPr>
      <w:r w:rsidRPr="00533D5C">
        <w:rPr>
          <w:rFonts w:ascii="Verdana" w:hAnsi="Verdana" w:cs="Courier New"/>
          <w:i/>
          <w:sz w:val="18"/>
          <w:szCs w:val="18"/>
        </w:rPr>
        <w:br w:type="page"/>
      </w:r>
    </w:p>
    <w:p w:rsidRPr="00533D5C" w:rsidR="00226BFA" w:rsidP="00533D5C" w:rsidRDefault="00226BFA">
      <w:pPr>
        <w:spacing w:line="240" w:lineRule="exact"/>
        <w:rPr>
          <w:rFonts w:ascii="Verdana" w:hAnsi="Verdana" w:cs="Courier New"/>
          <w:sz w:val="18"/>
          <w:szCs w:val="18"/>
        </w:rPr>
      </w:pPr>
      <w:r w:rsidRPr="00533D5C">
        <w:rPr>
          <w:rFonts w:ascii="Verdana" w:hAnsi="Verdana" w:cs="Courier New"/>
          <w:i/>
          <w:sz w:val="18"/>
          <w:szCs w:val="18"/>
        </w:rPr>
        <w:lastRenderedPageBreak/>
        <w:t>Saldo 2014 art. 5</w:t>
      </w:r>
    </w:p>
    <w:p w:rsidRPr="00533D5C" w:rsidR="00226BFA" w:rsidP="00533D5C" w:rsidRDefault="00226BFA">
      <w:pPr>
        <w:spacing w:line="240" w:lineRule="exact"/>
        <w:rPr>
          <w:rFonts w:ascii="Verdana" w:hAnsi="Verdana" w:cs="Arial"/>
          <w:sz w:val="18"/>
          <w:szCs w:val="18"/>
        </w:rPr>
      </w:pPr>
      <w:r w:rsidRPr="00533D5C">
        <w:rPr>
          <w:rFonts w:ascii="Verdana" w:hAnsi="Verdana" w:cs="Arial"/>
          <w:sz w:val="18"/>
          <w:szCs w:val="18"/>
        </w:rPr>
        <w:t>De minregel op de investeringsruimte (-23 mln</w:t>
      </w:r>
      <w:r w:rsidRPr="00533D5C" w:rsidR="00303857">
        <w:rPr>
          <w:rFonts w:ascii="Verdana" w:hAnsi="Verdana" w:cs="Arial"/>
          <w:sz w:val="18"/>
          <w:szCs w:val="18"/>
        </w:rPr>
        <w:t>.</w:t>
      </w:r>
      <w:r w:rsidRPr="00533D5C">
        <w:rPr>
          <w:rFonts w:ascii="Verdana" w:hAnsi="Verdana" w:cs="Arial"/>
          <w:sz w:val="18"/>
          <w:szCs w:val="18"/>
        </w:rPr>
        <w:t xml:space="preserve">), gemeld bij de begroting 2015 (door het niet volledig uitkeren van de prijsbijstelling) wordt opgeheven. Dit zal in 2015 in mindering worden gebracht op het Deltafonds.  </w:t>
      </w:r>
    </w:p>
    <w:p w:rsidRPr="00533D5C" w:rsidR="00226BFA" w:rsidP="00533D5C" w:rsidRDefault="00226BFA">
      <w:pPr>
        <w:spacing w:line="240" w:lineRule="exact"/>
        <w:rPr>
          <w:rFonts w:ascii="Verdana" w:hAnsi="Verdana" w:cs="Courier New"/>
          <w:sz w:val="18"/>
          <w:szCs w:val="18"/>
        </w:rPr>
      </w:pPr>
    </w:p>
    <w:p w:rsidRPr="00533D5C" w:rsidR="00226BFA" w:rsidP="00533D5C" w:rsidRDefault="00226BFA">
      <w:pPr>
        <w:spacing w:line="240" w:lineRule="exact"/>
        <w:rPr>
          <w:rFonts w:ascii="Verdana" w:hAnsi="Verdana" w:cs="Courier New"/>
          <w:i/>
          <w:sz w:val="18"/>
          <w:szCs w:val="18"/>
        </w:rPr>
      </w:pPr>
      <w:r w:rsidRPr="00533D5C">
        <w:rPr>
          <w:rFonts w:ascii="Verdana" w:hAnsi="Verdana" w:cs="Courier New"/>
          <w:i/>
          <w:sz w:val="18"/>
          <w:szCs w:val="18"/>
        </w:rPr>
        <w:t>Beleidsmatige mutaties- Diversen</w:t>
      </w:r>
    </w:p>
    <w:p w:rsidRPr="00533D5C" w:rsidR="00226BFA" w:rsidP="00533D5C" w:rsidRDefault="00226BFA">
      <w:pPr>
        <w:spacing w:line="240" w:lineRule="exact"/>
        <w:rPr>
          <w:rFonts w:ascii="Verdana" w:hAnsi="Verdana" w:cs="Courier New"/>
          <w:sz w:val="18"/>
          <w:szCs w:val="18"/>
        </w:rPr>
      </w:pPr>
      <w:r w:rsidRPr="00533D5C">
        <w:rPr>
          <w:rFonts w:ascii="Verdana" w:hAnsi="Verdana" w:cs="Courier New"/>
          <w:sz w:val="18"/>
          <w:szCs w:val="18"/>
        </w:rPr>
        <w:t>Dit betreft het saldo van verschillende mutaties. De belangrijkste wordt toegelicht.</w:t>
      </w:r>
      <w:r w:rsidRPr="00533D5C" w:rsidR="00945967">
        <w:rPr>
          <w:rFonts w:ascii="Verdana" w:hAnsi="Verdana" w:cs="Courier New"/>
          <w:sz w:val="18"/>
          <w:szCs w:val="18"/>
        </w:rPr>
        <w:t xml:space="preserve"> </w:t>
      </w:r>
      <w:r w:rsidRPr="00533D5C">
        <w:rPr>
          <w:rFonts w:ascii="Verdana" w:hAnsi="Verdana" w:cs="Courier New"/>
          <w:sz w:val="18"/>
          <w:szCs w:val="18"/>
        </w:rPr>
        <w:t xml:space="preserve">Op Artikel 3 Beheer, Onderhoud en Vervanging is sprake van een aanbestedingsmeevaller bij het project Stroomlijn en wordt verwacht dat sommige uitgaven na 2014 gerealiseerd worden. Dit zorgt voor verminderde uitgaven in 2014 (-12 mln.). </w:t>
      </w:r>
    </w:p>
    <w:p w:rsidRPr="00533D5C" w:rsidR="00DC10DF" w:rsidP="00533D5C" w:rsidRDefault="00DC10DF">
      <w:pPr>
        <w:spacing w:line="240" w:lineRule="exact"/>
        <w:rPr>
          <w:rFonts w:ascii="Verdana" w:hAnsi="Verdana" w:cs="Courier New"/>
          <w:sz w:val="18"/>
          <w:szCs w:val="18"/>
        </w:rPr>
      </w:pPr>
    </w:p>
    <w:p w:rsidRPr="00533D5C" w:rsidR="00DC10DF" w:rsidP="00533D5C" w:rsidRDefault="00DC10DF">
      <w:pPr>
        <w:spacing w:line="240" w:lineRule="exact"/>
        <w:rPr>
          <w:rFonts w:ascii="Verdana" w:hAnsi="Verdana" w:cs="Courier New"/>
          <w:sz w:val="18"/>
          <w:szCs w:val="18"/>
        </w:rPr>
      </w:pPr>
      <w:r w:rsidRPr="00533D5C">
        <w:rPr>
          <w:rFonts w:ascii="Verdana" w:hAnsi="Verdana" w:cs="Courier New"/>
          <w:i/>
          <w:sz w:val="18"/>
          <w:szCs w:val="18"/>
        </w:rPr>
        <w:t>Saldo 2014 art. 1 ontvangsten</w:t>
      </w:r>
    </w:p>
    <w:p w:rsidRPr="00533D5C" w:rsidR="00DC10DF" w:rsidP="00533D5C" w:rsidRDefault="00DC10DF">
      <w:pPr>
        <w:spacing w:line="240" w:lineRule="exact"/>
        <w:rPr>
          <w:rFonts w:ascii="Verdana" w:hAnsi="Verdana" w:cs="Courier New"/>
          <w:sz w:val="18"/>
          <w:szCs w:val="18"/>
        </w:rPr>
      </w:pPr>
      <w:r w:rsidRPr="00533D5C">
        <w:rPr>
          <w:rFonts w:ascii="Verdana" w:hAnsi="Verdana" w:cs="Courier New"/>
          <w:sz w:val="18"/>
          <w:szCs w:val="18"/>
        </w:rPr>
        <w:t>Ontvangsten voor Ruimte voor de Rivier komen versneld binnen door het eerder dan gepland kunnen verkopen van vastgoed. Dit levert 19 mln. aan ontvangsten op in 2014.</w:t>
      </w:r>
    </w:p>
    <w:p w:rsidRPr="00533D5C" w:rsidR="00DC10DF" w:rsidP="00533D5C" w:rsidRDefault="00DC10DF">
      <w:pPr>
        <w:spacing w:line="240" w:lineRule="exact"/>
        <w:rPr>
          <w:rFonts w:ascii="Verdana" w:hAnsi="Verdana" w:cs="Courier New"/>
          <w:sz w:val="18"/>
          <w:szCs w:val="18"/>
        </w:rPr>
      </w:pPr>
    </w:p>
    <w:p w:rsidRPr="00533D5C" w:rsidR="00226BFA" w:rsidP="00533D5C" w:rsidRDefault="00226BFA">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BA1E17" w:rsidP="00533D5C" w:rsidRDefault="00BA1E17">
      <w:pPr>
        <w:spacing w:line="240" w:lineRule="exact"/>
        <w:rPr>
          <w:rFonts w:ascii="Verdana" w:hAnsi="Verdana" w:cs="Verdana"/>
          <w:b/>
          <w:bCs/>
          <w:sz w:val="18"/>
          <w:szCs w:val="18"/>
        </w:rPr>
      </w:pPr>
      <w:r w:rsidRPr="00533D5C">
        <w:rPr>
          <w:rFonts w:ascii="Verdana" w:hAnsi="Verdana" w:cs="Verdana"/>
          <w:b/>
          <w:bCs/>
          <w:sz w:val="18"/>
          <w:szCs w:val="18"/>
        </w:rPr>
        <w:lastRenderedPageBreak/>
        <w:t>Prijsbijstelling</w:t>
      </w:r>
    </w:p>
    <w:tbl>
      <w:tblPr>
        <w:tblW w:w="5000" w:type="pct"/>
        <w:tblCellMar>
          <w:top w:w="15" w:type="dxa"/>
          <w:left w:w="15" w:type="dxa"/>
          <w:bottom w:w="15" w:type="dxa"/>
          <w:right w:w="15" w:type="dxa"/>
        </w:tblCellMar>
        <w:tblLook w:val="04A0"/>
      </w:tblPr>
      <w:tblGrid>
        <w:gridCol w:w="7915"/>
        <w:gridCol w:w="1187"/>
      </w:tblGrid>
      <w:tr w:rsidRPr="00533D5C" w:rsidR="00BA1E17" w:rsidTr="00BA1E17">
        <w:tc>
          <w:tcPr>
            <w:tcW w:w="4348"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 </w:t>
            </w:r>
          </w:p>
        </w:tc>
      </w:tr>
      <w:tr w:rsidRPr="00533D5C" w:rsidR="00BA1E17" w:rsidTr="00BA1E17">
        <w:tc>
          <w:tcPr>
            <w:tcW w:w="4348"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PRIJSBIJSTELLING: UITGAVEN</w:t>
            </w:r>
          </w:p>
        </w:tc>
        <w:tc>
          <w:tcPr>
            <w:tcW w:w="652" w:type="pct"/>
            <w:hideMark/>
          </w:tcPr>
          <w:p w:rsidRPr="00533D5C" w:rsidR="00BA1E17" w:rsidP="00533D5C" w:rsidRDefault="00BA1E17">
            <w:pPr>
              <w:spacing w:line="240" w:lineRule="exact"/>
              <w:rPr>
                <w:rFonts w:ascii="Verdana" w:hAnsi="Verdana"/>
                <w:sz w:val="18"/>
                <w:szCs w:val="18"/>
              </w:rPr>
            </w:pPr>
          </w:p>
        </w:tc>
      </w:tr>
      <w:tr w:rsidRPr="00533D5C" w:rsidR="00BA1E17" w:rsidTr="00BA1E17">
        <w:tc>
          <w:tcPr>
            <w:tcW w:w="4348" w:type="pct"/>
            <w:tcBorders>
              <w:top w:val="single" w:color="000000" w:sz="6" w:space="0"/>
              <w:left w:val="nil"/>
              <w:bottom w:val="single" w:color="000000" w:sz="6" w:space="0"/>
              <w:right w:val="nil"/>
            </w:tcBorders>
            <w:hideMark/>
          </w:tcPr>
          <w:p w:rsidRPr="00533D5C" w:rsidR="00BA1E17" w:rsidP="00533D5C" w:rsidRDefault="00BA1E17">
            <w:pPr>
              <w:spacing w:line="240" w:lineRule="exact"/>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533D5C" w:rsidR="00BA1E17" w:rsidP="00533D5C" w:rsidRDefault="00226BFA">
            <w:pPr>
              <w:spacing w:line="240" w:lineRule="exact"/>
              <w:jc w:val="right"/>
              <w:rPr>
                <w:rFonts w:ascii="Verdana" w:hAnsi="Verdana" w:cs="Courier New"/>
                <w:sz w:val="18"/>
                <w:szCs w:val="18"/>
              </w:rPr>
            </w:pPr>
            <w:r w:rsidRPr="00533D5C">
              <w:rPr>
                <w:rFonts w:ascii="Verdana" w:hAnsi="Verdana" w:cs="Courier New"/>
                <w:sz w:val="18"/>
                <w:szCs w:val="18"/>
              </w:rPr>
              <w:t>2014</w:t>
            </w:r>
          </w:p>
        </w:tc>
      </w:tr>
      <w:tr w:rsidRPr="00533D5C" w:rsidR="00BA1E17" w:rsidTr="00BA1E17">
        <w:tc>
          <w:tcPr>
            <w:tcW w:w="4348" w:type="pct"/>
            <w:tcBorders>
              <w:left w:val="nil"/>
              <w:right w:val="nil"/>
            </w:tcBorders>
            <w:hideMark/>
          </w:tcPr>
          <w:p w:rsidRPr="00533D5C" w:rsidR="00BA1E17" w:rsidP="00533D5C" w:rsidRDefault="00226BFA">
            <w:pPr>
              <w:spacing w:line="240" w:lineRule="exact"/>
              <w:rPr>
                <w:rFonts w:ascii="Verdana" w:hAnsi="Verdana" w:cs="Courier New"/>
                <w:sz w:val="18"/>
                <w:szCs w:val="18"/>
              </w:rPr>
            </w:pPr>
            <w:r w:rsidRPr="00533D5C">
              <w:rPr>
                <w:rFonts w:ascii="Verdana" w:hAnsi="Verdana" w:cs="Courier New"/>
                <w:sz w:val="18"/>
                <w:szCs w:val="18"/>
              </w:rPr>
              <w:t>Stand Miljoenennota 2015</w:t>
            </w:r>
            <w:r w:rsidRPr="00533D5C" w:rsidR="00BA1E17">
              <w:rPr>
                <w:rFonts w:ascii="Verdana" w:hAnsi="Verdana" w:cs="Courier New"/>
                <w:sz w:val="18"/>
                <w:szCs w:val="18"/>
              </w:rPr>
              <w:t xml:space="preserve"> (excl. IS)</w:t>
            </w:r>
          </w:p>
        </w:tc>
        <w:tc>
          <w:tcPr>
            <w:tcW w:w="652" w:type="pct"/>
            <w:tcBorders>
              <w:top w:val="single" w:color="000000" w:sz="6" w:space="0"/>
              <w:left w:val="nil"/>
              <w:right w:val="nil"/>
            </w:tcBorders>
            <w:hideMark/>
          </w:tcPr>
          <w:p w:rsidRPr="00533D5C" w:rsidR="00BA1E17" w:rsidP="00533D5C" w:rsidRDefault="00BA1E17">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BA1E17" w:rsidTr="00BA1E17">
        <w:tc>
          <w:tcPr>
            <w:tcW w:w="4348"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Totaal m</w:t>
            </w:r>
            <w:r w:rsidRPr="00533D5C" w:rsidR="00226BFA">
              <w:rPr>
                <w:rFonts w:ascii="Verdana" w:hAnsi="Verdana" w:cs="Courier New"/>
                <w:sz w:val="18"/>
                <w:szCs w:val="18"/>
              </w:rPr>
              <w:t>utaties sinds Miljoenennota 2015</w:t>
            </w:r>
          </w:p>
        </w:tc>
        <w:tc>
          <w:tcPr>
            <w:tcW w:w="652" w:type="pct"/>
            <w:tcBorders>
              <w:left w:val="nil"/>
              <w:right w:val="nil"/>
            </w:tcBorders>
            <w:hideMark/>
          </w:tcPr>
          <w:p w:rsidRPr="00533D5C" w:rsidR="00BA1E17" w:rsidP="00533D5C" w:rsidRDefault="00BA1E17">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BA1E17" w:rsidTr="00BA1E17">
        <w:tc>
          <w:tcPr>
            <w:tcW w:w="4348"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hideMark/>
          </w:tcPr>
          <w:p w:rsidRPr="00533D5C" w:rsidR="00BA1E17" w:rsidP="00533D5C" w:rsidRDefault="00BA1E17">
            <w:pPr>
              <w:spacing w:line="240" w:lineRule="exact"/>
              <w:rPr>
                <w:rFonts w:ascii="Verdana" w:hAnsi="Verdana"/>
                <w:sz w:val="18"/>
                <w:szCs w:val="18"/>
              </w:rPr>
            </w:pPr>
          </w:p>
        </w:tc>
      </w:tr>
      <w:tr w:rsidRPr="00533D5C" w:rsidR="00BA1E17" w:rsidTr="00BA1E17">
        <w:tc>
          <w:tcPr>
            <w:tcW w:w="4348" w:type="pct"/>
            <w:tcBorders>
              <w:left w:val="nil"/>
              <w:right w:val="nil"/>
            </w:tcBorders>
            <w:hideMark/>
          </w:tcPr>
          <w:p w:rsidRPr="00533D5C" w:rsidR="00BA1E17" w:rsidP="00533D5C" w:rsidRDefault="00226BFA">
            <w:pPr>
              <w:spacing w:line="240" w:lineRule="exact"/>
              <w:rPr>
                <w:rFonts w:ascii="Verdana" w:hAnsi="Verdana" w:cs="Courier New"/>
                <w:sz w:val="18"/>
                <w:szCs w:val="18"/>
              </w:rPr>
            </w:pPr>
            <w:r w:rsidRPr="00533D5C">
              <w:rPr>
                <w:rFonts w:ascii="Verdana" w:hAnsi="Verdana" w:cs="Courier New"/>
                <w:sz w:val="18"/>
                <w:szCs w:val="18"/>
              </w:rPr>
              <w:t>Stand Najaarsnota 2014</w:t>
            </w:r>
            <w:r w:rsidRPr="00533D5C" w:rsidR="00BA1E17">
              <w:rPr>
                <w:rFonts w:ascii="Verdana" w:hAnsi="Verdana" w:cs="Courier New"/>
                <w:sz w:val="18"/>
                <w:szCs w:val="18"/>
              </w:rPr>
              <w:t xml:space="preserve"> (subtotaal)</w:t>
            </w:r>
          </w:p>
        </w:tc>
        <w:tc>
          <w:tcPr>
            <w:tcW w:w="652" w:type="pct"/>
            <w:tcBorders>
              <w:top w:val="single" w:color="000000" w:sz="6" w:space="0"/>
              <w:left w:val="nil"/>
              <w:right w:val="nil"/>
            </w:tcBorders>
            <w:hideMark/>
          </w:tcPr>
          <w:p w:rsidRPr="00533D5C" w:rsidR="00BA1E17" w:rsidP="00533D5C" w:rsidRDefault="00BA1E17">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BA1E17" w:rsidTr="00BA1E17">
        <w:tc>
          <w:tcPr>
            <w:tcW w:w="4348"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Totaal Internationale samenwerking</w:t>
            </w:r>
          </w:p>
        </w:tc>
        <w:tc>
          <w:tcPr>
            <w:tcW w:w="652" w:type="pct"/>
            <w:tcBorders>
              <w:left w:val="nil"/>
              <w:right w:val="nil"/>
            </w:tcBorders>
            <w:hideMark/>
          </w:tcPr>
          <w:p w:rsidRPr="00533D5C" w:rsidR="00BA1E17" w:rsidP="00533D5C" w:rsidRDefault="00BA1E17">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BA1E17" w:rsidTr="00BA1E17">
        <w:tc>
          <w:tcPr>
            <w:tcW w:w="4348" w:type="pct"/>
            <w:tcBorders>
              <w:left w:val="nil"/>
              <w:right w:val="nil"/>
            </w:tcBorders>
            <w:hideMark/>
          </w:tcPr>
          <w:p w:rsidRPr="00533D5C" w:rsidR="00BA1E17" w:rsidP="00533D5C" w:rsidRDefault="00226BFA">
            <w:pPr>
              <w:spacing w:line="240" w:lineRule="exact"/>
              <w:rPr>
                <w:rFonts w:ascii="Verdana" w:hAnsi="Verdana" w:cs="Courier New"/>
                <w:sz w:val="18"/>
                <w:szCs w:val="18"/>
              </w:rPr>
            </w:pPr>
            <w:r w:rsidRPr="00533D5C">
              <w:rPr>
                <w:rFonts w:ascii="Verdana" w:hAnsi="Verdana" w:cs="Courier New"/>
                <w:sz w:val="18"/>
                <w:szCs w:val="18"/>
              </w:rPr>
              <w:t>Stand Najaarsnota 2014</w:t>
            </w:r>
          </w:p>
        </w:tc>
        <w:tc>
          <w:tcPr>
            <w:tcW w:w="652" w:type="pct"/>
            <w:tcBorders>
              <w:top w:val="single" w:color="000000" w:sz="6" w:space="0"/>
              <w:left w:val="nil"/>
              <w:right w:val="nil"/>
            </w:tcBorders>
            <w:hideMark/>
          </w:tcPr>
          <w:p w:rsidRPr="00533D5C" w:rsidR="00BA1E17" w:rsidP="00533D5C" w:rsidRDefault="00BA1E17">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BA1E17" w:rsidTr="00BA1E17">
        <w:tc>
          <w:tcPr>
            <w:tcW w:w="4348"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 </w:t>
            </w:r>
          </w:p>
          <w:p w:rsidRPr="00533D5C" w:rsidR="00013134" w:rsidP="00533D5C" w:rsidRDefault="00013134">
            <w:pPr>
              <w:spacing w:line="240" w:lineRule="exact"/>
              <w:rPr>
                <w:rFonts w:ascii="Verdana" w:hAnsi="Verdana" w:cs="Courier New"/>
                <w:sz w:val="18"/>
                <w:szCs w:val="18"/>
              </w:rPr>
            </w:pPr>
          </w:p>
        </w:tc>
        <w:tc>
          <w:tcPr>
            <w:tcW w:w="652"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 </w:t>
            </w:r>
          </w:p>
        </w:tc>
      </w:tr>
      <w:tr w:rsidRPr="00533D5C" w:rsidR="00BA1E17" w:rsidTr="00BA1E17">
        <w:tc>
          <w:tcPr>
            <w:tcW w:w="4348"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PRIJSBIJSTELLING: NIET-BELASTINGONTVANGSTEN</w:t>
            </w:r>
          </w:p>
        </w:tc>
        <w:tc>
          <w:tcPr>
            <w:tcW w:w="652" w:type="pct"/>
            <w:hideMark/>
          </w:tcPr>
          <w:p w:rsidRPr="00533D5C" w:rsidR="00BA1E17" w:rsidP="00533D5C" w:rsidRDefault="00BA1E17">
            <w:pPr>
              <w:spacing w:line="240" w:lineRule="exact"/>
              <w:rPr>
                <w:rFonts w:ascii="Verdana" w:hAnsi="Verdana"/>
                <w:sz w:val="18"/>
                <w:szCs w:val="18"/>
              </w:rPr>
            </w:pPr>
          </w:p>
        </w:tc>
      </w:tr>
      <w:tr w:rsidRPr="00533D5C" w:rsidR="00BA1E17" w:rsidTr="00BA1E17">
        <w:tc>
          <w:tcPr>
            <w:tcW w:w="4348" w:type="pct"/>
            <w:tcBorders>
              <w:top w:val="single" w:color="000000" w:sz="6" w:space="0"/>
              <w:left w:val="nil"/>
              <w:bottom w:val="single" w:color="000000" w:sz="6" w:space="0"/>
              <w:right w:val="nil"/>
            </w:tcBorders>
            <w:hideMark/>
          </w:tcPr>
          <w:p w:rsidRPr="00533D5C" w:rsidR="00BA1E17" w:rsidP="00533D5C" w:rsidRDefault="00BA1E17">
            <w:pPr>
              <w:spacing w:line="240" w:lineRule="exact"/>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533D5C" w:rsidR="00BA1E17" w:rsidP="00533D5C" w:rsidRDefault="00BA1E17">
            <w:pPr>
              <w:spacing w:line="240" w:lineRule="exact"/>
              <w:jc w:val="right"/>
              <w:rPr>
                <w:rFonts w:ascii="Verdana" w:hAnsi="Verdana" w:cs="Courier New"/>
                <w:sz w:val="18"/>
                <w:szCs w:val="18"/>
              </w:rPr>
            </w:pPr>
            <w:r w:rsidRPr="00533D5C">
              <w:rPr>
                <w:rFonts w:ascii="Verdana" w:hAnsi="Verdana" w:cs="Courier New"/>
                <w:sz w:val="18"/>
                <w:szCs w:val="18"/>
              </w:rPr>
              <w:t>201</w:t>
            </w:r>
            <w:r w:rsidRPr="00533D5C" w:rsidR="00226BFA">
              <w:rPr>
                <w:rFonts w:ascii="Verdana" w:hAnsi="Verdana" w:cs="Courier New"/>
                <w:sz w:val="18"/>
                <w:szCs w:val="18"/>
              </w:rPr>
              <w:t>4</w:t>
            </w:r>
          </w:p>
        </w:tc>
      </w:tr>
      <w:tr w:rsidRPr="00533D5C" w:rsidR="00BA1E17" w:rsidTr="00BA1E17">
        <w:tc>
          <w:tcPr>
            <w:tcW w:w="4348"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Stand Miljoenennota 201</w:t>
            </w:r>
            <w:r w:rsidRPr="00533D5C" w:rsidR="00226BFA">
              <w:rPr>
                <w:rFonts w:ascii="Verdana" w:hAnsi="Verdana" w:cs="Courier New"/>
                <w:sz w:val="18"/>
                <w:szCs w:val="18"/>
              </w:rPr>
              <w:t>5</w:t>
            </w:r>
            <w:r w:rsidRPr="00533D5C">
              <w:rPr>
                <w:rFonts w:ascii="Verdana" w:hAnsi="Verdana" w:cs="Courier New"/>
                <w:sz w:val="18"/>
                <w:szCs w:val="18"/>
              </w:rPr>
              <w:t xml:space="preserve"> (excl. IS)</w:t>
            </w:r>
          </w:p>
        </w:tc>
        <w:tc>
          <w:tcPr>
            <w:tcW w:w="652" w:type="pct"/>
            <w:tcBorders>
              <w:top w:val="single" w:color="000000" w:sz="6" w:space="0"/>
              <w:left w:val="nil"/>
              <w:right w:val="nil"/>
            </w:tcBorders>
            <w:hideMark/>
          </w:tcPr>
          <w:p w:rsidRPr="00533D5C" w:rsidR="00BA1E17" w:rsidP="00533D5C" w:rsidRDefault="00BA1E17">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BA1E17" w:rsidTr="00BA1E17">
        <w:tc>
          <w:tcPr>
            <w:tcW w:w="4348"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Totaal m</w:t>
            </w:r>
            <w:r w:rsidRPr="00533D5C" w:rsidR="00226BFA">
              <w:rPr>
                <w:rFonts w:ascii="Verdana" w:hAnsi="Verdana" w:cs="Courier New"/>
                <w:sz w:val="18"/>
                <w:szCs w:val="18"/>
              </w:rPr>
              <w:t>utaties sinds Miljoenennota 2015</w:t>
            </w:r>
          </w:p>
        </w:tc>
        <w:tc>
          <w:tcPr>
            <w:tcW w:w="652" w:type="pct"/>
            <w:tcBorders>
              <w:left w:val="nil"/>
              <w:right w:val="nil"/>
            </w:tcBorders>
            <w:hideMark/>
          </w:tcPr>
          <w:p w:rsidRPr="00533D5C" w:rsidR="00BA1E17" w:rsidP="00533D5C" w:rsidRDefault="00BA1E17">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BA1E17" w:rsidTr="00BA1E17">
        <w:tc>
          <w:tcPr>
            <w:tcW w:w="4348"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hideMark/>
          </w:tcPr>
          <w:p w:rsidRPr="00533D5C" w:rsidR="00BA1E17" w:rsidP="00533D5C" w:rsidRDefault="00BA1E17">
            <w:pPr>
              <w:spacing w:line="240" w:lineRule="exact"/>
              <w:rPr>
                <w:rFonts w:ascii="Verdana" w:hAnsi="Verdana"/>
                <w:sz w:val="18"/>
                <w:szCs w:val="18"/>
              </w:rPr>
            </w:pPr>
          </w:p>
        </w:tc>
      </w:tr>
      <w:tr w:rsidRPr="00533D5C" w:rsidR="00BA1E17" w:rsidTr="00BA1E17">
        <w:tc>
          <w:tcPr>
            <w:tcW w:w="4348" w:type="pct"/>
            <w:tcBorders>
              <w:left w:val="nil"/>
              <w:right w:val="nil"/>
            </w:tcBorders>
            <w:hideMark/>
          </w:tcPr>
          <w:p w:rsidRPr="00533D5C" w:rsidR="00BA1E17" w:rsidP="00533D5C" w:rsidRDefault="00226BFA">
            <w:pPr>
              <w:spacing w:line="240" w:lineRule="exact"/>
              <w:rPr>
                <w:rFonts w:ascii="Verdana" w:hAnsi="Verdana" w:cs="Courier New"/>
                <w:sz w:val="18"/>
                <w:szCs w:val="18"/>
              </w:rPr>
            </w:pPr>
            <w:r w:rsidRPr="00533D5C">
              <w:rPr>
                <w:rFonts w:ascii="Verdana" w:hAnsi="Verdana" w:cs="Courier New"/>
                <w:sz w:val="18"/>
                <w:szCs w:val="18"/>
              </w:rPr>
              <w:t>Stand Najaarsnota 2014</w:t>
            </w:r>
            <w:r w:rsidRPr="00533D5C" w:rsidR="00BA1E17">
              <w:rPr>
                <w:rFonts w:ascii="Verdana" w:hAnsi="Verdana" w:cs="Courier New"/>
                <w:sz w:val="18"/>
                <w:szCs w:val="18"/>
              </w:rPr>
              <w:t xml:space="preserve"> (subtotaal)</w:t>
            </w:r>
          </w:p>
        </w:tc>
        <w:tc>
          <w:tcPr>
            <w:tcW w:w="652" w:type="pct"/>
            <w:tcBorders>
              <w:top w:val="single" w:color="000000" w:sz="6" w:space="0"/>
              <w:left w:val="nil"/>
              <w:right w:val="nil"/>
            </w:tcBorders>
            <w:hideMark/>
          </w:tcPr>
          <w:p w:rsidRPr="00533D5C" w:rsidR="00BA1E17" w:rsidP="00533D5C" w:rsidRDefault="00BA1E17">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BA1E17" w:rsidTr="00BA1E17">
        <w:tc>
          <w:tcPr>
            <w:tcW w:w="4348" w:type="pct"/>
            <w:tcBorders>
              <w:left w:val="nil"/>
              <w:right w:val="nil"/>
            </w:tcBorders>
            <w:hideMark/>
          </w:tcPr>
          <w:p w:rsidRPr="00533D5C" w:rsidR="00BA1E17" w:rsidP="00533D5C" w:rsidRDefault="00BA1E17">
            <w:pPr>
              <w:spacing w:line="240" w:lineRule="exact"/>
              <w:rPr>
                <w:rFonts w:ascii="Verdana" w:hAnsi="Verdana" w:cs="Courier New"/>
                <w:sz w:val="18"/>
                <w:szCs w:val="18"/>
              </w:rPr>
            </w:pPr>
            <w:r w:rsidRPr="00533D5C">
              <w:rPr>
                <w:rFonts w:ascii="Verdana" w:hAnsi="Verdana" w:cs="Courier New"/>
                <w:sz w:val="18"/>
                <w:szCs w:val="18"/>
              </w:rPr>
              <w:t>Totaal Internationale samenwerking</w:t>
            </w:r>
          </w:p>
        </w:tc>
        <w:tc>
          <w:tcPr>
            <w:tcW w:w="652" w:type="pct"/>
            <w:tcBorders>
              <w:left w:val="nil"/>
              <w:right w:val="nil"/>
            </w:tcBorders>
            <w:hideMark/>
          </w:tcPr>
          <w:p w:rsidRPr="00533D5C" w:rsidR="00BA1E17" w:rsidP="00533D5C" w:rsidRDefault="00BA1E17">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BA1E17" w:rsidTr="00BA1E17">
        <w:tc>
          <w:tcPr>
            <w:tcW w:w="4348" w:type="pct"/>
            <w:tcBorders>
              <w:left w:val="nil"/>
              <w:right w:val="nil"/>
            </w:tcBorders>
            <w:hideMark/>
          </w:tcPr>
          <w:p w:rsidRPr="00533D5C" w:rsidR="00BA1E17" w:rsidP="00533D5C" w:rsidRDefault="00226BFA">
            <w:pPr>
              <w:spacing w:line="240" w:lineRule="exact"/>
              <w:rPr>
                <w:rFonts w:ascii="Verdana" w:hAnsi="Verdana" w:cs="Courier New"/>
                <w:sz w:val="18"/>
                <w:szCs w:val="18"/>
              </w:rPr>
            </w:pPr>
            <w:r w:rsidRPr="00533D5C">
              <w:rPr>
                <w:rFonts w:ascii="Verdana" w:hAnsi="Verdana" w:cs="Courier New"/>
                <w:sz w:val="18"/>
                <w:szCs w:val="18"/>
              </w:rPr>
              <w:t>Stand Najaarsnota 2014</w:t>
            </w:r>
          </w:p>
        </w:tc>
        <w:tc>
          <w:tcPr>
            <w:tcW w:w="652" w:type="pct"/>
            <w:tcBorders>
              <w:top w:val="single" w:color="000000" w:sz="6" w:space="0"/>
              <w:left w:val="nil"/>
              <w:right w:val="nil"/>
            </w:tcBorders>
            <w:hideMark/>
          </w:tcPr>
          <w:p w:rsidRPr="00533D5C" w:rsidR="00BA1E17" w:rsidP="00533D5C" w:rsidRDefault="00BA1E17">
            <w:pPr>
              <w:spacing w:line="240" w:lineRule="exact"/>
              <w:jc w:val="right"/>
              <w:rPr>
                <w:rFonts w:ascii="Verdana" w:hAnsi="Verdana" w:cs="Courier New"/>
                <w:sz w:val="18"/>
                <w:szCs w:val="18"/>
              </w:rPr>
            </w:pPr>
            <w:r w:rsidRPr="00533D5C">
              <w:rPr>
                <w:rFonts w:ascii="Verdana" w:hAnsi="Verdana" w:cs="Courier New"/>
                <w:sz w:val="18"/>
                <w:szCs w:val="18"/>
              </w:rPr>
              <w:t>0,0</w:t>
            </w:r>
          </w:p>
        </w:tc>
      </w:tr>
    </w:tbl>
    <w:p w:rsidRPr="00533D5C" w:rsidR="00BA1E17" w:rsidP="00533D5C" w:rsidRDefault="00BA1E17">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3A1C04" w:rsidP="00533D5C" w:rsidRDefault="003A1C04">
      <w:pPr>
        <w:spacing w:line="240" w:lineRule="exact"/>
        <w:rPr>
          <w:rFonts w:ascii="Verdana" w:hAnsi="Verdana" w:cs="Verdana"/>
          <w:b/>
          <w:bCs/>
          <w:sz w:val="18"/>
          <w:szCs w:val="18"/>
        </w:rPr>
      </w:pPr>
      <w:r w:rsidRPr="00533D5C">
        <w:rPr>
          <w:rFonts w:ascii="Verdana" w:hAnsi="Verdana" w:cs="Verdana"/>
          <w:b/>
          <w:bCs/>
          <w:sz w:val="18"/>
          <w:szCs w:val="18"/>
        </w:rPr>
        <w:lastRenderedPageBreak/>
        <w:t>Arbeidsvoorwaarden</w:t>
      </w:r>
    </w:p>
    <w:tbl>
      <w:tblPr>
        <w:tblW w:w="5000" w:type="pct"/>
        <w:tblCellMar>
          <w:top w:w="15" w:type="dxa"/>
          <w:left w:w="15" w:type="dxa"/>
          <w:bottom w:w="15" w:type="dxa"/>
          <w:right w:w="15" w:type="dxa"/>
        </w:tblCellMar>
        <w:tblLook w:val="04A0"/>
      </w:tblPr>
      <w:tblGrid>
        <w:gridCol w:w="7915"/>
        <w:gridCol w:w="1187"/>
      </w:tblGrid>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 </w:t>
            </w: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ARBEIDSVOORWAARDEN: UITGAVEN</w:t>
            </w:r>
          </w:p>
        </w:tc>
        <w:tc>
          <w:tcPr>
            <w:tcW w:w="652" w:type="pct"/>
            <w:hideMark/>
          </w:tcPr>
          <w:p w:rsidRPr="00533D5C" w:rsidR="003A1C04" w:rsidP="00533D5C" w:rsidRDefault="003A1C04">
            <w:pPr>
              <w:spacing w:line="240" w:lineRule="exact"/>
              <w:rPr>
                <w:rFonts w:ascii="Verdana" w:hAnsi="Verdana"/>
                <w:sz w:val="18"/>
                <w:szCs w:val="18"/>
              </w:rPr>
            </w:pPr>
          </w:p>
        </w:tc>
      </w:tr>
      <w:tr w:rsidRPr="00533D5C" w:rsidR="003A1C04" w:rsidTr="003A1C04">
        <w:tc>
          <w:tcPr>
            <w:tcW w:w="4348" w:type="pct"/>
            <w:tcBorders>
              <w:top w:val="single" w:color="000000" w:sz="6" w:space="0"/>
              <w:left w:val="nil"/>
              <w:bottom w:val="single" w:color="000000" w:sz="6" w:space="0"/>
              <w:right w:val="nil"/>
            </w:tcBorders>
            <w:hideMark/>
          </w:tcPr>
          <w:p w:rsidRPr="00533D5C" w:rsidR="003A1C04" w:rsidP="00533D5C" w:rsidRDefault="003A1C04">
            <w:pPr>
              <w:spacing w:line="240" w:lineRule="exact"/>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533D5C" w:rsidR="003A1C04" w:rsidP="00533D5C" w:rsidRDefault="00226BFA">
            <w:pPr>
              <w:spacing w:line="240" w:lineRule="exact"/>
              <w:jc w:val="right"/>
              <w:rPr>
                <w:rFonts w:ascii="Verdana" w:hAnsi="Verdana" w:cs="Courier New"/>
                <w:sz w:val="18"/>
                <w:szCs w:val="18"/>
              </w:rPr>
            </w:pPr>
            <w:r w:rsidRPr="00533D5C">
              <w:rPr>
                <w:rFonts w:ascii="Verdana" w:hAnsi="Verdana" w:cs="Courier New"/>
                <w:sz w:val="18"/>
                <w:szCs w:val="18"/>
              </w:rPr>
              <w:t>2014</w:t>
            </w: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Stand Miljoenennota 201</w:t>
            </w:r>
            <w:r w:rsidRPr="00533D5C" w:rsidR="00226BFA">
              <w:rPr>
                <w:rFonts w:ascii="Verdana" w:hAnsi="Verdana" w:cs="Courier New"/>
                <w:sz w:val="18"/>
                <w:szCs w:val="18"/>
              </w:rPr>
              <w:t>5</w:t>
            </w:r>
            <w:r w:rsidRPr="00533D5C">
              <w:rPr>
                <w:rFonts w:ascii="Verdana" w:hAnsi="Verdana" w:cs="Courier New"/>
                <w:sz w:val="18"/>
                <w:szCs w:val="18"/>
              </w:rPr>
              <w:t xml:space="preserve"> (excl. IS)</w:t>
            </w:r>
          </w:p>
        </w:tc>
        <w:tc>
          <w:tcPr>
            <w:tcW w:w="652" w:type="pct"/>
            <w:tcBorders>
              <w:top w:val="single" w:color="000000" w:sz="6" w:space="0"/>
              <w:left w:val="nil"/>
              <w:right w:val="nil"/>
            </w:tcBorders>
            <w:hideMark/>
          </w:tcPr>
          <w:p w:rsidRPr="00533D5C" w:rsidR="003A1C04" w:rsidP="00533D5C" w:rsidRDefault="003A1C0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Totaal mutaties sinds Miljoenennota 201</w:t>
            </w:r>
            <w:r w:rsidRPr="00533D5C" w:rsidR="00226BFA">
              <w:rPr>
                <w:rFonts w:ascii="Verdana" w:hAnsi="Verdana" w:cs="Courier New"/>
                <w:sz w:val="18"/>
                <w:szCs w:val="18"/>
              </w:rPr>
              <w:t>5</w:t>
            </w:r>
          </w:p>
        </w:tc>
        <w:tc>
          <w:tcPr>
            <w:tcW w:w="652" w:type="pct"/>
            <w:tcBorders>
              <w:left w:val="nil"/>
              <w:right w:val="nil"/>
            </w:tcBorders>
            <w:hideMark/>
          </w:tcPr>
          <w:p w:rsidRPr="00533D5C" w:rsidR="003A1C04" w:rsidP="00533D5C" w:rsidRDefault="003A1C0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hideMark/>
          </w:tcPr>
          <w:p w:rsidRPr="00533D5C" w:rsidR="003A1C04" w:rsidP="00533D5C" w:rsidRDefault="003A1C04">
            <w:pPr>
              <w:spacing w:line="240" w:lineRule="exact"/>
              <w:rPr>
                <w:rFonts w:ascii="Verdana" w:hAnsi="Verdana"/>
                <w:sz w:val="18"/>
                <w:szCs w:val="18"/>
              </w:rPr>
            </w:pPr>
          </w:p>
        </w:tc>
      </w:tr>
      <w:tr w:rsidRPr="00533D5C" w:rsidR="003A1C04" w:rsidTr="003A1C04">
        <w:tc>
          <w:tcPr>
            <w:tcW w:w="4348" w:type="pct"/>
            <w:tcBorders>
              <w:left w:val="nil"/>
              <w:right w:val="nil"/>
            </w:tcBorders>
            <w:hideMark/>
          </w:tcPr>
          <w:p w:rsidRPr="00533D5C" w:rsidR="003A1C04" w:rsidP="00533D5C" w:rsidRDefault="00226BFA">
            <w:pPr>
              <w:spacing w:line="240" w:lineRule="exact"/>
              <w:rPr>
                <w:rFonts w:ascii="Verdana" w:hAnsi="Verdana" w:cs="Courier New"/>
                <w:sz w:val="18"/>
                <w:szCs w:val="18"/>
              </w:rPr>
            </w:pPr>
            <w:r w:rsidRPr="00533D5C">
              <w:rPr>
                <w:rFonts w:ascii="Verdana" w:hAnsi="Verdana" w:cs="Courier New"/>
                <w:sz w:val="18"/>
                <w:szCs w:val="18"/>
              </w:rPr>
              <w:t>Stand Najaarsnota 2014</w:t>
            </w:r>
            <w:r w:rsidRPr="00533D5C" w:rsidR="003A1C04">
              <w:rPr>
                <w:rFonts w:ascii="Verdana" w:hAnsi="Verdana" w:cs="Courier New"/>
                <w:sz w:val="18"/>
                <w:szCs w:val="18"/>
              </w:rPr>
              <w:t xml:space="preserve"> (subtotaal)</w:t>
            </w:r>
          </w:p>
        </w:tc>
        <w:tc>
          <w:tcPr>
            <w:tcW w:w="652" w:type="pct"/>
            <w:tcBorders>
              <w:top w:val="single" w:color="000000" w:sz="6" w:space="0"/>
              <w:left w:val="nil"/>
              <w:right w:val="nil"/>
            </w:tcBorders>
            <w:hideMark/>
          </w:tcPr>
          <w:p w:rsidRPr="00533D5C" w:rsidR="003A1C04" w:rsidP="00533D5C" w:rsidRDefault="003A1C0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Totaal Internationale samenwerking</w:t>
            </w:r>
          </w:p>
        </w:tc>
        <w:tc>
          <w:tcPr>
            <w:tcW w:w="652" w:type="pct"/>
            <w:tcBorders>
              <w:left w:val="nil"/>
              <w:right w:val="nil"/>
            </w:tcBorders>
            <w:hideMark/>
          </w:tcPr>
          <w:p w:rsidRPr="00533D5C" w:rsidR="003A1C04" w:rsidP="00533D5C" w:rsidRDefault="003A1C0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3A1C04" w:rsidTr="003A1C04">
        <w:tc>
          <w:tcPr>
            <w:tcW w:w="4348" w:type="pct"/>
            <w:tcBorders>
              <w:left w:val="nil"/>
              <w:right w:val="nil"/>
            </w:tcBorders>
            <w:hideMark/>
          </w:tcPr>
          <w:p w:rsidRPr="00533D5C" w:rsidR="003A1C04" w:rsidP="00533D5C" w:rsidRDefault="00226BFA">
            <w:pPr>
              <w:spacing w:line="240" w:lineRule="exact"/>
              <w:rPr>
                <w:rFonts w:ascii="Verdana" w:hAnsi="Verdana" w:cs="Courier New"/>
                <w:sz w:val="18"/>
                <w:szCs w:val="18"/>
              </w:rPr>
            </w:pPr>
            <w:r w:rsidRPr="00533D5C">
              <w:rPr>
                <w:rFonts w:ascii="Verdana" w:hAnsi="Verdana" w:cs="Courier New"/>
                <w:sz w:val="18"/>
                <w:szCs w:val="18"/>
              </w:rPr>
              <w:t>Stand Najaarsnota 2014</w:t>
            </w:r>
          </w:p>
        </w:tc>
        <w:tc>
          <w:tcPr>
            <w:tcW w:w="652" w:type="pct"/>
            <w:tcBorders>
              <w:top w:val="single" w:color="000000" w:sz="6" w:space="0"/>
              <w:left w:val="nil"/>
              <w:right w:val="nil"/>
            </w:tcBorders>
            <w:hideMark/>
          </w:tcPr>
          <w:p w:rsidRPr="00533D5C" w:rsidR="003A1C04" w:rsidP="00533D5C" w:rsidRDefault="003A1C0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 </w:t>
            </w:r>
          </w:p>
          <w:p w:rsidRPr="00533D5C" w:rsidR="00013134" w:rsidP="00533D5C" w:rsidRDefault="00013134">
            <w:pPr>
              <w:spacing w:line="240" w:lineRule="exact"/>
              <w:rPr>
                <w:rFonts w:ascii="Verdana" w:hAnsi="Verdana" w:cs="Courier New"/>
                <w:sz w:val="18"/>
                <w:szCs w:val="18"/>
              </w:rPr>
            </w:pPr>
          </w:p>
        </w:tc>
        <w:tc>
          <w:tcPr>
            <w:tcW w:w="652"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 </w:t>
            </w: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ARBEIDSVOORWAARDEN: NIET-BELASTINGONTVANGSTEN</w:t>
            </w:r>
          </w:p>
        </w:tc>
        <w:tc>
          <w:tcPr>
            <w:tcW w:w="652" w:type="pct"/>
            <w:hideMark/>
          </w:tcPr>
          <w:p w:rsidRPr="00533D5C" w:rsidR="003A1C04" w:rsidP="00533D5C" w:rsidRDefault="003A1C04">
            <w:pPr>
              <w:spacing w:line="240" w:lineRule="exact"/>
              <w:rPr>
                <w:rFonts w:ascii="Verdana" w:hAnsi="Verdana"/>
                <w:sz w:val="18"/>
                <w:szCs w:val="18"/>
              </w:rPr>
            </w:pPr>
          </w:p>
        </w:tc>
      </w:tr>
      <w:tr w:rsidRPr="00533D5C" w:rsidR="003A1C04" w:rsidTr="003A1C04">
        <w:tc>
          <w:tcPr>
            <w:tcW w:w="4348" w:type="pct"/>
            <w:tcBorders>
              <w:top w:val="single" w:color="000000" w:sz="6" w:space="0"/>
              <w:left w:val="nil"/>
              <w:bottom w:val="single" w:color="000000" w:sz="6" w:space="0"/>
              <w:right w:val="nil"/>
            </w:tcBorders>
            <w:hideMark/>
          </w:tcPr>
          <w:p w:rsidRPr="00533D5C" w:rsidR="003A1C04" w:rsidP="00533D5C" w:rsidRDefault="003A1C04">
            <w:pPr>
              <w:spacing w:line="240" w:lineRule="exact"/>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533D5C" w:rsidR="003A1C04" w:rsidP="00533D5C" w:rsidRDefault="00226BFA">
            <w:pPr>
              <w:spacing w:line="240" w:lineRule="exact"/>
              <w:jc w:val="right"/>
              <w:rPr>
                <w:rFonts w:ascii="Verdana" w:hAnsi="Verdana" w:cs="Courier New"/>
                <w:sz w:val="18"/>
                <w:szCs w:val="18"/>
              </w:rPr>
            </w:pPr>
            <w:r w:rsidRPr="00533D5C">
              <w:rPr>
                <w:rFonts w:ascii="Verdana" w:hAnsi="Verdana" w:cs="Courier New"/>
                <w:sz w:val="18"/>
                <w:szCs w:val="18"/>
              </w:rPr>
              <w:t>2014</w:t>
            </w:r>
          </w:p>
        </w:tc>
      </w:tr>
      <w:tr w:rsidRPr="00533D5C" w:rsidR="003A1C04" w:rsidTr="003A1C04">
        <w:tc>
          <w:tcPr>
            <w:tcW w:w="4348" w:type="pct"/>
            <w:tcBorders>
              <w:left w:val="nil"/>
              <w:right w:val="nil"/>
            </w:tcBorders>
            <w:hideMark/>
          </w:tcPr>
          <w:p w:rsidRPr="00533D5C" w:rsidR="003A1C04" w:rsidP="00533D5C" w:rsidRDefault="00226BFA">
            <w:pPr>
              <w:spacing w:line="240" w:lineRule="exact"/>
              <w:rPr>
                <w:rFonts w:ascii="Verdana" w:hAnsi="Verdana" w:cs="Courier New"/>
                <w:sz w:val="18"/>
                <w:szCs w:val="18"/>
              </w:rPr>
            </w:pPr>
            <w:r w:rsidRPr="00533D5C">
              <w:rPr>
                <w:rFonts w:ascii="Verdana" w:hAnsi="Verdana" w:cs="Courier New"/>
                <w:sz w:val="18"/>
                <w:szCs w:val="18"/>
              </w:rPr>
              <w:t>Stand Miljoenennota 2015</w:t>
            </w:r>
            <w:r w:rsidRPr="00533D5C" w:rsidR="003A1C04">
              <w:rPr>
                <w:rFonts w:ascii="Verdana" w:hAnsi="Verdana" w:cs="Courier New"/>
                <w:sz w:val="18"/>
                <w:szCs w:val="18"/>
              </w:rPr>
              <w:t xml:space="preserve"> (excl. IS)</w:t>
            </w:r>
          </w:p>
        </w:tc>
        <w:tc>
          <w:tcPr>
            <w:tcW w:w="652" w:type="pct"/>
            <w:tcBorders>
              <w:top w:val="single" w:color="000000" w:sz="6" w:space="0"/>
              <w:left w:val="nil"/>
              <w:right w:val="nil"/>
            </w:tcBorders>
            <w:hideMark/>
          </w:tcPr>
          <w:p w:rsidRPr="00533D5C" w:rsidR="003A1C04" w:rsidP="00533D5C" w:rsidRDefault="003A1C0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Totaal m</w:t>
            </w:r>
            <w:r w:rsidRPr="00533D5C" w:rsidR="00226BFA">
              <w:rPr>
                <w:rFonts w:ascii="Verdana" w:hAnsi="Verdana" w:cs="Courier New"/>
                <w:sz w:val="18"/>
                <w:szCs w:val="18"/>
              </w:rPr>
              <w:t>utaties sinds Miljoenennota 2015</w:t>
            </w:r>
          </w:p>
        </w:tc>
        <w:tc>
          <w:tcPr>
            <w:tcW w:w="652" w:type="pct"/>
            <w:tcBorders>
              <w:left w:val="nil"/>
              <w:right w:val="nil"/>
            </w:tcBorders>
            <w:hideMark/>
          </w:tcPr>
          <w:p w:rsidRPr="00533D5C" w:rsidR="003A1C04" w:rsidP="00533D5C" w:rsidRDefault="003A1C0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hideMark/>
          </w:tcPr>
          <w:p w:rsidRPr="00533D5C" w:rsidR="003A1C04" w:rsidP="00533D5C" w:rsidRDefault="003A1C04">
            <w:pPr>
              <w:spacing w:line="240" w:lineRule="exact"/>
              <w:rPr>
                <w:rFonts w:ascii="Verdana" w:hAnsi="Verdana"/>
                <w:sz w:val="18"/>
                <w:szCs w:val="18"/>
              </w:rPr>
            </w:pP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Stand Najaarsnota 201</w:t>
            </w:r>
            <w:r w:rsidRPr="00533D5C" w:rsidR="00226BFA">
              <w:rPr>
                <w:rFonts w:ascii="Verdana" w:hAnsi="Verdana" w:cs="Courier New"/>
                <w:sz w:val="18"/>
                <w:szCs w:val="18"/>
              </w:rPr>
              <w:t>4</w:t>
            </w:r>
            <w:r w:rsidRPr="00533D5C">
              <w:rPr>
                <w:rFonts w:ascii="Verdana" w:hAnsi="Verdana" w:cs="Courier New"/>
                <w:sz w:val="18"/>
                <w:szCs w:val="18"/>
              </w:rPr>
              <w:t xml:space="preserve"> (subtotaal)</w:t>
            </w:r>
          </w:p>
        </w:tc>
        <w:tc>
          <w:tcPr>
            <w:tcW w:w="652" w:type="pct"/>
            <w:tcBorders>
              <w:top w:val="single" w:color="000000" w:sz="6" w:space="0"/>
              <w:left w:val="nil"/>
              <w:right w:val="nil"/>
            </w:tcBorders>
            <w:hideMark/>
          </w:tcPr>
          <w:p w:rsidRPr="00533D5C" w:rsidR="003A1C04" w:rsidP="00533D5C" w:rsidRDefault="003A1C0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Totaal Internationale samenwerking</w:t>
            </w:r>
          </w:p>
        </w:tc>
        <w:tc>
          <w:tcPr>
            <w:tcW w:w="652" w:type="pct"/>
            <w:tcBorders>
              <w:left w:val="nil"/>
              <w:right w:val="nil"/>
            </w:tcBorders>
            <w:hideMark/>
          </w:tcPr>
          <w:p w:rsidRPr="00533D5C" w:rsidR="003A1C04" w:rsidP="00533D5C" w:rsidRDefault="003A1C0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3A1C04" w:rsidTr="003A1C04">
        <w:tc>
          <w:tcPr>
            <w:tcW w:w="4348" w:type="pct"/>
            <w:tcBorders>
              <w:left w:val="nil"/>
              <w:right w:val="nil"/>
            </w:tcBorders>
            <w:hideMark/>
          </w:tcPr>
          <w:p w:rsidRPr="00533D5C" w:rsidR="003A1C04" w:rsidP="00533D5C" w:rsidRDefault="003A1C04">
            <w:pPr>
              <w:spacing w:line="240" w:lineRule="exact"/>
              <w:rPr>
                <w:rFonts w:ascii="Verdana" w:hAnsi="Verdana" w:cs="Courier New"/>
                <w:sz w:val="18"/>
                <w:szCs w:val="18"/>
              </w:rPr>
            </w:pPr>
            <w:r w:rsidRPr="00533D5C">
              <w:rPr>
                <w:rFonts w:ascii="Verdana" w:hAnsi="Verdana" w:cs="Courier New"/>
                <w:sz w:val="18"/>
                <w:szCs w:val="18"/>
              </w:rPr>
              <w:t>Stand Najaarsnota 201</w:t>
            </w:r>
            <w:r w:rsidRPr="00533D5C" w:rsidR="00226BFA">
              <w:rPr>
                <w:rFonts w:ascii="Verdana" w:hAnsi="Verdana" w:cs="Courier New"/>
                <w:sz w:val="18"/>
                <w:szCs w:val="18"/>
              </w:rPr>
              <w:t>4</w:t>
            </w:r>
          </w:p>
        </w:tc>
        <w:tc>
          <w:tcPr>
            <w:tcW w:w="652" w:type="pct"/>
            <w:tcBorders>
              <w:top w:val="single" w:color="000000" w:sz="6" w:space="0"/>
              <w:left w:val="nil"/>
              <w:right w:val="nil"/>
            </w:tcBorders>
            <w:hideMark/>
          </w:tcPr>
          <w:p w:rsidRPr="00533D5C" w:rsidR="003A1C04" w:rsidP="00533D5C" w:rsidRDefault="003A1C04">
            <w:pPr>
              <w:spacing w:line="240" w:lineRule="exact"/>
              <w:jc w:val="right"/>
              <w:rPr>
                <w:rFonts w:ascii="Verdana" w:hAnsi="Verdana" w:cs="Courier New"/>
                <w:sz w:val="18"/>
                <w:szCs w:val="18"/>
              </w:rPr>
            </w:pPr>
            <w:r w:rsidRPr="00533D5C">
              <w:rPr>
                <w:rFonts w:ascii="Verdana" w:hAnsi="Verdana" w:cs="Courier New"/>
                <w:sz w:val="18"/>
                <w:szCs w:val="18"/>
              </w:rPr>
              <w:t>0,0</w:t>
            </w:r>
          </w:p>
        </w:tc>
      </w:tr>
    </w:tbl>
    <w:p w:rsidRPr="00533D5C" w:rsidR="003A1C04" w:rsidP="00533D5C" w:rsidRDefault="003A1C04">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AA6932" w:rsidP="00533D5C" w:rsidRDefault="00AA6932">
      <w:pPr>
        <w:spacing w:line="240" w:lineRule="exact"/>
        <w:rPr>
          <w:rFonts w:ascii="Verdana" w:hAnsi="Verdana" w:cs="Verdana"/>
          <w:b/>
          <w:bCs/>
          <w:sz w:val="18"/>
          <w:szCs w:val="18"/>
        </w:rPr>
      </w:pPr>
      <w:r w:rsidRPr="00533D5C">
        <w:rPr>
          <w:rFonts w:ascii="Verdana" w:hAnsi="Verdana" w:cs="Verdana"/>
          <w:b/>
          <w:bCs/>
          <w:sz w:val="18"/>
          <w:szCs w:val="18"/>
        </w:rPr>
        <w:lastRenderedPageBreak/>
        <w:t>Koppeling Uitkeringen</w:t>
      </w:r>
    </w:p>
    <w:tbl>
      <w:tblPr>
        <w:tblW w:w="5000" w:type="pct"/>
        <w:tblCellMar>
          <w:top w:w="15" w:type="dxa"/>
          <w:left w:w="15" w:type="dxa"/>
          <w:bottom w:w="15" w:type="dxa"/>
          <w:right w:w="15" w:type="dxa"/>
        </w:tblCellMar>
        <w:tblLook w:val="04A0"/>
      </w:tblPr>
      <w:tblGrid>
        <w:gridCol w:w="7915"/>
        <w:gridCol w:w="1187"/>
      </w:tblGrid>
      <w:tr w:rsidRPr="00533D5C" w:rsidR="00AA6932" w:rsidTr="00AA6932">
        <w:tc>
          <w:tcPr>
            <w:tcW w:w="4348"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 </w:t>
            </w:r>
          </w:p>
        </w:tc>
      </w:tr>
      <w:tr w:rsidRPr="00533D5C" w:rsidR="00AA6932" w:rsidTr="00AA6932">
        <w:tc>
          <w:tcPr>
            <w:tcW w:w="4348"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KOPPELING UITKERINGEN: UITGAVEN</w:t>
            </w:r>
          </w:p>
        </w:tc>
        <w:tc>
          <w:tcPr>
            <w:tcW w:w="652" w:type="pct"/>
            <w:hideMark/>
          </w:tcPr>
          <w:p w:rsidRPr="00533D5C" w:rsidR="00AA6932" w:rsidP="00533D5C" w:rsidRDefault="00AA6932">
            <w:pPr>
              <w:spacing w:line="240" w:lineRule="exact"/>
              <w:rPr>
                <w:rFonts w:ascii="Verdana" w:hAnsi="Verdana"/>
                <w:sz w:val="18"/>
                <w:szCs w:val="18"/>
              </w:rPr>
            </w:pPr>
          </w:p>
        </w:tc>
      </w:tr>
      <w:tr w:rsidRPr="00533D5C" w:rsidR="00AA6932" w:rsidTr="00AA6932">
        <w:tc>
          <w:tcPr>
            <w:tcW w:w="4348" w:type="pct"/>
            <w:tcBorders>
              <w:top w:val="single" w:color="000000" w:sz="6" w:space="0"/>
              <w:left w:val="nil"/>
              <w:bottom w:val="single" w:color="000000" w:sz="6" w:space="0"/>
              <w:right w:val="nil"/>
            </w:tcBorders>
            <w:hideMark/>
          </w:tcPr>
          <w:p w:rsidRPr="00533D5C" w:rsidR="00AA6932" w:rsidP="00533D5C" w:rsidRDefault="00AA6932">
            <w:pPr>
              <w:spacing w:line="240" w:lineRule="exact"/>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533D5C" w:rsidR="00AA6932" w:rsidP="00533D5C" w:rsidRDefault="00AA6932">
            <w:pPr>
              <w:spacing w:line="240" w:lineRule="exact"/>
              <w:jc w:val="right"/>
              <w:rPr>
                <w:rFonts w:ascii="Verdana" w:hAnsi="Verdana" w:cs="Courier New"/>
                <w:sz w:val="18"/>
                <w:szCs w:val="18"/>
              </w:rPr>
            </w:pPr>
            <w:r w:rsidRPr="00533D5C">
              <w:rPr>
                <w:rFonts w:ascii="Verdana" w:hAnsi="Verdana" w:cs="Courier New"/>
                <w:sz w:val="18"/>
                <w:szCs w:val="18"/>
              </w:rPr>
              <w:t>201</w:t>
            </w:r>
            <w:r w:rsidRPr="00533D5C" w:rsidR="00CB54D2">
              <w:rPr>
                <w:rFonts w:ascii="Verdana" w:hAnsi="Verdana" w:cs="Courier New"/>
                <w:sz w:val="18"/>
                <w:szCs w:val="18"/>
              </w:rPr>
              <w:t>4</w:t>
            </w:r>
          </w:p>
        </w:tc>
      </w:tr>
      <w:tr w:rsidRPr="00533D5C" w:rsidR="00AA6932" w:rsidTr="00AA6932">
        <w:tc>
          <w:tcPr>
            <w:tcW w:w="4348" w:type="pct"/>
            <w:tcBorders>
              <w:left w:val="nil"/>
              <w:right w:val="nil"/>
            </w:tcBorders>
            <w:hideMark/>
          </w:tcPr>
          <w:p w:rsidRPr="00533D5C" w:rsidR="00AA6932" w:rsidP="00533D5C" w:rsidRDefault="00CB54D2">
            <w:pPr>
              <w:spacing w:line="240" w:lineRule="exact"/>
              <w:rPr>
                <w:rFonts w:ascii="Verdana" w:hAnsi="Verdana" w:cs="Courier New"/>
                <w:sz w:val="18"/>
                <w:szCs w:val="18"/>
              </w:rPr>
            </w:pPr>
            <w:r w:rsidRPr="00533D5C">
              <w:rPr>
                <w:rFonts w:ascii="Verdana" w:hAnsi="Verdana" w:cs="Courier New"/>
                <w:sz w:val="18"/>
                <w:szCs w:val="18"/>
              </w:rPr>
              <w:t>Stand Miljoenennota 2015</w:t>
            </w:r>
            <w:r w:rsidRPr="00533D5C" w:rsidR="00AA6932">
              <w:rPr>
                <w:rFonts w:ascii="Verdana" w:hAnsi="Verdana" w:cs="Courier New"/>
                <w:sz w:val="18"/>
                <w:szCs w:val="18"/>
              </w:rPr>
              <w:t xml:space="preserve"> (excl. IS)</w:t>
            </w:r>
          </w:p>
        </w:tc>
        <w:tc>
          <w:tcPr>
            <w:tcW w:w="652" w:type="pct"/>
            <w:tcBorders>
              <w:top w:val="single" w:color="000000" w:sz="6" w:space="0"/>
              <w:left w:val="nil"/>
              <w:right w:val="nil"/>
            </w:tcBorders>
            <w:hideMark/>
          </w:tcPr>
          <w:p w:rsidRPr="00533D5C" w:rsidR="00AA6932" w:rsidP="00533D5C" w:rsidRDefault="00AA6932">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AA6932" w:rsidTr="00AA6932">
        <w:tc>
          <w:tcPr>
            <w:tcW w:w="4348"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Totaal m</w:t>
            </w:r>
            <w:r w:rsidRPr="00533D5C" w:rsidR="00CB54D2">
              <w:rPr>
                <w:rFonts w:ascii="Verdana" w:hAnsi="Verdana" w:cs="Courier New"/>
                <w:sz w:val="18"/>
                <w:szCs w:val="18"/>
              </w:rPr>
              <w:t>utaties sinds Miljoenennota 2015</w:t>
            </w:r>
          </w:p>
        </w:tc>
        <w:tc>
          <w:tcPr>
            <w:tcW w:w="652" w:type="pct"/>
            <w:tcBorders>
              <w:left w:val="nil"/>
              <w:right w:val="nil"/>
            </w:tcBorders>
            <w:hideMark/>
          </w:tcPr>
          <w:p w:rsidRPr="00533D5C" w:rsidR="00AA6932" w:rsidP="00533D5C" w:rsidRDefault="00AA6932">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AA6932" w:rsidTr="00AA6932">
        <w:tc>
          <w:tcPr>
            <w:tcW w:w="4348"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hideMark/>
          </w:tcPr>
          <w:p w:rsidRPr="00533D5C" w:rsidR="00AA6932" w:rsidP="00533D5C" w:rsidRDefault="00AA6932">
            <w:pPr>
              <w:spacing w:line="240" w:lineRule="exact"/>
              <w:rPr>
                <w:rFonts w:ascii="Verdana" w:hAnsi="Verdana"/>
                <w:sz w:val="18"/>
                <w:szCs w:val="18"/>
              </w:rPr>
            </w:pPr>
          </w:p>
        </w:tc>
      </w:tr>
      <w:tr w:rsidRPr="00533D5C" w:rsidR="00AA6932" w:rsidTr="00AA6932">
        <w:tc>
          <w:tcPr>
            <w:tcW w:w="4348" w:type="pct"/>
            <w:tcBorders>
              <w:left w:val="nil"/>
              <w:right w:val="nil"/>
            </w:tcBorders>
            <w:hideMark/>
          </w:tcPr>
          <w:p w:rsidRPr="00533D5C" w:rsidR="00AA6932" w:rsidP="00533D5C" w:rsidRDefault="00CB54D2">
            <w:pPr>
              <w:spacing w:line="240" w:lineRule="exact"/>
              <w:rPr>
                <w:rFonts w:ascii="Verdana" w:hAnsi="Verdana" w:cs="Courier New"/>
                <w:sz w:val="18"/>
                <w:szCs w:val="18"/>
              </w:rPr>
            </w:pPr>
            <w:r w:rsidRPr="00533D5C">
              <w:rPr>
                <w:rFonts w:ascii="Verdana" w:hAnsi="Verdana" w:cs="Courier New"/>
                <w:sz w:val="18"/>
                <w:szCs w:val="18"/>
              </w:rPr>
              <w:t>Stand Najaarsnota 2014</w:t>
            </w:r>
            <w:r w:rsidRPr="00533D5C" w:rsidR="00AA6932">
              <w:rPr>
                <w:rFonts w:ascii="Verdana" w:hAnsi="Verdana" w:cs="Courier New"/>
                <w:sz w:val="18"/>
                <w:szCs w:val="18"/>
              </w:rPr>
              <w:t xml:space="preserve"> (subtotaal)</w:t>
            </w:r>
          </w:p>
        </w:tc>
        <w:tc>
          <w:tcPr>
            <w:tcW w:w="652" w:type="pct"/>
            <w:tcBorders>
              <w:top w:val="single" w:color="000000" w:sz="6" w:space="0"/>
              <w:left w:val="nil"/>
              <w:right w:val="nil"/>
            </w:tcBorders>
            <w:hideMark/>
          </w:tcPr>
          <w:p w:rsidRPr="00533D5C" w:rsidR="00AA6932" w:rsidP="00533D5C" w:rsidRDefault="00AA6932">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AA6932" w:rsidTr="00AA6932">
        <w:tc>
          <w:tcPr>
            <w:tcW w:w="4348"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Totaal Internationale samenwerking</w:t>
            </w:r>
          </w:p>
        </w:tc>
        <w:tc>
          <w:tcPr>
            <w:tcW w:w="652" w:type="pct"/>
            <w:tcBorders>
              <w:left w:val="nil"/>
              <w:right w:val="nil"/>
            </w:tcBorders>
            <w:hideMark/>
          </w:tcPr>
          <w:p w:rsidRPr="00533D5C" w:rsidR="00AA6932" w:rsidP="00533D5C" w:rsidRDefault="00AA6932">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AA6932" w:rsidTr="00AA6932">
        <w:tc>
          <w:tcPr>
            <w:tcW w:w="4348" w:type="pct"/>
            <w:tcBorders>
              <w:left w:val="nil"/>
              <w:right w:val="nil"/>
            </w:tcBorders>
            <w:hideMark/>
          </w:tcPr>
          <w:p w:rsidRPr="00533D5C" w:rsidR="00AA6932" w:rsidP="00533D5C" w:rsidRDefault="00CB54D2">
            <w:pPr>
              <w:spacing w:line="240" w:lineRule="exact"/>
              <w:rPr>
                <w:rFonts w:ascii="Verdana" w:hAnsi="Verdana" w:cs="Courier New"/>
                <w:sz w:val="18"/>
                <w:szCs w:val="18"/>
              </w:rPr>
            </w:pPr>
            <w:r w:rsidRPr="00533D5C">
              <w:rPr>
                <w:rFonts w:ascii="Verdana" w:hAnsi="Verdana" w:cs="Courier New"/>
                <w:sz w:val="18"/>
                <w:szCs w:val="18"/>
              </w:rPr>
              <w:t>Stand Najaarsnota 2014</w:t>
            </w:r>
          </w:p>
        </w:tc>
        <w:tc>
          <w:tcPr>
            <w:tcW w:w="652" w:type="pct"/>
            <w:tcBorders>
              <w:top w:val="single" w:color="000000" w:sz="6" w:space="0"/>
              <w:left w:val="nil"/>
              <w:right w:val="nil"/>
            </w:tcBorders>
            <w:hideMark/>
          </w:tcPr>
          <w:p w:rsidRPr="00533D5C" w:rsidR="00AA6932" w:rsidP="00533D5C" w:rsidRDefault="00AA6932">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AA6932" w:rsidTr="00AA6932">
        <w:tc>
          <w:tcPr>
            <w:tcW w:w="4348"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 </w:t>
            </w:r>
          </w:p>
          <w:p w:rsidRPr="00533D5C" w:rsidR="00013134" w:rsidP="00533D5C" w:rsidRDefault="00013134">
            <w:pPr>
              <w:spacing w:line="240" w:lineRule="exact"/>
              <w:rPr>
                <w:rFonts w:ascii="Verdana" w:hAnsi="Verdana" w:cs="Courier New"/>
                <w:sz w:val="18"/>
                <w:szCs w:val="18"/>
              </w:rPr>
            </w:pPr>
          </w:p>
        </w:tc>
        <w:tc>
          <w:tcPr>
            <w:tcW w:w="652"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 </w:t>
            </w:r>
          </w:p>
        </w:tc>
      </w:tr>
      <w:tr w:rsidRPr="00533D5C" w:rsidR="00AA6932" w:rsidTr="00AA6932">
        <w:tc>
          <w:tcPr>
            <w:tcW w:w="4348"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KOPPELING UITKERINGEN: NIET-BELASTINGONTVANGSTEN</w:t>
            </w:r>
          </w:p>
        </w:tc>
        <w:tc>
          <w:tcPr>
            <w:tcW w:w="652" w:type="pct"/>
            <w:hideMark/>
          </w:tcPr>
          <w:p w:rsidRPr="00533D5C" w:rsidR="00AA6932" w:rsidP="00533D5C" w:rsidRDefault="00AA6932">
            <w:pPr>
              <w:spacing w:line="240" w:lineRule="exact"/>
              <w:rPr>
                <w:rFonts w:ascii="Verdana" w:hAnsi="Verdana"/>
                <w:sz w:val="18"/>
                <w:szCs w:val="18"/>
              </w:rPr>
            </w:pPr>
          </w:p>
        </w:tc>
      </w:tr>
      <w:tr w:rsidRPr="00533D5C" w:rsidR="00AA6932" w:rsidTr="00AA6932">
        <w:tc>
          <w:tcPr>
            <w:tcW w:w="4348" w:type="pct"/>
            <w:tcBorders>
              <w:top w:val="single" w:color="000000" w:sz="6" w:space="0"/>
              <w:left w:val="nil"/>
              <w:bottom w:val="single" w:color="000000" w:sz="6" w:space="0"/>
              <w:right w:val="nil"/>
            </w:tcBorders>
            <w:hideMark/>
          </w:tcPr>
          <w:p w:rsidRPr="00533D5C" w:rsidR="00AA6932" w:rsidP="00533D5C" w:rsidRDefault="00AA6932">
            <w:pPr>
              <w:spacing w:line="240" w:lineRule="exact"/>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533D5C" w:rsidR="00AA6932" w:rsidP="00533D5C" w:rsidRDefault="00CB54D2">
            <w:pPr>
              <w:spacing w:line="240" w:lineRule="exact"/>
              <w:jc w:val="right"/>
              <w:rPr>
                <w:rFonts w:ascii="Verdana" w:hAnsi="Verdana" w:cs="Courier New"/>
                <w:sz w:val="18"/>
                <w:szCs w:val="18"/>
              </w:rPr>
            </w:pPr>
            <w:r w:rsidRPr="00533D5C">
              <w:rPr>
                <w:rFonts w:ascii="Verdana" w:hAnsi="Verdana" w:cs="Courier New"/>
                <w:sz w:val="18"/>
                <w:szCs w:val="18"/>
              </w:rPr>
              <w:t>2014</w:t>
            </w:r>
          </w:p>
        </w:tc>
      </w:tr>
      <w:tr w:rsidRPr="00533D5C" w:rsidR="00AA6932" w:rsidTr="00AA6932">
        <w:tc>
          <w:tcPr>
            <w:tcW w:w="4348" w:type="pct"/>
            <w:tcBorders>
              <w:left w:val="nil"/>
              <w:right w:val="nil"/>
            </w:tcBorders>
            <w:hideMark/>
          </w:tcPr>
          <w:p w:rsidRPr="00533D5C" w:rsidR="00AA6932" w:rsidP="00533D5C" w:rsidRDefault="00CB54D2">
            <w:pPr>
              <w:spacing w:line="240" w:lineRule="exact"/>
              <w:rPr>
                <w:rFonts w:ascii="Verdana" w:hAnsi="Verdana" w:cs="Courier New"/>
                <w:sz w:val="18"/>
                <w:szCs w:val="18"/>
              </w:rPr>
            </w:pPr>
            <w:r w:rsidRPr="00533D5C">
              <w:rPr>
                <w:rFonts w:ascii="Verdana" w:hAnsi="Verdana" w:cs="Courier New"/>
                <w:sz w:val="18"/>
                <w:szCs w:val="18"/>
              </w:rPr>
              <w:t>Stand Miljoenennota 2015</w:t>
            </w:r>
            <w:r w:rsidRPr="00533D5C" w:rsidR="00AA6932">
              <w:rPr>
                <w:rFonts w:ascii="Verdana" w:hAnsi="Verdana" w:cs="Courier New"/>
                <w:sz w:val="18"/>
                <w:szCs w:val="18"/>
              </w:rPr>
              <w:t xml:space="preserve"> (excl. IS)</w:t>
            </w:r>
          </w:p>
        </w:tc>
        <w:tc>
          <w:tcPr>
            <w:tcW w:w="652" w:type="pct"/>
            <w:tcBorders>
              <w:top w:val="single" w:color="000000" w:sz="6" w:space="0"/>
              <w:left w:val="nil"/>
              <w:right w:val="nil"/>
            </w:tcBorders>
            <w:hideMark/>
          </w:tcPr>
          <w:p w:rsidRPr="00533D5C" w:rsidR="00AA6932" w:rsidP="00533D5C" w:rsidRDefault="00AA6932">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AA6932" w:rsidTr="00AA6932">
        <w:tc>
          <w:tcPr>
            <w:tcW w:w="4348"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Totaal mutaties sinds Miljoenennota 201</w:t>
            </w:r>
            <w:r w:rsidRPr="00533D5C" w:rsidR="00CB54D2">
              <w:rPr>
                <w:rFonts w:ascii="Verdana" w:hAnsi="Verdana" w:cs="Courier New"/>
                <w:sz w:val="18"/>
                <w:szCs w:val="18"/>
              </w:rPr>
              <w:t>5</w:t>
            </w:r>
          </w:p>
        </w:tc>
        <w:tc>
          <w:tcPr>
            <w:tcW w:w="652" w:type="pct"/>
            <w:tcBorders>
              <w:left w:val="nil"/>
              <w:right w:val="nil"/>
            </w:tcBorders>
            <w:hideMark/>
          </w:tcPr>
          <w:p w:rsidRPr="00533D5C" w:rsidR="00AA6932" w:rsidP="00533D5C" w:rsidRDefault="00AA6932">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AA6932" w:rsidTr="00AA6932">
        <w:tc>
          <w:tcPr>
            <w:tcW w:w="4348"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hideMark/>
          </w:tcPr>
          <w:p w:rsidRPr="00533D5C" w:rsidR="00AA6932" w:rsidP="00533D5C" w:rsidRDefault="00AA6932">
            <w:pPr>
              <w:spacing w:line="240" w:lineRule="exact"/>
              <w:rPr>
                <w:rFonts w:ascii="Verdana" w:hAnsi="Verdana"/>
                <w:sz w:val="18"/>
                <w:szCs w:val="18"/>
              </w:rPr>
            </w:pPr>
          </w:p>
        </w:tc>
      </w:tr>
      <w:tr w:rsidRPr="00533D5C" w:rsidR="00AA6932" w:rsidTr="00AA6932">
        <w:tc>
          <w:tcPr>
            <w:tcW w:w="4348" w:type="pct"/>
            <w:tcBorders>
              <w:left w:val="nil"/>
              <w:right w:val="nil"/>
            </w:tcBorders>
            <w:hideMark/>
          </w:tcPr>
          <w:p w:rsidRPr="00533D5C" w:rsidR="00AA6932" w:rsidP="00533D5C" w:rsidRDefault="00CB54D2">
            <w:pPr>
              <w:spacing w:line="240" w:lineRule="exact"/>
              <w:rPr>
                <w:rFonts w:ascii="Verdana" w:hAnsi="Verdana" w:cs="Courier New"/>
                <w:sz w:val="18"/>
                <w:szCs w:val="18"/>
              </w:rPr>
            </w:pPr>
            <w:r w:rsidRPr="00533D5C">
              <w:rPr>
                <w:rFonts w:ascii="Verdana" w:hAnsi="Verdana" w:cs="Courier New"/>
                <w:sz w:val="18"/>
                <w:szCs w:val="18"/>
              </w:rPr>
              <w:t>Stand Najaarsnota 2014</w:t>
            </w:r>
            <w:r w:rsidRPr="00533D5C" w:rsidR="00AA6932">
              <w:rPr>
                <w:rFonts w:ascii="Verdana" w:hAnsi="Verdana" w:cs="Courier New"/>
                <w:sz w:val="18"/>
                <w:szCs w:val="18"/>
              </w:rPr>
              <w:t xml:space="preserve"> (subtotaal)</w:t>
            </w:r>
          </w:p>
        </w:tc>
        <w:tc>
          <w:tcPr>
            <w:tcW w:w="652" w:type="pct"/>
            <w:tcBorders>
              <w:top w:val="single" w:color="000000" w:sz="6" w:space="0"/>
              <w:left w:val="nil"/>
              <w:right w:val="nil"/>
            </w:tcBorders>
            <w:hideMark/>
          </w:tcPr>
          <w:p w:rsidRPr="00533D5C" w:rsidR="00AA6932" w:rsidP="00533D5C" w:rsidRDefault="00AA6932">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AA6932" w:rsidTr="00AA6932">
        <w:tc>
          <w:tcPr>
            <w:tcW w:w="4348" w:type="pct"/>
            <w:tcBorders>
              <w:left w:val="nil"/>
              <w:right w:val="nil"/>
            </w:tcBorders>
            <w:hideMark/>
          </w:tcPr>
          <w:p w:rsidRPr="00533D5C" w:rsidR="00AA6932" w:rsidP="00533D5C" w:rsidRDefault="00AA6932">
            <w:pPr>
              <w:spacing w:line="240" w:lineRule="exact"/>
              <w:rPr>
                <w:rFonts w:ascii="Verdana" w:hAnsi="Verdana" w:cs="Courier New"/>
                <w:sz w:val="18"/>
                <w:szCs w:val="18"/>
              </w:rPr>
            </w:pPr>
            <w:r w:rsidRPr="00533D5C">
              <w:rPr>
                <w:rFonts w:ascii="Verdana" w:hAnsi="Verdana" w:cs="Courier New"/>
                <w:sz w:val="18"/>
                <w:szCs w:val="18"/>
              </w:rPr>
              <w:t>Totaal Internationale samenwerking</w:t>
            </w:r>
          </w:p>
        </w:tc>
        <w:tc>
          <w:tcPr>
            <w:tcW w:w="652" w:type="pct"/>
            <w:tcBorders>
              <w:left w:val="nil"/>
              <w:right w:val="nil"/>
            </w:tcBorders>
            <w:hideMark/>
          </w:tcPr>
          <w:p w:rsidRPr="00533D5C" w:rsidR="00AA6932" w:rsidP="00533D5C" w:rsidRDefault="00AA6932">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AA6932" w:rsidTr="00AA6932">
        <w:tc>
          <w:tcPr>
            <w:tcW w:w="4348" w:type="pct"/>
            <w:tcBorders>
              <w:left w:val="nil"/>
              <w:right w:val="nil"/>
            </w:tcBorders>
            <w:hideMark/>
          </w:tcPr>
          <w:p w:rsidRPr="00533D5C" w:rsidR="00AA6932" w:rsidP="00533D5C" w:rsidRDefault="00CB54D2">
            <w:pPr>
              <w:spacing w:line="240" w:lineRule="exact"/>
              <w:rPr>
                <w:rFonts w:ascii="Verdana" w:hAnsi="Verdana" w:cs="Courier New"/>
                <w:sz w:val="18"/>
                <w:szCs w:val="18"/>
              </w:rPr>
            </w:pPr>
            <w:r w:rsidRPr="00533D5C">
              <w:rPr>
                <w:rFonts w:ascii="Verdana" w:hAnsi="Verdana" w:cs="Courier New"/>
                <w:sz w:val="18"/>
                <w:szCs w:val="18"/>
              </w:rPr>
              <w:t>Stand Najaarsnota 2014</w:t>
            </w:r>
          </w:p>
        </w:tc>
        <w:tc>
          <w:tcPr>
            <w:tcW w:w="652" w:type="pct"/>
            <w:tcBorders>
              <w:top w:val="single" w:color="000000" w:sz="6" w:space="0"/>
              <w:left w:val="nil"/>
              <w:right w:val="nil"/>
            </w:tcBorders>
            <w:hideMark/>
          </w:tcPr>
          <w:p w:rsidRPr="00533D5C" w:rsidR="00AA6932" w:rsidP="00533D5C" w:rsidRDefault="00AA6932">
            <w:pPr>
              <w:spacing w:line="240" w:lineRule="exact"/>
              <w:jc w:val="right"/>
              <w:rPr>
                <w:rFonts w:ascii="Verdana" w:hAnsi="Verdana" w:cs="Courier New"/>
                <w:sz w:val="18"/>
                <w:szCs w:val="18"/>
              </w:rPr>
            </w:pPr>
            <w:r w:rsidRPr="00533D5C">
              <w:rPr>
                <w:rFonts w:ascii="Verdana" w:hAnsi="Verdana" w:cs="Courier New"/>
                <w:sz w:val="18"/>
                <w:szCs w:val="18"/>
              </w:rPr>
              <w:t>0,0</w:t>
            </w:r>
          </w:p>
        </w:tc>
      </w:tr>
    </w:tbl>
    <w:p w:rsidRPr="00533D5C" w:rsidR="00AA6932" w:rsidP="00533D5C" w:rsidRDefault="00AA6932">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5AF8" w:rsidP="00533D5C" w:rsidRDefault="00515AF8">
      <w:pPr>
        <w:spacing w:line="240" w:lineRule="exact"/>
        <w:rPr>
          <w:rFonts w:ascii="Verdana" w:hAnsi="Verdana" w:cs="Verdana"/>
          <w:b/>
          <w:bCs/>
          <w:sz w:val="18"/>
          <w:szCs w:val="18"/>
        </w:rPr>
      </w:pPr>
      <w:r w:rsidRPr="00533D5C">
        <w:rPr>
          <w:rFonts w:ascii="Verdana" w:hAnsi="Verdana" w:cs="Verdana"/>
          <w:b/>
          <w:bCs/>
          <w:sz w:val="18"/>
          <w:szCs w:val="18"/>
        </w:rPr>
        <w:lastRenderedPageBreak/>
        <w:t xml:space="preserve">Aanvullende Post Algemeen </w:t>
      </w:r>
    </w:p>
    <w:p w:rsidRPr="00533D5C" w:rsidR="00CB54D2" w:rsidP="00533D5C" w:rsidRDefault="00CB54D2">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628"/>
        <w:gridCol w:w="1584"/>
      </w:tblGrid>
      <w:tr w:rsidRPr="00533D5C" w:rsidR="00CB54D2" w:rsidTr="00CB54D2">
        <w:trPr>
          <w:trHeight w:val="225"/>
        </w:trPr>
        <w:tc>
          <w:tcPr>
            <w:tcW w:w="4140" w:type="pct"/>
            <w:tcBorders>
              <w:top w:val="nil"/>
              <w:left w:val="nil"/>
              <w:bottom w:val="nil"/>
              <w:right w:val="nil"/>
            </w:tcBorders>
            <w:shd w:val="clear" w:color="auto" w:fill="auto"/>
            <w:hideMark/>
          </w:tcPr>
          <w:p w:rsidRPr="00533D5C" w:rsidR="00CB54D2" w:rsidP="00533D5C" w:rsidRDefault="00CB54D2">
            <w:pPr>
              <w:spacing w:line="240" w:lineRule="exact"/>
              <w:rPr>
                <w:rFonts w:ascii="Verdana" w:hAnsi="Verdana"/>
                <w:color w:val="000000"/>
                <w:sz w:val="18"/>
                <w:szCs w:val="18"/>
              </w:rPr>
            </w:pPr>
            <w:r w:rsidRPr="00533D5C">
              <w:rPr>
                <w:rFonts w:ascii="Verdana" w:hAnsi="Verdana"/>
                <w:color w:val="000000"/>
                <w:sz w:val="18"/>
                <w:szCs w:val="18"/>
              </w:rPr>
              <w:t>ALGEMEEN: UITGAVEN</w:t>
            </w:r>
          </w:p>
        </w:tc>
        <w:tc>
          <w:tcPr>
            <w:tcW w:w="860" w:type="pct"/>
            <w:tcBorders>
              <w:top w:val="nil"/>
              <w:left w:val="nil"/>
              <w:bottom w:val="nil"/>
              <w:right w:val="nil"/>
            </w:tcBorders>
            <w:shd w:val="clear" w:color="auto" w:fill="auto"/>
            <w:noWrap/>
            <w:vAlign w:val="bottom"/>
            <w:hideMark/>
          </w:tcPr>
          <w:p w:rsidRPr="00533D5C" w:rsidR="00CB54D2" w:rsidP="00533D5C" w:rsidRDefault="00CB54D2">
            <w:pPr>
              <w:spacing w:line="240" w:lineRule="exact"/>
              <w:rPr>
                <w:rFonts w:ascii="Verdana" w:hAnsi="Verdana"/>
                <w:color w:val="000000"/>
                <w:sz w:val="18"/>
                <w:szCs w:val="18"/>
              </w:rPr>
            </w:pPr>
          </w:p>
        </w:tc>
      </w:tr>
      <w:tr w:rsidRPr="00533D5C" w:rsidR="00CB54D2" w:rsidTr="00CB54D2">
        <w:trPr>
          <w:trHeight w:val="225"/>
        </w:trPr>
        <w:tc>
          <w:tcPr>
            <w:tcW w:w="4140" w:type="pct"/>
            <w:tcBorders>
              <w:top w:val="single" w:color="000000" w:sz="8" w:space="0"/>
              <w:left w:val="nil"/>
              <w:bottom w:val="single" w:color="000000" w:sz="8" w:space="0"/>
              <w:right w:val="nil"/>
            </w:tcBorders>
            <w:shd w:val="clear" w:color="auto" w:fill="auto"/>
            <w:hideMark/>
          </w:tcPr>
          <w:p w:rsidRPr="00533D5C" w:rsidR="00CB54D2" w:rsidP="00533D5C" w:rsidRDefault="00CB54D2">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860" w:type="pct"/>
            <w:tcBorders>
              <w:top w:val="single" w:color="000000" w:sz="8" w:space="0"/>
              <w:left w:val="nil"/>
              <w:bottom w:val="single" w:color="000000" w:sz="8" w:space="0"/>
              <w:right w:val="nil"/>
            </w:tcBorders>
            <w:shd w:val="clear" w:color="auto" w:fill="auto"/>
            <w:hideMark/>
          </w:tcPr>
          <w:p w:rsidRPr="00533D5C" w:rsidR="00CB54D2" w:rsidP="00533D5C" w:rsidRDefault="00CB54D2">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CB54D2" w:rsidTr="00CB54D2">
        <w:trPr>
          <w:trHeight w:val="210"/>
        </w:trPr>
        <w:tc>
          <w:tcPr>
            <w:tcW w:w="4140" w:type="pct"/>
            <w:tcBorders>
              <w:top w:val="nil"/>
              <w:left w:val="nil"/>
              <w:bottom w:val="nil"/>
              <w:right w:val="nil"/>
            </w:tcBorders>
            <w:shd w:val="clear" w:color="auto" w:fill="auto"/>
            <w:hideMark/>
          </w:tcPr>
          <w:p w:rsidRPr="00533D5C" w:rsidR="00CB54D2" w:rsidP="00533D5C" w:rsidRDefault="00CB54D2">
            <w:pPr>
              <w:spacing w:line="240" w:lineRule="exact"/>
              <w:rPr>
                <w:rFonts w:ascii="Verdana" w:hAnsi="Verdana"/>
                <w:color w:val="000000"/>
                <w:sz w:val="18"/>
                <w:szCs w:val="18"/>
              </w:rPr>
            </w:pPr>
            <w:r w:rsidRPr="00533D5C">
              <w:rPr>
                <w:rFonts w:ascii="Verdana" w:hAnsi="Verdana"/>
                <w:color w:val="000000"/>
                <w:sz w:val="18"/>
                <w:szCs w:val="18"/>
              </w:rPr>
              <w:t>Stand Miljoenennota 2015 (excl. IS)</w:t>
            </w:r>
          </w:p>
        </w:tc>
        <w:tc>
          <w:tcPr>
            <w:tcW w:w="860" w:type="pct"/>
            <w:tcBorders>
              <w:top w:val="nil"/>
              <w:left w:val="nil"/>
              <w:bottom w:val="nil"/>
              <w:right w:val="nil"/>
            </w:tcBorders>
            <w:shd w:val="clear" w:color="auto" w:fill="auto"/>
            <w:hideMark/>
          </w:tcPr>
          <w:p w:rsidRPr="00533D5C" w:rsidR="00CB54D2" w:rsidP="00533D5C" w:rsidRDefault="00CB54D2">
            <w:pPr>
              <w:spacing w:line="240" w:lineRule="exact"/>
              <w:jc w:val="right"/>
              <w:rPr>
                <w:rFonts w:ascii="Verdana" w:hAnsi="Verdana"/>
                <w:color w:val="000000"/>
                <w:sz w:val="18"/>
                <w:szCs w:val="18"/>
              </w:rPr>
            </w:pPr>
            <w:r w:rsidRPr="00533D5C">
              <w:rPr>
                <w:rFonts w:ascii="Verdana" w:hAnsi="Verdana"/>
                <w:color w:val="000000"/>
                <w:sz w:val="18"/>
                <w:szCs w:val="18"/>
              </w:rPr>
              <w:t>25,0</w:t>
            </w:r>
          </w:p>
        </w:tc>
      </w:tr>
      <w:tr w:rsidRPr="00533D5C" w:rsidR="00CB54D2" w:rsidTr="00CB54D2">
        <w:trPr>
          <w:trHeight w:val="210"/>
        </w:trPr>
        <w:tc>
          <w:tcPr>
            <w:tcW w:w="4140" w:type="pct"/>
            <w:tcBorders>
              <w:top w:val="nil"/>
              <w:left w:val="nil"/>
              <w:bottom w:val="nil"/>
              <w:right w:val="nil"/>
            </w:tcBorders>
            <w:shd w:val="clear" w:color="auto" w:fill="auto"/>
            <w:hideMark/>
          </w:tcPr>
          <w:p w:rsidRPr="00533D5C" w:rsidR="00CB54D2" w:rsidP="00533D5C" w:rsidRDefault="00CB54D2">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860" w:type="pct"/>
            <w:tcBorders>
              <w:top w:val="nil"/>
              <w:left w:val="nil"/>
              <w:bottom w:val="nil"/>
              <w:right w:val="nil"/>
            </w:tcBorders>
            <w:shd w:val="clear" w:color="auto" w:fill="auto"/>
            <w:noWrap/>
            <w:vAlign w:val="bottom"/>
            <w:hideMark/>
          </w:tcPr>
          <w:p w:rsidRPr="00533D5C" w:rsidR="00CB54D2" w:rsidP="00533D5C" w:rsidRDefault="00CB54D2">
            <w:pPr>
              <w:spacing w:line="240" w:lineRule="exact"/>
              <w:rPr>
                <w:rFonts w:ascii="Verdana" w:hAnsi="Verdana"/>
                <w:color w:val="000000"/>
                <w:sz w:val="18"/>
                <w:szCs w:val="18"/>
              </w:rPr>
            </w:pPr>
          </w:p>
        </w:tc>
      </w:tr>
      <w:tr w:rsidRPr="00533D5C" w:rsidR="00CB54D2" w:rsidTr="00CB54D2">
        <w:trPr>
          <w:trHeight w:val="210"/>
        </w:trPr>
        <w:tc>
          <w:tcPr>
            <w:tcW w:w="4140" w:type="pct"/>
            <w:tcBorders>
              <w:top w:val="nil"/>
              <w:left w:val="nil"/>
              <w:bottom w:val="nil"/>
              <w:right w:val="nil"/>
            </w:tcBorders>
            <w:shd w:val="clear" w:color="auto" w:fill="auto"/>
            <w:hideMark/>
          </w:tcPr>
          <w:p w:rsidRPr="00533D5C" w:rsidR="00CB54D2" w:rsidP="00533D5C" w:rsidRDefault="00CB54D2">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860" w:type="pct"/>
            <w:tcBorders>
              <w:top w:val="nil"/>
              <w:left w:val="nil"/>
              <w:bottom w:val="nil"/>
              <w:right w:val="nil"/>
            </w:tcBorders>
            <w:shd w:val="clear" w:color="auto" w:fill="auto"/>
            <w:noWrap/>
            <w:vAlign w:val="bottom"/>
            <w:hideMark/>
          </w:tcPr>
          <w:p w:rsidRPr="00533D5C" w:rsidR="00CB54D2" w:rsidP="00533D5C" w:rsidRDefault="00CB54D2">
            <w:pPr>
              <w:spacing w:line="240" w:lineRule="exact"/>
              <w:rPr>
                <w:rFonts w:ascii="Verdana" w:hAnsi="Verdana"/>
                <w:color w:val="000000"/>
                <w:sz w:val="18"/>
                <w:szCs w:val="18"/>
              </w:rPr>
            </w:pPr>
          </w:p>
        </w:tc>
      </w:tr>
      <w:tr w:rsidRPr="00533D5C" w:rsidR="00CB54D2" w:rsidTr="00CB54D2">
        <w:trPr>
          <w:trHeight w:val="225"/>
        </w:trPr>
        <w:tc>
          <w:tcPr>
            <w:tcW w:w="4140" w:type="pct"/>
            <w:tcBorders>
              <w:top w:val="nil"/>
              <w:left w:val="nil"/>
              <w:bottom w:val="nil"/>
              <w:right w:val="nil"/>
            </w:tcBorders>
            <w:shd w:val="clear" w:color="auto" w:fill="auto"/>
            <w:hideMark/>
          </w:tcPr>
          <w:p w:rsidRPr="00533D5C" w:rsidR="00CB54D2" w:rsidP="00533D5C" w:rsidRDefault="00CB54D2">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860" w:type="pct"/>
            <w:tcBorders>
              <w:top w:val="nil"/>
              <w:left w:val="nil"/>
              <w:bottom w:val="nil"/>
              <w:right w:val="nil"/>
            </w:tcBorders>
            <w:shd w:val="clear" w:color="auto" w:fill="auto"/>
            <w:hideMark/>
          </w:tcPr>
          <w:p w:rsidRPr="00533D5C" w:rsidR="00CB54D2" w:rsidP="00533D5C" w:rsidRDefault="00CB54D2">
            <w:pPr>
              <w:spacing w:line="240" w:lineRule="exact"/>
              <w:jc w:val="right"/>
              <w:rPr>
                <w:rFonts w:ascii="Verdana" w:hAnsi="Verdana"/>
                <w:color w:val="000000"/>
                <w:sz w:val="18"/>
                <w:szCs w:val="18"/>
              </w:rPr>
            </w:pPr>
            <w:r w:rsidRPr="00533D5C">
              <w:rPr>
                <w:rFonts w:ascii="Verdana" w:hAnsi="Verdana"/>
                <w:color w:val="000000"/>
                <w:sz w:val="18"/>
                <w:szCs w:val="18"/>
              </w:rPr>
              <w:t>-25,0</w:t>
            </w:r>
          </w:p>
        </w:tc>
      </w:tr>
      <w:tr w:rsidRPr="00533D5C" w:rsidR="00CB54D2" w:rsidTr="00CB54D2">
        <w:trPr>
          <w:trHeight w:val="210"/>
        </w:trPr>
        <w:tc>
          <w:tcPr>
            <w:tcW w:w="4140" w:type="pct"/>
            <w:tcBorders>
              <w:top w:val="nil"/>
              <w:left w:val="nil"/>
              <w:bottom w:val="nil"/>
              <w:right w:val="nil"/>
            </w:tcBorders>
            <w:shd w:val="clear" w:color="auto" w:fill="auto"/>
            <w:hideMark/>
          </w:tcPr>
          <w:p w:rsidRPr="00533D5C" w:rsidR="00CB54D2" w:rsidP="00533D5C" w:rsidRDefault="00CB54D2">
            <w:pPr>
              <w:spacing w:line="240" w:lineRule="exact"/>
              <w:rPr>
                <w:rFonts w:ascii="Verdana" w:hAnsi="Verdana"/>
                <w:color w:val="000000"/>
                <w:sz w:val="18"/>
                <w:szCs w:val="18"/>
              </w:rPr>
            </w:pPr>
          </w:p>
        </w:tc>
        <w:tc>
          <w:tcPr>
            <w:tcW w:w="860" w:type="pct"/>
            <w:tcBorders>
              <w:top w:val="single" w:color="000000" w:sz="8" w:space="0"/>
              <w:left w:val="nil"/>
              <w:bottom w:val="nil"/>
              <w:right w:val="nil"/>
            </w:tcBorders>
            <w:shd w:val="clear" w:color="auto" w:fill="auto"/>
            <w:hideMark/>
          </w:tcPr>
          <w:p w:rsidRPr="00533D5C" w:rsidR="00CB54D2" w:rsidP="00533D5C" w:rsidRDefault="00CB54D2">
            <w:pPr>
              <w:spacing w:line="240" w:lineRule="exact"/>
              <w:jc w:val="right"/>
              <w:rPr>
                <w:rFonts w:ascii="Verdana" w:hAnsi="Verdana"/>
                <w:color w:val="000000"/>
                <w:sz w:val="18"/>
                <w:szCs w:val="18"/>
              </w:rPr>
            </w:pPr>
            <w:r w:rsidRPr="00533D5C">
              <w:rPr>
                <w:rFonts w:ascii="Verdana" w:hAnsi="Verdana"/>
                <w:color w:val="000000"/>
                <w:sz w:val="18"/>
                <w:szCs w:val="18"/>
              </w:rPr>
              <w:t>-25,0</w:t>
            </w:r>
          </w:p>
        </w:tc>
      </w:tr>
      <w:tr w:rsidRPr="00533D5C" w:rsidR="00CB54D2" w:rsidTr="00CB54D2">
        <w:trPr>
          <w:trHeight w:val="210"/>
        </w:trPr>
        <w:tc>
          <w:tcPr>
            <w:tcW w:w="4140" w:type="pct"/>
            <w:tcBorders>
              <w:top w:val="nil"/>
              <w:left w:val="nil"/>
              <w:bottom w:val="nil"/>
              <w:right w:val="nil"/>
            </w:tcBorders>
            <w:shd w:val="clear" w:color="auto" w:fill="auto"/>
            <w:hideMark/>
          </w:tcPr>
          <w:p w:rsidRPr="00533D5C" w:rsidR="00CB54D2" w:rsidP="00533D5C" w:rsidRDefault="00CB54D2">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860" w:type="pct"/>
            <w:tcBorders>
              <w:top w:val="nil"/>
              <w:left w:val="nil"/>
              <w:bottom w:val="nil"/>
              <w:right w:val="nil"/>
            </w:tcBorders>
            <w:shd w:val="clear" w:color="auto" w:fill="auto"/>
            <w:hideMark/>
          </w:tcPr>
          <w:p w:rsidRPr="00533D5C" w:rsidR="00CB54D2" w:rsidP="00533D5C" w:rsidRDefault="00CB54D2">
            <w:pPr>
              <w:spacing w:line="240" w:lineRule="exact"/>
              <w:jc w:val="right"/>
              <w:rPr>
                <w:rFonts w:ascii="Verdana" w:hAnsi="Verdana"/>
                <w:color w:val="000000"/>
                <w:sz w:val="18"/>
                <w:szCs w:val="18"/>
              </w:rPr>
            </w:pPr>
            <w:r w:rsidRPr="00533D5C">
              <w:rPr>
                <w:rFonts w:ascii="Verdana" w:hAnsi="Verdana"/>
                <w:color w:val="000000"/>
                <w:sz w:val="18"/>
                <w:szCs w:val="18"/>
              </w:rPr>
              <w:t>-25,0</w:t>
            </w:r>
          </w:p>
        </w:tc>
      </w:tr>
      <w:tr w:rsidRPr="00533D5C" w:rsidR="00CB54D2" w:rsidTr="00CB54D2">
        <w:trPr>
          <w:trHeight w:val="225"/>
        </w:trPr>
        <w:tc>
          <w:tcPr>
            <w:tcW w:w="4140" w:type="pct"/>
            <w:tcBorders>
              <w:top w:val="nil"/>
              <w:left w:val="nil"/>
              <w:bottom w:val="nil"/>
              <w:right w:val="nil"/>
            </w:tcBorders>
            <w:shd w:val="clear" w:color="auto" w:fill="auto"/>
            <w:hideMark/>
          </w:tcPr>
          <w:p w:rsidRPr="00533D5C" w:rsidR="00CB54D2" w:rsidP="00533D5C" w:rsidRDefault="00CB54D2">
            <w:pPr>
              <w:spacing w:line="240" w:lineRule="exact"/>
              <w:rPr>
                <w:rFonts w:ascii="Verdana" w:hAnsi="Verdana"/>
                <w:color w:val="000000"/>
                <w:sz w:val="18"/>
                <w:szCs w:val="18"/>
              </w:rPr>
            </w:pPr>
          </w:p>
        </w:tc>
        <w:tc>
          <w:tcPr>
            <w:tcW w:w="860" w:type="pct"/>
            <w:tcBorders>
              <w:top w:val="nil"/>
              <w:left w:val="nil"/>
              <w:bottom w:val="nil"/>
              <w:right w:val="nil"/>
            </w:tcBorders>
            <w:shd w:val="clear" w:color="auto" w:fill="auto"/>
            <w:noWrap/>
            <w:vAlign w:val="bottom"/>
            <w:hideMark/>
          </w:tcPr>
          <w:p w:rsidRPr="00533D5C" w:rsidR="00CB54D2" w:rsidP="00533D5C" w:rsidRDefault="00CB54D2">
            <w:pPr>
              <w:spacing w:line="240" w:lineRule="exact"/>
              <w:rPr>
                <w:rFonts w:ascii="Verdana" w:hAnsi="Verdana"/>
                <w:color w:val="000000"/>
                <w:sz w:val="18"/>
                <w:szCs w:val="18"/>
              </w:rPr>
            </w:pPr>
          </w:p>
        </w:tc>
      </w:tr>
      <w:tr w:rsidRPr="00533D5C" w:rsidR="00CB54D2" w:rsidTr="00CB54D2">
        <w:trPr>
          <w:trHeight w:val="210"/>
        </w:trPr>
        <w:tc>
          <w:tcPr>
            <w:tcW w:w="4140" w:type="pct"/>
            <w:tcBorders>
              <w:top w:val="nil"/>
              <w:left w:val="nil"/>
              <w:bottom w:val="nil"/>
              <w:right w:val="nil"/>
            </w:tcBorders>
            <w:shd w:val="clear" w:color="auto" w:fill="auto"/>
            <w:hideMark/>
          </w:tcPr>
          <w:p w:rsidRPr="00533D5C" w:rsidR="00CB54D2" w:rsidP="00533D5C" w:rsidRDefault="00CB54D2">
            <w:pPr>
              <w:spacing w:line="240" w:lineRule="exact"/>
              <w:rPr>
                <w:rFonts w:ascii="Verdana" w:hAnsi="Verdana"/>
                <w:color w:val="000000"/>
                <w:sz w:val="18"/>
                <w:szCs w:val="18"/>
              </w:rPr>
            </w:pPr>
            <w:r w:rsidRPr="00533D5C">
              <w:rPr>
                <w:rFonts w:ascii="Verdana" w:hAnsi="Verdana"/>
                <w:color w:val="000000"/>
                <w:sz w:val="18"/>
                <w:szCs w:val="18"/>
              </w:rPr>
              <w:t>Stand Najaarsnota 2014 (subtotaal)</w:t>
            </w:r>
          </w:p>
        </w:tc>
        <w:tc>
          <w:tcPr>
            <w:tcW w:w="860" w:type="pct"/>
            <w:tcBorders>
              <w:top w:val="single" w:color="000000" w:sz="8" w:space="0"/>
              <w:left w:val="nil"/>
              <w:bottom w:val="nil"/>
              <w:right w:val="nil"/>
            </w:tcBorders>
            <w:shd w:val="clear" w:color="auto" w:fill="auto"/>
            <w:hideMark/>
          </w:tcPr>
          <w:p w:rsidRPr="00533D5C" w:rsidR="00CB54D2" w:rsidP="00533D5C" w:rsidRDefault="00CB54D2">
            <w:pPr>
              <w:spacing w:line="240" w:lineRule="exact"/>
              <w:jc w:val="right"/>
              <w:rPr>
                <w:rFonts w:ascii="Verdana" w:hAnsi="Verdana"/>
                <w:color w:val="000000"/>
                <w:sz w:val="18"/>
                <w:szCs w:val="18"/>
              </w:rPr>
            </w:pPr>
            <w:r w:rsidRPr="00533D5C">
              <w:rPr>
                <w:rFonts w:ascii="Verdana" w:hAnsi="Verdana"/>
                <w:color w:val="000000"/>
                <w:sz w:val="18"/>
                <w:szCs w:val="18"/>
              </w:rPr>
              <w:t>0,0</w:t>
            </w:r>
          </w:p>
        </w:tc>
      </w:tr>
      <w:tr w:rsidRPr="00533D5C" w:rsidR="00CB54D2" w:rsidTr="00CB54D2">
        <w:trPr>
          <w:trHeight w:val="225"/>
        </w:trPr>
        <w:tc>
          <w:tcPr>
            <w:tcW w:w="4140" w:type="pct"/>
            <w:tcBorders>
              <w:top w:val="nil"/>
              <w:left w:val="nil"/>
              <w:bottom w:val="nil"/>
              <w:right w:val="nil"/>
            </w:tcBorders>
            <w:shd w:val="clear" w:color="auto" w:fill="auto"/>
            <w:hideMark/>
          </w:tcPr>
          <w:p w:rsidRPr="00533D5C" w:rsidR="00CB54D2" w:rsidP="00533D5C" w:rsidRDefault="00CB54D2">
            <w:pPr>
              <w:spacing w:line="240" w:lineRule="exact"/>
              <w:rPr>
                <w:rFonts w:ascii="Verdana" w:hAnsi="Verdana"/>
                <w:color w:val="000000"/>
                <w:sz w:val="18"/>
                <w:szCs w:val="18"/>
              </w:rPr>
            </w:pPr>
            <w:r w:rsidRPr="00533D5C">
              <w:rPr>
                <w:rFonts w:ascii="Verdana" w:hAnsi="Verdana"/>
                <w:color w:val="000000"/>
                <w:sz w:val="18"/>
                <w:szCs w:val="18"/>
              </w:rPr>
              <w:t>Totaal Internationale samenwerking</w:t>
            </w:r>
          </w:p>
        </w:tc>
        <w:tc>
          <w:tcPr>
            <w:tcW w:w="860" w:type="pct"/>
            <w:tcBorders>
              <w:top w:val="nil"/>
              <w:left w:val="nil"/>
              <w:bottom w:val="nil"/>
              <w:right w:val="nil"/>
            </w:tcBorders>
            <w:shd w:val="clear" w:color="auto" w:fill="auto"/>
            <w:hideMark/>
          </w:tcPr>
          <w:p w:rsidRPr="00533D5C" w:rsidR="00CB54D2" w:rsidP="00533D5C" w:rsidRDefault="00CB54D2">
            <w:pPr>
              <w:spacing w:line="240" w:lineRule="exact"/>
              <w:jc w:val="right"/>
              <w:rPr>
                <w:rFonts w:ascii="Verdana" w:hAnsi="Verdana"/>
                <w:color w:val="000000"/>
                <w:sz w:val="18"/>
                <w:szCs w:val="18"/>
              </w:rPr>
            </w:pPr>
          </w:p>
        </w:tc>
      </w:tr>
      <w:tr w:rsidRPr="00533D5C" w:rsidR="00CB54D2" w:rsidTr="00CB54D2">
        <w:trPr>
          <w:trHeight w:val="210"/>
        </w:trPr>
        <w:tc>
          <w:tcPr>
            <w:tcW w:w="4140" w:type="pct"/>
            <w:tcBorders>
              <w:top w:val="nil"/>
              <w:left w:val="nil"/>
              <w:bottom w:val="nil"/>
              <w:right w:val="nil"/>
            </w:tcBorders>
            <w:shd w:val="clear" w:color="auto" w:fill="auto"/>
            <w:hideMark/>
          </w:tcPr>
          <w:p w:rsidRPr="00533D5C" w:rsidR="00CB54D2" w:rsidP="00533D5C" w:rsidRDefault="00CB54D2">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860" w:type="pct"/>
            <w:tcBorders>
              <w:top w:val="single" w:color="000000" w:sz="8" w:space="0"/>
              <w:left w:val="nil"/>
              <w:bottom w:val="nil"/>
              <w:right w:val="nil"/>
            </w:tcBorders>
            <w:shd w:val="clear" w:color="auto" w:fill="auto"/>
            <w:hideMark/>
          </w:tcPr>
          <w:p w:rsidRPr="00533D5C" w:rsidR="00CB54D2" w:rsidP="00533D5C" w:rsidRDefault="00CB54D2">
            <w:pPr>
              <w:spacing w:line="240" w:lineRule="exact"/>
              <w:jc w:val="right"/>
              <w:rPr>
                <w:rFonts w:ascii="Verdana" w:hAnsi="Verdana"/>
                <w:color w:val="000000"/>
                <w:sz w:val="18"/>
                <w:szCs w:val="18"/>
              </w:rPr>
            </w:pPr>
            <w:r w:rsidRPr="00533D5C">
              <w:rPr>
                <w:rFonts w:ascii="Verdana" w:hAnsi="Verdana"/>
                <w:color w:val="000000"/>
                <w:sz w:val="18"/>
                <w:szCs w:val="18"/>
              </w:rPr>
              <w:t>0,0</w:t>
            </w:r>
          </w:p>
        </w:tc>
      </w:tr>
    </w:tbl>
    <w:p w:rsidRPr="00533D5C" w:rsidR="00CB54D2" w:rsidP="00533D5C" w:rsidRDefault="00CB54D2">
      <w:pPr>
        <w:spacing w:line="240" w:lineRule="exact"/>
        <w:rPr>
          <w:rFonts w:ascii="Verdana" w:hAnsi="Verdana" w:cs="Verdana"/>
          <w:b/>
          <w:bCs/>
          <w:sz w:val="18"/>
          <w:szCs w:val="18"/>
        </w:rPr>
      </w:pPr>
    </w:p>
    <w:p w:rsidRPr="00533D5C" w:rsidR="00CB54D2" w:rsidP="00533D5C" w:rsidRDefault="00CB54D2">
      <w:pPr>
        <w:spacing w:line="240" w:lineRule="exact"/>
        <w:rPr>
          <w:rFonts w:ascii="Verdana" w:hAnsi="Verdana" w:cs="Verdana"/>
          <w:b/>
          <w:bCs/>
          <w:sz w:val="18"/>
          <w:szCs w:val="18"/>
        </w:rPr>
      </w:pPr>
    </w:p>
    <w:tbl>
      <w:tblPr>
        <w:tblW w:w="5000" w:type="pct"/>
        <w:tblCellMar>
          <w:top w:w="15" w:type="dxa"/>
          <w:left w:w="15" w:type="dxa"/>
          <w:bottom w:w="15" w:type="dxa"/>
          <w:right w:w="15" w:type="dxa"/>
        </w:tblCellMar>
        <w:tblLook w:val="04A0"/>
      </w:tblPr>
      <w:tblGrid>
        <w:gridCol w:w="7915"/>
        <w:gridCol w:w="1187"/>
      </w:tblGrid>
      <w:tr w:rsidRPr="00533D5C" w:rsidR="00723E24" w:rsidTr="00723E24">
        <w:tc>
          <w:tcPr>
            <w:tcW w:w="4348" w:type="pct"/>
            <w:tcBorders>
              <w:left w:val="nil"/>
              <w:right w:val="nil"/>
            </w:tcBorders>
            <w:hideMark/>
          </w:tcPr>
          <w:p w:rsidRPr="00533D5C" w:rsidR="00723E24" w:rsidP="00533D5C" w:rsidRDefault="00723E24">
            <w:pPr>
              <w:spacing w:line="240" w:lineRule="exact"/>
              <w:rPr>
                <w:rFonts w:ascii="Verdana" w:hAnsi="Verdana" w:cs="Courier New"/>
                <w:sz w:val="18"/>
                <w:szCs w:val="18"/>
              </w:rPr>
            </w:pPr>
            <w:r w:rsidRPr="00533D5C">
              <w:rPr>
                <w:rFonts w:ascii="Verdana" w:hAnsi="Verdana" w:cs="Courier New"/>
                <w:sz w:val="18"/>
                <w:szCs w:val="18"/>
              </w:rPr>
              <w:t>ALGEMEEN: NIET-BELASTINGONTVANGSTEN</w:t>
            </w:r>
          </w:p>
        </w:tc>
        <w:tc>
          <w:tcPr>
            <w:tcW w:w="652" w:type="pct"/>
            <w:hideMark/>
          </w:tcPr>
          <w:p w:rsidRPr="00533D5C" w:rsidR="00723E24" w:rsidP="00533D5C" w:rsidRDefault="00723E24">
            <w:pPr>
              <w:spacing w:line="240" w:lineRule="exact"/>
              <w:rPr>
                <w:rFonts w:ascii="Verdana" w:hAnsi="Verdana"/>
                <w:sz w:val="18"/>
                <w:szCs w:val="18"/>
              </w:rPr>
            </w:pPr>
          </w:p>
        </w:tc>
      </w:tr>
      <w:tr w:rsidRPr="00533D5C" w:rsidR="00723E24" w:rsidTr="00723E24">
        <w:tc>
          <w:tcPr>
            <w:tcW w:w="4348" w:type="pct"/>
            <w:tcBorders>
              <w:top w:val="single" w:color="000000" w:sz="6" w:space="0"/>
              <w:left w:val="nil"/>
              <w:bottom w:val="single" w:color="000000" w:sz="6" w:space="0"/>
              <w:right w:val="nil"/>
            </w:tcBorders>
            <w:hideMark/>
          </w:tcPr>
          <w:p w:rsidRPr="00533D5C" w:rsidR="00723E24" w:rsidP="00533D5C" w:rsidRDefault="00723E24">
            <w:pPr>
              <w:spacing w:line="240" w:lineRule="exact"/>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533D5C" w:rsidR="00723E24" w:rsidP="00533D5C" w:rsidRDefault="00723E24">
            <w:pPr>
              <w:spacing w:line="240" w:lineRule="exact"/>
              <w:jc w:val="right"/>
              <w:rPr>
                <w:rFonts w:ascii="Verdana" w:hAnsi="Verdana" w:cs="Courier New"/>
                <w:sz w:val="18"/>
                <w:szCs w:val="18"/>
              </w:rPr>
            </w:pPr>
            <w:r w:rsidRPr="00533D5C">
              <w:rPr>
                <w:rFonts w:ascii="Verdana" w:hAnsi="Verdana" w:cs="Courier New"/>
                <w:sz w:val="18"/>
                <w:szCs w:val="18"/>
              </w:rPr>
              <w:t>201</w:t>
            </w:r>
            <w:r w:rsidRPr="00533D5C" w:rsidR="00CB54D2">
              <w:rPr>
                <w:rFonts w:ascii="Verdana" w:hAnsi="Verdana" w:cs="Courier New"/>
                <w:sz w:val="18"/>
                <w:szCs w:val="18"/>
              </w:rPr>
              <w:t>4</w:t>
            </w:r>
          </w:p>
        </w:tc>
      </w:tr>
      <w:tr w:rsidRPr="00533D5C" w:rsidR="00723E24" w:rsidTr="00723E24">
        <w:tc>
          <w:tcPr>
            <w:tcW w:w="4348" w:type="pct"/>
            <w:tcBorders>
              <w:left w:val="nil"/>
              <w:right w:val="nil"/>
            </w:tcBorders>
            <w:hideMark/>
          </w:tcPr>
          <w:p w:rsidRPr="00533D5C" w:rsidR="00723E24" w:rsidP="00533D5C" w:rsidRDefault="00723E24">
            <w:pPr>
              <w:spacing w:line="240" w:lineRule="exact"/>
              <w:rPr>
                <w:rFonts w:ascii="Verdana" w:hAnsi="Verdana" w:cs="Courier New"/>
                <w:sz w:val="18"/>
                <w:szCs w:val="18"/>
              </w:rPr>
            </w:pPr>
            <w:r w:rsidRPr="00533D5C">
              <w:rPr>
                <w:rFonts w:ascii="Verdana" w:hAnsi="Verdana" w:cs="Courier New"/>
                <w:sz w:val="18"/>
                <w:szCs w:val="18"/>
              </w:rPr>
              <w:t>Stand Miljoenennota 201</w:t>
            </w:r>
            <w:r w:rsidRPr="00533D5C" w:rsidR="00CB54D2">
              <w:rPr>
                <w:rFonts w:ascii="Verdana" w:hAnsi="Verdana" w:cs="Courier New"/>
                <w:sz w:val="18"/>
                <w:szCs w:val="18"/>
              </w:rPr>
              <w:t>5</w:t>
            </w:r>
            <w:r w:rsidRPr="00533D5C">
              <w:rPr>
                <w:rFonts w:ascii="Verdana" w:hAnsi="Verdana" w:cs="Courier New"/>
                <w:sz w:val="18"/>
                <w:szCs w:val="18"/>
              </w:rPr>
              <w:t xml:space="preserve"> (excl. IS)</w:t>
            </w:r>
          </w:p>
        </w:tc>
        <w:tc>
          <w:tcPr>
            <w:tcW w:w="652" w:type="pct"/>
            <w:tcBorders>
              <w:top w:val="single" w:color="000000" w:sz="6" w:space="0"/>
              <w:left w:val="nil"/>
              <w:right w:val="nil"/>
            </w:tcBorders>
            <w:hideMark/>
          </w:tcPr>
          <w:p w:rsidRPr="00533D5C" w:rsidR="00723E24" w:rsidP="00533D5C" w:rsidRDefault="00723E2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723E24" w:rsidTr="00723E24">
        <w:tc>
          <w:tcPr>
            <w:tcW w:w="4348" w:type="pct"/>
            <w:tcBorders>
              <w:left w:val="nil"/>
              <w:right w:val="nil"/>
            </w:tcBorders>
            <w:hideMark/>
          </w:tcPr>
          <w:p w:rsidRPr="00533D5C" w:rsidR="00723E24" w:rsidP="00533D5C" w:rsidRDefault="00723E24">
            <w:pPr>
              <w:spacing w:line="240" w:lineRule="exact"/>
              <w:rPr>
                <w:rFonts w:ascii="Verdana" w:hAnsi="Verdana" w:cs="Courier New"/>
                <w:sz w:val="18"/>
                <w:szCs w:val="18"/>
              </w:rPr>
            </w:pPr>
            <w:r w:rsidRPr="00533D5C">
              <w:rPr>
                <w:rFonts w:ascii="Verdana" w:hAnsi="Verdana" w:cs="Courier New"/>
                <w:sz w:val="18"/>
                <w:szCs w:val="18"/>
              </w:rPr>
              <w:t>Totaal mutaties sinds Miljoenennota 201</w:t>
            </w:r>
            <w:r w:rsidRPr="00533D5C" w:rsidR="00CB54D2">
              <w:rPr>
                <w:rFonts w:ascii="Verdana" w:hAnsi="Verdana" w:cs="Courier New"/>
                <w:sz w:val="18"/>
                <w:szCs w:val="18"/>
              </w:rPr>
              <w:t>5</w:t>
            </w:r>
          </w:p>
        </w:tc>
        <w:tc>
          <w:tcPr>
            <w:tcW w:w="652" w:type="pct"/>
            <w:tcBorders>
              <w:left w:val="nil"/>
              <w:right w:val="nil"/>
            </w:tcBorders>
            <w:hideMark/>
          </w:tcPr>
          <w:p w:rsidRPr="00533D5C" w:rsidR="00723E24" w:rsidP="00533D5C" w:rsidRDefault="00723E2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723E24" w:rsidTr="00723E24">
        <w:tc>
          <w:tcPr>
            <w:tcW w:w="4348" w:type="pct"/>
            <w:tcBorders>
              <w:left w:val="nil"/>
              <w:right w:val="nil"/>
            </w:tcBorders>
            <w:hideMark/>
          </w:tcPr>
          <w:p w:rsidRPr="00533D5C" w:rsidR="00723E24" w:rsidP="00533D5C" w:rsidRDefault="00723E24">
            <w:pPr>
              <w:spacing w:line="240" w:lineRule="exact"/>
              <w:rPr>
                <w:rFonts w:ascii="Verdana" w:hAnsi="Verdana" w:cs="Courier New"/>
                <w:sz w:val="18"/>
                <w:szCs w:val="18"/>
              </w:rPr>
            </w:pPr>
            <w:r w:rsidRPr="00533D5C">
              <w:rPr>
                <w:rFonts w:ascii="Verdana" w:hAnsi="Verdana" w:cs="Courier New"/>
                <w:sz w:val="18"/>
                <w:szCs w:val="18"/>
              </w:rPr>
              <w:t> </w:t>
            </w:r>
          </w:p>
        </w:tc>
        <w:tc>
          <w:tcPr>
            <w:tcW w:w="652" w:type="pct"/>
            <w:hideMark/>
          </w:tcPr>
          <w:p w:rsidRPr="00533D5C" w:rsidR="00723E24" w:rsidP="00533D5C" w:rsidRDefault="00723E24">
            <w:pPr>
              <w:spacing w:line="240" w:lineRule="exact"/>
              <w:rPr>
                <w:rFonts w:ascii="Verdana" w:hAnsi="Verdana"/>
                <w:sz w:val="18"/>
                <w:szCs w:val="18"/>
              </w:rPr>
            </w:pPr>
          </w:p>
        </w:tc>
      </w:tr>
      <w:tr w:rsidRPr="00533D5C" w:rsidR="00723E24" w:rsidTr="00723E24">
        <w:tc>
          <w:tcPr>
            <w:tcW w:w="4348" w:type="pct"/>
            <w:tcBorders>
              <w:left w:val="nil"/>
              <w:right w:val="nil"/>
            </w:tcBorders>
            <w:hideMark/>
          </w:tcPr>
          <w:p w:rsidRPr="00533D5C" w:rsidR="00723E24" w:rsidP="00533D5C" w:rsidRDefault="00723E24">
            <w:pPr>
              <w:spacing w:line="240" w:lineRule="exact"/>
              <w:rPr>
                <w:rFonts w:ascii="Verdana" w:hAnsi="Verdana" w:cs="Courier New"/>
                <w:sz w:val="18"/>
                <w:szCs w:val="18"/>
              </w:rPr>
            </w:pPr>
            <w:r w:rsidRPr="00533D5C">
              <w:rPr>
                <w:rFonts w:ascii="Verdana" w:hAnsi="Verdana" w:cs="Courier New"/>
                <w:sz w:val="18"/>
                <w:szCs w:val="18"/>
              </w:rPr>
              <w:t>Stand Najaarsnota 201</w:t>
            </w:r>
            <w:r w:rsidRPr="00533D5C" w:rsidR="00CB54D2">
              <w:rPr>
                <w:rFonts w:ascii="Verdana" w:hAnsi="Verdana" w:cs="Courier New"/>
                <w:sz w:val="18"/>
                <w:szCs w:val="18"/>
              </w:rPr>
              <w:t>4</w:t>
            </w:r>
            <w:r w:rsidRPr="00533D5C">
              <w:rPr>
                <w:rFonts w:ascii="Verdana" w:hAnsi="Verdana" w:cs="Courier New"/>
                <w:sz w:val="18"/>
                <w:szCs w:val="18"/>
              </w:rPr>
              <w:t xml:space="preserve"> (subtotaal)</w:t>
            </w:r>
          </w:p>
        </w:tc>
        <w:tc>
          <w:tcPr>
            <w:tcW w:w="652" w:type="pct"/>
            <w:tcBorders>
              <w:top w:val="single" w:color="000000" w:sz="6" w:space="0"/>
              <w:left w:val="nil"/>
              <w:right w:val="nil"/>
            </w:tcBorders>
            <w:hideMark/>
          </w:tcPr>
          <w:p w:rsidRPr="00533D5C" w:rsidR="00723E24" w:rsidP="00533D5C" w:rsidRDefault="00723E2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723E24" w:rsidTr="00723E24">
        <w:tc>
          <w:tcPr>
            <w:tcW w:w="4348" w:type="pct"/>
            <w:tcBorders>
              <w:left w:val="nil"/>
              <w:right w:val="nil"/>
            </w:tcBorders>
            <w:hideMark/>
          </w:tcPr>
          <w:p w:rsidRPr="00533D5C" w:rsidR="00723E24" w:rsidP="00533D5C" w:rsidRDefault="00723E24">
            <w:pPr>
              <w:spacing w:line="240" w:lineRule="exact"/>
              <w:rPr>
                <w:rFonts w:ascii="Verdana" w:hAnsi="Verdana" w:cs="Courier New"/>
                <w:sz w:val="18"/>
                <w:szCs w:val="18"/>
              </w:rPr>
            </w:pPr>
            <w:r w:rsidRPr="00533D5C">
              <w:rPr>
                <w:rFonts w:ascii="Verdana" w:hAnsi="Verdana" w:cs="Courier New"/>
                <w:sz w:val="18"/>
                <w:szCs w:val="18"/>
              </w:rPr>
              <w:t>Totaal Internationale samenwerking</w:t>
            </w:r>
          </w:p>
        </w:tc>
        <w:tc>
          <w:tcPr>
            <w:tcW w:w="652" w:type="pct"/>
            <w:tcBorders>
              <w:left w:val="nil"/>
              <w:right w:val="nil"/>
            </w:tcBorders>
            <w:hideMark/>
          </w:tcPr>
          <w:p w:rsidRPr="00533D5C" w:rsidR="00723E24" w:rsidP="00533D5C" w:rsidRDefault="00723E24">
            <w:pPr>
              <w:spacing w:line="240" w:lineRule="exact"/>
              <w:jc w:val="right"/>
              <w:rPr>
                <w:rFonts w:ascii="Verdana" w:hAnsi="Verdana" w:cs="Courier New"/>
                <w:sz w:val="18"/>
                <w:szCs w:val="18"/>
              </w:rPr>
            </w:pPr>
            <w:r w:rsidRPr="00533D5C">
              <w:rPr>
                <w:rFonts w:ascii="Verdana" w:hAnsi="Verdana" w:cs="Courier New"/>
                <w:sz w:val="18"/>
                <w:szCs w:val="18"/>
              </w:rPr>
              <w:t>0,0</w:t>
            </w:r>
          </w:p>
        </w:tc>
      </w:tr>
      <w:tr w:rsidRPr="00533D5C" w:rsidR="00723E24" w:rsidTr="00723E24">
        <w:tc>
          <w:tcPr>
            <w:tcW w:w="4348" w:type="pct"/>
            <w:tcBorders>
              <w:left w:val="nil"/>
              <w:right w:val="nil"/>
            </w:tcBorders>
            <w:hideMark/>
          </w:tcPr>
          <w:p w:rsidRPr="00533D5C" w:rsidR="00723E24" w:rsidP="00533D5C" w:rsidRDefault="00CB54D2">
            <w:pPr>
              <w:spacing w:line="240" w:lineRule="exact"/>
              <w:rPr>
                <w:rFonts w:ascii="Verdana" w:hAnsi="Verdana" w:cs="Courier New"/>
                <w:sz w:val="18"/>
                <w:szCs w:val="18"/>
              </w:rPr>
            </w:pPr>
            <w:r w:rsidRPr="00533D5C">
              <w:rPr>
                <w:rFonts w:ascii="Verdana" w:hAnsi="Verdana" w:cs="Courier New"/>
                <w:sz w:val="18"/>
                <w:szCs w:val="18"/>
              </w:rPr>
              <w:t>Stand Najaarsnota 2014</w:t>
            </w:r>
          </w:p>
        </w:tc>
        <w:tc>
          <w:tcPr>
            <w:tcW w:w="652" w:type="pct"/>
            <w:tcBorders>
              <w:top w:val="single" w:color="000000" w:sz="6" w:space="0"/>
              <w:left w:val="nil"/>
              <w:right w:val="nil"/>
            </w:tcBorders>
            <w:hideMark/>
          </w:tcPr>
          <w:p w:rsidRPr="00533D5C" w:rsidR="00723E24" w:rsidP="00533D5C" w:rsidRDefault="00723E24">
            <w:pPr>
              <w:spacing w:line="240" w:lineRule="exact"/>
              <w:jc w:val="right"/>
              <w:rPr>
                <w:rFonts w:ascii="Verdana" w:hAnsi="Verdana" w:cs="Courier New"/>
                <w:sz w:val="18"/>
                <w:szCs w:val="18"/>
              </w:rPr>
            </w:pPr>
            <w:r w:rsidRPr="00533D5C">
              <w:rPr>
                <w:rFonts w:ascii="Verdana" w:hAnsi="Verdana" w:cs="Courier New"/>
                <w:sz w:val="18"/>
                <w:szCs w:val="18"/>
              </w:rPr>
              <w:t>0,0</w:t>
            </w:r>
          </w:p>
        </w:tc>
      </w:tr>
    </w:tbl>
    <w:p w:rsidRPr="00533D5C" w:rsidR="00723E24" w:rsidP="00533D5C" w:rsidRDefault="00723E24">
      <w:pPr>
        <w:spacing w:line="240" w:lineRule="exact"/>
        <w:rPr>
          <w:rFonts w:ascii="Verdana" w:hAnsi="Verdana"/>
          <w:sz w:val="18"/>
          <w:szCs w:val="18"/>
        </w:rPr>
      </w:pPr>
    </w:p>
    <w:p w:rsidRPr="00533D5C" w:rsidR="00515AF8" w:rsidP="00533D5C" w:rsidRDefault="00515AF8">
      <w:pPr>
        <w:spacing w:line="240" w:lineRule="exact"/>
        <w:rPr>
          <w:rFonts w:ascii="Verdana" w:hAnsi="Verdana"/>
          <w:sz w:val="18"/>
          <w:szCs w:val="18"/>
        </w:rPr>
      </w:pPr>
    </w:p>
    <w:p w:rsidRPr="00533D5C" w:rsidR="00CB54D2" w:rsidP="00533D5C" w:rsidRDefault="00CB54D2">
      <w:pPr>
        <w:spacing w:line="240" w:lineRule="exact"/>
        <w:rPr>
          <w:rFonts w:ascii="Verdana" w:hAnsi="Verdana"/>
          <w:i/>
          <w:sz w:val="18"/>
          <w:szCs w:val="18"/>
        </w:rPr>
      </w:pPr>
      <w:r w:rsidRPr="00533D5C">
        <w:rPr>
          <w:rFonts w:ascii="Verdana" w:hAnsi="Verdana"/>
          <w:i/>
          <w:sz w:val="18"/>
          <w:szCs w:val="18"/>
        </w:rPr>
        <w:t>Diversen – Technische mutaties</w:t>
      </w:r>
    </w:p>
    <w:p w:rsidRPr="00533D5C" w:rsidR="00840343" w:rsidP="00533D5C" w:rsidRDefault="00303857">
      <w:pPr>
        <w:spacing w:line="240" w:lineRule="exact"/>
        <w:rPr>
          <w:rFonts w:ascii="Verdana" w:hAnsi="Verdana"/>
          <w:sz w:val="18"/>
          <w:szCs w:val="18"/>
        </w:rPr>
      </w:pPr>
      <w:r w:rsidRPr="00533D5C">
        <w:rPr>
          <w:rFonts w:ascii="Verdana" w:hAnsi="Verdana"/>
          <w:sz w:val="18"/>
          <w:szCs w:val="18"/>
        </w:rPr>
        <w:t xml:space="preserve">Dit bettreft de </w:t>
      </w:r>
      <w:r w:rsidRPr="00533D5C" w:rsidR="00840343">
        <w:rPr>
          <w:rFonts w:ascii="Verdana" w:hAnsi="Verdana"/>
          <w:sz w:val="18"/>
          <w:szCs w:val="18"/>
        </w:rPr>
        <w:t>overheveling</w:t>
      </w:r>
      <w:r w:rsidRPr="00533D5C">
        <w:rPr>
          <w:rFonts w:ascii="Verdana" w:hAnsi="Verdana"/>
          <w:sz w:val="18"/>
          <w:szCs w:val="18"/>
        </w:rPr>
        <w:t xml:space="preserve"> naar EZ van </w:t>
      </w:r>
      <w:r w:rsidRPr="00533D5C" w:rsidR="00840343">
        <w:rPr>
          <w:rFonts w:ascii="Verdana" w:hAnsi="Verdana"/>
          <w:sz w:val="18"/>
          <w:szCs w:val="18"/>
        </w:rPr>
        <w:t>25 mln. vanuit de aanvullende post ten behoeve van het Toek</w:t>
      </w:r>
      <w:r w:rsidRPr="00533D5C" w:rsidR="00273BD2">
        <w:rPr>
          <w:rFonts w:ascii="Verdana" w:hAnsi="Verdana"/>
          <w:sz w:val="18"/>
          <w:szCs w:val="18"/>
        </w:rPr>
        <w:t xml:space="preserve">omstfonds </w:t>
      </w:r>
      <w:r w:rsidRPr="00533D5C" w:rsidR="00840343">
        <w:rPr>
          <w:rFonts w:ascii="Verdana" w:hAnsi="Verdana"/>
          <w:sz w:val="18"/>
          <w:szCs w:val="18"/>
        </w:rPr>
        <w:t>voor investeringen in fundamenteel en toegepast onderzoek, zoals aangekondigd in de brief aan de Tweede</w:t>
      </w:r>
      <w:r w:rsidRPr="00533D5C" w:rsidR="00273BD2">
        <w:rPr>
          <w:rFonts w:ascii="Verdana" w:hAnsi="Verdana"/>
          <w:sz w:val="18"/>
          <w:szCs w:val="18"/>
        </w:rPr>
        <w:t xml:space="preserve"> </w:t>
      </w:r>
      <w:r w:rsidRPr="00533D5C" w:rsidR="00840343">
        <w:rPr>
          <w:rFonts w:ascii="Verdana" w:hAnsi="Verdana"/>
          <w:sz w:val="18"/>
          <w:szCs w:val="18"/>
        </w:rPr>
        <w:t>Kamer van 16 september 2014 (TK, 34 000 XIII nr. 5). Deze middelen zullen via het Innovatiefonds meegaan naar 2015 en zullen dan bij 1</w:t>
      </w:r>
      <w:r w:rsidRPr="00533D5C" w:rsidR="00840343">
        <w:rPr>
          <w:rFonts w:ascii="Verdana" w:hAnsi="Verdana"/>
          <w:sz w:val="18"/>
          <w:szCs w:val="18"/>
          <w:vertAlign w:val="superscript"/>
        </w:rPr>
        <w:t>e</w:t>
      </w:r>
      <w:r w:rsidRPr="00533D5C" w:rsidR="00840343">
        <w:rPr>
          <w:rFonts w:ascii="Verdana" w:hAnsi="Verdana"/>
          <w:sz w:val="18"/>
          <w:szCs w:val="18"/>
        </w:rPr>
        <w:t xml:space="preserve"> suppletoire begroting 2015 worden  toegevoegd aan artikel 19 (Toekomstfonds) van de EZ-begroting.</w:t>
      </w:r>
    </w:p>
    <w:p w:rsidRPr="00533D5C" w:rsidR="00840343" w:rsidP="00533D5C" w:rsidRDefault="00840343">
      <w:pPr>
        <w:spacing w:line="240" w:lineRule="exact"/>
        <w:rPr>
          <w:rFonts w:ascii="Verdana" w:hAnsi="Verdana"/>
          <w:sz w:val="18"/>
          <w:szCs w:val="18"/>
        </w:rPr>
      </w:pPr>
    </w:p>
    <w:p w:rsidRPr="00533D5C" w:rsidR="00721B67" w:rsidP="00533D5C" w:rsidRDefault="00721B67">
      <w:pPr>
        <w:spacing w:line="240" w:lineRule="exact"/>
        <w:rPr>
          <w:rFonts w:ascii="Verdana" w:hAnsi="Verdana" w:cs="Verdana"/>
          <w:b/>
          <w:bCs/>
          <w:sz w:val="18"/>
          <w:szCs w:val="18"/>
        </w:rPr>
      </w:pPr>
      <w:r w:rsidRPr="00533D5C">
        <w:rPr>
          <w:rFonts w:ascii="Verdana" w:hAnsi="Verdana" w:cs="Verdana"/>
          <w:b/>
          <w:bCs/>
          <w:sz w:val="18"/>
          <w:szCs w:val="18"/>
        </w:rPr>
        <w:br w:type="page"/>
      </w:r>
    </w:p>
    <w:p w:rsidRPr="00533D5C" w:rsidR="00512EDB" w:rsidP="00533D5C" w:rsidRDefault="00C05141">
      <w:pPr>
        <w:spacing w:line="240" w:lineRule="exact"/>
        <w:rPr>
          <w:rFonts w:ascii="Verdana" w:hAnsi="Verdana" w:cs="Verdana"/>
          <w:b/>
          <w:bCs/>
          <w:sz w:val="18"/>
          <w:szCs w:val="18"/>
        </w:rPr>
      </w:pPr>
      <w:r w:rsidRPr="00533D5C">
        <w:rPr>
          <w:rFonts w:ascii="Verdana" w:hAnsi="Verdana" w:cs="Verdana"/>
          <w:b/>
          <w:bCs/>
          <w:sz w:val="18"/>
          <w:szCs w:val="18"/>
        </w:rPr>
        <w:lastRenderedPageBreak/>
        <w:t>Homogene Groep Internationale Samenwerking</w:t>
      </w:r>
    </w:p>
    <w:p w:rsidRPr="00533D5C" w:rsidR="00793117" w:rsidP="00533D5C" w:rsidRDefault="00793117">
      <w:pPr>
        <w:spacing w:line="240" w:lineRule="exact"/>
        <w:rPr>
          <w:rFonts w:ascii="Verdana" w:hAnsi="Verdana" w:cs="Verdana"/>
          <w:b/>
          <w:bCs/>
          <w:sz w:val="18"/>
          <w:szCs w:val="18"/>
        </w:rPr>
      </w:pPr>
    </w:p>
    <w:tbl>
      <w:tblPr>
        <w:tblW w:w="5000" w:type="pct"/>
        <w:tblCellMar>
          <w:left w:w="70" w:type="dxa"/>
          <w:right w:w="70" w:type="dxa"/>
        </w:tblCellMar>
        <w:tblLook w:val="04A0"/>
      </w:tblPr>
      <w:tblGrid>
        <w:gridCol w:w="7922"/>
        <w:gridCol w:w="1290"/>
      </w:tblGrid>
      <w:tr w:rsidRPr="00533D5C" w:rsidR="00793117" w:rsidTr="00793117">
        <w:trPr>
          <w:trHeight w:val="243"/>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HOMOGENE GROEP INTERNATIONALE SAMENWERKING: UITGAVEN</w:t>
            </w:r>
          </w:p>
        </w:tc>
        <w:tc>
          <w:tcPr>
            <w:tcW w:w="7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225"/>
        </w:trPr>
        <w:tc>
          <w:tcPr>
            <w:tcW w:w="4300" w:type="pct"/>
            <w:tcBorders>
              <w:top w:val="single" w:color="000000" w:sz="8" w:space="0"/>
              <w:left w:val="nil"/>
              <w:bottom w:val="single" w:color="000000" w:sz="8" w:space="0"/>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00" w:type="pct"/>
            <w:tcBorders>
              <w:top w:val="single" w:color="000000" w:sz="8" w:space="0"/>
              <w:left w:val="nil"/>
              <w:bottom w:val="single" w:color="000000" w:sz="8" w:space="0"/>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Stand Miljoenennota 2015</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5.218,3</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7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Apparaat</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-16,9</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Dggf</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-20,0</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Meevallers non oda</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-15,0</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Noodhulpfonds</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-470,0</w:t>
            </w:r>
          </w:p>
        </w:tc>
      </w:tr>
      <w:tr w:rsidRPr="00533D5C" w:rsidR="00793117" w:rsidTr="00793117">
        <w:trPr>
          <w:trHeight w:val="225"/>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-31,9</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p>
        </w:tc>
        <w:tc>
          <w:tcPr>
            <w:tcW w:w="700" w:type="pct"/>
            <w:tcBorders>
              <w:top w:val="single" w:color="000000" w:sz="8" w:space="0"/>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-553,8</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225"/>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-3,0</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p>
        </w:tc>
        <w:tc>
          <w:tcPr>
            <w:tcW w:w="700" w:type="pct"/>
            <w:tcBorders>
              <w:top w:val="single" w:color="000000" w:sz="8" w:space="0"/>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-3,0</w:t>
            </w:r>
          </w:p>
        </w:tc>
      </w:tr>
      <w:tr w:rsidRPr="00533D5C" w:rsidR="00793117" w:rsidTr="00793117">
        <w:trPr>
          <w:trHeight w:val="225"/>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-556,8</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00" w:type="pct"/>
            <w:tcBorders>
              <w:top w:val="single" w:color="000000" w:sz="8" w:space="0"/>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4.661,5</w:t>
            </w:r>
          </w:p>
        </w:tc>
      </w:tr>
      <w:tr w:rsidRPr="00533D5C" w:rsidR="00793117" w:rsidTr="00793117">
        <w:trPr>
          <w:trHeight w:val="210"/>
        </w:trPr>
        <w:tc>
          <w:tcPr>
            <w:tcW w:w="43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c>
          <w:tcPr>
            <w:tcW w:w="7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166"/>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HOMOGENE GROEP INTERNATIONALE SAMENWERKING: NIET-BELASTINGONTVANGSTEN</w:t>
            </w:r>
          </w:p>
        </w:tc>
        <w:tc>
          <w:tcPr>
            <w:tcW w:w="7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225"/>
        </w:trPr>
        <w:tc>
          <w:tcPr>
            <w:tcW w:w="4300" w:type="pct"/>
            <w:tcBorders>
              <w:top w:val="single" w:color="000000" w:sz="8" w:space="0"/>
              <w:left w:val="nil"/>
              <w:bottom w:val="single" w:color="000000" w:sz="8" w:space="0"/>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 </w:t>
            </w:r>
          </w:p>
        </w:tc>
        <w:tc>
          <w:tcPr>
            <w:tcW w:w="700" w:type="pct"/>
            <w:tcBorders>
              <w:top w:val="single" w:color="000000" w:sz="8" w:space="0"/>
              <w:left w:val="nil"/>
              <w:bottom w:val="single" w:color="000000" w:sz="8" w:space="0"/>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2014</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Stand Miljoenennota 2015</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158,5</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Beleidsmatige mutaties</w:t>
            </w:r>
          </w:p>
        </w:tc>
        <w:tc>
          <w:tcPr>
            <w:tcW w:w="7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225"/>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21,7</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p>
        </w:tc>
        <w:tc>
          <w:tcPr>
            <w:tcW w:w="700" w:type="pct"/>
            <w:tcBorders>
              <w:top w:val="single" w:color="000000" w:sz="8" w:space="0"/>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21,7</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Technische mutaties</w:t>
            </w:r>
          </w:p>
        </w:tc>
        <w:tc>
          <w:tcPr>
            <w:tcW w:w="7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180" w:firstLineChars="100"/>
              <w:rPr>
                <w:rFonts w:ascii="Verdana" w:hAnsi="Verdana"/>
                <w:color w:val="000000"/>
                <w:sz w:val="18"/>
                <w:szCs w:val="18"/>
              </w:rPr>
            </w:pPr>
            <w:r w:rsidRPr="00533D5C">
              <w:rPr>
                <w:rFonts w:ascii="Verdana" w:hAnsi="Verdana"/>
                <w:color w:val="000000"/>
                <w:sz w:val="18"/>
                <w:szCs w:val="18"/>
              </w:rPr>
              <w:t>Rijksbegroting in enge zin</w:t>
            </w:r>
          </w:p>
        </w:tc>
        <w:tc>
          <w:tcPr>
            <w:tcW w:w="700" w:type="pct"/>
            <w:tcBorders>
              <w:top w:val="nil"/>
              <w:left w:val="nil"/>
              <w:bottom w:val="nil"/>
              <w:right w:val="nil"/>
            </w:tcBorders>
            <w:shd w:val="clear" w:color="auto" w:fill="auto"/>
            <w:noWrap/>
            <w:vAlign w:val="bottom"/>
            <w:hideMark/>
          </w:tcPr>
          <w:p w:rsidRPr="00533D5C" w:rsidR="00793117" w:rsidP="00533D5C" w:rsidRDefault="00793117">
            <w:pPr>
              <w:spacing w:line="240" w:lineRule="exact"/>
              <w:rPr>
                <w:rFonts w:ascii="Verdana" w:hAnsi="Verdana"/>
                <w:color w:val="000000"/>
                <w:sz w:val="18"/>
                <w:szCs w:val="18"/>
              </w:rPr>
            </w:pPr>
          </w:p>
        </w:tc>
      </w:tr>
      <w:tr w:rsidRPr="00533D5C" w:rsidR="00793117" w:rsidTr="00793117">
        <w:trPr>
          <w:trHeight w:val="225"/>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ind w:firstLine="360" w:firstLineChars="200"/>
              <w:rPr>
                <w:rFonts w:ascii="Verdana" w:hAnsi="Verdana"/>
                <w:color w:val="000000"/>
                <w:sz w:val="18"/>
                <w:szCs w:val="18"/>
              </w:rPr>
            </w:pPr>
            <w:r w:rsidRPr="00533D5C">
              <w:rPr>
                <w:rFonts w:ascii="Verdana" w:hAnsi="Verdana"/>
                <w:color w:val="000000"/>
                <w:sz w:val="18"/>
                <w:szCs w:val="18"/>
              </w:rPr>
              <w:t>Diversen</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-3,0</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p>
        </w:tc>
        <w:tc>
          <w:tcPr>
            <w:tcW w:w="700" w:type="pct"/>
            <w:tcBorders>
              <w:top w:val="single" w:color="000000" w:sz="8" w:space="0"/>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-3,0</w:t>
            </w:r>
          </w:p>
        </w:tc>
      </w:tr>
      <w:tr w:rsidRPr="00533D5C" w:rsidR="00793117" w:rsidTr="00793117">
        <w:trPr>
          <w:trHeight w:val="225"/>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Totaal mutaties sinds Miljoenennota 2015</w:t>
            </w:r>
          </w:p>
        </w:tc>
        <w:tc>
          <w:tcPr>
            <w:tcW w:w="700" w:type="pct"/>
            <w:tcBorders>
              <w:top w:val="nil"/>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18,7</w:t>
            </w:r>
          </w:p>
        </w:tc>
      </w:tr>
      <w:tr w:rsidRPr="00533D5C" w:rsidR="00793117" w:rsidTr="00793117">
        <w:trPr>
          <w:trHeight w:val="210"/>
        </w:trPr>
        <w:tc>
          <w:tcPr>
            <w:tcW w:w="4300" w:type="pct"/>
            <w:tcBorders>
              <w:top w:val="nil"/>
              <w:left w:val="nil"/>
              <w:bottom w:val="nil"/>
              <w:right w:val="nil"/>
            </w:tcBorders>
            <w:shd w:val="clear" w:color="auto" w:fill="auto"/>
            <w:hideMark/>
          </w:tcPr>
          <w:p w:rsidRPr="00533D5C" w:rsidR="00793117" w:rsidP="00533D5C" w:rsidRDefault="00793117">
            <w:pPr>
              <w:spacing w:line="240" w:lineRule="exact"/>
              <w:rPr>
                <w:rFonts w:ascii="Verdana" w:hAnsi="Verdana"/>
                <w:color w:val="000000"/>
                <w:sz w:val="18"/>
                <w:szCs w:val="18"/>
              </w:rPr>
            </w:pPr>
            <w:r w:rsidRPr="00533D5C">
              <w:rPr>
                <w:rFonts w:ascii="Verdana" w:hAnsi="Verdana"/>
                <w:color w:val="000000"/>
                <w:sz w:val="18"/>
                <w:szCs w:val="18"/>
              </w:rPr>
              <w:t>Stand Najaarsnota 2014</w:t>
            </w:r>
          </w:p>
        </w:tc>
        <w:tc>
          <w:tcPr>
            <w:tcW w:w="700" w:type="pct"/>
            <w:tcBorders>
              <w:top w:val="single" w:color="000000" w:sz="8" w:space="0"/>
              <w:left w:val="nil"/>
              <w:bottom w:val="nil"/>
              <w:right w:val="nil"/>
            </w:tcBorders>
            <w:shd w:val="clear" w:color="auto" w:fill="auto"/>
            <w:hideMark/>
          </w:tcPr>
          <w:p w:rsidRPr="00533D5C" w:rsidR="00793117" w:rsidP="00533D5C" w:rsidRDefault="00793117">
            <w:pPr>
              <w:spacing w:line="240" w:lineRule="exact"/>
              <w:jc w:val="right"/>
              <w:rPr>
                <w:rFonts w:ascii="Verdana" w:hAnsi="Verdana"/>
                <w:color w:val="000000"/>
                <w:sz w:val="18"/>
                <w:szCs w:val="18"/>
              </w:rPr>
            </w:pPr>
            <w:r w:rsidRPr="00533D5C">
              <w:rPr>
                <w:rFonts w:ascii="Verdana" w:hAnsi="Verdana"/>
                <w:color w:val="000000"/>
                <w:sz w:val="18"/>
                <w:szCs w:val="18"/>
              </w:rPr>
              <w:t>177,2</w:t>
            </w:r>
          </w:p>
        </w:tc>
      </w:tr>
    </w:tbl>
    <w:p w:rsidRPr="00533D5C" w:rsidR="00793117" w:rsidP="00533D5C" w:rsidRDefault="00793117">
      <w:pPr>
        <w:pStyle w:val="Geenafstand"/>
        <w:spacing w:line="240" w:lineRule="exact"/>
        <w:rPr>
          <w:rFonts w:ascii="Verdana" w:hAnsi="Verdana"/>
          <w:sz w:val="18"/>
          <w:szCs w:val="18"/>
        </w:rPr>
      </w:pPr>
    </w:p>
    <w:p w:rsidRPr="00533D5C" w:rsidR="00EF63D2" w:rsidP="00533D5C" w:rsidRDefault="00EF63D2">
      <w:pPr>
        <w:pStyle w:val="Geenafstand"/>
        <w:spacing w:line="240" w:lineRule="exact"/>
        <w:rPr>
          <w:rFonts w:ascii="Verdana" w:hAnsi="Verdana"/>
          <w:i/>
          <w:sz w:val="18"/>
          <w:szCs w:val="18"/>
        </w:rPr>
      </w:pPr>
    </w:p>
    <w:p w:rsidRPr="00533D5C" w:rsidR="00793117" w:rsidP="00533D5C" w:rsidRDefault="00793117">
      <w:pPr>
        <w:pStyle w:val="Geenafstand"/>
        <w:spacing w:line="240" w:lineRule="exact"/>
        <w:rPr>
          <w:rFonts w:ascii="Verdana" w:hAnsi="Verdana"/>
          <w:i/>
          <w:sz w:val="18"/>
          <w:szCs w:val="18"/>
        </w:rPr>
      </w:pPr>
      <w:r w:rsidRPr="00533D5C">
        <w:rPr>
          <w:rFonts w:ascii="Verdana" w:hAnsi="Verdana"/>
          <w:i/>
          <w:sz w:val="18"/>
          <w:szCs w:val="18"/>
        </w:rPr>
        <w:t>Apparaat</w:t>
      </w:r>
    </w:p>
    <w:p w:rsidRPr="00533D5C" w:rsidR="00793117" w:rsidP="00533D5C" w:rsidRDefault="00793117">
      <w:pPr>
        <w:pStyle w:val="Geenafstand"/>
        <w:spacing w:line="240" w:lineRule="exact"/>
        <w:rPr>
          <w:rFonts w:ascii="Verdana" w:hAnsi="Verdana"/>
          <w:sz w:val="18"/>
          <w:szCs w:val="18"/>
        </w:rPr>
      </w:pPr>
      <w:r w:rsidRPr="00533D5C">
        <w:rPr>
          <w:rFonts w:ascii="Verdana" w:hAnsi="Verdana"/>
          <w:sz w:val="18"/>
          <w:szCs w:val="18"/>
        </w:rPr>
        <w:t xml:space="preserve">De apparaatuitgaven van het ministerie van Buitenlandse Zaken tonen een per saldo meevaller. De belangrijkste mutaties betreffen de daling van het aantal uitgezonden medewerkers en lagere ICT- en huisvestingsuitgaven. </w:t>
      </w:r>
    </w:p>
    <w:p w:rsidRPr="00533D5C" w:rsidR="00793117" w:rsidP="00533D5C" w:rsidRDefault="00793117">
      <w:pPr>
        <w:pStyle w:val="Geenafstand"/>
        <w:spacing w:line="240" w:lineRule="exact"/>
        <w:rPr>
          <w:rFonts w:ascii="Verdana" w:hAnsi="Verdana"/>
          <w:i/>
          <w:sz w:val="18"/>
          <w:szCs w:val="18"/>
        </w:rPr>
      </w:pPr>
    </w:p>
    <w:p w:rsidRPr="00533D5C" w:rsidR="00793117" w:rsidP="00533D5C" w:rsidRDefault="00793117">
      <w:pPr>
        <w:pStyle w:val="Geenafstand"/>
        <w:spacing w:line="240" w:lineRule="exact"/>
        <w:rPr>
          <w:rFonts w:ascii="Verdana" w:hAnsi="Verdana"/>
          <w:i/>
          <w:sz w:val="18"/>
          <w:szCs w:val="18"/>
        </w:rPr>
      </w:pPr>
      <w:r w:rsidRPr="00533D5C">
        <w:rPr>
          <w:rFonts w:ascii="Verdana" w:hAnsi="Verdana"/>
          <w:i/>
          <w:sz w:val="18"/>
          <w:szCs w:val="18"/>
        </w:rPr>
        <w:t>DGGF</w:t>
      </w:r>
    </w:p>
    <w:p w:rsidRPr="00533D5C" w:rsidR="00793117" w:rsidP="00533D5C" w:rsidRDefault="00793117">
      <w:pPr>
        <w:pStyle w:val="Geenafstand"/>
        <w:spacing w:line="240" w:lineRule="exact"/>
        <w:rPr>
          <w:rFonts w:ascii="Verdana" w:hAnsi="Verdana"/>
          <w:sz w:val="18"/>
          <w:szCs w:val="18"/>
        </w:rPr>
      </w:pPr>
      <w:r w:rsidRPr="00533D5C">
        <w:rPr>
          <w:rFonts w:ascii="Verdana" w:hAnsi="Verdana"/>
          <w:sz w:val="18"/>
          <w:szCs w:val="18"/>
        </w:rPr>
        <w:t xml:space="preserve">Het Dutch Good Growth Fund (DGGF) heeft als doel investeringen in ontwikkelingslanden te faciliteren. Tussen de jaren 2014-2017 is 700 mln. beschikbaar om het fonds te voeden, waarna de DGGF moet revolveren. Vanwege de opstartfase is een deel van de middelen uit 2014 niet volledig uitgeput, dit budget wordt </w:t>
      </w:r>
      <w:r w:rsidRPr="00533D5C" w:rsidR="005A3D5A">
        <w:rPr>
          <w:rFonts w:ascii="Verdana" w:hAnsi="Verdana"/>
          <w:sz w:val="18"/>
          <w:szCs w:val="18"/>
        </w:rPr>
        <w:t>meegenomen naar volgende jaren.</w:t>
      </w:r>
    </w:p>
    <w:p w:rsidRPr="00533D5C" w:rsidR="00793117" w:rsidP="00533D5C" w:rsidRDefault="00793117">
      <w:pPr>
        <w:spacing w:line="240" w:lineRule="exact"/>
        <w:rPr>
          <w:rFonts w:ascii="Verdana" w:hAnsi="Verdana"/>
          <w:i/>
          <w:sz w:val="18"/>
          <w:szCs w:val="18"/>
        </w:rPr>
      </w:pPr>
    </w:p>
    <w:p w:rsidRPr="00533D5C" w:rsidR="00793117" w:rsidP="00533D5C" w:rsidRDefault="00793117">
      <w:pPr>
        <w:pStyle w:val="Geenafstand"/>
        <w:spacing w:line="240" w:lineRule="exact"/>
        <w:rPr>
          <w:rFonts w:ascii="Verdana" w:hAnsi="Verdana"/>
          <w:i/>
          <w:sz w:val="18"/>
          <w:szCs w:val="18"/>
        </w:rPr>
      </w:pPr>
      <w:r w:rsidRPr="00533D5C">
        <w:rPr>
          <w:rFonts w:ascii="Verdana" w:hAnsi="Verdana"/>
          <w:i/>
          <w:sz w:val="18"/>
          <w:szCs w:val="18"/>
        </w:rPr>
        <w:t>Meevallers non ODA</w:t>
      </w:r>
    </w:p>
    <w:p w:rsidRPr="00533D5C" w:rsidR="00793117" w:rsidP="00533D5C" w:rsidRDefault="00793117">
      <w:pPr>
        <w:pStyle w:val="Geenafstand"/>
        <w:spacing w:line="240" w:lineRule="exact"/>
        <w:rPr>
          <w:rFonts w:ascii="Verdana" w:hAnsi="Verdana"/>
          <w:sz w:val="18"/>
          <w:szCs w:val="18"/>
        </w:rPr>
      </w:pPr>
      <w:r w:rsidRPr="00533D5C">
        <w:rPr>
          <w:rFonts w:ascii="Verdana" w:hAnsi="Verdana"/>
          <w:sz w:val="18"/>
          <w:szCs w:val="18"/>
        </w:rPr>
        <w:t xml:space="preserve">Het HGIS non-ODA budget toont een meevaller door verschillende oorzaken. De belangrijkste is de daling van de Nederlandse contributie aan VN-crisisbeheersingsoperaties. De Nederlandse contributie is mede gebaseerd op afdrachten van andere lidstaten en de liquiditeitsbehoefte van verschillende operaties in 2014. </w:t>
      </w:r>
    </w:p>
    <w:p w:rsidRPr="00533D5C" w:rsidR="00793117" w:rsidP="00533D5C" w:rsidRDefault="00793117">
      <w:pPr>
        <w:pStyle w:val="Geenafstand"/>
        <w:spacing w:line="240" w:lineRule="exact"/>
        <w:rPr>
          <w:rFonts w:ascii="Verdana" w:hAnsi="Verdana"/>
          <w:i/>
          <w:sz w:val="18"/>
          <w:szCs w:val="18"/>
        </w:rPr>
      </w:pPr>
    </w:p>
    <w:p w:rsidRPr="00533D5C" w:rsidR="00793117" w:rsidP="00533D5C" w:rsidRDefault="00793117">
      <w:pPr>
        <w:spacing w:line="240" w:lineRule="exact"/>
        <w:rPr>
          <w:rFonts w:ascii="Verdana" w:hAnsi="Verdana"/>
          <w:i/>
          <w:sz w:val="18"/>
          <w:szCs w:val="18"/>
        </w:rPr>
      </w:pPr>
      <w:r w:rsidRPr="00533D5C">
        <w:rPr>
          <w:rFonts w:ascii="Verdana" w:hAnsi="Verdana"/>
          <w:i/>
          <w:sz w:val="18"/>
          <w:szCs w:val="18"/>
        </w:rPr>
        <w:br w:type="page"/>
      </w:r>
    </w:p>
    <w:p w:rsidRPr="00533D5C" w:rsidR="00793117" w:rsidP="00533D5C" w:rsidRDefault="00793117">
      <w:pPr>
        <w:pStyle w:val="Geenafstand"/>
        <w:spacing w:line="240" w:lineRule="exact"/>
        <w:rPr>
          <w:rFonts w:ascii="Verdana" w:hAnsi="Verdana"/>
          <w:i/>
          <w:sz w:val="18"/>
          <w:szCs w:val="18"/>
        </w:rPr>
      </w:pPr>
      <w:r w:rsidRPr="00533D5C">
        <w:rPr>
          <w:rFonts w:ascii="Verdana" w:hAnsi="Verdana"/>
          <w:i/>
          <w:sz w:val="18"/>
          <w:szCs w:val="18"/>
        </w:rPr>
        <w:lastRenderedPageBreak/>
        <w:t>Noodhulpfonds</w:t>
      </w:r>
    </w:p>
    <w:p w:rsidRPr="00533D5C" w:rsidR="00793117" w:rsidP="00533D5C" w:rsidRDefault="00793117">
      <w:pPr>
        <w:pStyle w:val="Geenafstand"/>
        <w:spacing w:line="240" w:lineRule="exact"/>
        <w:rPr>
          <w:rFonts w:ascii="Verdana" w:hAnsi="Verdana"/>
          <w:sz w:val="18"/>
          <w:szCs w:val="18"/>
        </w:rPr>
      </w:pPr>
      <w:r w:rsidRPr="00533D5C">
        <w:rPr>
          <w:rFonts w:ascii="Verdana" w:hAnsi="Verdana"/>
          <w:sz w:val="18"/>
          <w:szCs w:val="18"/>
        </w:rPr>
        <w:t>Deze kabinetsperiode is 570 mln. beschikbaar gesteld voor uitgaven aan noodhulp en opvang in de regio. Dit budget is gedurende de kabinetsperiode in de jaren 2014-2017 flexibel inzetbaar. Budget dat in 2014 niet wordt uitgegeven, wordt meegenomen naar latere jaren.</w:t>
      </w:r>
    </w:p>
    <w:p w:rsidRPr="00533D5C" w:rsidR="00793117" w:rsidP="00533D5C" w:rsidRDefault="00793117">
      <w:pPr>
        <w:pStyle w:val="Geenafstand"/>
        <w:spacing w:line="240" w:lineRule="exact"/>
        <w:rPr>
          <w:rFonts w:ascii="Verdana" w:hAnsi="Verdana"/>
          <w:i/>
          <w:sz w:val="18"/>
          <w:szCs w:val="18"/>
        </w:rPr>
      </w:pPr>
    </w:p>
    <w:p w:rsidRPr="00533D5C" w:rsidR="00793117" w:rsidP="00533D5C" w:rsidRDefault="00793117">
      <w:pPr>
        <w:pStyle w:val="Geenafstand"/>
        <w:spacing w:line="240" w:lineRule="exact"/>
        <w:rPr>
          <w:rFonts w:ascii="Verdana" w:hAnsi="Verdana"/>
          <w:i/>
          <w:sz w:val="18"/>
          <w:szCs w:val="18"/>
        </w:rPr>
      </w:pPr>
      <w:r w:rsidRPr="00533D5C">
        <w:rPr>
          <w:rFonts w:ascii="Verdana" w:hAnsi="Verdana"/>
          <w:i/>
          <w:sz w:val="18"/>
          <w:szCs w:val="18"/>
        </w:rPr>
        <w:t>Diversen – Beleidsmatige mutaties uitgaven</w:t>
      </w:r>
    </w:p>
    <w:p w:rsidRPr="00533D5C" w:rsidR="00793117" w:rsidP="00533D5C" w:rsidRDefault="00793117">
      <w:pPr>
        <w:pStyle w:val="Geenafstand"/>
        <w:spacing w:line="240" w:lineRule="exact"/>
        <w:rPr>
          <w:rFonts w:ascii="Verdana" w:hAnsi="Verdana"/>
          <w:sz w:val="18"/>
          <w:szCs w:val="18"/>
        </w:rPr>
      </w:pPr>
      <w:r w:rsidRPr="00533D5C">
        <w:rPr>
          <w:rFonts w:ascii="Verdana" w:hAnsi="Verdana"/>
          <w:sz w:val="18"/>
          <w:szCs w:val="18"/>
        </w:rPr>
        <w:t xml:space="preserve">Deze post bevat verschillende mutaties, waarvan de belangrijkste zich voordoet op het artikel overig armoedebeleid. Deze mutatie is het resultaat van de verwerking van de BNP-korting op het ODA-budget. Vanaf het artikel overig armoedebeleid wordt de korting doorverdeeld naar overige artikelen op de begroting van Buitenlandse Zaken. </w:t>
      </w:r>
      <w:r w:rsidRPr="00533D5C">
        <w:rPr>
          <w:rFonts w:ascii="Verdana" w:hAnsi="Verdana" w:cs="Courier New"/>
          <w:sz w:val="18"/>
          <w:szCs w:val="18"/>
        </w:rPr>
        <w:t>Daarnaast is sprake van meevallers op de HGIS-middelen van het ministerie van Veiligheid en Justitie (ca. 6 mln.) en van het ministerie van Defensie (ca. 10 mln.).</w:t>
      </w:r>
    </w:p>
    <w:p w:rsidRPr="00533D5C" w:rsidR="00793117" w:rsidP="00533D5C" w:rsidRDefault="00793117">
      <w:pPr>
        <w:pStyle w:val="Geenafstand"/>
        <w:spacing w:line="240" w:lineRule="exact"/>
        <w:rPr>
          <w:rFonts w:ascii="Verdana" w:hAnsi="Verdana"/>
          <w:i/>
          <w:sz w:val="18"/>
          <w:szCs w:val="18"/>
        </w:rPr>
      </w:pPr>
    </w:p>
    <w:p w:rsidRPr="00533D5C" w:rsidR="00793117" w:rsidP="00533D5C" w:rsidRDefault="00793117">
      <w:pPr>
        <w:pStyle w:val="Geenafstand"/>
        <w:spacing w:line="240" w:lineRule="exact"/>
        <w:rPr>
          <w:rFonts w:ascii="Verdana" w:hAnsi="Verdana"/>
          <w:i/>
          <w:sz w:val="18"/>
          <w:szCs w:val="18"/>
        </w:rPr>
      </w:pPr>
      <w:r w:rsidRPr="00533D5C">
        <w:rPr>
          <w:rFonts w:ascii="Verdana" w:hAnsi="Verdana"/>
          <w:i/>
          <w:sz w:val="18"/>
          <w:szCs w:val="18"/>
        </w:rPr>
        <w:t>Diversen – Beleidsmatige mutaties niet-belastingontvangsten</w:t>
      </w:r>
    </w:p>
    <w:p w:rsidRPr="00533D5C" w:rsidR="00793117" w:rsidP="00533D5C" w:rsidRDefault="00793117">
      <w:pPr>
        <w:spacing w:line="240" w:lineRule="exact"/>
        <w:rPr>
          <w:rFonts w:ascii="Verdana" w:hAnsi="Verdana" w:cs="Courier New"/>
          <w:sz w:val="18"/>
          <w:szCs w:val="18"/>
        </w:rPr>
      </w:pPr>
      <w:r w:rsidRPr="00533D5C">
        <w:rPr>
          <w:rFonts w:ascii="Verdana" w:hAnsi="Verdana" w:cs="Courier New"/>
          <w:sz w:val="18"/>
          <w:szCs w:val="18"/>
        </w:rPr>
        <w:t>Deze post bevat verschillende mutaties, waarvan de belangrijkste zich voordoet op het apparaatsartikel van het ministerie van Buitenlandse Zaken. In 2014 zijn enkele panden in het buitenland verkocht, Deze onroerend goed ontvangsten worden door het ministerie van Buitenlandse Zaken gereserveerd om</w:t>
      </w:r>
      <w:r w:rsidRPr="00533D5C">
        <w:rPr>
          <w:rFonts w:ascii="Verdana" w:hAnsi="Verdana" w:cs="Arial"/>
          <w:snapToGrid w:val="0"/>
          <w:sz w:val="18"/>
          <w:szCs w:val="18"/>
        </w:rPr>
        <w:t xml:space="preserve"> jaarlijks de geplande investeringen ten behoeve van de huisvesting in het buitenland te financieren met als doel de huisvestingsportefuille te rationaliseren en in lijn te brengen met de nieuwe behoeften. Daarbij zijn de sleutelwoorden: soberder, functioneler en mogelijke samenwerken met andere landen door middel van co-locaties. Op deze wijze is BZ in staat om de taakstelling te realiseren.</w:t>
      </w:r>
      <w:bookmarkStart w:name="_GoBack" w:id="1"/>
      <w:bookmarkEnd w:id="1"/>
      <w:r w:rsidRPr="00533D5C">
        <w:rPr>
          <w:rFonts w:ascii="Verdana" w:hAnsi="Verdana" w:cs="Courier New"/>
          <w:sz w:val="18"/>
          <w:szCs w:val="18"/>
        </w:rPr>
        <w:t xml:space="preserve"> </w:t>
      </w:r>
    </w:p>
    <w:p w:rsidRPr="00533D5C" w:rsidR="007250E2" w:rsidP="00533D5C" w:rsidRDefault="007250E2">
      <w:pPr>
        <w:spacing w:line="240" w:lineRule="exact"/>
        <w:rPr>
          <w:rFonts w:ascii="Verdana" w:hAnsi="Verdana" w:cs="Courier New"/>
          <w:sz w:val="18"/>
          <w:szCs w:val="18"/>
        </w:rPr>
      </w:pPr>
    </w:p>
    <w:sectPr w:rsidRPr="00533D5C" w:rsidR="007250E2" w:rsidSect="00D427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E8E" w:rsidRDefault="00D56E8E" w:rsidP="00821E67">
      <w:r>
        <w:separator/>
      </w:r>
    </w:p>
  </w:endnote>
  <w:endnote w:type="continuationSeparator" w:id="0">
    <w:p w:rsidR="00D56E8E" w:rsidRDefault="00D56E8E" w:rsidP="00821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topia">
    <w:altName w:val="Arial Narrow"/>
    <w:charset w:val="00"/>
    <w:family w:val="swiss"/>
    <w:pitch w:val="variable"/>
    <w:sig w:usb0="8000002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69" w:rsidRDefault="00A81C6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69" w:rsidRDefault="00A81C6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69" w:rsidRDefault="00A81C6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E8E" w:rsidRDefault="00D56E8E" w:rsidP="00821E67">
      <w:r>
        <w:separator/>
      </w:r>
    </w:p>
  </w:footnote>
  <w:footnote w:type="continuationSeparator" w:id="0">
    <w:p w:rsidR="00D56E8E" w:rsidRDefault="00D56E8E" w:rsidP="00821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69" w:rsidRDefault="00A81C6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69" w:rsidRDefault="00A81C69">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69" w:rsidRDefault="00A81C69">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05C1"/>
    <w:multiLevelType w:val="hybridMultilevel"/>
    <w:tmpl w:val="0986BD6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F321837"/>
    <w:multiLevelType w:val="hybridMultilevel"/>
    <w:tmpl w:val="62CA341A"/>
    <w:lvl w:ilvl="0" w:tplc="E6168158">
      <w:start w:val="15"/>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cs="Wingdings" w:hint="default"/>
      </w:rPr>
    </w:lvl>
    <w:lvl w:ilvl="3" w:tplc="04130001" w:tentative="1">
      <w:start w:val="1"/>
      <w:numFmt w:val="bullet"/>
      <w:lvlText w:val=""/>
      <w:lvlJc w:val="left"/>
      <w:pPr>
        <w:tabs>
          <w:tab w:val="num" w:pos="1800"/>
        </w:tabs>
        <w:ind w:left="1800" w:hanging="360"/>
      </w:pPr>
      <w:rPr>
        <w:rFonts w:ascii="Symbol" w:hAnsi="Symbol" w:cs="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cs="Wingdings" w:hint="default"/>
      </w:rPr>
    </w:lvl>
    <w:lvl w:ilvl="6" w:tplc="04130001" w:tentative="1">
      <w:start w:val="1"/>
      <w:numFmt w:val="bullet"/>
      <w:lvlText w:val=""/>
      <w:lvlJc w:val="left"/>
      <w:pPr>
        <w:tabs>
          <w:tab w:val="num" w:pos="3960"/>
        </w:tabs>
        <w:ind w:left="3960" w:hanging="360"/>
      </w:pPr>
      <w:rPr>
        <w:rFonts w:ascii="Symbol" w:hAnsi="Symbol" w:cs="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cs="Wingdings" w:hint="default"/>
      </w:rPr>
    </w:lvl>
  </w:abstractNum>
  <w:abstractNum w:abstractNumId="2">
    <w:nsid w:val="10210231"/>
    <w:multiLevelType w:val="hybridMultilevel"/>
    <w:tmpl w:val="3750566C"/>
    <w:lvl w:ilvl="0" w:tplc="04130001">
      <w:start w:val="1"/>
      <w:numFmt w:val="bullet"/>
      <w:lvlText w:val=""/>
      <w:lvlJc w:val="left"/>
      <w:pPr>
        <w:ind w:left="24" w:hanging="360"/>
      </w:pPr>
      <w:rPr>
        <w:rFonts w:ascii="Symbol" w:hAnsi="Symbol" w:hint="default"/>
      </w:rPr>
    </w:lvl>
    <w:lvl w:ilvl="1" w:tplc="04130003" w:tentative="1">
      <w:start w:val="1"/>
      <w:numFmt w:val="bullet"/>
      <w:lvlText w:val="o"/>
      <w:lvlJc w:val="left"/>
      <w:pPr>
        <w:ind w:left="744" w:hanging="360"/>
      </w:pPr>
      <w:rPr>
        <w:rFonts w:ascii="Courier New" w:hAnsi="Courier New" w:cs="Courier New" w:hint="default"/>
      </w:rPr>
    </w:lvl>
    <w:lvl w:ilvl="2" w:tplc="04130005" w:tentative="1">
      <w:start w:val="1"/>
      <w:numFmt w:val="bullet"/>
      <w:lvlText w:val=""/>
      <w:lvlJc w:val="left"/>
      <w:pPr>
        <w:ind w:left="1464" w:hanging="360"/>
      </w:pPr>
      <w:rPr>
        <w:rFonts w:ascii="Wingdings" w:hAnsi="Wingdings" w:hint="default"/>
      </w:rPr>
    </w:lvl>
    <w:lvl w:ilvl="3" w:tplc="04130001" w:tentative="1">
      <w:start w:val="1"/>
      <w:numFmt w:val="bullet"/>
      <w:lvlText w:val=""/>
      <w:lvlJc w:val="left"/>
      <w:pPr>
        <w:ind w:left="2184" w:hanging="360"/>
      </w:pPr>
      <w:rPr>
        <w:rFonts w:ascii="Symbol" w:hAnsi="Symbol" w:hint="default"/>
      </w:rPr>
    </w:lvl>
    <w:lvl w:ilvl="4" w:tplc="04130003" w:tentative="1">
      <w:start w:val="1"/>
      <w:numFmt w:val="bullet"/>
      <w:lvlText w:val="o"/>
      <w:lvlJc w:val="left"/>
      <w:pPr>
        <w:ind w:left="2904" w:hanging="360"/>
      </w:pPr>
      <w:rPr>
        <w:rFonts w:ascii="Courier New" w:hAnsi="Courier New" w:cs="Courier New" w:hint="default"/>
      </w:rPr>
    </w:lvl>
    <w:lvl w:ilvl="5" w:tplc="04130005" w:tentative="1">
      <w:start w:val="1"/>
      <w:numFmt w:val="bullet"/>
      <w:lvlText w:val=""/>
      <w:lvlJc w:val="left"/>
      <w:pPr>
        <w:ind w:left="3624" w:hanging="360"/>
      </w:pPr>
      <w:rPr>
        <w:rFonts w:ascii="Wingdings" w:hAnsi="Wingdings" w:hint="default"/>
      </w:rPr>
    </w:lvl>
    <w:lvl w:ilvl="6" w:tplc="04130001" w:tentative="1">
      <w:start w:val="1"/>
      <w:numFmt w:val="bullet"/>
      <w:lvlText w:val=""/>
      <w:lvlJc w:val="left"/>
      <w:pPr>
        <w:ind w:left="4344" w:hanging="360"/>
      </w:pPr>
      <w:rPr>
        <w:rFonts w:ascii="Symbol" w:hAnsi="Symbol" w:hint="default"/>
      </w:rPr>
    </w:lvl>
    <w:lvl w:ilvl="7" w:tplc="04130003" w:tentative="1">
      <w:start w:val="1"/>
      <w:numFmt w:val="bullet"/>
      <w:lvlText w:val="o"/>
      <w:lvlJc w:val="left"/>
      <w:pPr>
        <w:ind w:left="5064" w:hanging="360"/>
      </w:pPr>
      <w:rPr>
        <w:rFonts w:ascii="Courier New" w:hAnsi="Courier New" w:cs="Courier New" w:hint="default"/>
      </w:rPr>
    </w:lvl>
    <w:lvl w:ilvl="8" w:tplc="04130005" w:tentative="1">
      <w:start w:val="1"/>
      <w:numFmt w:val="bullet"/>
      <w:lvlText w:val=""/>
      <w:lvlJc w:val="left"/>
      <w:pPr>
        <w:ind w:left="5784" w:hanging="360"/>
      </w:pPr>
      <w:rPr>
        <w:rFonts w:ascii="Wingdings" w:hAnsi="Wingdings" w:hint="default"/>
      </w:rPr>
    </w:lvl>
  </w:abstractNum>
  <w:abstractNum w:abstractNumId="3">
    <w:nsid w:val="11BD36C2"/>
    <w:multiLevelType w:val="hybridMultilevel"/>
    <w:tmpl w:val="5C580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56750DF"/>
    <w:multiLevelType w:val="hybridMultilevel"/>
    <w:tmpl w:val="04D4B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B656F7"/>
    <w:multiLevelType w:val="hybridMultilevel"/>
    <w:tmpl w:val="B456EFF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33451935"/>
    <w:multiLevelType w:val="hybridMultilevel"/>
    <w:tmpl w:val="6204A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5E421D6"/>
    <w:multiLevelType w:val="hybridMultilevel"/>
    <w:tmpl w:val="CD0E3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6BB6B3D"/>
    <w:multiLevelType w:val="hybridMultilevel"/>
    <w:tmpl w:val="B67EB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36E5F32"/>
    <w:multiLevelType w:val="hybridMultilevel"/>
    <w:tmpl w:val="644E7C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4C97C58"/>
    <w:multiLevelType w:val="hybridMultilevel"/>
    <w:tmpl w:val="21CC0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5A56BFB"/>
    <w:multiLevelType w:val="hybridMultilevel"/>
    <w:tmpl w:val="A65215A8"/>
    <w:lvl w:ilvl="0" w:tplc="04130001">
      <w:start w:val="1"/>
      <w:numFmt w:val="bullet"/>
      <w:lvlText w:val=""/>
      <w:lvlJc w:val="left"/>
      <w:pPr>
        <w:ind w:left="360" w:hanging="360"/>
      </w:pPr>
      <w:rPr>
        <w:rFonts w:ascii="Symbol" w:hAnsi="Symbol" w:cs="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854695A"/>
    <w:multiLevelType w:val="hybridMultilevel"/>
    <w:tmpl w:val="BBA08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D63618B"/>
    <w:multiLevelType w:val="hybridMultilevel"/>
    <w:tmpl w:val="DC565952"/>
    <w:lvl w:ilvl="0" w:tplc="DD14E788">
      <w:numFmt w:val="bullet"/>
      <w:lvlText w:val="-"/>
      <w:lvlJc w:val="left"/>
      <w:pPr>
        <w:ind w:left="720" w:hanging="360"/>
      </w:pPr>
      <w:rPr>
        <w:rFonts w:ascii="Verdana" w:eastAsia="Times New Roman" w:hAnsi="Verdana"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F482595"/>
    <w:multiLevelType w:val="hybridMultilevel"/>
    <w:tmpl w:val="0450B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F237378"/>
    <w:multiLevelType w:val="hybridMultilevel"/>
    <w:tmpl w:val="2E3AD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7944634"/>
    <w:multiLevelType w:val="hybridMultilevel"/>
    <w:tmpl w:val="13BC716E"/>
    <w:lvl w:ilvl="0" w:tplc="DD14E788">
      <w:numFmt w:val="bullet"/>
      <w:lvlText w:val="-"/>
      <w:lvlJc w:val="left"/>
      <w:pPr>
        <w:ind w:left="720" w:hanging="360"/>
      </w:pPr>
      <w:rPr>
        <w:rFonts w:ascii="Verdana" w:eastAsia="Times New Roman" w:hAnsi="Verdana"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6"/>
  </w:num>
  <w:num w:numId="12">
    <w:abstractNumId w:val="8"/>
  </w:num>
  <w:num w:numId="13">
    <w:abstractNumId w:val="6"/>
  </w:num>
  <w:num w:numId="14">
    <w:abstractNumId w:val="3"/>
  </w:num>
  <w:num w:numId="15">
    <w:abstractNumId w:val="11"/>
  </w:num>
  <w:num w:numId="16">
    <w:abstractNumId w:val="9"/>
  </w:num>
  <w:num w:numId="17">
    <w:abstractNumId w:val="14"/>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F861FB"/>
    <w:rsid w:val="00000F84"/>
    <w:rsid w:val="00011820"/>
    <w:rsid w:val="00013134"/>
    <w:rsid w:val="0002077F"/>
    <w:rsid w:val="00025873"/>
    <w:rsid w:val="00025DE6"/>
    <w:rsid w:val="0002681C"/>
    <w:rsid w:val="0003055D"/>
    <w:rsid w:val="00030C55"/>
    <w:rsid w:val="00031D51"/>
    <w:rsid w:val="00036B76"/>
    <w:rsid w:val="00041F1A"/>
    <w:rsid w:val="00043F7C"/>
    <w:rsid w:val="00046212"/>
    <w:rsid w:val="000474E6"/>
    <w:rsid w:val="00047E63"/>
    <w:rsid w:val="00062699"/>
    <w:rsid w:val="00063DB4"/>
    <w:rsid w:val="00066F87"/>
    <w:rsid w:val="00067A6C"/>
    <w:rsid w:val="000979AC"/>
    <w:rsid w:val="000A3DC4"/>
    <w:rsid w:val="000B205A"/>
    <w:rsid w:val="000B65CE"/>
    <w:rsid w:val="000C14C9"/>
    <w:rsid w:val="000C3550"/>
    <w:rsid w:val="000C60C8"/>
    <w:rsid w:val="000D015C"/>
    <w:rsid w:val="000D3E92"/>
    <w:rsid w:val="000D419B"/>
    <w:rsid w:val="000D52AF"/>
    <w:rsid w:val="000E13FD"/>
    <w:rsid w:val="000E3C51"/>
    <w:rsid w:val="000E7ED3"/>
    <w:rsid w:val="000F0468"/>
    <w:rsid w:val="000F327A"/>
    <w:rsid w:val="000F3F33"/>
    <w:rsid w:val="000F46C3"/>
    <w:rsid w:val="000F5E96"/>
    <w:rsid w:val="000F6E74"/>
    <w:rsid w:val="00100172"/>
    <w:rsid w:val="001008F1"/>
    <w:rsid w:val="0010245E"/>
    <w:rsid w:val="00104C2E"/>
    <w:rsid w:val="00104F23"/>
    <w:rsid w:val="001073C1"/>
    <w:rsid w:val="0011334B"/>
    <w:rsid w:val="00116473"/>
    <w:rsid w:val="0011658D"/>
    <w:rsid w:val="00126EC5"/>
    <w:rsid w:val="001325A9"/>
    <w:rsid w:val="0015059B"/>
    <w:rsid w:val="00150B59"/>
    <w:rsid w:val="00150F96"/>
    <w:rsid w:val="0015506A"/>
    <w:rsid w:val="00155685"/>
    <w:rsid w:val="00160BA6"/>
    <w:rsid w:val="0016128B"/>
    <w:rsid w:val="00161ED7"/>
    <w:rsid w:val="0016408B"/>
    <w:rsid w:val="00166359"/>
    <w:rsid w:val="00171785"/>
    <w:rsid w:val="00173B83"/>
    <w:rsid w:val="00176F77"/>
    <w:rsid w:val="00197345"/>
    <w:rsid w:val="001A3A69"/>
    <w:rsid w:val="001B6B0E"/>
    <w:rsid w:val="001C12B6"/>
    <w:rsid w:val="001C366A"/>
    <w:rsid w:val="001C7305"/>
    <w:rsid w:val="001D0734"/>
    <w:rsid w:val="001D438B"/>
    <w:rsid w:val="001D5F70"/>
    <w:rsid w:val="001D7C2C"/>
    <w:rsid w:val="001E0402"/>
    <w:rsid w:val="001E1FA0"/>
    <w:rsid w:val="001F415D"/>
    <w:rsid w:val="001F773A"/>
    <w:rsid w:val="00200490"/>
    <w:rsid w:val="00201F76"/>
    <w:rsid w:val="002072DB"/>
    <w:rsid w:val="00207D43"/>
    <w:rsid w:val="00212530"/>
    <w:rsid w:val="00212804"/>
    <w:rsid w:val="00213585"/>
    <w:rsid w:val="00224F08"/>
    <w:rsid w:val="0022623A"/>
    <w:rsid w:val="00226BFA"/>
    <w:rsid w:val="00230295"/>
    <w:rsid w:val="00236A2F"/>
    <w:rsid w:val="00237FCE"/>
    <w:rsid w:val="00240FC3"/>
    <w:rsid w:val="00244D66"/>
    <w:rsid w:val="002468BD"/>
    <w:rsid w:val="00250E5C"/>
    <w:rsid w:val="00254B33"/>
    <w:rsid w:val="00261D79"/>
    <w:rsid w:val="00264EA9"/>
    <w:rsid w:val="00265A8C"/>
    <w:rsid w:val="0026645E"/>
    <w:rsid w:val="00273BD2"/>
    <w:rsid w:val="00283B40"/>
    <w:rsid w:val="00283CE9"/>
    <w:rsid w:val="00284666"/>
    <w:rsid w:val="0029172C"/>
    <w:rsid w:val="002A5BC3"/>
    <w:rsid w:val="002A6D76"/>
    <w:rsid w:val="002B012E"/>
    <w:rsid w:val="002B20AF"/>
    <w:rsid w:val="002B3B8F"/>
    <w:rsid w:val="002B3C25"/>
    <w:rsid w:val="002B65C5"/>
    <w:rsid w:val="002C32DA"/>
    <w:rsid w:val="002E2444"/>
    <w:rsid w:val="002E65E1"/>
    <w:rsid w:val="002E67E5"/>
    <w:rsid w:val="002F2F44"/>
    <w:rsid w:val="002F37A0"/>
    <w:rsid w:val="002F66A0"/>
    <w:rsid w:val="002F7391"/>
    <w:rsid w:val="00301084"/>
    <w:rsid w:val="00303857"/>
    <w:rsid w:val="00303AAA"/>
    <w:rsid w:val="00304F2B"/>
    <w:rsid w:val="0030782C"/>
    <w:rsid w:val="003175B4"/>
    <w:rsid w:val="003207E3"/>
    <w:rsid w:val="003210ED"/>
    <w:rsid w:val="00321221"/>
    <w:rsid w:val="003228E2"/>
    <w:rsid w:val="0032607D"/>
    <w:rsid w:val="003334F0"/>
    <w:rsid w:val="003348E3"/>
    <w:rsid w:val="00336FB3"/>
    <w:rsid w:val="00337D41"/>
    <w:rsid w:val="0035066B"/>
    <w:rsid w:val="00354F02"/>
    <w:rsid w:val="003558D2"/>
    <w:rsid w:val="003633FD"/>
    <w:rsid w:val="003738F9"/>
    <w:rsid w:val="00382548"/>
    <w:rsid w:val="00394716"/>
    <w:rsid w:val="00396217"/>
    <w:rsid w:val="003965E9"/>
    <w:rsid w:val="003A161C"/>
    <w:rsid w:val="003A1C04"/>
    <w:rsid w:val="003B0AD1"/>
    <w:rsid w:val="003B218F"/>
    <w:rsid w:val="003B53EA"/>
    <w:rsid w:val="003C0598"/>
    <w:rsid w:val="003C1110"/>
    <w:rsid w:val="003C2840"/>
    <w:rsid w:val="003D1C38"/>
    <w:rsid w:val="003D2F0A"/>
    <w:rsid w:val="003E13B9"/>
    <w:rsid w:val="003E1B8C"/>
    <w:rsid w:val="003E75C2"/>
    <w:rsid w:val="003F0DDE"/>
    <w:rsid w:val="003F2681"/>
    <w:rsid w:val="003F55F0"/>
    <w:rsid w:val="00402CDC"/>
    <w:rsid w:val="004038A5"/>
    <w:rsid w:val="00403DC8"/>
    <w:rsid w:val="004053F9"/>
    <w:rsid w:val="00405E8A"/>
    <w:rsid w:val="00420326"/>
    <w:rsid w:val="00421083"/>
    <w:rsid w:val="00425DC7"/>
    <w:rsid w:val="00426EA0"/>
    <w:rsid w:val="00426F04"/>
    <w:rsid w:val="00430384"/>
    <w:rsid w:val="00430552"/>
    <w:rsid w:val="00430937"/>
    <w:rsid w:val="004316B2"/>
    <w:rsid w:val="0043214F"/>
    <w:rsid w:val="0043332A"/>
    <w:rsid w:val="004375F1"/>
    <w:rsid w:val="00445110"/>
    <w:rsid w:val="00446564"/>
    <w:rsid w:val="00447951"/>
    <w:rsid w:val="00452A6D"/>
    <w:rsid w:val="00452A7E"/>
    <w:rsid w:val="00455390"/>
    <w:rsid w:val="00460428"/>
    <w:rsid w:val="00465EB6"/>
    <w:rsid w:val="0047111C"/>
    <w:rsid w:val="00471600"/>
    <w:rsid w:val="00472960"/>
    <w:rsid w:val="00472C01"/>
    <w:rsid w:val="00486907"/>
    <w:rsid w:val="00486FE8"/>
    <w:rsid w:val="0049075B"/>
    <w:rsid w:val="00490E87"/>
    <w:rsid w:val="004925F3"/>
    <w:rsid w:val="004968E8"/>
    <w:rsid w:val="004A1713"/>
    <w:rsid w:val="004A216E"/>
    <w:rsid w:val="004A3F72"/>
    <w:rsid w:val="004A50CB"/>
    <w:rsid w:val="004A6938"/>
    <w:rsid w:val="004A7950"/>
    <w:rsid w:val="004B4B15"/>
    <w:rsid w:val="004B78F8"/>
    <w:rsid w:val="004D4FC8"/>
    <w:rsid w:val="004E19A5"/>
    <w:rsid w:val="004E408A"/>
    <w:rsid w:val="004E5BC6"/>
    <w:rsid w:val="004E62C1"/>
    <w:rsid w:val="004F0F29"/>
    <w:rsid w:val="004F7510"/>
    <w:rsid w:val="0050116B"/>
    <w:rsid w:val="005019EA"/>
    <w:rsid w:val="00503738"/>
    <w:rsid w:val="005042CB"/>
    <w:rsid w:val="00512E40"/>
    <w:rsid w:val="00512EDB"/>
    <w:rsid w:val="00515AF8"/>
    <w:rsid w:val="00522C4E"/>
    <w:rsid w:val="00522DB2"/>
    <w:rsid w:val="00533D5C"/>
    <w:rsid w:val="0053463B"/>
    <w:rsid w:val="00535635"/>
    <w:rsid w:val="00537616"/>
    <w:rsid w:val="0054222A"/>
    <w:rsid w:val="00543FD5"/>
    <w:rsid w:val="00545C5C"/>
    <w:rsid w:val="00546DEB"/>
    <w:rsid w:val="005478A2"/>
    <w:rsid w:val="0055014F"/>
    <w:rsid w:val="00553018"/>
    <w:rsid w:val="005544DF"/>
    <w:rsid w:val="0055652F"/>
    <w:rsid w:val="005569FA"/>
    <w:rsid w:val="0056230A"/>
    <w:rsid w:val="00564A04"/>
    <w:rsid w:val="005661EF"/>
    <w:rsid w:val="0057192F"/>
    <w:rsid w:val="00572AA2"/>
    <w:rsid w:val="00572DE5"/>
    <w:rsid w:val="005744E4"/>
    <w:rsid w:val="00581384"/>
    <w:rsid w:val="00581483"/>
    <w:rsid w:val="00584383"/>
    <w:rsid w:val="005978B6"/>
    <w:rsid w:val="005A1381"/>
    <w:rsid w:val="005A335B"/>
    <w:rsid w:val="005A3D5A"/>
    <w:rsid w:val="005A4B58"/>
    <w:rsid w:val="005A54A3"/>
    <w:rsid w:val="005A5898"/>
    <w:rsid w:val="005B040F"/>
    <w:rsid w:val="005B1EE9"/>
    <w:rsid w:val="005B2920"/>
    <w:rsid w:val="005B5D23"/>
    <w:rsid w:val="005B5FE7"/>
    <w:rsid w:val="005C0903"/>
    <w:rsid w:val="005C0E2E"/>
    <w:rsid w:val="005C16E5"/>
    <w:rsid w:val="005C1E70"/>
    <w:rsid w:val="005C3079"/>
    <w:rsid w:val="005C3D38"/>
    <w:rsid w:val="005C4A8C"/>
    <w:rsid w:val="005C6148"/>
    <w:rsid w:val="005D107D"/>
    <w:rsid w:val="005D154D"/>
    <w:rsid w:val="005D2292"/>
    <w:rsid w:val="005D2626"/>
    <w:rsid w:val="005D3680"/>
    <w:rsid w:val="005F1AA6"/>
    <w:rsid w:val="00605216"/>
    <w:rsid w:val="006053EB"/>
    <w:rsid w:val="00606EC5"/>
    <w:rsid w:val="0061263B"/>
    <w:rsid w:val="00614551"/>
    <w:rsid w:val="0061586F"/>
    <w:rsid w:val="00617C97"/>
    <w:rsid w:val="00634806"/>
    <w:rsid w:val="006369D3"/>
    <w:rsid w:val="00637281"/>
    <w:rsid w:val="00637D40"/>
    <w:rsid w:val="00641E10"/>
    <w:rsid w:val="00642A3B"/>
    <w:rsid w:val="00642E04"/>
    <w:rsid w:val="0064363D"/>
    <w:rsid w:val="00646D30"/>
    <w:rsid w:val="00654820"/>
    <w:rsid w:val="00655C3A"/>
    <w:rsid w:val="00656327"/>
    <w:rsid w:val="006567C6"/>
    <w:rsid w:val="00656ABC"/>
    <w:rsid w:val="00660330"/>
    <w:rsid w:val="00660D5B"/>
    <w:rsid w:val="006621FE"/>
    <w:rsid w:val="00662FD1"/>
    <w:rsid w:val="00663936"/>
    <w:rsid w:val="0066614B"/>
    <w:rsid w:val="00670491"/>
    <w:rsid w:val="00671986"/>
    <w:rsid w:val="00673CF1"/>
    <w:rsid w:val="00673FF9"/>
    <w:rsid w:val="0067534C"/>
    <w:rsid w:val="00675909"/>
    <w:rsid w:val="00677250"/>
    <w:rsid w:val="0067730A"/>
    <w:rsid w:val="00681677"/>
    <w:rsid w:val="00682395"/>
    <w:rsid w:val="006823BA"/>
    <w:rsid w:val="0068270C"/>
    <w:rsid w:val="00686FAC"/>
    <w:rsid w:val="00691A81"/>
    <w:rsid w:val="0069294D"/>
    <w:rsid w:val="00692A16"/>
    <w:rsid w:val="00697E35"/>
    <w:rsid w:val="006A2EAD"/>
    <w:rsid w:val="006A486A"/>
    <w:rsid w:val="006A5F54"/>
    <w:rsid w:val="006A63ED"/>
    <w:rsid w:val="006A7223"/>
    <w:rsid w:val="006B178E"/>
    <w:rsid w:val="006B4461"/>
    <w:rsid w:val="006D4D27"/>
    <w:rsid w:val="006D7691"/>
    <w:rsid w:val="006E037C"/>
    <w:rsid w:val="006F02C4"/>
    <w:rsid w:val="006F12EF"/>
    <w:rsid w:val="006F3E18"/>
    <w:rsid w:val="00703D7F"/>
    <w:rsid w:val="00704161"/>
    <w:rsid w:val="00712894"/>
    <w:rsid w:val="00713951"/>
    <w:rsid w:val="00717C5A"/>
    <w:rsid w:val="00721B67"/>
    <w:rsid w:val="00723E24"/>
    <w:rsid w:val="007250E2"/>
    <w:rsid w:val="00726453"/>
    <w:rsid w:val="00730A5F"/>
    <w:rsid w:val="00730BB0"/>
    <w:rsid w:val="00730F6F"/>
    <w:rsid w:val="007334D8"/>
    <w:rsid w:val="007339CA"/>
    <w:rsid w:val="00743E8C"/>
    <w:rsid w:val="007460B3"/>
    <w:rsid w:val="007519D0"/>
    <w:rsid w:val="00754236"/>
    <w:rsid w:val="00757FA3"/>
    <w:rsid w:val="00760D22"/>
    <w:rsid w:val="0076185B"/>
    <w:rsid w:val="007776BD"/>
    <w:rsid w:val="00785436"/>
    <w:rsid w:val="00793117"/>
    <w:rsid w:val="00793695"/>
    <w:rsid w:val="00794908"/>
    <w:rsid w:val="00795DF9"/>
    <w:rsid w:val="007965E9"/>
    <w:rsid w:val="007A371A"/>
    <w:rsid w:val="007A4321"/>
    <w:rsid w:val="007B1573"/>
    <w:rsid w:val="007B3CF2"/>
    <w:rsid w:val="007B3DAE"/>
    <w:rsid w:val="007C3A4D"/>
    <w:rsid w:val="007C5FBF"/>
    <w:rsid w:val="007C70A7"/>
    <w:rsid w:val="007C7615"/>
    <w:rsid w:val="007D0628"/>
    <w:rsid w:val="007E127E"/>
    <w:rsid w:val="007E1A06"/>
    <w:rsid w:val="007E68F4"/>
    <w:rsid w:val="007F1CCF"/>
    <w:rsid w:val="007F3BDB"/>
    <w:rsid w:val="00800A6C"/>
    <w:rsid w:val="00801C4C"/>
    <w:rsid w:val="00802B9E"/>
    <w:rsid w:val="00817900"/>
    <w:rsid w:val="0082087C"/>
    <w:rsid w:val="00821E67"/>
    <w:rsid w:val="00822F29"/>
    <w:rsid w:val="00824B36"/>
    <w:rsid w:val="00827C2E"/>
    <w:rsid w:val="0083377A"/>
    <w:rsid w:val="00833C05"/>
    <w:rsid w:val="00834E33"/>
    <w:rsid w:val="00840343"/>
    <w:rsid w:val="008419DB"/>
    <w:rsid w:val="00845886"/>
    <w:rsid w:val="00850E2D"/>
    <w:rsid w:val="00850E52"/>
    <w:rsid w:val="00856982"/>
    <w:rsid w:val="00862203"/>
    <w:rsid w:val="00862711"/>
    <w:rsid w:val="008647D3"/>
    <w:rsid w:val="00864EE5"/>
    <w:rsid w:val="008653B6"/>
    <w:rsid w:val="008713D6"/>
    <w:rsid w:val="008726BF"/>
    <w:rsid w:val="00875F3B"/>
    <w:rsid w:val="00880694"/>
    <w:rsid w:val="00881750"/>
    <w:rsid w:val="008826F3"/>
    <w:rsid w:val="00886A3C"/>
    <w:rsid w:val="008872FD"/>
    <w:rsid w:val="0089497C"/>
    <w:rsid w:val="0089794D"/>
    <w:rsid w:val="008B01BB"/>
    <w:rsid w:val="008B169A"/>
    <w:rsid w:val="008B17B7"/>
    <w:rsid w:val="008B2276"/>
    <w:rsid w:val="008B6FC4"/>
    <w:rsid w:val="008B7B53"/>
    <w:rsid w:val="008B7D5D"/>
    <w:rsid w:val="008C0412"/>
    <w:rsid w:val="008C3BCF"/>
    <w:rsid w:val="008D5C22"/>
    <w:rsid w:val="008D65E3"/>
    <w:rsid w:val="008D6842"/>
    <w:rsid w:val="008E0714"/>
    <w:rsid w:val="008E18BA"/>
    <w:rsid w:val="008E3049"/>
    <w:rsid w:val="008E39D8"/>
    <w:rsid w:val="008E4D4E"/>
    <w:rsid w:val="008F1BA9"/>
    <w:rsid w:val="009018D1"/>
    <w:rsid w:val="00902F53"/>
    <w:rsid w:val="00913520"/>
    <w:rsid w:val="00914856"/>
    <w:rsid w:val="00916D17"/>
    <w:rsid w:val="00923717"/>
    <w:rsid w:val="009364B5"/>
    <w:rsid w:val="0094021D"/>
    <w:rsid w:val="00940413"/>
    <w:rsid w:val="009415FA"/>
    <w:rsid w:val="00945967"/>
    <w:rsid w:val="00950B15"/>
    <w:rsid w:val="00951076"/>
    <w:rsid w:val="009541AC"/>
    <w:rsid w:val="00961BBE"/>
    <w:rsid w:val="00964C0C"/>
    <w:rsid w:val="009666A2"/>
    <w:rsid w:val="009679B2"/>
    <w:rsid w:val="009726DB"/>
    <w:rsid w:val="00975E59"/>
    <w:rsid w:val="0098045A"/>
    <w:rsid w:val="00981AF9"/>
    <w:rsid w:val="00981F28"/>
    <w:rsid w:val="00983F3B"/>
    <w:rsid w:val="009862F9"/>
    <w:rsid w:val="00987044"/>
    <w:rsid w:val="009903B1"/>
    <w:rsid w:val="009920ED"/>
    <w:rsid w:val="0099704E"/>
    <w:rsid w:val="009A6DDC"/>
    <w:rsid w:val="009B0AE1"/>
    <w:rsid w:val="009B180B"/>
    <w:rsid w:val="009B657A"/>
    <w:rsid w:val="009C5917"/>
    <w:rsid w:val="009C6D6D"/>
    <w:rsid w:val="009D6006"/>
    <w:rsid w:val="009D66B2"/>
    <w:rsid w:val="009D6D30"/>
    <w:rsid w:val="009E0331"/>
    <w:rsid w:val="009E08A2"/>
    <w:rsid w:val="009E73AC"/>
    <w:rsid w:val="009E7430"/>
    <w:rsid w:val="009F2962"/>
    <w:rsid w:val="009F39E9"/>
    <w:rsid w:val="009F7954"/>
    <w:rsid w:val="00A1300F"/>
    <w:rsid w:val="00A14489"/>
    <w:rsid w:val="00A15DA7"/>
    <w:rsid w:val="00A15EB7"/>
    <w:rsid w:val="00A216B7"/>
    <w:rsid w:val="00A21E24"/>
    <w:rsid w:val="00A24D21"/>
    <w:rsid w:val="00A27629"/>
    <w:rsid w:val="00A34982"/>
    <w:rsid w:val="00A36010"/>
    <w:rsid w:val="00A36B02"/>
    <w:rsid w:val="00A402C3"/>
    <w:rsid w:val="00A43589"/>
    <w:rsid w:val="00A45671"/>
    <w:rsid w:val="00A46248"/>
    <w:rsid w:val="00A46728"/>
    <w:rsid w:val="00A566F1"/>
    <w:rsid w:val="00A57325"/>
    <w:rsid w:val="00A6349C"/>
    <w:rsid w:val="00A70A83"/>
    <w:rsid w:val="00A73BBA"/>
    <w:rsid w:val="00A777D0"/>
    <w:rsid w:val="00A81C69"/>
    <w:rsid w:val="00A8550D"/>
    <w:rsid w:val="00A8583C"/>
    <w:rsid w:val="00A90604"/>
    <w:rsid w:val="00A91BF0"/>
    <w:rsid w:val="00A943F2"/>
    <w:rsid w:val="00A97952"/>
    <w:rsid w:val="00AA3BFD"/>
    <w:rsid w:val="00AA6932"/>
    <w:rsid w:val="00AA6F32"/>
    <w:rsid w:val="00AB5BCD"/>
    <w:rsid w:val="00AB5F93"/>
    <w:rsid w:val="00AC279B"/>
    <w:rsid w:val="00AC4CCB"/>
    <w:rsid w:val="00AC7CB2"/>
    <w:rsid w:val="00AD374F"/>
    <w:rsid w:val="00AD3A9F"/>
    <w:rsid w:val="00AD4615"/>
    <w:rsid w:val="00AD4F32"/>
    <w:rsid w:val="00AD5445"/>
    <w:rsid w:val="00AD69A5"/>
    <w:rsid w:val="00AD6B44"/>
    <w:rsid w:val="00AE4E9A"/>
    <w:rsid w:val="00AE5FB4"/>
    <w:rsid w:val="00AF43DD"/>
    <w:rsid w:val="00B03BF8"/>
    <w:rsid w:val="00B05FAE"/>
    <w:rsid w:val="00B116F1"/>
    <w:rsid w:val="00B16EE3"/>
    <w:rsid w:val="00B20E05"/>
    <w:rsid w:val="00B21F04"/>
    <w:rsid w:val="00B22C8C"/>
    <w:rsid w:val="00B2494A"/>
    <w:rsid w:val="00B2594C"/>
    <w:rsid w:val="00B26436"/>
    <w:rsid w:val="00B35AFE"/>
    <w:rsid w:val="00B37C60"/>
    <w:rsid w:val="00B413BE"/>
    <w:rsid w:val="00B42887"/>
    <w:rsid w:val="00B47D96"/>
    <w:rsid w:val="00B519E5"/>
    <w:rsid w:val="00B52C36"/>
    <w:rsid w:val="00B66C8F"/>
    <w:rsid w:val="00B7209A"/>
    <w:rsid w:val="00B74256"/>
    <w:rsid w:val="00B81776"/>
    <w:rsid w:val="00B8406E"/>
    <w:rsid w:val="00B85D7F"/>
    <w:rsid w:val="00B85DC8"/>
    <w:rsid w:val="00BA1E17"/>
    <w:rsid w:val="00BA202D"/>
    <w:rsid w:val="00BA2B6C"/>
    <w:rsid w:val="00BA4FD9"/>
    <w:rsid w:val="00BA6D14"/>
    <w:rsid w:val="00BA734D"/>
    <w:rsid w:val="00BA785F"/>
    <w:rsid w:val="00BB49A8"/>
    <w:rsid w:val="00BC211D"/>
    <w:rsid w:val="00BC4267"/>
    <w:rsid w:val="00BC50AA"/>
    <w:rsid w:val="00BD0579"/>
    <w:rsid w:val="00BD2CA2"/>
    <w:rsid w:val="00BD4CB9"/>
    <w:rsid w:val="00BE0A1B"/>
    <w:rsid w:val="00BE1815"/>
    <w:rsid w:val="00BE47DC"/>
    <w:rsid w:val="00BE6E21"/>
    <w:rsid w:val="00BF24D0"/>
    <w:rsid w:val="00BF7F3A"/>
    <w:rsid w:val="00C03803"/>
    <w:rsid w:val="00C05141"/>
    <w:rsid w:val="00C11998"/>
    <w:rsid w:val="00C12032"/>
    <w:rsid w:val="00C13862"/>
    <w:rsid w:val="00C14317"/>
    <w:rsid w:val="00C21097"/>
    <w:rsid w:val="00C225DC"/>
    <w:rsid w:val="00C237B8"/>
    <w:rsid w:val="00C24178"/>
    <w:rsid w:val="00C24E97"/>
    <w:rsid w:val="00C256C5"/>
    <w:rsid w:val="00C26FDB"/>
    <w:rsid w:val="00C30079"/>
    <w:rsid w:val="00C3237C"/>
    <w:rsid w:val="00C34CD2"/>
    <w:rsid w:val="00C35E47"/>
    <w:rsid w:val="00C41ACD"/>
    <w:rsid w:val="00C500F5"/>
    <w:rsid w:val="00C52E15"/>
    <w:rsid w:val="00C551C4"/>
    <w:rsid w:val="00C612C8"/>
    <w:rsid w:val="00C6149E"/>
    <w:rsid w:val="00C655A3"/>
    <w:rsid w:val="00C668E4"/>
    <w:rsid w:val="00C66AB1"/>
    <w:rsid w:val="00C72ACB"/>
    <w:rsid w:val="00C7783F"/>
    <w:rsid w:val="00C811E5"/>
    <w:rsid w:val="00C81351"/>
    <w:rsid w:val="00C85876"/>
    <w:rsid w:val="00C87A29"/>
    <w:rsid w:val="00C943B4"/>
    <w:rsid w:val="00C97BEA"/>
    <w:rsid w:val="00CA04ED"/>
    <w:rsid w:val="00CA16A4"/>
    <w:rsid w:val="00CA18A9"/>
    <w:rsid w:val="00CA19E9"/>
    <w:rsid w:val="00CA3765"/>
    <w:rsid w:val="00CB0162"/>
    <w:rsid w:val="00CB1583"/>
    <w:rsid w:val="00CB19CD"/>
    <w:rsid w:val="00CB1AFB"/>
    <w:rsid w:val="00CB441B"/>
    <w:rsid w:val="00CB54D2"/>
    <w:rsid w:val="00CB7B63"/>
    <w:rsid w:val="00CC2EDB"/>
    <w:rsid w:val="00CC3336"/>
    <w:rsid w:val="00CC4493"/>
    <w:rsid w:val="00CD1327"/>
    <w:rsid w:val="00CD3DDC"/>
    <w:rsid w:val="00CD51C1"/>
    <w:rsid w:val="00CD7549"/>
    <w:rsid w:val="00CE0619"/>
    <w:rsid w:val="00CE0DAE"/>
    <w:rsid w:val="00CE47FD"/>
    <w:rsid w:val="00CF123A"/>
    <w:rsid w:val="00CF568D"/>
    <w:rsid w:val="00CF762B"/>
    <w:rsid w:val="00D028DA"/>
    <w:rsid w:val="00D0397C"/>
    <w:rsid w:val="00D04C17"/>
    <w:rsid w:val="00D22247"/>
    <w:rsid w:val="00D35020"/>
    <w:rsid w:val="00D42700"/>
    <w:rsid w:val="00D55FEB"/>
    <w:rsid w:val="00D56E8E"/>
    <w:rsid w:val="00D60850"/>
    <w:rsid w:val="00D631C0"/>
    <w:rsid w:val="00D6352C"/>
    <w:rsid w:val="00D6384C"/>
    <w:rsid w:val="00D64580"/>
    <w:rsid w:val="00D65D07"/>
    <w:rsid w:val="00D700AC"/>
    <w:rsid w:val="00D71157"/>
    <w:rsid w:val="00D71F80"/>
    <w:rsid w:val="00D86827"/>
    <w:rsid w:val="00D92FF3"/>
    <w:rsid w:val="00D9396B"/>
    <w:rsid w:val="00D95F15"/>
    <w:rsid w:val="00D96720"/>
    <w:rsid w:val="00D97005"/>
    <w:rsid w:val="00DA319A"/>
    <w:rsid w:val="00DB0619"/>
    <w:rsid w:val="00DB2151"/>
    <w:rsid w:val="00DB7804"/>
    <w:rsid w:val="00DC02A1"/>
    <w:rsid w:val="00DC10DF"/>
    <w:rsid w:val="00DC3A5D"/>
    <w:rsid w:val="00DC4E20"/>
    <w:rsid w:val="00DC4E36"/>
    <w:rsid w:val="00DC533E"/>
    <w:rsid w:val="00DD019D"/>
    <w:rsid w:val="00DD0A46"/>
    <w:rsid w:val="00DD6B57"/>
    <w:rsid w:val="00DE045B"/>
    <w:rsid w:val="00DE0AB2"/>
    <w:rsid w:val="00DE3E6F"/>
    <w:rsid w:val="00DE6F0C"/>
    <w:rsid w:val="00DF7E20"/>
    <w:rsid w:val="00DF7EFD"/>
    <w:rsid w:val="00E036EF"/>
    <w:rsid w:val="00E062E8"/>
    <w:rsid w:val="00E11B84"/>
    <w:rsid w:val="00E134C4"/>
    <w:rsid w:val="00E13BDE"/>
    <w:rsid w:val="00E25A51"/>
    <w:rsid w:val="00E315C8"/>
    <w:rsid w:val="00E3535D"/>
    <w:rsid w:val="00E35A55"/>
    <w:rsid w:val="00E37822"/>
    <w:rsid w:val="00E40927"/>
    <w:rsid w:val="00E465EB"/>
    <w:rsid w:val="00E5132C"/>
    <w:rsid w:val="00E52EF1"/>
    <w:rsid w:val="00E547D8"/>
    <w:rsid w:val="00E5488D"/>
    <w:rsid w:val="00E55CAA"/>
    <w:rsid w:val="00E578FC"/>
    <w:rsid w:val="00E579E7"/>
    <w:rsid w:val="00E62912"/>
    <w:rsid w:val="00E632D8"/>
    <w:rsid w:val="00E65D16"/>
    <w:rsid w:val="00E66D1B"/>
    <w:rsid w:val="00E70271"/>
    <w:rsid w:val="00E706D6"/>
    <w:rsid w:val="00E736AA"/>
    <w:rsid w:val="00E75208"/>
    <w:rsid w:val="00E84B18"/>
    <w:rsid w:val="00E84F9F"/>
    <w:rsid w:val="00E86888"/>
    <w:rsid w:val="00E90E0D"/>
    <w:rsid w:val="00E95734"/>
    <w:rsid w:val="00E969E2"/>
    <w:rsid w:val="00E96E52"/>
    <w:rsid w:val="00E97356"/>
    <w:rsid w:val="00EA417C"/>
    <w:rsid w:val="00EA791C"/>
    <w:rsid w:val="00EB3FAE"/>
    <w:rsid w:val="00EC056A"/>
    <w:rsid w:val="00EC2B52"/>
    <w:rsid w:val="00EC7B4C"/>
    <w:rsid w:val="00ED7D3D"/>
    <w:rsid w:val="00EE0D82"/>
    <w:rsid w:val="00EE21E7"/>
    <w:rsid w:val="00EE74D6"/>
    <w:rsid w:val="00EF24FE"/>
    <w:rsid w:val="00EF2C90"/>
    <w:rsid w:val="00EF63D2"/>
    <w:rsid w:val="00EF74EB"/>
    <w:rsid w:val="00F00A1C"/>
    <w:rsid w:val="00F01FB4"/>
    <w:rsid w:val="00F02800"/>
    <w:rsid w:val="00F06737"/>
    <w:rsid w:val="00F119CA"/>
    <w:rsid w:val="00F14189"/>
    <w:rsid w:val="00F176EB"/>
    <w:rsid w:val="00F20950"/>
    <w:rsid w:val="00F27BBC"/>
    <w:rsid w:val="00F310AE"/>
    <w:rsid w:val="00F3149A"/>
    <w:rsid w:val="00F3495A"/>
    <w:rsid w:val="00F34F58"/>
    <w:rsid w:val="00F36028"/>
    <w:rsid w:val="00F4471D"/>
    <w:rsid w:val="00F47D32"/>
    <w:rsid w:val="00F47F3D"/>
    <w:rsid w:val="00F7027B"/>
    <w:rsid w:val="00F81021"/>
    <w:rsid w:val="00F861FB"/>
    <w:rsid w:val="00F8714C"/>
    <w:rsid w:val="00F914DC"/>
    <w:rsid w:val="00F91DB9"/>
    <w:rsid w:val="00F94792"/>
    <w:rsid w:val="00FA0899"/>
    <w:rsid w:val="00FA11FC"/>
    <w:rsid w:val="00FA2324"/>
    <w:rsid w:val="00FA3095"/>
    <w:rsid w:val="00FA6DDB"/>
    <w:rsid w:val="00FB17E0"/>
    <w:rsid w:val="00FB2F91"/>
    <w:rsid w:val="00FB48BB"/>
    <w:rsid w:val="00FB5522"/>
    <w:rsid w:val="00FB5BCB"/>
    <w:rsid w:val="00FB608B"/>
    <w:rsid w:val="00FB61DB"/>
    <w:rsid w:val="00FB6D56"/>
    <w:rsid w:val="00FC1AC6"/>
    <w:rsid w:val="00FD2189"/>
    <w:rsid w:val="00FD3E6E"/>
    <w:rsid w:val="00FD6020"/>
    <w:rsid w:val="00FE2DD0"/>
    <w:rsid w:val="00FE4910"/>
    <w:rsid w:val="00FE4B5D"/>
    <w:rsid w:val="00FF5B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List Bullet"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Classic 1" w:unhideWhenUsed="0"/>
    <w:lsdException w:name="Table Classic 2"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49A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Klassieketabel1">
    <w:name w:val="Table Classic 1"/>
    <w:basedOn w:val="Standaardtabel"/>
    <w:uiPriority w:val="99"/>
    <w:rsid w:val="00261D79"/>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rsid w:val="00C500F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Plattetekst">
    <w:name w:val="Body Text"/>
    <w:basedOn w:val="Standaard"/>
    <w:link w:val="PlattetekstChar"/>
    <w:uiPriority w:val="99"/>
    <w:rsid w:val="00BB49A8"/>
    <w:pPr>
      <w:widowControl w:val="0"/>
      <w:tabs>
        <w:tab w:val="left" w:pos="1418"/>
        <w:tab w:val="left" w:pos="2835"/>
        <w:tab w:val="left" w:pos="4253"/>
        <w:tab w:val="left" w:pos="5670"/>
      </w:tabs>
      <w:suppressAutoHyphens/>
      <w:spacing w:line="260" w:lineRule="exact"/>
    </w:pPr>
    <w:rPr>
      <w:rFonts w:ascii="Arial" w:hAnsi="Arial" w:cs="Arial"/>
      <w:sz w:val="20"/>
      <w:szCs w:val="20"/>
    </w:rPr>
  </w:style>
  <w:style w:type="character" w:customStyle="1" w:styleId="PlattetekstChar">
    <w:name w:val="Platte tekst Char"/>
    <w:basedOn w:val="Standaardalinea-lettertype"/>
    <w:link w:val="Plattetekst"/>
    <w:uiPriority w:val="99"/>
    <w:semiHidden/>
    <w:rsid w:val="008C37D3"/>
    <w:rPr>
      <w:sz w:val="24"/>
      <w:szCs w:val="24"/>
    </w:rPr>
  </w:style>
  <w:style w:type="paragraph" w:customStyle="1" w:styleId="Char2CharChar">
    <w:name w:val="Char2 Char Char"/>
    <w:basedOn w:val="Standaard"/>
    <w:uiPriority w:val="99"/>
    <w:rsid w:val="00BB49A8"/>
    <w:pPr>
      <w:spacing w:after="160" w:line="240" w:lineRule="exact"/>
    </w:pPr>
    <w:rPr>
      <w:rFonts w:ascii="Tahoma" w:hAnsi="Tahoma" w:cs="Tahoma"/>
      <w:sz w:val="20"/>
      <w:szCs w:val="20"/>
      <w:lang w:val="en-US" w:eastAsia="en-US"/>
    </w:rPr>
  </w:style>
  <w:style w:type="character" w:styleId="Nadruk">
    <w:name w:val="Emphasis"/>
    <w:basedOn w:val="Standaardalinea-lettertype"/>
    <w:uiPriority w:val="99"/>
    <w:qFormat/>
    <w:rsid w:val="005B5D23"/>
    <w:rPr>
      <w:i/>
      <w:iCs/>
    </w:rPr>
  </w:style>
  <w:style w:type="paragraph" w:customStyle="1" w:styleId="CharCharCharCharCharCharCharCharCharChar">
    <w:name w:val="Char Char Char Char Char Char Char Char Char Char"/>
    <w:aliases w:val="Standaardalinea-lettertype Char11 Char,Char Char Char Char Char Char11 Char,Standaardalinea-lettertype Char Char1 Char,Standaardalinea-lettertype Char2,Standaardalinea-lettertype Char Char"/>
    <w:basedOn w:val="Standaard"/>
    <w:uiPriority w:val="99"/>
    <w:rsid w:val="00961BBE"/>
    <w:pPr>
      <w:widowControl w:val="0"/>
      <w:adjustRightInd w:val="0"/>
      <w:spacing w:after="160" w:line="240" w:lineRule="exact"/>
      <w:jc w:val="both"/>
      <w:textAlignment w:val="baseline"/>
    </w:pPr>
    <w:rPr>
      <w:rFonts w:ascii="Tahoma" w:hAnsi="Tahoma" w:cs="Tahoma"/>
      <w:sz w:val="20"/>
      <w:szCs w:val="20"/>
      <w:lang w:val="en-US" w:eastAsia="en-US"/>
    </w:rPr>
  </w:style>
  <w:style w:type="paragraph" w:customStyle="1" w:styleId="CharChar">
    <w:name w:val="Char Char"/>
    <w:basedOn w:val="Standaard"/>
    <w:uiPriority w:val="99"/>
    <w:rsid w:val="00EC2B52"/>
    <w:pPr>
      <w:spacing w:after="160" w:line="240" w:lineRule="exact"/>
    </w:pPr>
    <w:rPr>
      <w:rFonts w:ascii="Tahoma" w:hAnsi="Tahoma" w:cs="Tahoma"/>
      <w:sz w:val="20"/>
      <w:szCs w:val="20"/>
      <w:lang w:val="en-US" w:eastAsia="en-US"/>
    </w:rPr>
  </w:style>
  <w:style w:type="paragraph" w:styleId="Voettekst">
    <w:name w:val="footer"/>
    <w:basedOn w:val="Standaard"/>
    <w:link w:val="VoettekstChar"/>
    <w:uiPriority w:val="99"/>
    <w:rsid w:val="005D107D"/>
    <w:pPr>
      <w:spacing w:before="100" w:beforeAutospacing="1" w:after="100" w:afterAutospacing="1"/>
    </w:pPr>
  </w:style>
  <w:style w:type="character" w:customStyle="1" w:styleId="VoettekstChar">
    <w:name w:val="Voettekst Char"/>
    <w:basedOn w:val="Standaardalinea-lettertype"/>
    <w:link w:val="Voettekst"/>
    <w:uiPriority w:val="99"/>
    <w:rsid w:val="008C37D3"/>
    <w:rPr>
      <w:sz w:val="24"/>
      <w:szCs w:val="24"/>
    </w:rPr>
  </w:style>
  <w:style w:type="paragraph" w:customStyle="1" w:styleId="CharChar1">
    <w:name w:val="Char Char1"/>
    <w:basedOn w:val="Standaard"/>
    <w:uiPriority w:val="99"/>
    <w:rsid w:val="00856982"/>
    <w:pPr>
      <w:spacing w:after="160" w:line="240" w:lineRule="exact"/>
    </w:pPr>
    <w:rPr>
      <w:rFonts w:ascii="Utopia" w:hAnsi="Utopia" w:cs="Utopia"/>
      <w:sz w:val="22"/>
      <w:szCs w:val="22"/>
    </w:rPr>
  </w:style>
  <w:style w:type="paragraph" w:styleId="Geenafstand">
    <w:name w:val="No Spacing"/>
    <w:uiPriority w:val="1"/>
    <w:qFormat/>
    <w:rsid w:val="00686FAC"/>
    <w:rPr>
      <w:sz w:val="24"/>
      <w:szCs w:val="24"/>
    </w:rPr>
  </w:style>
  <w:style w:type="paragraph" w:styleId="Lijstalinea">
    <w:name w:val="List Paragraph"/>
    <w:basedOn w:val="Standaard"/>
    <w:uiPriority w:val="34"/>
    <w:qFormat/>
    <w:rsid w:val="00321221"/>
    <w:pPr>
      <w:ind w:left="720"/>
    </w:pPr>
    <w:rPr>
      <w:rFonts w:ascii="Calibri" w:hAnsi="Calibri" w:cs="Calibri"/>
      <w:sz w:val="22"/>
      <w:szCs w:val="22"/>
    </w:rPr>
  </w:style>
  <w:style w:type="character" w:styleId="Verwijzingopmerking">
    <w:name w:val="annotation reference"/>
    <w:basedOn w:val="Standaardalinea-lettertype"/>
    <w:uiPriority w:val="99"/>
    <w:semiHidden/>
    <w:unhideWhenUsed/>
    <w:rsid w:val="00D71157"/>
    <w:rPr>
      <w:sz w:val="16"/>
      <w:szCs w:val="16"/>
    </w:rPr>
  </w:style>
  <w:style w:type="paragraph" w:styleId="Tekstopmerking">
    <w:name w:val="annotation text"/>
    <w:basedOn w:val="Standaard"/>
    <w:link w:val="TekstopmerkingChar"/>
    <w:uiPriority w:val="99"/>
    <w:unhideWhenUsed/>
    <w:rsid w:val="00D71157"/>
    <w:rPr>
      <w:sz w:val="20"/>
      <w:szCs w:val="20"/>
    </w:rPr>
  </w:style>
  <w:style w:type="character" w:customStyle="1" w:styleId="TekstopmerkingChar">
    <w:name w:val="Tekst opmerking Char"/>
    <w:basedOn w:val="Standaardalinea-lettertype"/>
    <w:link w:val="Tekstopmerking"/>
    <w:uiPriority w:val="99"/>
    <w:rsid w:val="00D71157"/>
    <w:rPr>
      <w:sz w:val="20"/>
      <w:szCs w:val="20"/>
    </w:rPr>
  </w:style>
  <w:style w:type="paragraph" w:styleId="Ballontekst">
    <w:name w:val="Balloon Text"/>
    <w:basedOn w:val="Standaard"/>
    <w:link w:val="BallontekstChar"/>
    <w:uiPriority w:val="99"/>
    <w:semiHidden/>
    <w:unhideWhenUsed/>
    <w:rsid w:val="00D71157"/>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157"/>
    <w:rPr>
      <w:rFonts w:ascii="Tahoma" w:hAnsi="Tahoma" w:cs="Tahoma"/>
      <w:sz w:val="16"/>
      <w:szCs w:val="16"/>
    </w:rPr>
  </w:style>
  <w:style w:type="paragraph" w:customStyle="1" w:styleId="Default">
    <w:name w:val="Default"/>
    <w:rsid w:val="006F02C4"/>
    <w:pPr>
      <w:autoSpaceDE w:val="0"/>
      <w:autoSpaceDN w:val="0"/>
      <w:adjustRightInd w:val="0"/>
    </w:pPr>
    <w:rPr>
      <w:rFonts w:ascii="Verdana" w:eastAsiaTheme="minorHAnsi" w:hAnsi="Verdana" w:cs="Verdana"/>
      <w:color w:val="000000"/>
      <w:sz w:val="24"/>
      <w:szCs w:val="24"/>
      <w:lang w:eastAsia="en-US"/>
    </w:rPr>
  </w:style>
  <w:style w:type="paragraph" w:customStyle="1" w:styleId="Char2CharChar0">
    <w:name w:val="Char2 Char Char"/>
    <w:basedOn w:val="Standaard"/>
    <w:rsid w:val="00817900"/>
    <w:pPr>
      <w:spacing w:after="160" w:line="240" w:lineRule="exact"/>
    </w:pPr>
    <w:rPr>
      <w:rFonts w:ascii="Tahoma" w:hAnsi="Tahoma"/>
      <w:sz w:val="20"/>
      <w:szCs w:val="20"/>
      <w:lang w:val="en-US" w:eastAsia="en-US"/>
    </w:rPr>
  </w:style>
  <w:style w:type="character" w:customStyle="1" w:styleId="KoptekstChar">
    <w:name w:val="Koptekst Char"/>
    <w:basedOn w:val="Standaardalinea-lettertype"/>
    <w:link w:val="Koptekst"/>
    <w:uiPriority w:val="99"/>
    <w:semiHidden/>
    <w:rsid w:val="00A36B02"/>
    <w:rPr>
      <w:rFonts w:eastAsiaTheme="minorEastAsia"/>
      <w:sz w:val="24"/>
      <w:szCs w:val="24"/>
    </w:rPr>
  </w:style>
  <w:style w:type="paragraph" w:styleId="Koptekst">
    <w:name w:val="header"/>
    <w:basedOn w:val="Standaard"/>
    <w:link w:val="KoptekstChar"/>
    <w:uiPriority w:val="99"/>
    <w:semiHidden/>
    <w:unhideWhenUsed/>
    <w:rsid w:val="00A36B02"/>
    <w:pPr>
      <w:tabs>
        <w:tab w:val="center" w:pos="4536"/>
        <w:tab w:val="right" w:pos="9072"/>
      </w:tabs>
    </w:pPr>
    <w:rPr>
      <w:rFonts w:eastAsiaTheme="minorEastAsia"/>
    </w:rPr>
  </w:style>
  <w:style w:type="paragraph" w:styleId="Bijschrift">
    <w:name w:val="caption"/>
    <w:basedOn w:val="Standaard"/>
    <w:next w:val="Standaard"/>
    <w:uiPriority w:val="35"/>
    <w:unhideWhenUsed/>
    <w:qFormat/>
    <w:rsid w:val="00C21097"/>
    <w:pPr>
      <w:spacing w:after="200"/>
    </w:pPr>
    <w:rPr>
      <w:b/>
      <w:bCs/>
      <w:color w:val="4F81BD" w:themeColor="accent1"/>
      <w:sz w:val="18"/>
      <w:szCs w:val="18"/>
    </w:rPr>
  </w:style>
  <w:style w:type="paragraph" w:styleId="Onderwerpvanopmerking">
    <w:name w:val="annotation subject"/>
    <w:basedOn w:val="Tekstopmerking"/>
    <w:next w:val="Tekstopmerking"/>
    <w:link w:val="OnderwerpvanopmerkingChar"/>
    <w:uiPriority w:val="99"/>
    <w:semiHidden/>
    <w:unhideWhenUsed/>
    <w:rsid w:val="00564A04"/>
    <w:rPr>
      <w:b/>
      <w:bCs/>
    </w:rPr>
  </w:style>
  <w:style w:type="character" w:customStyle="1" w:styleId="OnderwerpvanopmerkingChar">
    <w:name w:val="Onderwerp van opmerking Char"/>
    <w:basedOn w:val="TekstopmerkingChar"/>
    <w:link w:val="Onderwerpvanopmerking"/>
    <w:uiPriority w:val="99"/>
    <w:semiHidden/>
    <w:rsid w:val="00564A04"/>
    <w:rPr>
      <w:b/>
      <w:bCs/>
    </w:rPr>
  </w:style>
  <w:style w:type="character" w:customStyle="1" w:styleId="captiontitel">
    <w:name w:val="captiontitel"/>
    <w:basedOn w:val="Standaardalinea-lettertype"/>
    <w:rsid w:val="005544DF"/>
  </w:style>
  <w:style w:type="character" w:customStyle="1" w:styleId="st1">
    <w:name w:val="st1"/>
    <w:basedOn w:val="Standaardalinea-lettertype"/>
    <w:rsid w:val="00FB17E0"/>
  </w:style>
  <w:style w:type="character" w:styleId="Voetnootmarkering">
    <w:name w:val="footnote reference"/>
    <w:basedOn w:val="Standaardalinea-lettertype"/>
    <w:uiPriority w:val="99"/>
    <w:semiHidden/>
    <w:rsid w:val="000F3F33"/>
    <w:rPr>
      <w:vertAlign w:val="superscript"/>
    </w:rPr>
  </w:style>
  <w:style w:type="paragraph" w:styleId="Voetnoottekst">
    <w:name w:val="footnote text"/>
    <w:basedOn w:val="Standaard"/>
    <w:link w:val="VoetnoottekstChar"/>
    <w:uiPriority w:val="99"/>
    <w:semiHidden/>
    <w:rsid w:val="000F3F33"/>
    <w:pPr>
      <w:widowControl w:val="0"/>
    </w:pPr>
    <w:rPr>
      <w:rFonts w:ascii="Courier New" w:hAnsi="Courier New" w:cs="Courier New"/>
      <w:lang w:val="nl"/>
    </w:rPr>
  </w:style>
  <w:style w:type="character" w:customStyle="1" w:styleId="VoetnoottekstChar">
    <w:name w:val="Voetnoottekst Char"/>
    <w:basedOn w:val="Standaardalinea-lettertype"/>
    <w:link w:val="Voetnoottekst"/>
    <w:uiPriority w:val="99"/>
    <w:semiHidden/>
    <w:rsid w:val="000F3F33"/>
    <w:rPr>
      <w:rFonts w:ascii="Courier New" w:hAnsi="Courier New" w:cs="Courier New"/>
      <w:sz w:val="24"/>
      <w:szCs w:val="24"/>
      <w:lang w:val="nl"/>
    </w:rPr>
  </w:style>
  <w:style w:type="character" w:styleId="Zwaar">
    <w:name w:val="Strong"/>
    <w:basedOn w:val="Standaardalinea-lettertype"/>
    <w:uiPriority w:val="22"/>
    <w:qFormat/>
    <w:rsid w:val="00DE3E6F"/>
    <w:rPr>
      <w:b/>
      <w:bCs/>
    </w:rPr>
  </w:style>
  <w:style w:type="paragraph" w:styleId="Lijstopsomteken">
    <w:name w:val="List Bullet"/>
    <w:basedOn w:val="Standaard"/>
    <w:rsid w:val="00FA6DDB"/>
    <w:pPr>
      <w:numPr>
        <w:numId w:val="16"/>
      </w:numPr>
      <w:spacing w:line="240" w:lineRule="atLeast"/>
    </w:pPr>
    <w:rPr>
      <w:rFonts w:ascii="Verdana" w:hAnsi="Verdana"/>
      <w:sz w:val="20"/>
    </w:rPr>
  </w:style>
  <w:style w:type="paragraph" w:styleId="Normaalweb">
    <w:name w:val="Normal (Web)"/>
    <w:basedOn w:val="Standaard"/>
    <w:uiPriority w:val="99"/>
    <w:semiHidden/>
    <w:unhideWhenUsed/>
    <w:rsid w:val="00BE0A1B"/>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2166093">
      <w:bodyDiv w:val="1"/>
      <w:marLeft w:val="0"/>
      <w:marRight w:val="0"/>
      <w:marTop w:val="0"/>
      <w:marBottom w:val="0"/>
      <w:divBdr>
        <w:top w:val="none" w:sz="0" w:space="0" w:color="auto"/>
        <w:left w:val="none" w:sz="0" w:space="0" w:color="auto"/>
        <w:bottom w:val="none" w:sz="0" w:space="0" w:color="auto"/>
        <w:right w:val="none" w:sz="0" w:space="0" w:color="auto"/>
      </w:divBdr>
    </w:div>
    <w:div w:id="20783055">
      <w:bodyDiv w:val="1"/>
      <w:marLeft w:val="0"/>
      <w:marRight w:val="0"/>
      <w:marTop w:val="0"/>
      <w:marBottom w:val="0"/>
      <w:divBdr>
        <w:top w:val="none" w:sz="0" w:space="0" w:color="auto"/>
        <w:left w:val="none" w:sz="0" w:space="0" w:color="auto"/>
        <w:bottom w:val="none" w:sz="0" w:space="0" w:color="auto"/>
        <w:right w:val="none" w:sz="0" w:space="0" w:color="auto"/>
      </w:divBdr>
    </w:div>
    <w:div w:id="41292901">
      <w:bodyDiv w:val="1"/>
      <w:marLeft w:val="0"/>
      <w:marRight w:val="0"/>
      <w:marTop w:val="0"/>
      <w:marBottom w:val="0"/>
      <w:divBdr>
        <w:top w:val="none" w:sz="0" w:space="0" w:color="auto"/>
        <w:left w:val="none" w:sz="0" w:space="0" w:color="auto"/>
        <w:bottom w:val="none" w:sz="0" w:space="0" w:color="auto"/>
        <w:right w:val="none" w:sz="0" w:space="0" w:color="auto"/>
      </w:divBdr>
    </w:div>
    <w:div w:id="106431026">
      <w:bodyDiv w:val="1"/>
      <w:marLeft w:val="0"/>
      <w:marRight w:val="0"/>
      <w:marTop w:val="0"/>
      <w:marBottom w:val="0"/>
      <w:divBdr>
        <w:top w:val="none" w:sz="0" w:space="0" w:color="auto"/>
        <w:left w:val="none" w:sz="0" w:space="0" w:color="auto"/>
        <w:bottom w:val="none" w:sz="0" w:space="0" w:color="auto"/>
        <w:right w:val="none" w:sz="0" w:space="0" w:color="auto"/>
      </w:divBdr>
    </w:div>
    <w:div w:id="143544903">
      <w:bodyDiv w:val="1"/>
      <w:marLeft w:val="0"/>
      <w:marRight w:val="0"/>
      <w:marTop w:val="0"/>
      <w:marBottom w:val="0"/>
      <w:divBdr>
        <w:top w:val="none" w:sz="0" w:space="0" w:color="auto"/>
        <w:left w:val="none" w:sz="0" w:space="0" w:color="auto"/>
        <w:bottom w:val="none" w:sz="0" w:space="0" w:color="auto"/>
        <w:right w:val="none" w:sz="0" w:space="0" w:color="auto"/>
      </w:divBdr>
    </w:div>
    <w:div w:id="157312249">
      <w:bodyDiv w:val="1"/>
      <w:marLeft w:val="0"/>
      <w:marRight w:val="0"/>
      <w:marTop w:val="0"/>
      <w:marBottom w:val="0"/>
      <w:divBdr>
        <w:top w:val="none" w:sz="0" w:space="0" w:color="auto"/>
        <w:left w:val="none" w:sz="0" w:space="0" w:color="auto"/>
        <w:bottom w:val="none" w:sz="0" w:space="0" w:color="auto"/>
        <w:right w:val="none" w:sz="0" w:space="0" w:color="auto"/>
      </w:divBdr>
    </w:div>
    <w:div w:id="253057354">
      <w:bodyDiv w:val="1"/>
      <w:marLeft w:val="0"/>
      <w:marRight w:val="0"/>
      <w:marTop w:val="0"/>
      <w:marBottom w:val="0"/>
      <w:divBdr>
        <w:top w:val="none" w:sz="0" w:space="0" w:color="auto"/>
        <w:left w:val="none" w:sz="0" w:space="0" w:color="auto"/>
        <w:bottom w:val="none" w:sz="0" w:space="0" w:color="auto"/>
        <w:right w:val="none" w:sz="0" w:space="0" w:color="auto"/>
      </w:divBdr>
    </w:div>
    <w:div w:id="259028054">
      <w:bodyDiv w:val="1"/>
      <w:marLeft w:val="0"/>
      <w:marRight w:val="0"/>
      <w:marTop w:val="0"/>
      <w:marBottom w:val="0"/>
      <w:divBdr>
        <w:top w:val="none" w:sz="0" w:space="0" w:color="auto"/>
        <w:left w:val="none" w:sz="0" w:space="0" w:color="auto"/>
        <w:bottom w:val="none" w:sz="0" w:space="0" w:color="auto"/>
        <w:right w:val="none" w:sz="0" w:space="0" w:color="auto"/>
      </w:divBdr>
    </w:div>
    <w:div w:id="269747897">
      <w:bodyDiv w:val="1"/>
      <w:marLeft w:val="0"/>
      <w:marRight w:val="0"/>
      <w:marTop w:val="0"/>
      <w:marBottom w:val="0"/>
      <w:divBdr>
        <w:top w:val="none" w:sz="0" w:space="0" w:color="auto"/>
        <w:left w:val="none" w:sz="0" w:space="0" w:color="auto"/>
        <w:bottom w:val="none" w:sz="0" w:space="0" w:color="auto"/>
        <w:right w:val="none" w:sz="0" w:space="0" w:color="auto"/>
      </w:divBdr>
    </w:div>
    <w:div w:id="271209782">
      <w:bodyDiv w:val="1"/>
      <w:marLeft w:val="0"/>
      <w:marRight w:val="0"/>
      <w:marTop w:val="0"/>
      <w:marBottom w:val="0"/>
      <w:divBdr>
        <w:top w:val="none" w:sz="0" w:space="0" w:color="auto"/>
        <w:left w:val="none" w:sz="0" w:space="0" w:color="auto"/>
        <w:bottom w:val="none" w:sz="0" w:space="0" w:color="auto"/>
        <w:right w:val="none" w:sz="0" w:space="0" w:color="auto"/>
      </w:divBdr>
    </w:div>
    <w:div w:id="292054591">
      <w:bodyDiv w:val="1"/>
      <w:marLeft w:val="0"/>
      <w:marRight w:val="0"/>
      <w:marTop w:val="0"/>
      <w:marBottom w:val="0"/>
      <w:divBdr>
        <w:top w:val="none" w:sz="0" w:space="0" w:color="auto"/>
        <w:left w:val="none" w:sz="0" w:space="0" w:color="auto"/>
        <w:bottom w:val="none" w:sz="0" w:space="0" w:color="auto"/>
        <w:right w:val="none" w:sz="0" w:space="0" w:color="auto"/>
      </w:divBdr>
    </w:div>
    <w:div w:id="308022130">
      <w:bodyDiv w:val="1"/>
      <w:marLeft w:val="0"/>
      <w:marRight w:val="0"/>
      <w:marTop w:val="0"/>
      <w:marBottom w:val="0"/>
      <w:divBdr>
        <w:top w:val="none" w:sz="0" w:space="0" w:color="auto"/>
        <w:left w:val="none" w:sz="0" w:space="0" w:color="auto"/>
        <w:bottom w:val="none" w:sz="0" w:space="0" w:color="auto"/>
        <w:right w:val="none" w:sz="0" w:space="0" w:color="auto"/>
      </w:divBdr>
    </w:div>
    <w:div w:id="371542385">
      <w:bodyDiv w:val="1"/>
      <w:marLeft w:val="0"/>
      <w:marRight w:val="0"/>
      <w:marTop w:val="0"/>
      <w:marBottom w:val="0"/>
      <w:divBdr>
        <w:top w:val="none" w:sz="0" w:space="0" w:color="auto"/>
        <w:left w:val="none" w:sz="0" w:space="0" w:color="auto"/>
        <w:bottom w:val="none" w:sz="0" w:space="0" w:color="auto"/>
        <w:right w:val="none" w:sz="0" w:space="0" w:color="auto"/>
      </w:divBdr>
    </w:div>
    <w:div w:id="384186539">
      <w:bodyDiv w:val="1"/>
      <w:marLeft w:val="0"/>
      <w:marRight w:val="0"/>
      <w:marTop w:val="0"/>
      <w:marBottom w:val="0"/>
      <w:divBdr>
        <w:top w:val="none" w:sz="0" w:space="0" w:color="auto"/>
        <w:left w:val="none" w:sz="0" w:space="0" w:color="auto"/>
        <w:bottom w:val="none" w:sz="0" w:space="0" w:color="auto"/>
        <w:right w:val="none" w:sz="0" w:space="0" w:color="auto"/>
      </w:divBdr>
    </w:div>
    <w:div w:id="406224559">
      <w:bodyDiv w:val="1"/>
      <w:marLeft w:val="0"/>
      <w:marRight w:val="0"/>
      <w:marTop w:val="0"/>
      <w:marBottom w:val="0"/>
      <w:divBdr>
        <w:top w:val="none" w:sz="0" w:space="0" w:color="auto"/>
        <w:left w:val="none" w:sz="0" w:space="0" w:color="auto"/>
        <w:bottom w:val="none" w:sz="0" w:space="0" w:color="auto"/>
        <w:right w:val="none" w:sz="0" w:space="0" w:color="auto"/>
      </w:divBdr>
    </w:div>
    <w:div w:id="432362484">
      <w:bodyDiv w:val="1"/>
      <w:marLeft w:val="0"/>
      <w:marRight w:val="0"/>
      <w:marTop w:val="0"/>
      <w:marBottom w:val="0"/>
      <w:divBdr>
        <w:top w:val="none" w:sz="0" w:space="0" w:color="auto"/>
        <w:left w:val="none" w:sz="0" w:space="0" w:color="auto"/>
        <w:bottom w:val="none" w:sz="0" w:space="0" w:color="auto"/>
        <w:right w:val="none" w:sz="0" w:space="0" w:color="auto"/>
      </w:divBdr>
    </w:div>
    <w:div w:id="484782586">
      <w:bodyDiv w:val="1"/>
      <w:marLeft w:val="0"/>
      <w:marRight w:val="0"/>
      <w:marTop w:val="0"/>
      <w:marBottom w:val="0"/>
      <w:divBdr>
        <w:top w:val="none" w:sz="0" w:space="0" w:color="auto"/>
        <w:left w:val="none" w:sz="0" w:space="0" w:color="auto"/>
        <w:bottom w:val="none" w:sz="0" w:space="0" w:color="auto"/>
        <w:right w:val="none" w:sz="0" w:space="0" w:color="auto"/>
      </w:divBdr>
    </w:div>
    <w:div w:id="556164205">
      <w:bodyDiv w:val="1"/>
      <w:marLeft w:val="0"/>
      <w:marRight w:val="0"/>
      <w:marTop w:val="0"/>
      <w:marBottom w:val="0"/>
      <w:divBdr>
        <w:top w:val="none" w:sz="0" w:space="0" w:color="auto"/>
        <w:left w:val="none" w:sz="0" w:space="0" w:color="auto"/>
        <w:bottom w:val="none" w:sz="0" w:space="0" w:color="auto"/>
        <w:right w:val="none" w:sz="0" w:space="0" w:color="auto"/>
      </w:divBdr>
    </w:div>
    <w:div w:id="570123719">
      <w:bodyDiv w:val="1"/>
      <w:marLeft w:val="0"/>
      <w:marRight w:val="0"/>
      <w:marTop w:val="0"/>
      <w:marBottom w:val="0"/>
      <w:divBdr>
        <w:top w:val="none" w:sz="0" w:space="0" w:color="auto"/>
        <w:left w:val="none" w:sz="0" w:space="0" w:color="auto"/>
        <w:bottom w:val="none" w:sz="0" w:space="0" w:color="auto"/>
        <w:right w:val="none" w:sz="0" w:space="0" w:color="auto"/>
      </w:divBdr>
    </w:div>
    <w:div w:id="585503817">
      <w:bodyDiv w:val="1"/>
      <w:marLeft w:val="0"/>
      <w:marRight w:val="0"/>
      <w:marTop w:val="0"/>
      <w:marBottom w:val="0"/>
      <w:divBdr>
        <w:top w:val="none" w:sz="0" w:space="0" w:color="auto"/>
        <w:left w:val="none" w:sz="0" w:space="0" w:color="auto"/>
        <w:bottom w:val="none" w:sz="0" w:space="0" w:color="auto"/>
        <w:right w:val="none" w:sz="0" w:space="0" w:color="auto"/>
      </w:divBdr>
    </w:div>
    <w:div w:id="597446890">
      <w:bodyDiv w:val="1"/>
      <w:marLeft w:val="0"/>
      <w:marRight w:val="0"/>
      <w:marTop w:val="0"/>
      <w:marBottom w:val="0"/>
      <w:divBdr>
        <w:top w:val="none" w:sz="0" w:space="0" w:color="auto"/>
        <w:left w:val="none" w:sz="0" w:space="0" w:color="auto"/>
        <w:bottom w:val="none" w:sz="0" w:space="0" w:color="auto"/>
        <w:right w:val="none" w:sz="0" w:space="0" w:color="auto"/>
      </w:divBdr>
    </w:div>
    <w:div w:id="604270622">
      <w:bodyDiv w:val="1"/>
      <w:marLeft w:val="0"/>
      <w:marRight w:val="0"/>
      <w:marTop w:val="0"/>
      <w:marBottom w:val="0"/>
      <w:divBdr>
        <w:top w:val="none" w:sz="0" w:space="0" w:color="auto"/>
        <w:left w:val="none" w:sz="0" w:space="0" w:color="auto"/>
        <w:bottom w:val="none" w:sz="0" w:space="0" w:color="auto"/>
        <w:right w:val="none" w:sz="0" w:space="0" w:color="auto"/>
      </w:divBdr>
    </w:div>
    <w:div w:id="611471717">
      <w:bodyDiv w:val="1"/>
      <w:marLeft w:val="0"/>
      <w:marRight w:val="0"/>
      <w:marTop w:val="0"/>
      <w:marBottom w:val="0"/>
      <w:divBdr>
        <w:top w:val="none" w:sz="0" w:space="0" w:color="auto"/>
        <w:left w:val="none" w:sz="0" w:space="0" w:color="auto"/>
        <w:bottom w:val="none" w:sz="0" w:space="0" w:color="auto"/>
        <w:right w:val="none" w:sz="0" w:space="0" w:color="auto"/>
      </w:divBdr>
    </w:div>
    <w:div w:id="612984297">
      <w:bodyDiv w:val="1"/>
      <w:marLeft w:val="0"/>
      <w:marRight w:val="0"/>
      <w:marTop w:val="0"/>
      <w:marBottom w:val="0"/>
      <w:divBdr>
        <w:top w:val="none" w:sz="0" w:space="0" w:color="auto"/>
        <w:left w:val="none" w:sz="0" w:space="0" w:color="auto"/>
        <w:bottom w:val="none" w:sz="0" w:space="0" w:color="auto"/>
        <w:right w:val="none" w:sz="0" w:space="0" w:color="auto"/>
      </w:divBdr>
    </w:div>
    <w:div w:id="622345543">
      <w:bodyDiv w:val="1"/>
      <w:marLeft w:val="0"/>
      <w:marRight w:val="0"/>
      <w:marTop w:val="0"/>
      <w:marBottom w:val="0"/>
      <w:divBdr>
        <w:top w:val="none" w:sz="0" w:space="0" w:color="auto"/>
        <w:left w:val="none" w:sz="0" w:space="0" w:color="auto"/>
        <w:bottom w:val="none" w:sz="0" w:space="0" w:color="auto"/>
        <w:right w:val="none" w:sz="0" w:space="0" w:color="auto"/>
      </w:divBdr>
    </w:div>
    <w:div w:id="636758665">
      <w:bodyDiv w:val="1"/>
      <w:marLeft w:val="0"/>
      <w:marRight w:val="0"/>
      <w:marTop w:val="0"/>
      <w:marBottom w:val="0"/>
      <w:divBdr>
        <w:top w:val="none" w:sz="0" w:space="0" w:color="auto"/>
        <w:left w:val="none" w:sz="0" w:space="0" w:color="auto"/>
        <w:bottom w:val="none" w:sz="0" w:space="0" w:color="auto"/>
        <w:right w:val="none" w:sz="0" w:space="0" w:color="auto"/>
      </w:divBdr>
    </w:div>
    <w:div w:id="651761412">
      <w:bodyDiv w:val="1"/>
      <w:marLeft w:val="0"/>
      <w:marRight w:val="0"/>
      <w:marTop w:val="0"/>
      <w:marBottom w:val="0"/>
      <w:divBdr>
        <w:top w:val="none" w:sz="0" w:space="0" w:color="auto"/>
        <w:left w:val="none" w:sz="0" w:space="0" w:color="auto"/>
        <w:bottom w:val="none" w:sz="0" w:space="0" w:color="auto"/>
        <w:right w:val="none" w:sz="0" w:space="0" w:color="auto"/>
      </w:divBdr>
    </w:div>
    <w:div w:id="668796593">
      <w:bodyDiv w:val="1"/>
      <w:marLeft w:val="0"/>
      <w:marRight w:val="0"/>
      <w:marTop w:val="0"/>
      <w:marBottom w:val="0"/>
      <w:divBdr>
        <w:top w:val="none" w:sz="0" w:space="0" w:color="auto"/>
        <w:left w:val="none" w:sz="0" w:space="0" w:color="auto"/>
        <w:bottom w:val="none" w:sz="0" w:space="0" w:color="auto"/>
        <w:right w:val="none" w:sz="0" w:space="0" w:color="auto"/>
      </w:divBdr>
    </w:div>
    <w:div w:id="677394491">
      <w:bodyDiv w:val="1"/>
      <w:marLeft w:val="0"/>
      <w:marRight w:val="0"/>
      <w:marTop w:val="0"/>
      <w:marBottom w:val="0"/>
      <w:divBdr>
        <w:top w:val="none" w:sz="0" w:space="0" w:color="auto"/>
        <w:left w:val="none" w:sz="0" w:space="0" w:color="auto"/>
        <w:bottom w:val="none" w:sz="0" w:space="0" w:color="auto"/>
        <w:right w:val="none" w:sz="0" w:space="0" w:color="auto"/>
      </w:divBdr>
    </w:div>
    <w:div w:id="694768993">
      <w:bodyDiv w:val="1"/>
      <w:marLeft w:val="0"/>
      <w:marRight w:val="0"/>
      <w:marTop w:val="0"/>
      <w:marBottom w:val="0"/>
      <w:divBdr>
        <w:top w:val="none" w:sz="0" w:space="0" w:color="auto"/>
        <w:left w:val="none" w:sz="0" w:space="0" w:color="auto"/>
        <w:bottom w:val="none" w:sz="0" w:space="0" w:color="auto"/>
        <w:right w:val="none" w:sz="0" w:space="0" w:color="auto"/>
      </w:divBdr>
    </w:div>
    <w:div w:id="697122945">
      <w:bodyDiv w:val="1"/>
      <w:marLeft w:val="0"/>
      <w:marRight w:val="0"/>
      <w:marTop w:val="0"/>
      <w:marBottom w:val="0"/>
      <w:divBdr>
        <w:top w:val="none" w:sz="0" w:space="0" w:color="auto"/>
        <w:left w:val="none" w:sz="0" w:space="0" w:color="auto"/>
        <w:bottom w:val="none" w:sz="0" w:space="0" w:color="auto"/>
        <w:right w:val="none" w:sz="0" w:space="0" w:color="auto"/>
      </w:divBdr>
    </w:div>
    <w:div w:id="722099851">
      <w:bodyDiv w:val="1"/>
      <w:marLeft w:val="0"/>
      <w:marRight w:val="0"/>
      <w:marTop w:val="0"/>
      <w:marBottom w:val="0"/>
      <w:divBdr>
        <w:top w:val="none" w:sz="0" w:space="0" w:color="auto"/>
        <w:left w:val="none" w:sz="0" w:space="0" w:color="auto"/>
        <w:bottom w:val="none" w:sz="0" w:space="0" w:color="auto"/>
        <w:right w:val="none" w:sz="0" w:space="0" w:color="auto"/>
      </w:divBdr>
    </w:div>
    <w:div w:id="733896359">
      <w:bodyDiv w:val="1"/>
      <w:marLeft w:val="0"/>
      <w:marRight w:val="0"/>
      <w:marTop w:val="0"/>
      <w:marBottom w:val="0"/>
      <w:divBdr>
        <w:top w:val="none" w:sz="0" w:space="0" w:color="auto"/>
        <w:left w:val="none" w:sz="0" w:space="0" w:color="auto"/>
        <w:bottom w:val="none" w:sz="0" w:space="0" w:color="auto"/>
        <w:right w:val="none" w:sz="0" w:space="0" w:color="auto"/>
      </w:divBdr>
    </w:div>
    <w:div w:id="743987811">
      <w:bodyDiv w:val="1"/>
      <w:marLeft w:val="0"/>
      <w:marRight w:val="0"/>
      <w:marTop w:val="0"/>
      <w:marBottom w:val="0"/>
      <w:divBdr>
        <w:top w:val="none" w:sz="0" w:space="0" w:color="auto"/>
        <w:left w:val="none" w:sz="0" w:space="0" w:color="auto"/>
        <w:bottom w:val="none" w:sz="0" w:space="0" w:color="auto"/>
        <w:right w:val="none" w:sz="0" w:space="0" w:color="auto"/>
      </w:divBdr>
    </w:div>
    <w:div w:id="761994072">
      <w:bodyDiv w:val="1"/>
      <w:marLeft w:val="0"/>
      <w:marRight w:val="0"/>
      <w:marTop w:val="0"/>
      <w:marBottom w:val="0"/>
      <w:divBdr>
        <w:top w:val="none" w:sz="0" w:space="0" w:color="auto"/>
        <w:left w:val="none" w:sz="0" w:space="0" w:color="auto"/>
        <w:bottom w:val="none" w:sz="0" w:space="0" w:color="auto"/>
        <w:right w:val="none" w:sz="0" w:space="0" w:color="auto"/>
      </w:divBdr>
    </w:div>
    <w:div w:id="768239217">
      <w:bodyDiv w:val="1"/>
      <w:marLeft w:val="0"/>
      <w:marRight w:val="0"/>
      <w:marTop w:val="0"/>
      <w:marBottom w:val="0"/>
      <w:divBdr>
        <w:top w:val="none" w:sz="0" w:space="0" w:color="auto"/>
        <w:left w:val="none" w:sz="0" w:space="0" w:color="auto"/>
        <w:bottom w:val="none" w:sz="0" w:space="0" w:color="auto"/>
        <w:right w:val="none" w:sz="0" w:space="0" w:color="auto"/>
      </w:divBdr>
    </w:div>
    <w:div w:id="785320412">
      <w:bodyDiv w:val="1"/>
      <w:marLeft w:val="0"/>
      <w:marRight w:val="0"/>
      <w:marTop w:val="0"/>
      <w:marBottom w:val="0"/>
      <w:divBdr>
        <w:top w:val="none" w:sz="0" w:space="0" w:color="auto"/>
        <w:left w:val="none" w:sz="0" w:space="0" w:color="auto"/>
        <w:bottom w:val="none" w:sz="0" w:space="0" w:color="auto"/>
        <w:right w:val="none" w:sz="0" w:space="0" w:color="auto"/>
      </w:divBdr>
    </w:div>
    <w:div w:id="796073174">
      <w:bodyDiv w:val="1"/>
      <w:marLeft w:val="0"/>
      <w:marRight w:val="0"/>
      <w:marTop w:val="0"/>
      <w:marBottom w:val="0"/>
      <w:divBdr>
        <w:top w:val="none" w:sz="0" w:space="0" w:color="auto"/>
        <w:left w:val="none" w:sz="0" w:space="0" w:color="auto"/>
        <w:bottom w:val="none" w:sz="0" w:space="0" w:color="auto"/>
        <w:right w:val="none" w:sz="0" w:space="0" w:color="auto"/>
      </w:divBdr>
    </w:div>
    <w:div w:id="840658144">
      <w:bodyDiv w:val="1"/>
      <w:marLeft w:val="0"/>
      <w:marRight w:val="0"/>
      <w:marTop w:val="0"/>
      <w:marBottom w:val="0"/>
      <w:divBdr>
        <w:top w:val="none" w:sz="0" w:space="0" w:color="auto"/>
        <w:left w:val="none" w:sz="0" w:space="0" w:color="auto"/>
        <w:bottom w:val="none" w:sz="0" w:space="0" w:color="auto"/>
        <w:right w:val="none" w:sz="0" w:space="0" w:color="auto"/>
      </w:divBdr>
    </w:div>
    <w:div w:id="898898810">
      <w:bodyDiv w:val="1"/>
      <w:marLeft w:val="0"/>
      <w:marRight w:val="0"/>
      <w:marTop w:val="0"/>
      <w:marBottom w:val="0"/>
      <w:divBdr>
        <w:top w:val="none" w:sz="0" w:space="0" w:color="auto"/>
        <w:left w:val="none" w:sz="0" w:space="0" w:color="auto"/>
        <w:bottom w:val="none" w:sz="0" w:space="0" w:color="auto"/>
        <w:right w:val="none" w:sz="0" w:space="0" w:color="auto"/>
      </w:divBdr>
    </w:div>
    <w:div w:id="922299156">
      <w:bodyDiv w:val="1"/>
      <w:marLeft w:val="0"/>
      <w:marRight w:val="0"/>
      <w:marTop w:val="0"/>
      <w:marBottom w:val="0"/>
      <w:divBdr>
        <w:top w:val="none" w:sz="0" w:space="0" w:color="auto"/>
        <w:left w:val="none" w:sz="0" w:space="0" w:color="auto"/>
        <w:bottom w:val="none" w:sz="0" w:space="0" w:color="auto"/>
        <w:right w:val="none" w:sz="0" w:space="0" w:color="auto"/>
      </w:divBdr>
    </w:div>
    <w:div w:id="946303982">
      <w:bodyDiv w:val="1"/>
      <w:marLeft w:val="0"/>
      <w:marRight w:val="0"/>
      <w:marTop w:val="0"/>
      <w:marBottom w:val="0"/>
      <w:divBdr>
        <w:top w:val="none" w:sz="0" w:space="0" w:color="auto"/>
        <w:left w:val="none" w:sz="0" w:space="0" w:color="auto"/>
        <w:bottom w:val="none" w:sz="0" w:space="0" w:color="auto"/>
        <w:right w:val="none" w:sz="0" w:space="0" w:color="auto"/>
      </w:divBdr>
    </w:div>
    <w:div w:id="965045661">
      <w:bodyDiv w:val="1"/>
      <w:marLeft w:val="0"/>
      <w:marRight w:val="0"/>
      <w:marTop w:val="0"/>
      <w:marBottom w:val="0"/>
      <w:divBdr>
        <w:top w:val="none" w:sz="0" w:space="0" w:color="auto"/>
        <w:left w:val="none" w:sz="0" w:space="0" w:color="auto"/>
        <w:bottom w:val="none" w:sz="0" w:space="0" w:color="auto"/>
        <w:right w:val="none" w:sz="0" w:space="0" w:color="auto"/>
      </w:divBdr>
    </w:div>
    <w:div w:id="976646063">
      <w:bodyDiv w:val="1"/>
      <w:marLeft w:val="0"/>
      <w:marRight w:val="0"/>
      <w:marTop w:val="0"/>
      <w:marBottom w:val="0"/>
      <w:divBdr>
        <w:top w:val="none" w:sz="0" w:space="0" w:color="auto"/>
        <w:left w:val="none" w:sz="0" w:space="0" w:color="auto"/>
        <w:bottom w:val="none" w:sz="0" w:space="0" w:color="auto"/>
        <w:right w:val="none" w:sz="0" w:space="0" w:color="auto"/>
      </w:divBdr>
    </w:div>
    <w:div w:id="1013460289">
      <w:bodyDiv w:val="1"/>
      <w:marLeft w:val="0"/>
      <w:marRight w:val="0"/>
      <w:marTop w:val="0"/>
      <w:marBottom w:val="0"/>
      <w:divBdr>
        <w:top w:val="none" w:sz="0" w:space="0" w:color="auto"/>
        <w:left w:val="none" w:sz="0" w:space="0" w:color="auto"/>
        <w:bottom w:val="none" w:sz="0" w:space="0" w:color="auto"/>
        <w:right w:val="none" w:sz="0" w:space="0" w:color="auto"/>
      </w:divBdr>
    </w:div>
    <w:div w:id="1019090640">
      <w:bodyDiv w:val="1"/>
      <w:marLeft w:val="0"/>
      <w:marRight w:val="0"/>
      <w:marTop w:val="0"/>
      <w:marBottom w:val="0"/>
      <w:divBdr>
        <w:top w:val="none" w:sz="0" w:space="0" w:color="auto"/>
        <w:left w:val="none" w:sz="0" w:space="0" w:color="auto"/>
        <w:bottom w:val="none" w:sz="0" w:space="0" w:color="auto"/>
        <w:right w:val="none" w:sz="0" w:space="0" w:color="auto"/>
      </w:divBdr>
    </w:div>
    <w:div w:id="1021274061">
      <w:bodyDiv w:val="1"/>
      <w:marLeft w:val="0"/>
      <w:marRight w:val="0"/>
      <w:marTop w:val="0"/>
      <w:marBottom w:val="0"/>
      <w:divBdr>
        <w:top w:val="none" w:sz="0" w:space="0" w:color="auto"/>
        <w:left w:val="none" w:sz="0" w:space="0" w:color="auto"/>
        <w:bottom w:val="none" w:sz="0" w:space="0" w:color="auto"/>
        <w:right w:val="none" w:sz="0" w:space="0" w:color="auto"/>
      </w:divBdr>
    </w:div>
    <w:div w:id="1027636807">
      <w:bodyDiv w:val="1"/>
      <w:marLeft w:val="0"/>
      <w:marRight w:val="0"/>
      <w:marTop w:val="0"/>
      <w:marBottom w:val="0"/>
      <w:divBdr>
        <w:top w:val="none" w:sz="0" w:space="0" w:color="auto"/>
        <w:left w:val="none" w:sz="0" w:space="0" w:color="auto"/>
        <w:bottom w:val="none" w:sz="0" w:space="0" w:color="auto"/>
        <w:right w:val="none" w:sz="0" w:space="0" w:color="auto"/>
      </w:divBdr>
    </w:div>
    <w:div w:id="1059552622">
      <w:bodyDiv w:val="1"/>
      <w:marLeft w:val="0"/>
      <w:marRight w:val="0"/>
      <w:marTop w:val="0"/>
      <w:marBottom w:val="0"/>
      <w:divBdr>
        <w:top w:val="none" w:sz="0" w:space="0" w:color="auto"/>
        <w:left w:val="none" w:sz="0" w:space="0" w:color="auto"/>
        <w:bottom w:val="none" w:sz="0" w:space="0" w:color="auto"/>
        <w:right w:val="none" w:sz="0" w:space="0" w:color="auto"/>
      </w:divBdr>
    </w:div>
    <w:div w:id="1088966216">
      <w:bodyDiv w:val="1"/>
      <w:marLeft w:val="0"/>
      <w:marRight w:val="0"/>
      <w:marTop w:val="0"/>
      <w:marBottom w:val="0"/>
      <w:divBdr>
        <w:top w:val="none" w:sz="0" w:space="0" w:color="auto"/>
        <w:left w:val="none" w:sz="0" w:space="0" w:color="auto"/>
        <w:bottom w:val="none" w:sz="0" w:space="0" w:color="auto"/>
        <w:right w:val="none" w:sz="0" w:space="0" w:color="auto"/>
      </w:divBdr>
    </w:div>
    <w:div w:id="1107384689">
      <w:bodyDiv w:val="1"/>
      <w:marLeft w:val="0"/>
      <w:marRight w:val="0"/>
      <w:marTop w:val="0"/>
      <w:marBottom w:val="0"/>
      <w:divBdr>
        <w:top w:val="none" w:sz="0" w:space="0" w:color="auto"/>
        <w:left w:val="none" w:sz="0" w:space="0" w:color="auto"/>
        <w:bottom w:val="none" w:sz="0" w:space="0" w:color="auto"/>
        <w:right w:val="none" w:sz="0" w:space="0" w:color="auto"/>
      </w:divBdr>
    </w:div>
    <w:div w:id="1116094710">
      <w:bodyDiv w:val="1"/>
      <w:marLeft w:val="0"/>
      <w:marRight w:val="0"/>
      <w:marTop w:val="0"/>
      <w:marBottom w:val="0"/>
      <w:divBdr>
        <w:top w:val="none" w:sz="0" w:space="0" w:color="auto"/>
        <w:left w:val="none" w:sz="0" w:space="0" w:color="auto"/>
        <w:bottom w:val="none" w:sz="0" w:space="0" w:color="auto"/>
        <w:right w:val="none" w:sz="0" w:space="0" w:color="auto"/>
      </w:divBdr>
    </w:div>
    <w:div w:id="1161197121">
      <w:bodyDiv w:val="1"/>
      <w:marLeft w:val="0"/>
      <w:marRight w:val="0"/>
      <w:marTop w:val="0"/>
      <w:marBottom w:val="0"/>
      <w:divBdr>
        <w:top w:val="none" w:sz="0" w:space="0" w:color="auto"/>
        <w:left w:val="none" w:sz="0" w:space="0" w:color="auto"/>
        <w:bottom w:val="none" w:sz="0" w:space="0" w:color="auto"/>
        <w:right w:val="none" w:sz="0" w:space="0" w:color="auto"/>
      </w:divBdr>
    </w:div>
    <w:div w:id="1192769154">
      <w:marLeft w:val="0"/>
      <w:marRight w:val="0"/>
      <w:marTop w:val="0"/>
      <w:marBottom w:val="0"/>
      <w:divBdr>
        <w:top w:val="none" w:sz="0" w:space="0" w:color="auto"/>
        <w:left w:val="none" w:sz="0" w:space="0" w:color="auto"/>
        <w:bottom w:val="none" w:sz="0" w:space="0" w:color="auto"/>
        <w:right w:val="none" w:sz="0" w:space="0" w:color="auto"/>
      </w:divBdr>
      <w:divsChild>
        <w:div w:id="1192769155">
          <w:marLeft w:val="0"/>
          <w:marRight w:val="0"/>
          <w:marTop w:val="0"/>
          <w:marBottom w:val="0"/>
          <w:divBdr>
            <w:top w:val="none" w:sz="0" w:space="0" w:color="auto"/>
            <w:left w:val="none" w:sz="0" w:space="0" w:color="auto"/>
            <w:bottom w:val="none" w:sz="0" w:space="0" w:color="auto"/>
            <w:right w:val="none" w:sz="0" w:space="0" w:color="auto"/>
          </w:divBdr>
        </w:div>
        <w:div w:id="1192769157">
          <w:marLeft w:val="0"/>
          <w:marRight w:val="0"/>
          <w:marTop w:val="0"/>
          <w:marBottom w:val="0"/>
          <w:divBdr>
            <w:top w:val="none" w:sz="0" w:space="0" w:color="auto"/>
            <w:left w:val="none" w:sz="0" w:space="0" w:color="auto"/>
            <w:bottom w:val="none" w:sz="0" w:space="0" w:color="auto"/>
            <w:right w:val="none" w:sz="0" w:space="0" w:color="auto"/>
          </w:divBdr>
        </w:div>
      </w:divsChild>
    </w:div>
    <w:div w:id="1192769160">
      <w:marLeft w:val="0"/>
      <w:marRight w:val="0"/>
      <w:marTop w:val="0"/>
      <w:marBottom w:val="0"/>
      <w:divBdr>
        <w:top w:val="none" w:sz="0" w:space="0" w:color="auto"/>
        <w:left w:val="none" w:sz="0" w:space="0" w:color="auto"/>
        <w:bottom w:val="none" w:sz="0" w:space="0" w:color="auto"/>
        <w:right w:val="none" w:sz="0" w:space="0" w:color="auto"/>
      </w:divBdr>
      <w:divsChild>
        <w:div w:id="1192769159">
          <w:marLeft w:val="0"/>
          <w:marRight w:val="0"/>
          <w:marTop w:val="0"/>
          <w:marBottom w:val="0"/>
          <w:divBdr>
            <w:top w:val="none" w:sz="0" w:space="0" w:color="auto"/>
            <w:left w:val="none" w:sz="0" w:space="0" w:color="auto"/>
            <w:bottom w:val="none" w:sz="0" w:space="0" w:color="auto"/>
            <w:right w:val="none" w:sz="0" w:space="0" w:color="auto"/>
          </w:divBdr>
          <w:divsChild>
            <w:div w:id="1192769153">
              <w:marLeft w:val="0"/>
              <w:marRight w:val="0"/>
              <w:marTop w:val="0"/>
              <w:marBottom w:val="0"/>
              <w:divBdr>
                <w:top w:val="none" w:sz="0" w:space="0" w:color="auto"/>
                <w:left w:val="none" w:sz="0" w:space="0" w:color="auto"/>
                <w:bottom w:val="none" w:sz="0" w:space="0" w:color="auto"/>
                <w:right w:val="none" w:sz="0" w:space="0" w:color="auto"/>
              </w:divBdr>
            </w:div>
            <w:div w:id="1192769156">
              <w:marLeft w:val="0"/>
              <w:marRight w:val="0"/>
              <w:marTop w:val="0"/>
              <w:marBottom w:val="0"/>
              <w:divBdr>
                <w:top w:val="none" w:sz="0" w:space="0" w:color="auto"/>
                <w:left w:val="none" w:sz="0" w:space="0" w:color="auto"/>
                <w:bottom w:val="none" w:sz="0" w:space="0" w:color="auto"/>
                <w:right w:val="none" w:sz="0" w:space="0" w:color="auto"/>
              </w:divBdr>
            </w:div>
            <w:div w:id="1192769158">
              <w:marLeft w:val="0"/>
              <w:marRight w:val="0"/>
              <w:marTop w:val="0"/>
              <w:marBottom w:val="0"/>
              <w:divBdr>
                <w:top w:val="none" w:sz="0" w:space="0" w:color="auto"/>
                <w:left w:val="none" w:sz="0" w:space="0" w:color="auto"/>
                <w:bottom w:val="none" w:sz="0" w:space="0" w:color="auto"/>
                <w:right w:val="none" w:sz="0" w:space="0" w:color="auto"/>
              </w:divBdr>
            </w:div>
            <w:div w:id="1192769161">
              <w:marLeft w:val="0"/>
              <w:marRight w:val="0"/>
              <w:marTop w:val="0"/>
              <w:marBottom w:val="0"/>
              <w:divBdr>
                <w:top w:val="none" w:sz="0" w:space="0" w:color="auto"/>
                <w:left w:val="none" w:sz="0" w:space="0" w:color="auto"/>
                <w:bottom w:val="none" w:sz="0" w:space="0" w:color="auto"/>
                <w:right w:val="none" w:sz="0" w:space="0" w:color="auto"/>
              </w:divBdr>
            </w:div>
            <w:div w:id="1192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086">
      <w:bodyDiv w:val="1"/>
      <w:marLeft w:val="0"/>
      <w:marRight w:val="0"/>
      <w:marTop w:val="0"/>
      <w:marBottom w:val="0"/>
      <w:divBdr>
        <w:top w:val="none" w:sz="0" w:space="0" w:color="auto"/>
        <w:left w:val="none" w:sz="0" w:space="0" w:color="auto"/>
        <w:bottom w:val="none" w:sz="0" w:space="0" w:color="auto"/>
        <w:right w:val="none" w:sz="0" w:space="0" w:color="auto"/>
      </w:divBdr>
    </w:div>
    <w:div w:id="1272205075">
      <w:bodyDiv w:val="1"/>
      <w:marLeft w:val="0"/>
      <w:marRight w:val="0"/>
      <w:marTop w:val="0"/>
      <w:marBottom w:val="0"/>
      <w:divBdr>
        <w:top w:val="none" w:sz="0" w:space="0" w:color="auto"/>
        <w:left w:val="none" w:sz="0" w:space="0" w:color="auto"/>
        <w:bottom w:val="none" w:sz="0" w:space="0" w:color="auto"/>
        <w:right w:val="none" w:sz="0" w:space="0" w:color="auto"/>
      </w:divBdr>
    </w:div>
    <w:div w:id="1354115835">
      <w:bodyDiv w:val="1"/>
      <w:marLeft w:val="0"/>
      <w:marRight w:val="0"/>
      <w:marTop w:val="0"/>
      <w:marBottom w:val="0"/>
      <w:divBdr>
        <w:top w:val="none" w:sz="0" w:space="0" w:color="auto"/>
        <w:left w:val="none" w:sz="0" w:space="0" w:color="auto"/>
        <w:bottom w:val="none" w:sz="0" w:space="0" w:color="auto"/>
        <w:right w:val="none" w:sz="0" w:space="0" w:color="auto"/>
      </w:divBdr>
    </w:div>
    <w:div w:id="1388336370">
      <w:bodyDiv w:val="1"/>
      <w:marLeft w:val="0"/>
      <w:marRight w:val="0"/>
      <w:marTop w:val="0"/>
      <w:marBottom w:val="0"/>
      <w:divBdr>
        <w:top w:val="none" w:sz="0" w:space="0" w:color="auto"/>
        <w:left w:val="none" w:sz="0" w:space="0" w:color="auto"/>
        <w:bottom w:val="none" w:sz="0" w:space="0" w:color="auto"/>
        <w:right w:val="none" w:sz="0" w:space="0" w:color="auto"/>
      </w:divBdr>
    </w:div>
    <w:div w:id="1396507308">
      <w:bodyDiv w:val="1"/>
      <w:marLeft w:val="0"/>
      <w:marRight w:val="0"/>
      <w:marTop w:val="0"/>
      <w:marBottom w:val="0"/>
      <w:divBdr>
        <w:top w:val="none" w:sz="0" w:space="0" w:color="auto"/>
        <w:left w:val="none" w:sz="0" w:space="0" w:color="auto"/>
        <w:bottom w:val="none" w:sz="0" w:space="0" w:color="auto"/>
        <w:right w:val="none" w:sz="0" w:space="0" w:color="auto"/>
      </w:divBdr>
    </w:div>
    <w:div w:id="1485779433">
      <w:bodyDiv w:val="1"/>
      <w:marLeft w:val="0"/>
      <w:marRight w:val="0"/>
      <w:marTop w:val="0"/>
      <w:marBottom w:val="0"/>
      <w:divBdr>
        <w:top w:val="none" w:sz="0" w:space="0" w:color="auto"/>
        <w:left w:val="none" w:sz="0" w:space="0" w:color="auto"/>
        <w:bottom w:val="none" w:sz="0" w:space="0" w:color="auto"/>
        <w:right w:val="none" w:sz="0" w:space="0" w:color="auto"/>
      </w:divBdr>
    </w:div>
    <w:div w:id="1514610737">
      <w:bodyDiv w:val="1"/>
      <w:marLeft w:val="0"/>
      <w:marRight w:val="0"/>
      <w:marTop w:val="0"/>
      <w:marBottom w:val="0"/>
      <w:divBdr>
        <w:top w:val="none" w:sz="0" w:space="0" w:color="auto"/>
        <w:left w:val="none" w:sz="0" w:space="0" w:color="auto"/>
        <w:bottom w:val="none" w:sz="0" w:space="0" w:color="auto"/>
        <w:right w:val="none" w:sz="0" w:space="0" w:color="auto"/>
      </w:divBdr>
    </w:div>
    <w:div w:id="1575118154">
      <w:bodyDiv w:val="1"/>
      <w:marLeft w:val="0"/>
      <w:marRight w:val="0"/>
      <w:marTop w:val="0"/>
      <w:marBottom w:val="0"/>
      <w:divBdr>
        <w:top w:val="none" w:sz="0" w:space="0" w:color="auto"/>
        <w:left w:val="none" w:sz="0" w:space="0" w:color="auto"/>
        <w:bottom w:val="none" w:sz="0" w:space="0" w:color="auto"/>
        <w:right w:val="none" w:sz="0" w:space="0" w:color="auto"/>
      </w:divBdr>
    </w:div>
    <w:div w:id="1582711228">
      <w:bodyDiv w:val="1"/>
      <w:marLeft w:val="0"/>
      <w:marRight w:val="0"/>
      <w:marTop w:val="0"/>
      <w:marBottom w:val="0"/>
      <w:divBdr>
        <w:top w:val="none" w:sz="0" w:space="0" w:color="auto"/>
        <w:left w:val="none" w:sz="0" w:space="0" w:color="auto"/>
        <w:bottom w:val="none" w:sz="0" w:space="0" w:color="auto"/>
        <w:right w:val="none" w:sz="0" w:space="0" w:color="auto"/>
      </w:divBdr>
    </w:div>
    <w:div w:id="1611012991">
      <w:bodyDiv w:val="1"/>
      <w:marLeft w:val="0"/>
      <w:marRight w:val="0"/>
      <w:marTop w:val="0"/>
      <w:marBottom w:val="0"/>
      <w:divBdr>
        <w:top w:val="none" w:sz="0" w:space="0" w:color="auto"/>
        <w:left w:val="none" w:sz="0" w:space="0" w:color="auto"/>
        <w:bottom w:val="none" w:sz="0" w:space="0" w:color="auto"/>
        <w:right w:val="none" w:sz="0" w:space="0" w:color="auto"/>
      </w:divBdr>
    </w:div>
    <w:div w:id="1627158105">
      <w:bodyDiv w:val="1"/>
      <w:marLeft w:val="0"/>
      <w:marRight w:val="0"/>
      <w:marTop w:val="0"/>
      <w:marBottom w:val="0"/>
      <w:divBdr>
        <w:top w:val="none" w:sz="0" w:space="0" w:color="auto"/>
        <w:left w:val="none" w:sz="0" w:space="0" w:color="auto"/>
        <w:bottom w:val="none" w:sz="0" w:space="0" w:color="auto"/>
        <w:right w:val="none" w:sz="0" w:space="0" w:color="auto"/>
      </w:divBdr>
    </w:div>
    <w:div w:id="1648123762">
      <w:bodyDiv w:val="1"/>
      <w:marLeft w:val="0"/>
      <w:marRight w:val="0"/>
      <w:marTop w:val="0"/>
      <w:marBottom w:val="0"/>
      <w:divBdr>
        <w:top w:val="none" w:sz="0" w:space="0" w:color="auto"/>
        <w:left w:val="none" w:sz="0" w:space="0" w:color="auto"/>
        <w:bottom w:val="none" w:sz="0" w:space="0" w:color="auto"/>
        <w:right w:val="none" w:sz="0" w:space="0" w:color="auto"/>
      </w:divBdr>
    </w:div>
    <w:div w:id="1688406740">
      <w:bodyDiv w:val="1"/>
      <w:marLeft w:val="0"/>
      <w:marRight w:val="0"/>
      <w:marTop w:val="0"/>
      <w:marBottom w:val="0"/>
      <w:divBdr>
        <w:top w:val="none" w:sz="0" w:space="0" w:color="auto"/>
        <w:left w:val="none" w:sz="0" w:space="0" w:color="auto"/>
        <w:bottom w:val="none" w:sz="0" w:space="0" w:color="auto"/>
        <w:right w:val="none" w:sz="0" w:space="0" w:color="auto"/>
      </w:divBdr>
    </w:div>
    <w:div w:id="1691639652">
      <w:bodyDiv w:val="1"/>
      <w:marLeft w:val="0"/>
      <w:marRight w:val="0"/>
      <w:marTop w:val="0"/>
      <w:marBottom w:val="0"/>
      <w:divBdr>
        <w:top w:val="none" w:sz="0" w:space="0" w:color="auto"/>
        <w:left w:val="none" w:sz="0" w:space="0" w:color="auto"/>
        <w:bottom w:val="none" w:sz="0" w:space="0" w:color="auto"/>
        <w:right w:val="none" w:sz="0" w:space="0" w:color="auto"/>
      </w:divBdr>
    </w:div>
    <w:div w:id="1727753745">
      <w:bodyDiv w:val="1"/>
      <w:marLeft w:val="0"/>
      <w:marRight w:val="0"/>
      <w:marTop w:val="0"/>
      <w:marBottom w:val="0"/>
      <w:divBdr>
        <w:top w:val="none" w:sz="0" w:space="0" w:color="auto"/>
        <w:left w:val="none" w:sz="0" w:space="0" w:color="auto"/>
        <w:bottom w:val="none" w:sz="0" w:space="0" w:color="auto"/>
        <w:right w:val="none" w:sz="0" w:space="0" w:color="auto"/>
      </w:divBdr>
    </w:div>
    <w:div w:id="1788619130">
      <w:bodyDiv w:val="1"/>
      <w:marLeft w:val="0"/>
      <w:marRight w:val="0"/>
      <w:marTop w:val="0"/>
      <w:marBottom w:val="0"/>
      <w:divBdr>
        <w:top w:val="none" w:sz="0" w:space="0" w:color="auto"/>
        <w:left w:val="none" w:sz="0" w:space="0" w:color="auto"/>
        <w:bottom w:val="none" w:sz="0" w:space="0" w:color="auto"/>
        <w:right w:val="none" w:sz="0" w:space="0" w:color="auto"/>
      </w:divBdr>
    </w:div>
    <w:div w:id="1801607353">
      <w:bodyDiv w:val="1"/>
      <w:marLeft w:val="0"/>
      <w:marRight w:val="0"/>
      <w:marTop w:val="0"/>
      <w:marBottom w:val="0"/>
      <w:divBdr>
        <w:top w:val="none" w:sz="0" w:space="0" w:color="auto"/>
        <w:left w:val="none" w:sz="0" w:space="0" w:color="auto"/>
        <w:bottom w:val="none" w:sz="0" w:space="0" w:color="auto"/>
        <w:right w:val="none" w:sz="0" w:space="0" w:color="auto"/>
      </w:divBdr>
    </w:div>
    <w:div w:id="1802648237">
      <w:bodyDiv w:val="1"/>
      <w:marLeft w:val="0"/>
      <w:marRight w:val="0"/>
      <w:marTop w:val="0"/>
      <w:marBottom w:val="0"/>
      <w:divBdr>
        <w:top w:val="none" w:sz="0" w:space="0" w:color="auto"/>
        <w:left w:val="none" w:sz="0" w:space="0" w:color="auto"/>
        <w:bottom w:val="none" w:sz="0" w:space="0" w:color="auto"/>
        <w:right w:val="none" w:sz="0" w:space="0" w:color="auto"/>
      </w:divBdr>
    </w:div>
    <w:div w:id="1825200455">
      <w:bodyDiv w:val="1"/>
      <w:marLeft w:val="0"/>
      <w:marRight w:val="0"/>
      <w:marTop w:val="0"/>
      <w:marBottom w:val="0"/>
      <w:divBdr>
        <w:top w:val="none" w:sz="0" w:space="0" w:color="auto"/>
        <w:left w:val="none" w:sz="0" w:space="0" w:color="auto"/>
        <w:bottom w:val="none" w:sz="0" w:space="0" w:color="auto"/>
        <w:right w:val="none" w:sz="0" w:space="0" w:color="auto"/>
      </w:divBdr>
    </w:div>
    <w:div w:id="1862284657">
      <w:bodyDiv w:val="1"/>
      <w:marLeft w:val="0"/>
      <w:marRight w:val="0"/>
      <w:marTop w:val="0"/>
      <w:marBottom w:val="0"/>
      <w:divBdr>
        <w:top w:val="none" w:sz="0" w:space="0" w:color="auto"/>
        <w:left w:val="none" w:sz="0" w:space="0" w:color="auto"/>
        <w:bottom w:val="none" w:sz="0" w:space="0" w:color="auto"/>
        <w:right w:val="none" w:sz="0" w:space="0" w:color="auto"/>
      </w:divBdr>
    </w:div>
    <w:div w:id="1974403645">
      <w:bodyDiv w:val="1"/>
      <w:marLeft w:val="0"/>
      <w:marRight w:val="0"/>
      <w:marTop w:val="0"/>
      <w:marBottom w:val="0"/>
      <w:divBdr>
        <w:top w:val="none" w:sz="0" w:space="0" w:color="auto"/>
        <w:left w:val="none" w:sz="0" w:space="0" w:color="auto"/>
        <w:bottom w:val="none" w:sz="0" w:space="0" w:color="auto"/>
        <w:right w:val="none" w:sz="0" w:space="0" w:color="auto"/>
      </w:divBdr>
    </w:div>
    <w:div w:id="2038306723">
      <w:bodyDiv w:val="1"/>
      <w:marLeft w:val="0"/>
      <w:marRight w:val="0"/>
      <w:marTop w:val="0"/>
      <w:marBottom w:val="0"/>
      <w:divBdr>
        <w:top w:val="none" w:sz="0" w:space="0" w:color="auto"/>
        <w:left w:val="none" w:sz="0" w:space="0" w:color="auto"/>
        <w:bottom w:val="none" w:sz="0" w:space="0" w:color="auto"/>
        <w:right w:val="none" w:sz="0" w:space="0" w:color="auto"/>
      </w:divBdr>
    </w:div>
    <w:div w:id="2076657332">
      <w:bodyDiv w:val="1"/>
      <w:marLeft w:val="0"/>
      <w:marRight w:val="0"/>
      <w:marTop w:val="0"/>
      <w:marBottom w:val="0"/>
      <w:divBdr>
        <w:top w:val="none" w:sz="0" w:space="0" w:color="auto"/>
        <w:left w:val="none" w:sz="0" w:space="0" w:color="auto"/>
        <w:bottom w:val="none" w:sz="0" w:space="0" w:color="auto"/>
        <w:right w:val="none" w:sz="0" w:space="0" w:color="auto"/>
      </w:divBdr>
    </w:div>
    <w:div w:id="2143107875">
      <w:bodyDiv w:val="1"/>
      <w:marLeft w:val="0"/>
      <w:marRight w:val="0"/>
      <w:marTop w:val="0"/>
      <w:marBottom w:val="0"/>
      <w:divBdr>
        <w:top w:val="none" w:sz="0" w:space="0" w:color="auto"/>
        <w:left w:val="none" w:sz="0" w:space="0" w:color="auto"/>
        <w:bottom w:val="none" w:sz="0" w:space="0" w:color="auto"/>
        <w:right w:val="none" w:sz="0" w:space="0" w:color="auto"/>
      </w:divBdr>
    </w:div>
    <w:div w:id="21434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49</ap:Pages>
  <ap:Words>8996</ap:Words>
  <ap:Characters>58608</ap:Characters>
  <ap:DocSecurity>0</ap:DocSecurity>
  <ap:Lines>488</ap:Lines>
  <ap:Paragraphs>134</ap:Paragraphs>
  <ap:ScaleCrop>false</ap:ScaleCrop>
  <ap:HeadingPairs>
    <vt:vector baseType="variant" size="2">
      <vt:variant>
        <vt:lpstr>Titel</vt:lpstr>
      </vt:variant>
      <vt:variant>
        <vt:i4>1</vt:i4>
      </vt:variant>
    </vt:vector>
  </ap:HeadingPairs>
  <ap:TitlesOfParts>
    <vt:vector baseType="lpstr" size="1">
      <vt:lpstr>Bijlage x: Verticale Toelichting Najaarsnota 2010</vt:lpstr>
    </vt:vector>
  </ap:TitlesOfParts>
  <ap:LinksUpToDate>false</ap:LinksUpToDate>
  <ap:CharactersWithSpaces>67470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2014-11-21T11:01:00.0000000Z</lastPrinted>
  <dcterms:created xsi:type="dcterms:W3CDTF">2014-11-21T12:50:00.0000000Z</dcterms:created>
  <dcterms:modified xsi:type="dcterms:W3CDTF">2014-11-21T12:50:00.0000000Z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0x010100DF6CD162E076204C983A6BE35440AB97</vt:lpwstr>
  </property>
</Properties>
</file>