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2121" w:rsidR="00162121" w:rsidP="006838B3" w:rsidRDefault="00162121">
      <w:pPr>
        <w:spacing w:line="360" w:lineRule="auto"/>
        <w:rPr>
          <w:b/>
          <w:sz w:val="20"/>
          <w:szCs w:val="20"/>
        </w:rPr>
      </w:pPr>
      <w:bookmarkStart w:name="_GoBack" w:id="0"/>
      <w:bookmarkEnd w:id="0"/>
      <w:r w:rsidRPr="00162121">
        <w:rPr>
          <w:b/>
          <w:sz w:val="20"/>
          <w:szCs w:val="20"/>
        </w:rPr>
        <w:t>BIJLAGE 1</w:t>
      </w:r>
    </w:p>
    <w:p w:rsidRPr="007A5587" w:rsidR="003602BE" w:rsidP="006838B3" w:rsidRDefault="00B51802">
      <w:pPr>
        <w:spacing w:line="360" w:lineRule="auto"/>
        <w:rPr>
          <w:b/>
          <w:szCs w:val="18"/>
          <w:u w:val="single"/>
        </w:rPr>
      </w:pPr>
      <w:r>
        <w:rPr>
          <w:b/>
          <w:szCs w:val="18"/>
          <w:u w:val="single"/>
        </w:rPr>
        <w:t>Verslag Milieu</w:t>
      </w:r>
      <w:r w:rsidRPr="007A5587" w:rsidR="003602BE">
        <w:rPr>
          <w:b/>
          <w:szCs w:val="18"/>
          <w:u w:val="single"/>
        </w:rPr>
        <w:t xml:space="preserve">raad </w:t>
      </w:r>
      <w:r>
        <w:rPr>
          <w:b/>
          <w:szCs w:val="18"/>
          <w:u w:val="single"/>
        </w:rPr>
        <w:t>2</w:t>
      </w:r>
      <w:r w:rsidRPr="007A5587" w:rsidR="003602BE">
        <w:rPr>
          <w:b/>
          <w:szCs w:val="18"/>
          <w:u w:val="single"/>
        </w:rPr>
        <w:t>8 oktober 2014</w:t>
      </w:r>
    </w:p>
    <w:p w:rsidRPr="007A5587" w:rsidR="003602BE" w:rsidP="006838B3" w:rsidRDefault="003602BE">
      <w:pPr>
        <w:spacing w:line="360" w:lineRule="auto"/>
        <w:rPr>
          <w:szCs w:val="18"/>
        </w:rPr>
      </w:pPr>
    </w:p>
    <w:p w:rsidRPr="007A5587" w:rsidR="00CA2E54" w:rsidP="006838B3" w:rsidRDefault="003602BE">
      <w:pPr>
        <w:spacing w:line="360" w:lineRule="auto"/>
        <w:rPr>
          <w:szCs w:val="18"/>
        </w:rPr>
      </w:pPr>
      <w:r w:rsidRPr="007A5587">
        <w:rPr>
          <w:szCs w:val="18"/>
        </w:rPr>
        <w:t xml:space="preserve">Onder Italiaans voorzitterschap </w:t>
      </w:r>
      <w:r w:rsidR="00B51802">
        <w:rPr>
          <w:szCs w:val="18"/>
        </w:rPr>
        <w:t>(Minister</w:t>
      </w:r>
      <w:r w:rsidRPr="00611209" w:rsidR="00B51802">
        <w:rPr>
          <w:szCs w:val="18"/>
        </w:rPr>
        <w:t xml:space="preserve"> </w:t>
      </w:r>
      <w:r w:rsidR="00CA2E54">
        <w:rPr>
          <w:szCs w:val="18"/>
        </w:rPr>
        <w:t>Gianluca Galletti</w:t>
      </w:r>
      <w:r w:rsidRPr="00611209" w:rsidR="00611209">
        <w:rPr>
          <w:szCs w:val="18"/>
        </w:rPr>
        <w:t>)</w:t>
      </w:r>
      <w:r w:rsidRPr="00611209" w:rsidR="00611209">
        <w:rPr>
          <w:color w:val="FF0000"/>
          <w:szCs w:val="18"/>
        </w:rPr>
        <w:t xml:space="preserve"> </w:t>
      </w:r>
      <w:r w:rsidRPr="007A5587">
        <w:rPr>
          <w:szCs w:val="18"/>
        </w:rPr>
        <w:t xml:space="preserve">vond op </w:t>
      </w:r>
      <w:r w:rsidR="00B51802">
        <w:rPr>
          <w:szCs w:val="18"/>
        </w:rPr>
        <w:t>2</w:t>
      </w:r>
      <w:r w:rsidRPr="007A5587">
        <w:rPr>
          <w:szCs w:val="18"/>
        </w:rPr>
        <w:t xml:space="preserve">8 oktober 2014 in Luxemburg de </w:t>
      </w:r>
      <w:r w:rsidR="00B51802">
        <w:rPr>
          <w:szCs w:val="18"/>
        </w:rPr>
        <w:t>Milieu</w:t>
      </w:r>
      <w:r w:rsidRPr="007A5587">
        <w:rPr>
          <w:szCs w:val="18"/>
        </w:rPr>
        <w:t xml:space="preserve">raad plaats. </w:t>
      </w:r>
      <w:r w:rsidRPr="007A5587" w:rsidR="00CA2E54">
        <w:rPr>
          <w:szCs w:val="18"/>
        </w:rPr>
        <w:t>Voor</w:t>
      </w:r>
      <w:r w:rsidR="00CA2E54">
        <w:rPr>
          <w:szCs w:val="18"/>
        </w:rPr>
        <w:t xml:space="preserve"> de commissarissen Connie Hedegaard en Janez Potocnik was </w:t>
      </w:r>
      <w:r w:rsidRPr="007A5587" w:rsidR="00CA2E54">
        <w:rPr>
          <w:szCs w:val="18"/>
        </w:rPr>
        <w:t>dit de laatste Raad.</w:t>
      </w:r>
      <w:r w:rsidR="00CA2E54">
        <w:rPr>
          <w:szCs w:val="18"/>
        </w:rPr>
        <w:t xml:space="preserve"> Ze kregen beiden een staande ovatie.</w:t>
      </w:r>
      <w:r w:rsidRPr="007A5587" w:rsidR="00CA2E54">
        <w:rPr>
          <w:szCs w:val="18"/>
        </w:rPr>
        <w:t xml:space="preserve"> </w:t>
      </w:r>
    </w:p>
    <w:p w:rsidR="00B51802" w:rsidP="006838B3" w:rsidRDefault="00B51802">
      <w:pPr>
        <w:spacing w:line="360" w:lineRule="auto"/>
        <w:rPr>
          <w:szCs w:val="18"/>
        </w:rPr>
      </w:pPr>
    </w:p>
    <w:p w:rsidRPr="003F7829" w:rsidR="001715B8" w:rsidP="006838B3" w:rsidRDefault="001715B8">
      <w:pPr>
        <w:spacing w:line="360" w:lineRule="auto"/>
        <w:rPr>
          <w:color w:val="FF0000"/>
          <w:szCs w:val="18"/>
        </w:rPr>
      </w:pPr>
      <w:r w:rsidRPr="007A5587">
        <w:rPr>
          <w:szCs w:val="18"/>
        </w:rPr>
        <w:t xml:space="preserve">En marge van de </w:t>
      </w:r>
      <w:r>
        <w:rPr>
          <w:szCs w:val="18"/>
        </w:rPr>
        <w:t>Milieu</w:t>
      </w:r>
      <w:r w:rsidRPr="007A5587">
        <w:rPr>
          <w:szCs w:val="18"/>
        </w:rPr>
        <w:t>raad ondertekenden</w:t>
      </w:r>
      <w:r w:rsidRPr="00B51802">
        <w:rPr>
          <w:color w:val="FF0000"/>
          <w:szCs w:val="18"/>
        </w:rPr>
        <w:t xml:space="preserve"> </w:t>
      </w:r>
      <w:r w:rsidRPr="001715B8">
        <w:rPr>
          <w:szCs w:val="18"/>
        </w:rPr>
        <w:t>zeven</w:t>
      </w:r>
      <w:r w:rsidRPr="007A5587">
        <w:rPr>
          <w:szCs w:val="18"/>
        </w:rPr>
        <w:t xml:space="preserve"> landen</w:t>
      </w:r>
      <w:r>
        <w:rPr>
          <w:szCs w:val="18"/>
        </w:rPr>
        <w:t>, waaronder Nederland,</w:t>
      </w:r>
      <w:r w:rsidRPr="007A5587">
        <w:rPr>
          <w:szCs w:val="18"/>
        </w:rPr>
        <w:t xml:space="preserve"> de </w:t>
      </w:r>
      <w:r>
        <w:rPr>
          <w:szCs w:val="18"/>
        </w:rPr>
        <w:t xml:space="preserve">REACH-UP brief (opgesteld door de Denen) </w:t>
      </w:r>
      <w:r w:rsidRPr="0090135E">
        <w:rPr>
          <w:szCs w:val="18"/>
        </w:rPr>
        <w:t>aan de milieucommissaris en de Vice President van de Commissie,</w:t>
      </w:r>
      <w:r>
        <w:rPr>
          <w:szCs w:val="18"/>
        </w:rPr>
        <w:t xml:space="preserve"> over versterking van REACH, met name rond nanomaterialen en hormoonverstorende stoffen. Deze brief zal begin november uitgaan, nadat de laatste handtekeningen van de ontbrekende ministers ontvangen zijn. De opstellers voorzien een debat hierover tijdens de Milieuraad van december.</w:t>
      </w:r>
    </w:p>
    <w:p w:rsidR="0074273C" w:rsidP="006838B3" w:rsidRDefault="0074273C">
      <w:pPr>
        <w:spacing w:line="360" w:lineRule="auto"/>
        <w:rPr>
          <w:szCs w:val="18"/>
        </w:rPr>
      </w:pPr>
    </w:p>
    <w:p w:rsidRPr="007A5587" w:rsidR="0074273C" w:rsidP="006838B3" w:rsidRDefault="0074273C">
      <w:pPr>
        <w:spacing w:line="360" w:lineRule="auto"/>
        <w:rPr>
          <w:szCs w:val="18"/>
        </w:rPr>
      </w:pPr>
      <w:r>
        <w:rPr>
          <w:szCs w:val="18"/>
        </w:rPr>
        <w:t>Het terugblikken op de besluitvor</w:t>
      </w:r>
      <w:r w:rsidR="00E546D6">
        <w:rPr>
          <w:szCs w:val="18"/>
        </w:rPr>
        <w:t xml:space="preserve">ming op de Europese Raad van 23 en </w:t>
      </w:r>
      <w:r>
        <w:rPr>
          <w:szCs w:val="18"/>
        </w:rPr>
        <w:t>24 oktober 2014 over het E</w:t>
      </w:r>
      <w:r w:rsidR="008E1590">
        <w:rPr>
          <w:szCs w:val="18"/>
        </w:rPr>
        <w:t>U 2030 klimaat- en energieraamwerk</w:t>
      </w:r>
      <w:r>
        <w:rPr>
          <w:szCs w:val="18"/>
        </w:rPr>
        <w:t xml:space="preserve"> is niet</w:t>
      </w:r>
      <w:r w:rsidR="008E1590">
        <w:rPr>
          <w:szCs w:val="18"/>
        </w:rPr>
        <w:t>,</w:t>
      </w:r>
      <w:r w:rsidR="00E546D6">
        <w:rPr>
          <w:szCs w:val="18"/>
        </w:rPr>
        <w:t xml:space="preserve"> zoals in geannoteerde agenda </w:t>
      </w:r>
      <w:r>
        <w:rPr>
          <w:szCs w:val="18"/>
        </w:rPr>
        <w:t>aangegeven</w:t>
      </w:r>
      <w:r w:rsidR="008E1590">
        <w:rPr>
          <w:szCs w:val="18"/>
        </w:rPr>
        <w:t>, als diverse</w:t>
      </w:r>
      <w:r w:rsidR="00213513">
        <w:rPr>
          <w:szCs w:val="18"/>
        </w:rPr>
        <w:t>n</w:t>
      </w:r>
      <w:r w:rsidR="008E1590">
        <w:rPr>
          <w:szCs w:val="18"/>
        </w:rPr>
        <w:t>punt opgenomen maar</w:t>
      </w:r>
      <w:r>
        <w:rPr>
          <w:szCs w:val="18"/>
        </w:rPr>
        <w:t xml:space="preserve"> was onderdeel van een informele lunch. </w:t>
      </w:r>
      <w:r w:rsidR="00E12CD6">
        <w:rPr>
          <w:szCs w:val="18"/>
        </w:rPr>
        <w:t>V</w:t>
      </w:r>
      <w:r w:rsidRPr="005F6E2B" w:rsidR="008E1590">
        <w:rPr>
          <w:szCs w:val="18"/>
        </w:rPr>
        <w:t xml:space="preserve">eel lidstaten </w:t>
      </w:r>
      <w:r w:rsidR="00E12CD6">
        <w:rPr>
          <w:szCs w:val="18"/>
        </w:rPr>
        <w:t xml:space="preserve">gebruikten </w:t>
      </w:r>
      <w:r w:rsidR="00CA2E54">
        <w:rPr>
          <w:szCs w:val="18"/>
        </w:rPr>
        <w:t xml:space="preserve">ook </w:t>
      </w:r>
      <w:r w:rsidR="008E1590">
        <w:rPr>
          <w:szCs w:val="18"/>
        </w:rPr>
        <w:t xml:space="preserve">het </w:t>
      </w:r>
      <w:r w:rsidRPr="005F6E2B" w:rsidR="008E1590">
        <w:rPr>
          <w:szCs w:val="18"/>
        </w:rPr>
        <w:t xml:space="preserve">agendapunt </w:t>
      </w:r>
      <w:r w:rsidR="008E1590">
        <w:rPr>
          <w:szCs w:val="18"/>
        </w:rPr>
        <w:t>voorbereiding</w:t>
      </w:r>
      <w:r w:rsidR="00E12CD6">
        <w:rPr>
          <w:szCs w:val="18"/>
        </w:rPr>
        <w:t xml:space="preserve"> Klimaatconferentie</w:t>
      </w:r>
      <w:r w:rsidR="00E546D6">
        <w:rPr>
          <w:szCs w:val="18"/>
        </w:rPr>
        <w:t xml:space="preserve"> Lima (COP 20)</w:t>
      </w:r>
      <w:r w:rsidR="008E1590">
        <w:rPr>
          <w:szCs w:val="18"/>
        </w:rPr>
        <w:t xml:space="preserve"> </w:t>
      </w:r>
      <w:r w:rsidRPr="005F6E2B" w:rsidR="008E1590">
        <w:rPr>
          <w:szCs w:val="18"/>
        </w:rPr>
        <w:t>om hun tevredenheid uit te spreken over de besluiten die de Europese Raad heeft genomen over het EU 2030 klimaat- en energieraamwerk.</w:t>
      </w:r>
    </w:p>
    <w:p w:rsidRPr="007A5587" w:rsidR="00355C1D" w:rsidP="006838B3" w:rsidRDefault="00355C1D">
      <w:pPr>
        <w:spacing w:line="360" w:lineRule="auto"/>
        <w:rPr>
          <w:b/>
          <w:szCs w:val="18"/>
        </w:rPr>
      </w:pPr>
    </w:p>
    <w:p w:rsidRPr="007A5587" w:rsidR="00355C1D" w:rsidP="006838B3" w:rsidRDefault="00773142">
      <w:pPr>
        <w:spacing w:line="360" w:lineRule="auto"/>
        <w:contextualSpacing/>
        <w:rPr>
          <w:b/>
          <w:bCs/>
          <w:i/>
          <w:szCs w:val="18"/>
        </w:rPr>
      </w:pPr>
      <w:r>
        <w:rPr>
          <w:b/>
          <w:szCs w:val="18"/>
          <w:u w:val="single"/>
        </w:rPr>
        <w:t>Vergroening Europees Semester</w:t>
      </w:r>
    </w:p>
    <w:p w:rsidRPr="002D08D0" w:rsidR="00034FC5" w:rsidP="006838B3" w:rsidRDefault="00034FC5">
      <w:pPr>
        <w:spacing w:line="360" w:lineRule="auto"/>
        <w:rPr>
          <w:b/>
          <w:bCs/>
          <w:color w:val="1F497D"/>
          <w:sz w:val="20"/>
          <w:szCs w:val="20"/>
        </w:rPr>
      </w:pPr>
      <w:r w:rsidRPr="00BA1BFA">
        <w:rPr>
          <w:szCs w:val="18"/>
        </w:rPr>
        <w:t xml:space="preserve">De </w:t>
      </w:r>
      <w:r w:rsidR="0074273C">
        <w:rPr>
          <w:szCs w:val="18"/>
        </w:rPr>
        <w:t>R</w:t>
      </w:r>
      <w:r w:rsidRPr="00BA1BFA">
        <w:rPr>
          <w:szCs w:val="18"/>
        </w:rPr>
        <w:t xml:space="preserve">aad heeft </w:t>
      </w:r>
      <w:r w:rsidR="00E4558E">
        <w:rPr>
          <w:szCs w:val="18"/>
        </w:rPr>
        <w:t xml:space="preserve">unaniem </w:t>
      </w:r>
      <w:r w:rsidRPr="00BA1BFA">
        <w:rPr>
          <w:szCs w:val="18"/>
        </w:rPr>
        <w:t>raadsconclusies</w:t>
      </w:r>
      <w:r w:rsidR="00CA2E54">
        <w:rPr>
          <w:rStyle w:val="FootnoteReference"/>
          <w:szCs w:val="18"/>
        </w:rPr>
        <w:footnoteReference w:id="1"/>
      </w:r>
      <w:r w:rsidRPr="00BA1BFA">
        <w:rPr>
          <w:szCs w:val="18"/>
        </w:rPr>
        <w:t xml:space="preserve"> aangenomen over het vergroenen van het Europees Semester en de EU 2020 strategie</w:t>
      </w:r>
      <w:r w:rsidR="00CA2E54">
        <w:rPr>
          <w:szCs w:val="18"/>
        </w:rPr>
        <w:t xml:space="preserve">. </w:t>
      </w:r>
    </w:p>
    <w:p w:rsidR="00034FC5" w:rsidP="006838B3" w:rsidRDefault="00034FC5">
      <w:pPr>
        <w:spacing w:line="360" w:lineRule="auto"/>
        <w:rPr>
          <w:szCs w:val="18"/>
        </w:rPr>
      </w:pPr>
    </w:p>
    <w:p w:rsidR="00DF4B39" w:rsidP="006838B3" w:rsidRDefault="00DF4B39">
      <w:pPr>
        <w:spacing w:line="360" w:lineRule="auto"/>
        <w:rPr>
          <w:szCs w:val="18"/>
        </w:rPr>
      </w:pPr>
      <w:r>
        <w:rPr>
          <w:szCs w:val="18"/>
        </w:rPr>
        <w:t xml:space="preserve">De Raadsconclusies dienen als de inbreng van de Milieuministers in het proces van </w:t>
      </w:r>
      <w:r w:rsidR="00172134">
        <w:rPr>
          <w:szCs w:val="18"/>
        </w:rPr>
        <w:t xml:space="preserve">de ‘mid-term </w:t>
      </w:r>
      <w:r w:rsidR="00163933">
        <w:rPr>
          <w:szCs w:val="18"/>
        </w:rPr>
        <w:t>review</w:t>
      </w:r>
      <w:r w:rsidR="00172134">
        <w:rPr>
          <w:szCs w:val="18"/>
        </w:rPr>
        <w:t>’</w:t>
      </w:r>
      <w:r>
        <w:rPr>
          <w:szCs w:val="18"/>
        </w:rPr>
        <w:t xml:space="preserve"> van de Europa 2020 strategie. D</w:t>
      </w:r>
      <w:r w:rsidRPr="00BA1BFA">
        <w:rPr>
          <w:szCs w:val="18"/>
        </w:rPr>
        <w:t>e Commissie riep milieuministers op dit cruciaal moment te pakken om invloed uit te oefenen.</w:t>
      </w:r>
      <w:r>
        <w:rPr>
          <w:szCs w:val="18"/>
        </w:rPr>
        <w:t xml:space="preserve"> </w:t>
      </w:r>
    </w:p>
    <w:p w:rsidR="00DF4B39" w:rsidP="006838B3" w:rsidRDefault="00DF4B39">
      <w:pPr>
        <w:spacing w:line="360" w:lineRule="auto"/>
        <w:rPr>
          <w:szCs w:val="18"/>
        </w:rPr>
      </w:pPr>
    </w:p>
    <w:p w:rsidR="00DF4B39" w:rsidP="006838B3" w:rsidRDefault="00DF4B39">
      <w:pPr>
        <w:spacing w:line="360" w:lineRule="auto"/>
        <w:rPr>
          <w:szCs w:val="18"/>
        </w:rPr>
      </w:pPr>
      <w:r>
        <w:rPr>
          <w:szCs w:val="18"/>
        </w:rPr>
        <w:t xml:space="preserve">In de informele milieuraad in Milaan op 17 juli jongstleden was er een positieve stemming over het vergroenen van de economie. Nu lag de uitwerking hiervan op tafel. De discussie in de raad concentreerden zich op vier punten: </w:t>
      </w:r>
    </w:p>
    <w:p w:rsidRPr="00C44094" w:rsidR="00DF4B39" w:rsidP="006838B3" w:rsidRDefault="00DF4B39">
      <w:pPr>
        <w:pStyle w:val="ListParagraph"/>
        <w:numPr>
          <w:ilvl w:val="0"/>
          <w:numId w:val="3"/>
        </w:numPr>
        <w:spacing w:line="360" w:lineRule="auto"/>
        <w:rPr>
          <w:szCs w:val="18"/>
          <w:lang w:val="nl-NL"/>
        </w:rPr>
      </w:pPr>
      <w:r w:rsidRPr="00C44094">
        <w:rPr>
          <w:szCs w:val="18"/>
          <w:lang w:val="nl-NL"/>
        </w:rPr>
        <w:t>de mogelijk introductie van een nieuwe doelstelling ‘hulpbronnenefficiëntie’</w:t>
      </w:r>
    </w:p>
    <w:p w:rsidRPr="00C44094" w:rsidR="00DF4B39" w:rsidP="006838B3" w:rsidRDefault="00DF4B39">
      <w:pPr>
        <w:pStyle w:val="ListParagraph"/>
        <w:numPr>
          <w:ilvl w:val="0"/>
          <w:numId w:val="3"/>
        </w:numPr>
        <w:spacing w:line="360" w:lineRule="auto"/>
        <w:rPr>
          <w:szCs w:val="18"/>
          <w:lang w:val="nl-NL"/>
        </w:rPr>
      </w:pPr>
      <w:r w:rsidRPr="00C44094">
        <w:rPr>
          <w:szCs w:val="18"/>
          <w:lang w:val="nl-NL"/>
        </w:rPr>
        <w:t>(wel/niet) b</w:t>
      </w:r>
      <w:r>
        <w:rPr>
          <w:szCs w:val="18"/>
          <w:lang w:val="nl-NL"/>
        </w:rPr>
        <w:t>indendheid van de doelstelling</w:t>
      </w:r>
    </w:p>
    <w:p w:rsidRPr="0000236C" w:rsidR="00DF4B39" w:rsidP="006838B3" w:rsidRDefault="00DF4B39">
      <w:pPr>
        <w:pStyle w:val="ListParagraph"/>
        <w:numPr>
          <w:ilvl w:val="0"/>
          <w:numId w:val="3"/>
        </w:numPr>
        <w:spacing w:line="360" w:lineRule="auto"/>
        <w:rPr>
          <w:szCs w:val="18"/>
          <w:lang w:val="nl-NL"/>
        </w:rPr>
      </w:pPr>
      <w:r>
        <w:rPr>
          <w:szCs w:val="18"/>
          <w:lang w:val="nl-NL"/>
        </w:rPr>
        <w:t>ontwikkeling van een geschikte indicator en</w:t>
      </w:r>
      <w:r w:rsidRPr="00C44094">
        <w:rPr>
          <w:szCs w:val="18"/>
          <w:lang w:val="nl-NL"/>
        </w:rPr>
        <w:t xml:space="preserve"> </w:t>
      </w:r>
    </w:p>
    <w:p w:rsidRPr="00A1689C" w:rsidR="00DF4B39" w:rsidP="006838B3" w:rsidRDefault="00DF4B39">
      <w:pPr>
        <w:pStyle w:val="ListParagraph"/>
        <w:numPr>
          <w:ilvl w:val="0"/>
          <w:numId w:val="3"/>
        </w:numPr>
        <w:spacing w:line="360" w:lineRule="auto"/>
        <w:rPr>
          <w:szCs w:val="18"/>
          <w:lang w:val="nl-NL"/>
        </w:rPr>
      </w:pPr>
      <w:r w:rsidRPr="00C44094">
        <w:rPr>
          <w:szCs w:val="18"/>
          <w:lang w:val="nl-NL"/>
        </w:rPr>
        <w:t>verwij</w:t>
      </w:r>
      <w:r>
        <w:rPr>
          <w:szCs w:val="18"/>
          <w:lang w:val="nl-NL"/>
        </w:rPr>
        <w:t>zing naar de EU2020 strategie.</w:t>
      </w:r>
      <w:r w:rsidRPr="00C44094">
        <w:rPr>
          <w:szCs w:val="18"/>
          <w:lang w:val="nl-NL"/>
        </w:rPr>
        <w:t xml:space="preserve"> </w:t>
      </w:r>
    </w:p>
    <w:p w:rsidR="00505411" w:rsidP="006838B3" w:rsidRDefault="00505411">
      <w:pPr>
        <w:spacing w:line="360" w:lineRule="auto"/>
        <w:rPr>
          <w:szCs w:val="18"/>
        </w:rPr>
      </w:pPr>
      <w:r>
        <w:rPr>
          <w:szCs w:val="18"/>
        </w:rPr>
        <w:t xml:space="preserve">Bijna de helft van de </w:t>
      </w:r>
      <w:r w:rsidRPr="00C44094">
        <w:rPr>
          <w:szCs w:val="18"/>
        </w:rPr>
        <w:t xml:space="preserve">lidstaten (waaronder Nederland) gaven aan moeite te hebben met de introductie van een </w:t>
      </w:r>
      <w:r>
        <w:rPr>
          <w:szCs w:val="18"/>
        </w:rPr>
        <w:t xml:space="preserve">nieuwe doelstelling voor hulpbronnenefficiëntie, </w:t>
      </w:r>
      <w:r w:rsidRPr="00C44094">
        <w:rPr>
          <w:szCs w:val="18"/>
        </w:rPr>
        <w:t xml:space="preserve">zoals opgenomen in de concept </w:t>
      </w:r>
      <w:r>
        <w:rPr>
          <w:szCs w:val="18"/>
        </w:rPr>
        <w:t>Raads</w:t>
      </w:r>
      <w:r w:rsidRPr="00C44094">
        <w:rPr>
          <w:szCs w:val="18"/>
        </w:rPr>
        <w:t>conclusies  (Raadsdocument 13072/14 ).</w:t>
      </w:r>
      <w:r>
        <w:rPr>
          <w:szCs w:val="18"/>
        </w:rPr>
        <w:t xml:space="preserve"> Een aantal lidstaten, waaronder ook Nederland,  gaf als reden aan dat</w:t>
      </w:r>
      <w:r w:rsidRPr="007C470C">
        <w:rPr>
          <w:szCs w:val="18"/>
        </w:rPr>
        <w:t xml:space="preserve"> </w:t>
      </w:r>
      <w:r w:rsidRPr="00C44094">
        <w:rPr>
          <w:szCs w:val="18"/>
        </w:rPr>
        <w:t>een betrouwbare</w:t>
      </w:r>
      <w:r>
        <w:rPr>
          <w:szCs w:val="18"/>
        </w:rPr>
        <w:t>,</w:t>
      </w:r>
      <w:r w:rsidRPr="00C44094">
        <w:rPr>
          <w:szCs w:val="18"/>
        </w:rPr>
        <w:t xml:space="preserve"> voldoende ontwikkelde indicator</w:t>
      </w:r>
      <w:r>
        <w:rPr>
          <w:szCs w:val="18"/>
        </w:rPr>
        <w:t xml:space="preserve"> nog niet beschikbaar is. De door de Commissie voorgestelde indicator ‘</w:t>
      </w:r>
      <w:r w:rsidRPr="000333EE">
        <w:rPr>
          <w:rFonts w:cs="Arial"/>
          <w:szCs w:val="18"/>
        </w:rPr>
        <w:t>Raw Materials Consumption/GDP-indicator</w:t>
      </w:r>
      <w:r>
        <w:rPr>
          <w:rFonts w:cs="Arial"/>
          <w:szCs w:val="18"/>
        </w:rPr>
        <w:t>’</w:t>
      </w:r>
      <w:r>
        <w:rPr>
          <w:szCs w:val="18"/>
        </w:rPr>
        <w:t xml:space="preserve"> schiet in de </w:t>
      </w:r>
      <w:r>
        <w:rPr>
          <w:szCs w:val="18"/>
        </w:rPr>
        <w:lastRenderedPageBreak/>
        <w:t xml:space="preserve">huidige vorm tekort voor het beschrijven van de milieudruk die wordt veroorzaakt door de gebruikte grondstoffen. Ook gaven lidstaten aan </w:t>
      </w:r>
      <w:r w:rsidRPr="00C44094">
        <w:rPr>
          <w:szCs w:val="18"/>
        </w:rPr>
        <w:t xml:space="preserve">dat een nieuwe doelstelling </w:t>
      </w:r>
      <w:r>
        <w:rPr>
          <w:szCs w:val="18"/>
        </w:rPr>
        <w:t xml:space="preserve">in het Europees Semester </w:t>
      </w:r>
      <w:r w:rsidRPr="00C44094">
        <w:rPr>
          <w:szCs w:val="18"/>
        </w:rPr>
        <w:t>tot verwatering van de huidige doelstellingen zou leiden</w:t>
      </w:r>
      <w:r>
        <w:rPr>
          <w:szCs w:val="18"/>
        </w:rPr>
        <w:t xml:space="preserve"> en dat ze vanwege continuïteitsoverwegingen vast willen houden aan de bestaande vijf hoofddoelstellingen.  Dit argument weegt ook voor Nederland zwaar. </w:t>
      </w:r>
    </w:p>
    <w:p w:rsidR="00505411" w:rsidP="006838B3" w:rsidRDefault="00505411">
      <w:pPr>
        <w:spacing w:line="360" w:lineRule="auto"/>
        <w:rPr>
          <w:szCs w:val="18"/>
        </w:rPr>
      </w:pPr>
    </w:p>
    <w:p w:rsidR="00505411" w:rsidP="006838B3" w:rsidRDefault="00505411">
      <w:pPr>
        <w:spacing w:line="360" w:lineRule="auto"/>
        <w:rPr>
          <w:szCs w:val="18"/>
        </w:rPr>
      </w:pPr>
      <w:r>
        <w:rPr>
          <w:szCs w:val="18"/>
        </w:rPr>
        <w:t xml:space="preserve">Naast de discussie over de indicator en een eventueel daaraan verbonden streefwaarde </w:t>
      </w:r>
      <w:r w:rsidRPr="00C44094">
        <w:rPr>
          <w:szCs w:val="18"/>
        </w:rPr>
        <w:t>was er bij de lidstaten veel aandacht voor de rol van de m</w:t>
      </w:r>
      <w:r w:rsidR="00237A09">
        <w:rPr>
          <w:szCs w:val="18"/>
        </w:rPr>
        <w:t>ilieuministers in het Europees S</w:t>
      </w:r>
      <w:r w:rsidRPr="00C44094">
        <w:rPr>
          <w:szCs w:val="18"/>
        </w:rPr>
        <w:t xml:space="preserve">emester en het governance model. </w:t>
      </w:r>
    </w:p>
    <w:p w:rsidRPr="00885CF9" w:rsidR="00885CF9" w:rsidP="006838B3" w:rsidRDefault="00885CF9">
      <w:pPr>
        <w:spacing w:line="360" w:lineRule="auto"/>
        <w:rPr>
          <w:szCs w:val="18"/>
        </w:rPr>
      </w:pPr>
    </w:p>
    <w:p w:rsidRPr="00885CF9" w:rsidR="00DF4B39" w:rsidP="006838B3" w:rsidRDefault="00885CF9">
      <w:pPr>
        <w:autoSpaceDE w:val="0"/>
        <w:adjustRightInd w:val="0"/>
        <w:spacing w:after="120" w:line="360" w:lineRule="auto"/>
        <w:jc w:val="both"/>
        <w:rPr>
          <w:rFonts w:cs="Arial"/>
          <w:szCs w:val="18"/>
        </w:rPr>
      </w:pPr>
      <w:r w:rsidRPr="00BC5A00">
        <w:rPr>
          <w:szCs w:val="18"/>
        </w:rPr>
        <w:t xml:space="preserve">Het Voorzitterschap kwam tegemoet aan de zorgen van lidstaten met een aantal wijzigingen in de tekst.  Als belangrijkste wijziging werd de  oproep tot het in de Europa 2020 strategie opnemen van een doelstelling voor hulpbronnenefficiëntie uit de tekst geschrapt. Het compromis dat werd gevonden bestaat er in dat de Commissie wordt gevraagd het monitoringsvraagstuk nog eens goed onder de loep te nemen. </w:t>
      </w:r>
      <w:r w:rsidRPr="00BC5A00">
        <w:rPr>
          <w:rFonts w:cs="Arial"/>
          <w:szCs w:val="18"/>
        </w:rPr>
        <w:t xml:space="preserve">Met de juiste indicatoren kan een beter beeld geschetst worden van de werkelijke ontwikkelingen op dit gebied en kunnen negatieve externaliteiten worden voorkomen. Nederland heeft op de Milieuraad aangegeven om actief steun te verlenen in het proces dat moet leiden tot passend alternatief dat mogelijk bestaat uit een dashbord met meerdere indicatoren </w:t>
      </w:r>
      <w:r w:rsidRPr="00BC5A00">
        <w:rPr>
          <w:szCs w:val="18"/>
        </w:rPr>
        <w:t>voor o.a. effecten op landgebruik, water en CO2 uitstoot.</w:t>
      </w:r>
      <w:r w:rsidRPr="00BC5A00">
        <w:rPr>
          <w:rFonts w:cs="Arial"/>
          <w:szCs w:val="18"/>
        </w:rPr>
        <w:t xml:space="preserve"> </w:t>
      </w:r>
    </w:p>
    <w:p w:rsidRPr="000F128A" w:rsidR="000F128A" w:rsidP="006838B3" w:rsidRDefault="000F128A">
      <w:pPr>
        <w:spacing w:line="360" w:lineRule="auto"/>
        <w:rPr>
          <w:szCs w:val="18"/>
        </w:rPr>
      </w:pPr>
      <w:r w:rsidRPr="000F128A">
        <w:rPr>
          <w:szCs w:val="18"/>
        </w:rPr>
        <w:t>De Europese Raad zal op voorstel van de Commissie in 2015 een beslissing nemen over de herz</w:t>
      </w:r>
      <w:r w:rsidR="00585B76">
        <w:rPr>
          <w:szCs w:val="18"/>
        </w:rPr>
        <w:t>iening van de EU 2020 strategie.</w:t>
      </w:r>
      <w:r w:rsidRPr="000F128A">
        <w:rPr>
          <w:szCs w:val="18"/>
        </w:rPr>
        <w:t xml:space="preserve"> De Europese Raad wordt voorbereid door de Raad Algemene Zaken. De Commissie heeft aangegeven rekening te houden met de inbreng van de stakeholders in de lopende consultaties, inclusief de bijdragen van zowel de Milieuraad als de Raad Concurrentievermogen.</w:t>
      </w:r>
    </w:p>
    <w:p w:rsidRPr="00F03FD8" w:rsidR="000F128A" w:rsidP="006838B3" w:rsidRDefault="000F128A">
      <w:pPr>
        <w:spacing w:line="360" w:lineRule="auto"/>
        <w:rPr>
          <w:color w:val="FF0000"/>
          <w:szCs w:val="18"/>
        </w:rPr>
      </w:pPr>
    </w:p>
    <w:p w:rsidRPr="007A5587" w:rsidR="00355C1D" w:rsidP="006838B3" w:rsidRDefault="00773142">
      <w:pPr>
        <w:spacing w:line="360" w:lineRule="auto"/>
        <w:rPr>
          <w:szCs w:val="18"/>
        </w:rPr>
      </w:pPr>
      <w:r>
        <w:rPr>
          <w:b/>
          <w:szCs w:val="18"/>
          <w:u w:val="single"/>
        </w:rPr>
        <w:t>Wijzigingsvoorstel Afval</w:t>
      </w:r>
    </w:p>
    <w:p w:rsidRPr="00091676" w:rsidR="00A65A63" w:rsidP="006838B3" w:rsidRDefault="00A65A63">
      <w:pPr>
        <w:spacing w:line="360" w:lineRule="auto"/>
        <w:rPr>
          <w:szCs w:val="18"/>
        </w:rPr>
      </w:pPr>
      <w:r>
        <w:rPr>
          <w:szCs w:val="18"/>
        </w:rPr>
        <w:t>De Commissie heeft een voorstel voor aanpassingen van zes afvalrichtlijnen uitgebracht</w:t>
      </w:r>
      <w:r>
        <w:rPr>
          <w:rStyle w:val="FootnoteReference"/>
          <w:szCs w:val="18"/>
        </w:rPr>
        <w:footnoteReference w:id="2"/>
      </w:r>
      <w:r>
        <w:rPr>
          <w:szCs w:val="18"/>
        </w:rPr>
        <w:t xml:space="preserve">  onder de paraplu van de  bredere mededeling:</w:t>
      </w:r>
      <w:r w:rsidRPr="00F308D0">
        <w:rPr>
          <w:szCs w:val="18"/>
        </w:rPr>
        <w:t xml:space="preserve"> “Naar een circulaire economie: een afvalvrij programma voor Europa</w:t>
      </w:r>
      <w:r w:rsidRPr="00F308D0">
        <w:rPr>
          <w:sz w:val="21"/>
          <w:szCs w:val="21"/>
        </w:rPr>
        <w:t>”.</w:t>
      </w:r>
      <w:r w:rsidRPr="00F308D0">
        <w:t xml:space="preserve"> </w:t>
      </w:r>
      <w:r>
        <w:rPr>
          <w:szCs w:val="18"/>
        </w:rPr>
        <w:t xml:space="preserve">Het voorstel bevat </w:t>
      </w:r>
      <w:r w:rsidRPr="00091676">
        <w:rPr>
          <w:szCs w:val="18"/>
        </w:rPr>
        <w:t xml:space="preserve">onder andere </w:t>
      </w:r>
      <w:r>
        <w:rPr>
          <w:szCs w:val="18"/>
        </w:rPr>
        <w:t xml:space="preserve">geharmoniseerde </w:t>
      </w:r>
      <w:r w:rsidRPr="00091676">
        <w:rPr>
          <w:szCs w:val="18"/>
        </w:rPr>
        <w:t xml:space="preserve">definities en berekeningsmethoden en de introductie van </w:t>
      </w:r>
      <w:r>
        <w:rPr>
          <w:szCs w:val="18"/>
        </w:rPr>
        <w:t xml:space="preserve">strengere </w:t>
      </w:r>
      <w:r w:rsidRPr="00091676">
        <w:rPr>
          <w:szCs w:val="18"/>
        </w:rPr>
        <w:t xml:space="preserve">doelstellingen voor recycling. Verder wordt een aantal nieuwe zaken geïntroduceerd, zoals minimumeisen voor ‘extended producer responsibility’ (EPR) en een early warning systeem voor lidstaten die dreigen de doelen niet te halen. </w:t>
      </w:r>
    </w:p>
    <w:p w:rsidR="00A65A63" w:rsidP="006838B3" w:rsidRDefault="00A65A63">
      <w:pPr>
        <w:spacing w:line="360" w:lineRule="auto"/>
      </w:pPr>
    </w:p>
    <w:p w:rsidR="00A65A63" w:rsidP="006838B3" w:rsidRDefault="00A65A63">
      <w:pPr>
        <w:spacing w:line="360" w:lineRule="auto"/>
        <w:rPr>
          <w:szCs w:val="18"/>
        </w:rPr>
      </w:pPr>
      <w:r>
        <w:rPr>
          <w:szCs w:val="18"/>
        </w:rPr>
        <w:t xml:space="preserve">De Milieuraad voerde het oriënterende debat aan de hand van drie vragen: wat vinden lidstaten van het ambitie niveau van het voorstel, in het bijzonder de doelstellingen voor </w:t>
      </w:r>
      <w:r w:rsidRPr="009D1C4D">
        <w:rPr>
          <w:szCs w:val="18"/>
        </w:rPr>
        <w:t xml:space="preserve">recyclen en </w:t>
      </w:r>
      <w:r>
        <w:rPr>
          <w:szCs w:val="18"/>
        </w:rPr>
        <w:t>het uitfaseren van</w:t>
      </w:r>
      <w:r w:rsidRPr="009D1C4D">
        <w:rPr>
          <w:szCs w:val="18"/>
        </w:rPr>
        <w:t xml:space="preserve"> storten</w:t>
      </w:r>
      <w:r>
        <w:rPr>
          <w:szCs w:val="18"/>
        </w:rPr>
        <w:t>; is er noodzaak tot verder ontwikkelen van instrumenten (zoals</w:t>
      </w:r>
      <w:r w:rsidRPr="00091676">
        <w:rPr>
          <w:szCs w:val="18"/>
        </w:rPr>
        <w:t xml:space="preserve"> </w:t>
      </w:r>
      <w:r>
        <w:rPr>
          <w:szCs w:val="18"/>
        </w:rPr>
        <w:t>‘</w:t>
      </w:r>
      <w:r w:rsidRPr="00091676">
        <w:rPr>
          <w:szCs w:val="18"/>
        </w:rPr>
        <w:t>early warning systeem</w:t>
      </w:r>
      <w:r>
        <w:rPr>
          <w:szCs w:val="18"/>
        </w:rPr>
        <w:t xml:space="preserve">’ en </w:t>
      </w:r>
      <w:r w:rsidRPr="00091676">
        <w:rPr>
          <w:szCs w:val="18"/>
        </w:rPr>
        <w:t>minimumeisen voor ‘extended</w:t>
      </w:r>
      <w:r>
        <w:rPr>
          <w:szCs w:val="18"/>
        </w:rPr>
        <w:t xml:space="preserve"> producer responsibility’ (EPR)) en zijn </w:t>
      </w:r>
      <w:r>
        <w:rPr>
          <w:szCs w:val="18"/>
        </w:rPr>
        <w:lastRenderedPageBreak/>
        <w:t xml:space="preserve">afvalpreventie en hergebruik voldoende meegenomen in het voorstel?  </w:t>
      </w:r>
    </w:p>
    <w:p w:rsidR="002F2808" w:rsidP="006838B3" w:rsidRDefault="002F2808">
      <w:pPr>
        <w:spacing w:line="360" w:lineRule="auto"/>
        <w:rPr>
          <w:szCs w:val="18"/>
        </w:rPr>
      </w:pPr>
    </w:p>
    <w:p w:rsidR="004018E4" w:rsidP="006838B3" w:rsidRDefault="00266FE9">
      <w:pPr>
        <w:spacing w:line="360" w:lineRule="auto"/>
        <w:rPr>
          <w:i/>
          <w:szCs w:val="18"/>
        </w:rPr>
      </w:pPr>
      <w:r>
        <w:rPr>
          <w:szCs w:val="18"/>
        </w:rPr>
        <w:t>De uitkomst van h</w:t>
      </w:r>
      <w:r w:rsidR="002F2808">
        <w:rPr>
          <w:szCs w:val="18"/>
        </w:rPr>
        <w:t xml:space="preserve">et beleidsdebat in de Raad was niet verrassend. </w:t>
      </w:r>
      <w:r w:rsidR="00BB1AFA">
        <w:rPr>
          <w:szCs w:val="18"/>
        </w:rPr>
        <w:t>D</w:t>
      </w:r>
      <w:r w:rsidR="00034FC5">
        <w:rPr>
          <w:szCs w:val="18"/>
        </w:rPr>
        <w:t>e ambities van de lidstaten liepen uit elkaar m</w:t>
      </w:r>
      <w:r w:rsidR="004018E4">
        <w:rPr>
          <w:szCs w:val="18"/>
        </w:rPr>
        <w:t>et name</w:t>
      </w:r>
      <w:r w:rsidR="00034FC5">
        <w:rPr>
          <w:szCs w:val="18"/>
        </w:rPr>
        <w:t xml:space="preserve"> in relatie tot </w:t>
      </w:r>
      <w:r w:rsidR="00034FC5">
        <w:t>de ko</w:t>
      </w:r>
      <w:r w:rsidRPr="009A512B" w:rsidR="00034FC5">
        <w:rPr>
          <w:szCs w:val="18"/>
        </w:rPr>
        <w:t xml:space="preserve">sten </w:t>
      </w:r>
      <w:r w:rsidR="00034FC5">
        <w:rPr>
          <w:szCs w:val="18"/>
        </w:rPr>
        <w:t xml:space="preserve">en tijd </w:t>
      </w:r>
      <w:r w:rsidRPr="009A512B" w:rsidR="00034FC5">
        <w:rPr>
          <w:szCs w:val="18"/>
        </w:rPr>
        <w:t xml:space="preserve">die nodig </w:t>
      </w:r>
      <w:r w:rsidR="00034FC5">
        <w:rPr>
          <w:szCs w:val="18"/>
        </w:rPr>
        <w:t xml:space="preserve">zou </w:t>
      </w:r>
      <w:r w:rsidRPr="009A512B" w:rsidR="00034FC5">
        <w:rPr>
          <w:szCs w:val="18"/>
        </w:rPr>
        <w:t>zijn om de gestelde doelen te halen</w:t>
      </w:r>
      <w:r w:rsidR="00A027E7">
        <w:rPr>
          <w:szCs w:val="18"/>
        </w:rPr>
        <w:t>.</w:t>
      </w:r>
      <w:r w:rsidRPr="00A027E7" w:rsidR="00A027E7">
        <w:rPr>
          <w:szCs w:val="18"/>
        </w:rPr>
        <w:t xml:space="preserve"> </w:t>
      </w:r>
      <w:r w:rsidR="006838B3">
        <w:rPr>
          <w:szCs w:val="18"/>
        </w:rPr>
        <w:t>Er werd door een groot aantal lidstaten aangegeven dat er</w:t>
      </w:r>
      <w:r w:rsidRPr="008A2EDF" w:rsidR="006838B3">
        <w:rPr>
          <w:szCs w:val="18"/>
        </w:rPr>
        <w:t xml:space="preserve"> </w:t>
      </w:r>
      <w:r w:rsidR="006838B3">
        <w:rPr>
          <w:szCs w:val="18"/>
        </w:rPr>
        <w:t xml:space="preserve">meer </w:t>
      </w:r>
      <w:r w:rsidRPr="008A2EDF" w:rsidR="006838B3">
        <w:rPr>
          <w:szCs w:val="18"/>
        </w:rPr>
        <w:t>rekening moe</w:t>
      </w:r>
      <w:r w:rsidR="006838B3">
        <w:rPr>
          <w:szCs w:val="18"/>
        </w:rPr>
        <w:t>s</w:t>
      </w:r>
      <w:r w:rsidRPr="008A2EDF" w:rsidR="006838B3">
        <w:rPr>
          <w:szCs w:val="18"/>
        </w:rPr>
        <w:t>t worden gehoude</w:t>
      </w:r>
      <w:r w:rsidR="006838B3">
        <w:rPr>
          <w:szCs w:val="18"/>
        </w:rPr>
        <w:t>n met de verschillen tussen de lidstaten zoals deze nu bestaan</w:t>
      </w:r>
      <w:r w:rsidRPr="008A2EDF" w:rsidR="006838B3">
        <w:rPr>
          <w:szCs w:val="18"/>
        </w:rPr>
        <w:t xml:space="preserve">. </w:t>
      </w:r>
      <w:r w:rsidRPr="006838B3" w:rsidR="006838B3">
        <w:rPr>
          <w:szCs w:val="18"/>
        </w:rPr>
        <w:t>Ook z</w:t>
      </w:r>
      <w:r w:rsidR="006838B3">
        <w:rPr>
          <w:szCs w:val="18"/>
        </w:rPr>
        <w:t xml:space="preserve">agen veel lidstaten de </w:t>
      </w:r>
      <w:r w:rsidRPr="006838B3" w:rsidR="006838B3">
        <w:rPr>
          <w:szCs w:val="18"/>
        </w:rPr>
        <w:t>voorgestelde ‘early warning’ systeem eerder als een administratieve last dan een verzachtend mechanisme.</w:t>
      </w:r>
      <w:r w:rsidRPr="008A2EDF" w:rsidR="00A027E7">
        <w:rPr>
          <w:szCs w:val="18"/>
        </w:rPr>
        <w:t xml:space="preserve"> </w:t>
      </w:r>
      <w:r w:rsidR="006838B3">
        <w:rPr>
          <w:szCs w:val="18"/>
        </w:rPr>
        <w:t>E</w:t>
      </w:r>
      <w:r w:rsidRPr="006838B3" w:rsidR="006838B3">
        <w:rPr>
          <w:szCs w:val="18"/>
        </w:rPr>
        <w:t xml:space="preserve">r </w:t>
      </w:r>
      <w:r w:rsidR="006838B3">
        <w:rPr>
          <w:szCs w:val="18"/>
        </w:rPr>
        <w:t xml:space="preserve">was </w:t>
      </w:r>
      <w:r w:rsidRPr="006838B3" w:rsidR="006838B3">
        <w:rPr>
          <w:szCs w:val="18"/>
        </w:rPr>
        <w:t xml:space="preserve">veel steun voor het op EU niveau vastleggen van minimumeisen aan systemen van uitgebreide producentenverantwoordelijkheid, al </w:t>
      </w:r>
      <w:r w:rsidR="006838B3">
        <w:rPr>
          <w:szCs w:val="18"/>
        </w:rPr>
        <w:t xml:space="preserve">werd wel de kanttekening geplaatst dat dit </w:t>
      </w:r>
      <w:r w:rsidRPr="006838B3" w:rsidR="006838B3">
        <w:rPr>
          <w:szCs w:val="18"/>
        </w:rPr>
        <w:t>niet te verplichtend</w:t>
      </w:r>
      <w:r w:rsidR="006838B3">
        <w:rPr>
          <w:szCs w:val="18"/>
        </w:rPr>
        <w:t xml:space="preserve"> moet </w:t>
      </w:r>
      <w:r w:rsidRPr="006838B3" w:rsidR="006838B3">
        <w:rPr>
          <w:szCs w:val="18"/>
        </w:rPr>
        <w:t>worden opgelegd. Vrijwel alle lidstaten vonden dat meer aandacht nodig was voor preventie van afval en duurzaam ontwerp</w:t>
      </w:r>
      <w:r w:rsidR="006838B3">
        <w:rPr>
          <w:szCs w:val="18"/>
        </w:rPr>
        <w:t>.</w:t>
      </w:r>
    </w:p>
    <w:p w:rsidRPr="006838B3" w:rsidR="006838B3" w:rsidP="006838B3" w:rsidRDefault="006838B3">
      <w:pPr>
        <w:spacing w:line="360" w:lineRule="auto"/>
        <w:rPr>
          <w:i/>
          <w:szCs w:val="18"/>
        </w:rPr>
      </w:pPr>
    </w:p>
    <w:p w:rsidR="000A48B0" w:rsidP="006838B3" w:rsidRDefault="00034FC5">
      <w:pPr>
        <w:spacing w:line="360" w:lineRule="auto"/>
        <w:rPr>
          <w:szCs w:val="18"/>
        </w:rPr>
      </w:pPr>
      <w:r>
        <w:rPr>
          <w:szCs w:val="18"/>
        </w:rPr>
        <w:t>Nederland heeft</w:t>
      </w:r>
      <w:r w:rsidR="000A48B0">
        <w:rPr>
          <w:szCs w:val="18"/>
        </w:rPr>
        <w:t>:</w:t>
      </w:r>
    </w:p>
    <w:p w:rsidRPr="000A48B0" w:rsidR="00CE6994" w:rsidP="006838B3" w:rsidRDefault="00CE6994">
      <w:pPr>
        <w:pStyle w:val="ListParagraph"/>
        <w:numPr>
          <w:ilvl w:val="0"/>
          <w:numId w:val="5"/>
        </w:numPr>
        <w:spacing w:line="360" w:lineRule="auto"/>
        <w:rPr>
          <w:szCs w:val="18"/>
          <w:lang w:val="nl-NL"/>
        </w:rPr>
      </w:pPr>
      <w:r w:rsidRPr="000A48B0">
        <w:rPr>
          <w:szCs w:val="18"/>
          <w:lang w:val="nl-NL"/>
        </w:rPr>
        <w:t>de ambiti</w:t>
      </w:r>
      <w:r w:rsidR="00891454">
        <w:rPr>
          <w:szCs w:val="18"/>
          <w:lang w:val="nl-NL"/>
        </w:rPr>
        <w:t>e in zijn algemeenheid gesteund</w:t>
      </w:r>
      <w:r w:rsidRPr="000A48B0">
        <w:rPr>
          <w:szCs w:val="18"/>
          <w:lang w:val="nl-NL"/>
        </w:rPr>
        <w:t xml:space="preserve"> - </w:t>
      </w:r>
      <w:r>
        <w:rPr>
          <w:szCs w:val="18"/>
          <w:lang w:val="nl-NL"/>
        </w:rPr>
        <w:t>deze</w:t>
      </w:r>
      <w:r w:rsidRPr="000A48B0">
        <w:rPr>
          <w:szCs w:val="18"/>
          <w:lang w:val="nl-NL"/>
        </w:rPr>
        <w:t xml:space="preserve"> past bij het nationaal beleid waarbij de doelstelling is om de transitie naar </w:t>
      </w:r>
      <w:r>
        <w:rPr>
          <w:szCs w:val="18"/>
          <w:lang w:val="nl-NL"/>
        </w:rPr>
        <w:t>e</w:t>
      </w:r>
      <w:r w:rsidR="0046397E">
        <w:rPr>
          <w:szCs w:val="18"/>
          <w:lang w:val="nl-NL"/>
        </w:rPr>
        <w:t>en circulair</w:t>
      </w:r>
      <w:r w:rsidR="000E44D9">
        <w:rPr>
          <w:szCs w:val="18"/>
          <w:lang w:val="nl-NL"/>
        </w:rPr>
        <w:t xml:space="preserve"> economie te stimuleren.</w:t>
      </w:r>
      <w:r w:rsidRPr="000A48B0">
        <w:rPr>
          <w:szCs w:val="18"/>
          <w:lang w:val="nl-NL"/>
        </w:rPr>
        <w:t xml:space="preserve"> </w:t>
      </w:r>
    </w:p>
    <w:p w:rsidRPr="00725D5B" w:rsidR="00CE6994" w:rsidP="006838B3" w:rsidRDefault="00CE6994">
      <w:pPr>
        <w:pStyle w:val="ListParagraph"/>
        <w:numPr>
          <w:ilvl w:val="0"/>
          <w:numId w:val="5"/>
        </w:numPr>
        <w:spacing w:line="360" w:lineRule="auto"/>
        <w:rPr>
          <w:szCs w:val="18"/>
          <w:lang w:val="nl-NL"/>
        </w:rPr>
      </w:pPr>
      <w:r w:rsidRPr="00725D5B">
        <w:rPr>
          <w:szCs w:val="18"/>
          <w:lang w:val="nl-NL"/>
        </w:rPr>
        <w:t>aandacht gevraagd voor duurzaam, circulair productontwerp en het betrekken van de hele keten</w:t>
      </w:r>
      <w:r w:rsidR="000E44D9">
        <w:rPr>
          <w:szCs w:val="18"/>
          <w:lang w:val="nl-NL"/>
        </w:rPr>
        <w:t>.</w:t>
      </w:r>
    </w:p>
    <w:p w:rsidR="00CE6994" w:rsidP="006838B3" w:rsidRDefault="00CE6994">
      <w:pPr>
        <w:pStyle w:val="ListParagraph"/>
        <w:numPr>
          <w:ilvl w:val="0"/>
          <w:numId w:val="5"/>
        </w:numPr>
        <w:spacing w:line="360" w:lineRule="auto"/>
        <w:rPr>
          <w:szCs w:val="18"/>
          <w:lang w:val="nl-NL"/>
        </w:rPr>
      </w:pPr>
      <w:r>
        <w:rPr>
          <w:szCs w:val="18"/>
          <w:lang w:val="nl-NL"/>
        </w:rPr>
        <w:t>aandacht gevraagd voor hoogwaardige recycling en het toepassen van einde-afval criteria op Europees niveau om ketens te sluiten. (</w:t>
      </w:r>
      <w:r w:rsidRPr="00B36C96">
        <w:rPr>
          <w:i/>
          <w:szCs w:val="18"/>
          <w:lang w:val="nl-NL"/>
        </w:rPr>
        <w:t>motie Van Veldhoven</w:t>
      </w:r>
      <w:r>
        <w:rPr>
          <w:szCs w:val="18"/>
          <w:lang w:val="nl-NL"/>
        </w:rPr>
        <w:t>)</w:t>
      </w:r>
    </w:p>
    <w:p w:rsidRPr="0046397E" w:rsidR="0046397E" w:rsidP="006838B3" w:rsidRDefault="0046397E">
      <w:pPr>
        <w:pStyle w:val="ListParagraph"/>
        <w:spacing w:line="360" w:lineRule="auto"/>
        <w:ind w:left="405"/>
        <w:rPr>
          <w:szCs w:val="18"/>
          <w:lang w:val="nl-NL"/>
        </w:rPr>
      </w:pPr>
    </w:p>
    <w:p w:rsidRPr="006838B3" w:rsidR="00355C1D" w:rsidP="006838B3" w:rsidRDefault="0046397E">
      <w:pPr>
        <w:pStyle w:val="ListParagraph"/>
        <w:spacing w:line="360" w:lineRule="auto"/>
        <w:ind w:left="45"/>
        <w:rPr>
          <w:szCs w:val="18"/>
          <w:lang w:val="nl-NL"/>
        </w:rPr>
      </w:pPr>
      <w:r w:rsidRPr="0046397E">
        <w:rPr>
          <w:szCs w:val="18"/>
          <w:lang w:val="nl-NL"/>
        </w:rPr>
        <w:t xml:space="preserve">Het voorstel zal nu verder behandeld worden in de Raadswerkgroep Milieu. Parallel zal ook het Europees Parlement de behandeling van het voorstel oppakken. </w:t>
      </w:r>
      <w:r w:rsidRPr="00885CF9">
        <w:rPr>
          <w:szCs w:val="18"/>
          <w:lang w:val="nl-NL"/>
        </w:rPr>
        <w:t xml:space="preserve">Finale besluitvorming wordt niet eerder voorzien dan eind 2015. </w:t>
      </w:r>
    </w:p>
    <w:p w:rsidR="00773142" w:rsidP="006838B3" w:rsidRDefault="00773142">
      <w:pPr>
        <w:spacing w:line="360" w:lineRule="auto"/>
        <w:rPr>
          <w:b/>
          <w:szCs w:val="18"/>
          <w:u w:val="single"/>
        </w:rPr>
      </w:pPr>
      <w:r w:rsidRPr="00773142">
        <w:rPr>
          <w:b/>
          <w:szCs w:val="18"/>
          <w:u w:val="single"/>
        </w:rPr>
        <w:t>Klima</w:t>
      </w:r>
      <w:r>
        <w:rPr>
          <w:b/>
          <w:szCs w:val="18"/>
          <w:u w:val="single"/>
        </w:rPr>
        <w:t>at</w:t>
      </w:r>
      <w:r w:rsidRPr="00773142">
        <w:rPr>
          <w:b/>
          <w:szCs w:val="18"/>
          <w:u w:val="single"/>
        </w:rPr>
        <w:t>conferentie Lima (COP20)</w:t>
      </w:r>
    </w:p>
    <w:p w:rsidR="00CA2E54" w:rsidP="006838B3" w:rsidRDefault="00034FC5">
      <w:pPr>
        <w:spacing w:line="360" w:lineRule="auto"/>
        <w:rPr>
          <w:szCs w:val="18"/>
        </w:rPr>
      </w:pPr>
      <w:r w:rsidRPr="005F6E2B">
        <w:rPr>
          <w:szCs w:val="18"/>
        </w:rPr>
        <w:t>De Raad heeft raadsconclusies</w:t>
      </w:r>
      <w:r w:rsidR="00CA2E54">
        <w:rPr>
          <w:rStyle w:val="FootnoteReference"/>
          <w:szCs w:val="18"/>
        </w:rPr>
        <w:footnoteReference w:id="3"/>
      </w:r>
      <w:r w:rsidR="00CA2E54">
        <w:rPr>
          <w:szCs w:val="18"/>
        </w:rPr>
        <w:t xml:space="preserve"> </w:t>
      </w:r>
      <w:r w:rsidRPr="005F6E2B" w:rsidR="00CA2E54">
        <w:rPr>
          <w:szCs w:val="18"/>
        </w:rPr>
        <w:t xml:space="preserve">aangenomen met de Europese inzet voor de klimaatconferentie, die van 1-12 december 2014 in Lima (Peru) plaatsvindt. De bijeenkomst is een belangrijke tussenstap naar de klimaatconferentie eind 2015 in Parijs, waar een mondiaal klimaatakkoord voor na 2020 moet worden afgesloten. </w:t>
      </w:r>
    </w:p>
    <w:p w:rsidR="00CA2E54" w:rsidP="006838B3" w:rsidRDefault="00CA2E54">
      <w:pPr>
        <w:spacing w:line="360" w:lineRule="auto"/>
        <w:rPr>
          <w:szCs w:val="18"/>
        </w:rPr>
      </w:pPr>
    </w:p>
    <w:p w:rsidRPr="005F6E2B" w:rsidR="00CA2E54" w:rsidP="006838B3" w:rsidRDefault="00CA2E54">
      <w:pPr>
        <w:spacing w:line="360" w:lineRule="auto"/>
        <w:rPr>
          <w:szCs w:val="18"/>
        </w:rPr>
      </w:pPr>
      <w:r w:rsidRPr="005F6E2B">
        <w:rPr>
          <w:szCs w:val="18"/>
        </w:rPr>
        <w:t xml:space="preserve">Er stonden nog vier paragrafen open, waarover de ministers geacht werden zich uit te spreken. De discussie in de Raad concentreerde zich vooral op </w:t>
      </w:r>
      <w:r>
        <w:rPr>
          <w:szCs w:val="18"/>
        </w:rPr>
        <w:t xml:space="preserve">volgende </w:t>
      </w:r>
      <w:r w:rsidRPr="005F6E2B">
        <w:rPr>
          <w:szCs w:val="18"/>
        </w:rPr>
        <w:t>punten:</w:t>
      </w:r>
    </w:p>
    <w:p w:rsidRPr="00034FC5" w:rsidR="00CA2E54" w:rsidP="006838B3" w:rsidRDefault="00CA2E54">
      <w:pPr>
        <w:pStyle w:val="ListParagraph"/>
        <w:numPr>
          <w:ilvl w:val="0"/>
          <w:numId w:val="2"/>
        </w:numPr>
        <w:spacing w:after="0" w:line="360" w:lineRule="auto"/>
        <w:contextualSpacing w:val="0"/>
        <w:rPr>
          <w:szCs w:val="18"/>
          <w:lang w:val="nl-NL"/>
        </w:rPr>
      </w:pPr>
      <w:r w:rsidRPr="00034FC5">
        <w:rPr>
          <w:szCs w:val="18"/>
          <w:lang w:val="nl-NL"/>
        </w:rPr>
        <w:t>Het al dan niet opnemen van een passage over de conclusies van het 5</w:t>
      </w:r>
      <w:r w:rsidRPr="00034FC5">
        <w:rPr>
          <w:szCs w:val="18"/>
          <w:vertAlign w:val="superscript"/>
          <w:lang w:val="nl-NL"/>
        </w:rPr>
        <w:t>e</w:t>
      </w:r>
      <w:r w:rsidRPr="00034FC5">
        <w:rPr>
          <w:szCs w:val="18"/>
          <w:lang w:val="nl-NL"/>
        </w:rPr>
        <w:t xml:space="preserve"> Assessment Report van het IPCCC dat mondiale emissies van broeikasgassen voor het eind</w:t>
      </w:r>
      <w:r w:rsidR="000E44D9">
        <w:rPr>
          <w:szCs w:val="18"/>
          <w:lang w:val="nl-NL"/>
        </w:rPr>
        <w:t xml:space="preserve"> van deze eeuw zullen moeten wo</w:t>
      </w:r>
      <w:r w:rsidRPr="00034FC5">
        <w:rPr>
          <w:szCs w:val="18"/>
          <w:lang w:val="nl-NL"/>
        </w:rPr>
        <w:t xml:space="preserve">rden teruggebracht tot nul of zelfs daar onder om de 2 gradendoelstelling te bereiken. </w:t>
      </w:r>
    </w:p>
    <w:p w:rsidRPr="006B0E0E" w:rsidR="00CA2E54" w:rsidP="006838B3" w:rsidRDefault="00CA2E54">
      <w:pPr>
        <w:pStyle w:val="ListParagraph"/>
        <w:numPr>
          <w:ilvl w:val="0"/>
          <w:numId w:val="2"/>
        </w:numPr>
        <w:spacing w:after="0" w:line="360" w:lineRule="auto"/>
        <w:contextualSpacing w:val="0"/>
        <w:rPr>
          <w:szCs w:val="18"/>
          <w:lang w:val="nl-NL"/>
        </w:rPr>
      </w:pPr>
      <w:r w:rsidRPr="00034FC5">
        <w:rPr>
          <w:szCs w:val="18"/>
          <w:lang w:val="nl-NL"/>
        </w:rPr>
        <w:t xml:space="preserve">De kansen en mogelijkheden die maatregelen tegen klimaatverandering bieden voor economische groei, investeringen en werkgelegenheid, en de positieve neveneffecten die deze maatregelen hebben op gezondheid en energiezekerheid. </w:t>
      </w:r>
      <w:r w:rsidRPr="006B0E0E">
        <w:rPr>
          <w:szCs w:val="18"/>
          <w:lang w:val="nl-NL"/>
        </w:rPr>
        <w:t>Zweden diend</w:t>
      </w:r>
      <w:r>
        <w:rPr>
          <w:szCs w:val="18"/>
          <w:lang w:val="nl-NL"/>
        </w:rPr>
        <w:t xml:space="preserve">e hierover een tekstvoorstel in dat </w:t>
      </w:r>
      <w:r w:rsidRPr="006B0E0E">
        <w:rPr>
          <w:szCs w:val="18"/>
          <w:lang w:val="nl-NL"/>
        </w:rPr>
        <w:t>breed werd gesteund.</w:t>
      </w:r>
    </w:p>
    <w:p w:rsidR="00CA2E54" w:rsidP="006838B3" w:rsidRDefault="00CA2E54">
      <w:pPr>
        <w:pStyle w:val="ListParagraph"/>
        <w:numPr>
          <w:ilvl w:val="0"/>
          <w:numId w:val="2"/>
        </w:numPr>
        <w:spacing w:after="0" w:line="360" w:lineRule="auto"/>
        <w:contextualSpacing w:val="0"/>
        <w:rPr>
          <w:szCs w:val="18"/>
          <w:lang w:val="nl-NL"/>
        </w:rPr>
      </w:pPr>
      <w:r w:rsidRPr="00034FC5">
        <w:rPr>
          <w:szCs w:val="18"/>
          <w:lang w:val="nl-NL"/>
        </w:rPr>
        <w:t>De inhoud van voorgenomen nationaal bepaalde bijdragen (INDCs), alleen reductiedoelstelling of ook nog andere verplichtingen, zoals op het gebied van adaptatie en klimaatfinanciering.</w:t>
      </w:r>
    </w:p>
    <w:p w:rsidRPr="00034FC5" w:rsidR="00CA2E54" w:rsidP="006838B3" w:rsidRDefault="00CA2E54">
      <w:pPr>
        <w:pStyle w:val="ListParagraph"/>
        <w:numPr>
          <w:ilvl w:val="0"/>
          <w:numId w:val="2"/>
        </w:numPr>
        <w:spacing w:after="0" w:line="360" w:lineRule="auto"/>
        <w:contextualSpacing w:val="0"/>
        <w:rPr>
          <w:szCs w:val="18"/>
          <w:lang w:val="nl-NL"/>
        </w:rPr>
      </w:pPr>
      <w:r>
        <w:rPr>
          <w:szCs w:val="18"/>
          <w:lang w:val="nl-NL"/>
        </w:rPr>
        <w:t>Wijze van beoordeling en analyse van door partijen ingediende INDCs op ambitie en redelijkheid.</w:t>
      </w:r>
    </w:p>
    <w:p w:rsidR="00CA2E54" w:rsidP="006838B3" w:rsidRDefault="00CA2E54">
      <w:pPr>
        <w:spacing w:line="360" w:lineRule="auto"/>
        <w:rPr>
          <w:szCs w:val="18"/>
        </w:rPr>
      </w:pPr>
    </w:p>
    <w:p w:rsidR="00CA2E54" w:rsidP="006838B3" w:rsidRDefault="00CA2E54">
      <w:pPr>
        <w:spacing w:line="360" w:lineRule="auto"/>
        <w:rPr>
          <w:szCs w:val="18"/>
        </w:rPr>
      </w:pPr>
      <w:r w:rsidRPr="005F6E2B">
        <w:rPr>
          <w:szCs w:val="18"/>
        </w:rPr>
        <w:t>Hoewel de meeste lidstaten de voorliggend</w:t>
      </w:r>
      <w:r>
        <w:rPr>
          <w:szCs w:val="18"/>
        </w:rPr>
        <w:t>e raadsconclusies konden steunen</w:t>
      </w:r>
      <w:r w:rsidRPr="005F6E2B">
        <w:rPr>
          <w:szCs w:val="18"/>
        </w:rPr>
        <w:t xml:space="preserve">, werden toch vooral bekende en eerder </w:t>
      </w:r>
      <w:r w:rsidR="00C71FA4">
        <w:rPr>
          <w:szCs w:val="18"/>
        </w:rPr>
        <w:t>ingenomen standpunten herhaald.</w:t>
      </w:r>
      <w:r>
        <w:rPr>
          <w:szCs w:val="18"/>
        </w:rPr>
        <w:t xml:space="preserve"> </w:t>
      </w:r>
    </w:p>
    <w:p w:rsidR="00CA2E54" w:rsidP="006838B3" w:rsidRDefault="00CA2E54">
      <w:pPr>
        <w:spacing w:line="360" w:lineRule="auto"/>
        <w:rPr>
          <w:szCs w:val="18"/>
        </w:rPr>
      </w:pPr>
    </w:p>
    <w:p w:rsidR="00CA2E54" w:rsidP="006838B3" w:rsidRDefault="00CA2E54">
      <w:pPr>
        <w:spacing w:line="360" w:lineRule="auto"/>
        <w:rPr>
          <w:szCs w:val="18"/>
        </w:rPr>
      </w:pPr>
      <w:r w:rsidRPr="003F7829">
        <w:rPr>
          <w:szCs w:val="18"/>
        </w:rPr>
        <w:t xml:space="preserve">Nederland gaf ondermeer </w:t>
      </w:r>
      <w:r>
        <w:rPr>
          <w:szCs w:val="18"/>
        </w:rPr>
        <w:t>aan dat:</w:t>
      </w:r>
    </w:p>
    <w:p w:rsidR="00CA2E54" w:rsidP="006838B3" w:rsidRDefault="00CA2E54">
      <w:pPr>
        <w:pStyle w:val="ListParagraph"/>
        <w:numPr>
          <w:ilvl w:val="0"/>
          <w:numId w:val="4"/>
        </w:numPr>
        <w:spacing w:line="360" w:lineRule="auto"/>
        <w:rPr>
          <w:szCs w:val="18"/>
          <w:lang w:val="nl-NL"/>
        </w:rPr>
      </w:pPr>
      <w:r w:rsidRPr="008A67F9">
        <w:rPr>
          <w:szCs w:val="18"/>
          <w:lang w:val="nl-NL"/>
        </w:rPr>
        <w:t xml:space="preserve">het tevreden is </w:t>
      </w:r>
      <w:r>
        <w:rPr>
          <w:szCs w:val="18"/>
          <w:lang w:val="nl-NL"/>
        </w:rPr>
        <w:t>over de uitkomst van de Europese Raad van 23 en 24 oktober 2014</w:t>
      </w:r>
      <w:r w:rsidRPr="008A67F9">
        <w:rPr>
          <w:szCs w:val="18"/>
          <w:lang w:val="nl-NL"/>
        </w:rPr>
        <w:t xml:space="preserve">, waarin </w:t>
      </w:r>
      <w:r>
        <w:rPr>
          <w:szCs w:val="18"/>
          <w:lang w:val="nl-NL"/>
        </w:rPr>
        <w:t xml:space="preserve">o.a. </w:t>
      </w:r>
      <w:r w:rsidRPr="008A67F9">
        <w:rPr>
          <w:szCs w:val="18"/>
          <w:lang w:val="nl-NL"/>
        </w:rPr>
        <w:t xml:space="preserve">besloten is tot een reductiedoelstelling van tenminste 40%, en dat </w:t>
      </w:r>
      <w:r>
        <w:rPr>
          <w:szCs w:val="18"/>
          <w:lang w:val="nl-NL"/>
        </w:rPr>
        <w:t xml:space="preserve">we </w:t>
      </w:r>
      <w:r w:rsidRPr="008A67F9">
        <w:rPr>
          <w:szCs w:val="18"/>
          <w:lang w:val="nl-NL"/>
        </w:rPr>
        <w:t xml:space="preserve">met de conclusies van de Europese Raad de goede weg zijn ingeslagen. </w:t>
      </w:r>
    </w:p>
    <w:p w:rsidR="00CA2E54" w:rsidP="006838B3" w:rsidRDefault="00CA2E54">
      <w:pPr>
        <w:pStyle w:val="ListParagraph"/>
        <w:numPr>
          <w:ilvl w:val="0"/>
          <w:numId w:val="4"/>
        </w:numPr>
        <w:spacing w:line="360" w:lineRule="auto"/>
        <w:rPr>
          <w:szCs w:val="18"/>
          <w:lang w:val="nl-NL"/>
        </w:rPr>
      </w:pPr>
      <w:r>
        <w:rPr>
          <w:szCs w:val="18"/>
          <w:lang w:val="nl-NL"/>
        </w:rPr>
        <w:t>h</w:t>
      </w:r>
      <w:r w:rsidRPr="008A67F9">
        <w:rPr>
          <w:szCs w:val="18"/>
          <w:lang w:val="nl-NL"/>
        </w:rPr>
        <w:t xml:space="preserve">et </w:t>
      </w:r>
      <w:r>
        <w:rPr>
          <w:szCs w:val="18"/>
          <w:lang w:val="nl-NL"/>
        </w:rPr>
        <w:t xml:space="preserve">besluit van de Europese Raad </w:t>
      </w:r>
      <w:r w:rsidRPr="008A67F9">
        <w:rPr>
          <w:szCs w:val="18"/>
          <w:lang w:val="nl-NL"/>
        </w:rPr>
        <w:t xml:space="preserve">een duidelijk signaal afgeeft dat bijdraagt aan het bereiken van een mondiaal akkoord in Parijs in 2015. </w:t>
      </w:r>
    </w:p>
    <w:p w:rsidRPr="008A67F9" w:rsidR="00CA2E54" w:rsidP="006838B3" w:rsidRDefault="00CA2E54">
      <w:pPr>
        <w:pStyle w:val="ListParagraph"/>
        <w:numPr>
          <w:ilvl w:val="0"/>
          <w:numId w:val="4"/>
        </w:numPr>
        <w:spacing w:line="360" w:lineRule="auto"/>
        <w:rPr>
          <w:szCs w:val="18"/>
          <w:lang w:val="nl-NL"/>
        </w:rPr>
      </w:pPr>
      <w:r w:rsidRPr="008A67F9">
        <w:rPr>
          <w:szCs w:val="18"/>
          <w:lang w:val="nl-NL"/>
        </w:rPr>
        <w:t xml:space="preserve">een mondiaal akkoord belangrijk is voor alle actoren, </w:t>
      </w:r>
      <w:r>
        <w:rPr>
          <w:szCs w:val="18"/>
          <w:lang w:val="nl-NL"/>
        </w:rPr>
        <w:t xml:space="preserve">ook </w:t>
      </w:r>
      <w:r w:rsidRPr="008A67F9">
        <w:rPr>
          <w:szCs w:val="18"/>
          <w:lang w:val="nl-NL"/>
        </w:rPr>
        <w:t xml:space="preserve">voor Nederlandse internationaal opererende </w:t>
      </w:r>
      <w:r>
        <w:rPr>
          <w:szCs w:val="18"/>
          <w:lang w:val="nl-NL"/>
        </w:rPr>
        <w:t xml:space="preserve">bedrijfsleven. Voor deze </w:t>
      </w:r>
      <w:r w:rsidRPr="008A67F9">
        <w:rPr>
          <w:szCs w:val="18"/>
          <w:lang w:val="nl-NL"/>
        </w:rPr>
        <w:t xml:space="preserve">bedrijven </w:t>
      </w:r>
      <w:r>
        <w:rPr>
          <w:szCs w:val="18"/>
          <w:lang w:val="nl-NL"/>
        </w:rPr>
        <w:t xml:space="preserve">had </w:t>
      </w:r>
      <w:r w:rsidRPr="008A67F9">
        <w:rPr>
          <w:szCs w:val="18"/>
          <w:lang w:val="nl-NL"/>
        </w:rPr>
        <w:t xml:space="preserve">het resultaat </w:t>
      </w:r>
      <w:r>
        <w:rPr>
          <w:szCs w:val="18"/>
          <w:lang w:val="nl-NL"/>
        </w:rPr>
        <w:t xml:space="preserve">van de Europese Raad nog wel </w:t>
      </w:r>
      <w:r w:rsidRPr="008A67F9">
        <w:rPr>
          <w:szCs w:val="18"/>
          <w:lang w:val="nl-NL"/>
        </w:rPr>
        <w:t>ambitieuzer gekund</w:t>
      </w:r>
      <w:r>
        <w:rPr>
          <w:szCs w:val="18"/>
          <w:lang w:val="nl-NL"/>
        </w:rPr>
        <w:t>.</w:t>
      </w:r>
      <w:r w:rsidRPr="008A67F9">
        <w:rPr>
          <w:szCs w:val="18"/>
          <w:lang w:val="nl-NL"/>
        </w:rPr>
        <w:t xml:space="preserve"> (</w:t>
      </w:r>
      <w:r w:rsidRPr="00B36C96">
        <w:rPr>
          <w:i/>
          <w:szCs w:val="18"/>
          <w:lang w:val="nl-NL"/>
        </w:rPr>
        <w:t>motie Smaling</w:t>
      </w:r>
      <w:r>
        <w:rPr>
          <w:szCs w:val="18"/>
          <w:lang w:val="nl-NL"/>
        </w:rPr>
        <w:t xml:space="preserve">) </w:t>
      </w:r>
    </w:p>
    <w:p w:rsidRPr="006838B3" w:rsidR="001353CD" w:rsidP="006838B3" w:rsidRDefault="00CA2E54">
      <w:pPr>
        <w:pStyle w:val="ListParagraph"/>
        <w:numPr>
          <w:ilvl w:val="0"/>
          <w:numId w:val="4"/>
        </w:numPr>
        <w:spacing w:line="360" w:lineRule="auto"/>
        <w:rPr>
          <w:szCs w:val="18"/>
          <w:lang w:val="nl-NL"/>
        </w:rPr>
      </w:pPr>
      <w:r w:rsidRPr="008A67F9">
        <w:rPr>
          <w:szCs w:val="18"/>
          <w:lang w:val="nl-NL"/>
        </w:rPr>
        <w:t>het van belang is dat we als Europa zo snel mogelijk onze voorgenomen nationaal bepaalde bijdragen (INDCs) bepalen en indienen.</w:t>
      </w:r>
    </w:p>
    <w:p w:rsidRPr="005F6E2B" w:rsidR="00034FC5" w:rsidP="006838B3" w:rsidRDefault="00034FC5">
      <w:pPr>
        <w:spacing w:line="360" w:lineRule="auto"/>
        <w:rPr>
          <w:szCs w:val="18"/>
        </w:rPr>
      </w:pPr>
      <w:r w:rsidRPr="005F6E2B">
        <w:rPr>
          <w:szCs w:val="18"/>
        </w:rPr>
        <w:t>Aan het eind van de tafelronde presenteerde het Voorzitterschap een aantal wijzigingen in de paragrafen 2 en  6, waarin het Zweedse tekstvoorstel is overgenomen, en de controverse over INDCs is opgelost door een aantal woorden te schrappen</w:t>
      </w:r>
      <w:r w:rsidR="006F35FE">
        <w:rPr>
          <w:szCs w:val="18"/>
        </w:rPr>
        <w:t xml:space="preserve">. </w:t>
      </w:r>
      <w:r w:rsidRPr="005F6E2B">
        <w:rPr>
          <w:szCs w:val="18"/>
        </w:rPr>
        <w:t xml:space="preserve">Met deze compromisvoorstellen kon de Raad akkoord gaan met de raadsconclusies. </w:t>
      </w:r>
    </w:p>
    <w:p w:rsidR="00034FC5" w:rsidP="006838B3" w:rsidRDefault="00034FC5">
      <w:pPr>
        <w:spacing w:line="360" w:lineRule="auto"/>
        <w:rPr>
          <w:szCs w:val="18"/>
        </w:rPr>
      </w:pPr>
    </w:p>
    <w:p w:rsidRPr="005F6E2B" w:rsidR="00034FC5" w:rsidP="006838B3" w:rsidRDefault="00034FC5">
      <w:pPr>
        <w:spacing w:line="360" w:lineRule="auto"/>
        <w:rPr>
          <w:szCs w:val="18"/>
        </w:rPr>
      </w:pPr>
      <w:r w:rsidRPr="005F6E2B">
        <w:rPr>
          <w:szCs w:val="18"/>
        </w:rPr>
        <w:t xml:space="preserve">Veel lidstaten gebruikten dit agendapunt ook om hun tevredenheid uit te spreken over de besluiten die de Europese Raad (ER) op 23 en 24 oktober jl. heeft genomen over het EU 2030 klimaat- en energieraamwerk. Dit is een krachtig signaal naar derde landen. Het is nu vooral aan de grote uitstoters om het voorbeeld van de EU te volgen. Ministers drongen aan op voortvarendheid bij de uitwerking van het pakket in wetgevingsvoorstellen en onderschreven het belang van spoedige besluitvorming over de Market Stability Reserve (MSR). </w:t>
      </w:r>
    </w:p>
    <w:p w:rsidRPr="007A5587" w:rsidR="001B0CAE" w:rsidP="006838B3" w:rsidRDefault="001B0CAE">
      <w:pPr>
        <w:spacing w:line="360" w:lineRule="auto"/>
        <w:rPr>
          <w:b/>
          <w:szCs w:val="18"/>
          <w:u w:val="single"/>
        </w:rPr>
      </w:pPr>
    </w:p>
    <w:p w:rsidR="00773142" w:rsidP="006838B3" w:rsidRDefault="00B5415B">
      <w:pPr>
        <w:spacing w:line="360" w:lineRule="auto"/>
        <w:rPr>
          <w:b/>
          <w:szCs w:val="18"/>
          <w:u w:val="single"/>
        </w:rPr>
      </w:pPr>
      <w:r w:rsidRPr="007A5587">
        <w:rPr>
          <w:b/>
          <w:szCs w:val="18"/>
          <w:u w:val="single"/>
        </w:rPr>
        <w:t>Overige Agendapunten</w:t>
      </w:r>
      <w:r w:rsidRPr="00773142" w:rsidR="00773142">
        <w:rPr>
          <w:b/>
          <w:szCs w:val="18"/>
          <w:u w:val="single"/>
        </w:rPr>
        <w:t xml:space="preserve"> </w:t>
      </w:r>
    </w:p>
    <w:p w:rsidR="00FA0331" w:rsidP="006838B3" w:rsidRDefault="00034FC5">
      <w:pPr>
        <w:spacing w:line="360" w:lineRule="auto"/>
        <w:rPr>
          <w:szCs w:val="18"/>
        </w:rPr>
      </w:pPr>
      <w:r w:rsidRPr="00E960E8">
        <w:rPr>
          <w:b/>
          <w:szCs w:val="18"/>
        </w:rPr>
        <w:t>T</w:t>
      </w:r>
      <w:r>
        <w:rPr>
          <w:b/>
          <w:szCs w:val="18"/>
        </w:rPr>
        <w:t>erugkoppeling</w:t>
      </w:r>
      <w:r w:rsidRPr="00E960E8">
        <w:rPr>
          <w:b/>
          <w:szCs w:val="18"/>
        </w:rPr>
        <w:t xml:space="preserve"> over een aantal internationale bijeenkomsten</w:t>
      </w:r>
      <w:r w:rsidR="00FD6DA9">
        <w:rPr>
          <w:szCs w:val="18"/>
        </w:rPr>
        <w:t>.</w:t>
      </w:r>
      <w:r w:rsidRPr="00FA0331" w:rsidR="00FA0331">
        <w:rPr>
          <w:szCs w:val="18"/>
        </w:rPr>
        <w:t xml:space="preserve"> </w:t>
      </w:r>
    </w:p>
    <w:p w:rsidR="00FD6DA9" w:rsidP="006838B3" w:rsidRDefault="00FA0331">
      <w:pPr>
        <w:spacing w:line="360" w:lineRule="auto"/>
        <w:rPr>
          <w:szCs w:val="18"/>
        </w:rPr>
      </w:pPr>
      <w:r>
        <w:rPr>
          <w:szCs w:val="18"/>
        </w:rPr>
        <w:t>Het voorzitterschap koppelde positief terug over internationale bijeenkomsten:</w:t>
      </w:r>
    </w:p>
    <w:p w:rsidR="00584472" w:rsidP="006838B3" w:rsidRDefault="00584472">
      <w:pPr>
        <w:pStyle w:val="NormalWeb"/>
        <w:numPr>
          <w:ilvl w:val="0"/>
          <w:numId w:val="12"/>
        </w:numPr>
        <w:spacing w:line="360" w:lineRule="auto"/>
        <w:rPr>
          <w:rFonts w:ascii="Verdana" w:hAnsi="Verdana"/>
          <w:sz w:val="18"/>
          <w:szCs w:val="18"/>
        </w:rPr>
      </w:pPr>
      <w:r>
        <w:rPr>
          <w:rFonts w:ascii="Verdana" w:hAnsi="Verdana"/>
          <w:color w:val="000000"/>
          <w:sz w:val="18"/>
          <w:szCs w:val="18"/>
        </w:rPr>
        <w:t>Twaalfde vergadering van de</w:t>
      </w:r>
      <w:r w:rsidR="00FA0331">
        <w:rPr>
          <w:rFonts w:ascii="Verdana" w:hAnsi="Verdana"/>
          <w:color w:val="000000"/>
          <w:sz w:val="18"/>
          <w:szCs w:val="18"/>
        </w:rPr>
        <w:t xml:space="preserve"> Conferentie van de Partijen (CO</w:t>
      </w:r>
      <w:r>
        <w:rPr>
          <w:rFonts w:ascii="Verdana" w:hAnsi="Verdana"/>
          <w:color w:val="000000"/>
          <w:sz w:val="18"/>
          <w:szCs w:val="18"/>
        </w:rPr>
        <w:t>P 12) bij het Verdrag inzake biologische diversiteit (Pyeongchang, Republiek Korea, 6 tot en met 17 oktober 2014) </w:t>
      </w:r>
    </w:p>
    <w:p w:rsidR="00584472" w:rsidP="006838B3" w:rsidRDefault="00584472">
      <w:pPr>
        <w:pStyle w:val="NormalWeb"/>
        <w:numPr>
          <w:ilvl w:val="0"/>
          <w:numId w:val="12"/>
        </w:numPr>
        <w:spacing w:line="360" w:lineRule="auto"/>
        <w:rPr>
          <w:rFonts w:ascii="Verdana" w:hAnsi="Verdana"/>
          <w:sz w:val="18"/>
          <w:szCs w:val="18"/>
        </w:rPr>
      </w:pPr>
      <w:r>
        <w:rPr>
          <w:rFonts w:ascii="Verdana" w:hAnsi="Verdana"/>
          <w:color w:val="000000"/>
          <w:sz w:val="18"/>
          <w:szCs w:val="18"/>
        </w:rPr>
        <w:t>Zevende vergadering van de Conferentie van de Partijen waarin de partijen bij het Protocol van Cartagena inza</w:t>
      </w:r>
      <w:r w:rsidR="00FA0331">
        <w:rPr>
          <w:rFonts w:ascii="Verdana" w:hAnsi="Verdana"/>
          <w:color w:val="000000"/>
          <w:sz w:val="18"/>
          <w:szCs w:val="18"/>
        </w:rPr>
        <w:t>ke bioveiligheid bijeenkomen (COP-MO</w:t>
      </w:r>
      <w:r>
        <w:rPr>
          <w:rFonts w:ascii="Verdana" w:hAnsi="Verdana"/>
          <w:color w:val="000000"/>
          <w:sz w:val="18"/>
          <w:szCs w:val="18"/>
        </w:rPr>
        <w:t>P 7) (Pyeongchang, Republiek Korea, 29 september tot en met 3 oktober 2014) </w:t>
      </w:r>
    </w:p>
    <w:p w:rsidR="00584472" w:rsidP="006838B3" w:rsidRDefault="00584472">
      <w:pPr>
        <w:pStyle w:val="NormalWeb"/>
        <w:numPr>
          <w:ilvl w:val="0"/>
          <w:numId w:val="12"/>
        </w:numPr>
        <w:spacing w:line="360" w:lineRule="auto"/>
        <w:rPr>
          <w:rFonts w:ascii="Verdana" w:hAnsi="Verdana"/>
          <w:sz w:val="18"/>
          <w:szCs w:val="18"/>
        </w:rPr>
      </w:pPr>
      <w:r>
        <w:rPr>
          <w:rFonts w:ascii="Verdana" w:hAnsi="Verdana"/>
          <w:color w:val="000000"/>
          <w:sz w:val="18"/>
          <w:szCs w:val="18"/>
        </w:rPr>
        <w:t>Eerste vergadering van de Conferentie van de Partijen waarin de partijen bij het Protocol van Nagoya inzake toegang en verdeli</w:t>
      </w:r>
      <w:r w:rsidR="00FA0331">
        <w:rPr>
          <w:rFonts w:ascii="Verdana" w:hAnsi="Verdana"/>
          <w:color w:val="000000"/>
          <w:sz w:val="18"/>
          <w:szCs w:val="18"/>
        </w:rPr>
        <w:t>ng van voordelen bijeenkomen (COP-MO</w:t>
      </w:r>
      <w:r>
        <w:rPr>
          <w:rFonts w:ascii="Verdana" w:hAnsi="Verdana"/>
          <w:color w:val="000000"/>
          <w:sz w:val="18"/>
          <w:szCs w:val="18"/>
        </w:rPr>
        <w:t>P 1) (Pyeongchang, Republiek Korea, 13 tot en met 17 oktober 2014)  </w:t>
      </w:r>
    </w:p>
    <w:p w:rsidR="00584472" w:rsidP="006838B3" w:rsidRDefault="00DF445C">
      <w:pPr>
        <w:pStyle w:val="NormalWeb"/>
        <w:numPr>
          <w:ilvl w:val="0"/>
          <w:numId w:val="13"/>
        </w:numPr>
        <w:spacing w:line="360" w:lineRule="auto"/>
        <w:rPr>
          <w:rFonts w:ascii="Verdana" w:hAnsi="Verdana"/>
          <w:sz w:val="18"/>
          <w:szCs w:val="18"/>
        </w:rPr>
      </w:pPr>
      <w:r>
        <w:rPr>
          <w:rFonts w:ascii="Verdana" w:hAnsi="Verdana"/>
          <w:color w:val="000000"/>
          <w:sz w:val="18"/>
          <w:szCs w:val="18"/>
        </w:rPr>
        <w:t>Het V</w:t>
      </w:r>
      <w:r w:rsidR="00FA0331">
        <w:rPr>
          <w:rFonts w:ascii="Verdana" w:hAnsi="Verdana"/>
          <w:color w:val="000000"/>
          <w:sz w:val="18"/>
          <w:szCs w:val="18"/>
        </w:rPr>
        <w:t>oorzitterschap</w:t>
      </w:r>
      <w:r w:rsidR="00584472">
        <w:rPr>
          <w:rFonts w:ascii="Verdana" w:hAnsi="Verdana"/>
          <w:color w:val="000000"/>
          <w:sz w:val="18"/>
          <w:szCs w:val="18"/>
        </w:rPr>
        <w:t xml:space="preserve"> wees op de schriftelijke terugkoppeling van de drie in Zuid-Korea gehouden bijeenkomsten over biodiversiteit, bioveiligheid en toegang tot genetische bronnen. De bijeenkomsten zijn naar tevredenheid verlopen.  </w:t>
      </w:r>
    </w:p>
    <w:p w:rsidR="00584472" w:rsidP="006838B3" w:rsidRDefault="00DF445C">
      <w:pPr>
        <w:pStyle w:val="NormalWeb"/>
        <w:numPr>
          <w:ilvl w:val="0"/>
          <w:numId w:val="13"/>
        </w:numPr>
        <w:spacing w:line="360" w:lineRule="auto"/>
        <w:rPr>
          <w:rFonts w:ascii="Verdana" w:hAnsi="Verdana"/>
          <w:sz w:val="18"/>
          <w:szCs w:val="18"/>
        </w:rPr>
      </w:pPr>
      <w:r>
        <w:rPr>
          <w:rFonts w:ascii="Verdana" w:hAnsi="Verdana"/>
          <w:color w:val="000000"/>
          <w:sz w:val="18"/>
          <w:szCs w:val="18"/>
        </w:rPr>
        <w:t>De C</w:t>
      </w:r>
      <w:r w:rsidR="00FA0331">
        <w:rPr>
          <w:rFonts w:ascii="Verdana" w:hAnsi="Verdana"/>
          <w:color w:val="000000"/>
          <w:sz w:val="18"/>
          <w:szCs w:val="18"/>
        </w:rPr>
        <w:t>ommissie</w:t>
      </w:r>
      <w:r w:rsidR="00584472">
        <w:rPr>
          <w:rFonts w:ascii="Verdana" w:hAnsi="Verdana"/>
          <w:color w:val="000000"/>
          <w:sz w:val="18"/>
          <w:szCs w:val="18"/>
        </w:rPr>
        <w:t xml:space="preserve"> </w:t>
      </w:r>
      <w:r w:rsidR="00FA0331">
        <w:rPr>
          <w:rFonts w:ascii="Verdana" w:hAnsi="Verdana"/>
          <w:color w:val="000000"/>
          <w:sz w:val="18"/>
          <w:szCs w:val="18"/>
        </w:rPr>
        <w:t>gaf aan dat</w:t>
      </w:r>
      <w:r w:rsidR="00584472">
        <w:rPr>
          <w:rFonts w:ascii="Verdana" w:hAnsi="Verdana"/>
          <w:color w:val="000000"/>
          <w:sz w:val="18"/>
          <w:szCs w:val="18"/>
        </w:rPr>
        <w:t xml:space="preserve"> de EU sterk opereert </w:t>
      </w:r>
      <w:r w:rsidR="00FA0331">
        <w:rPr>
          <w:rFonts w:ascii="Verdana" w:hAnsi="Verdana"/>
          <w:color w:val="000000"/>
          <w:sz w:val="18"/>
          <w:szCs w:val="18"/>
        </w:rPr>
        <w:t xml:space="preserve">bij gezamenlijk optreden en dat bij de COP-MOP </w:t>
      </w:r>
      <w:r w:rsidR="00584472">
        <w:rPr>
          <w:rFonts w:ascii="Verdana" w:hAnsi="Verdana"/>
          <w:color w:val="000000"/>
          <w:sz w:val="18"/>
          <w:szCs w:val="18"/>
        </w:rPr>
        <w:t xml:space="preserve">7 Biosafety goede uitkomsten </w:t>
      </w:r>
      <w:r w:rsidR="00FA0331">
        <w:rPr>
          <w:rFonts w:ascii="Verdana" w:hAnsi="Verdana"/>
          <w:color w:val="000000"/>
          <w:sz w:val="18"/>
          <w:szCs w:val="18"/>
        </w:rPr>
        <w:t xml:space="preserve">waren </w:t>
      </w:r>
      <w:r w:rsidR="00584472">
        <w:rPr>
          <w:rFonts w:ascii="Verdana" w:hAnsi="Verdana"/>
          <w:color w:val="000000"/>
          <w:sz w:val="18"/>
          <w:szCs w:val="18"/>
        </w:rPr>
        <w:t>bereikt inzake de richtsnoeren voor risicobeoordeling.  </w:t>
      </w:r>
    </w:p>
    <w:p w:rsidRPr="00FA0331" w:rsidR="00FA0331" w:rsidP="006838B3" w:rsidRDefault="00584472">
      <w:pPr>
        <w:pStyle w:val="NormalWeb"/>
        <w:numPr>
          <w:ilvl w:val="0"/>
          <w:numId w:val="12"/>
        </w:numPr>
        <w:spacing w:line="360" w:lineRule="auto"/>
        <w:rPr>
          <w:rFonts w:ascii="Verdana" w:hAnsi="Verdana"/>
          <w:sz w:val="18"/>
          <w:szCs w:val="18"/>
        </w:rPr>
      </w:pPr>
      <w:r>
        <w:rPr>
          <w:rFonts w:ascii="Verdana" w:hAnsi="Verdana"/>
          <w:color w:val="000000"/>
          <w:sz w:val="18"/>
          <w:szCs w:val="18"/>
        </w:rPr>
        <w:t>Vijfde</w:t>
      </w:r>
      <w:r w:rsidR="00996C1B">
        <w:rPr>
          <w:rFonts w:ascii="Verdana" w:hAnsi="Verdana"/>
          <w:color w:val="000000"/>
          <w:sz w:val="18"/>
          <w:szCs w:val="18"/>
        </w:rPr>
        <w:t xml:space="preserve"> vergadering van de partijen (MO</w:t>
      </w:r>
      <w:r>
        <w:rPr>
          <w:rFonts w:ascii="Verdana" w:hAnsi="Verdana"/>
          <w:color w:val="000000"/>
          <w:sz w:val="18"/>
          <w:szCs w:val="18"/>
        </w:rPr>
        <w:t>P 5) bij het Verdrag van Aarhus betreffende toegang tot informatie, inspraak bij besluitvorming en toegang tot de rechter inzake milieuaangelegenheden (Maastricht, 30 juni tot en met 2 juli 2014) </w:t>
      </w:r>
    </w:p>
    <w:p w:rsidR="00584472" w:rsidP="006838B3" w:rsidRDefault="00584472">
      <w:pPr>
        <w:pStyle w:val="NormalWeb"/>
        <w:numPr>
          <w:ilvl w:val="0"/>
          <w:numId w:val="12"/>
        </w:numPr>
        <w:spacing w:line="360" w:lineRule="auto"/>
        <w:rPr>
          <w:rFonts w:ascii="Verdana" w:hAnsi="Verdana"/>
          <w:sz w:val="18"/>
          <w:szCs w:val="18"/>
        </w:rPr>
      </w:pPr>
      <w:r>
        <w:rPr>
          <w:rFonts w:ascii="Verdana" w:hAnsi="Verdana"/>
          <w:color w:val="000000"/>
          <w:sz w:val="18"/>
          <w:szCs w:val="18"/>
        </w:rPr>
        <w:t>Tweede</w:t>
      </w:r>
      <w:r w:rsidR="00A14576">
        <w:rPr>
          <w:rFonts w:ascii="Verdana" w:hAnsi="Verdana"/>
          <w:color w:val="000000"/>
          <w:sz w:val="18"/>
          <w:szCs w:val="18"/>
        </w:rPr>
        <w:t xml:space="preserve"> vergadering van de partijen (MO</w:t>
      </w:r>
      <w:r>
        <w:rPr>
          <w:rFonts w:ascii="Verdana" w:hAnsi="Verdana"/>
          <w:color w:val="000000"/>
          <w:sz w:val="18"/>
          <w:szCs w:val="18"/>
        </w:rPr>
        <w:t>P 2) bij het Protocol betreffende registers inzake de uitstoot en overbrenging van verontreinigende stoffen (Maastricht, 2 tot en met 4 juli 2014)</w:t>
      </w:r>
    </w:p>
    <w:p w:rsidR="00584472" w:rsidP="006838B3" w:rsidRDefault="00DF445C">
      <w:pPr>
        <w:pStyle w:val="NormalWeb"/>
        <w:numPr>
          <w:ilvl w:val="0"/>
          <w:numId w:val="15"/>
        </w:numPr>
        <w:spacing w:line="360" w:lineRule="auto"/>
        <w:rPr>
          <w:rFonts w:ascii="Verdana" w:hAnsi="Verdana"/>
          <w:sz w:val="18"/>
          <w:szCs w:val="18"/>
        </w:rPr>
      </w:pPr>
      <w:r>
        <w:rPr>
          <w:rFonts w:ascii="Verdana" w:hAnsi="Verdana"/>
          <w:color w:val="000000"/>
          <w:sz w:val="18"/>
          <w:szCs w:val="18"/>
        </w:rPr>
        <w:t xml:space="preserve">Het Voorzitterschap </w:t>
      </w:r>
      <w:r w:rsidR="00FA0331">
        <w:rPr>
          <w:rFonts w:ascii="Verdana" w:hAnsi="Verdana"/>
          <w:color w:val="000000"/>
          <w:sz w:val="18"/>
          <w:szCs w:val="18"/>
        </w:rPr>
        <w:t xml:space="preserve">wees </w:t>
      </w:r>
      <w:r w:rsidR="00584472">
        <w:rPr>
          <w:rFonts w:ascii="Verdana" w:hAnsi="Verdana"/>
          <w:color w:val="000000"/>
          <w:sz w:val="18"/>
          <w:szCs w:val="18"/>
        </w:rPr>
        <w:t xml:space="preserve"> </w:t>
      </w:r>
      <w:r w:rsidR="00FA0331">
        <w:rPr>
          <w:rFonts w:ascii="Verdana" w:hAnsi="Verdana"/>
          <w:color w:val="000000"/>
          <w:sz w:val="18"/>
          <w:szCs w:val="18"/>
        </w:rPr>
        <w:t>naar</w:t>
      </w:r>
      <w:r w:rsidR="00584472">
        <w:rPr>
          <w:rFonts w:ascii="Verdana" w:hAnsi="Verdana"/>
          <w:color w:val="000000"/>
          <w:sz w:val="18"/>
          <w:szCs w:val="18"/>
        </w:rPr>
        <w:t xml:space="preserve"> de schriftelijke t</w:t>
      </w:r>
      <w:r w:rsidR="00FA0331">
        <w:rPr>
          <w:rFonts w:ascii="Verdana" w:hAnsi="Verdana"/>
          <w:color w:val="000000"/>
          <w:sz w:val="18"/>
          <w:szCs w:val="18"/>
        </w:rPr>
        <w:t>erugkoppeling,</w:t>
      </w:r>
      <w:r w:rsidR="00A14576">
        <w:rPr>
          <w:rFonts w:ascii="Verdana" w:hAnsi="Verdana"/>
          <w:color w:val="000000"/>
          <w:sz w:val="18"/>
          <w:szCs w:val="18"/>
        </w:rPr>
        <w:t xml:space="preserve"> </w:t>
      </w:r>
      <w:r w:rsidR="00FA0331">
        <w:rPr>
          <w:rFonts w:ascii="Verdana" w:hAnsi="Verdana"/>
          <w:color w:val="000000"/>
          <w:sz w:val="18"/>
          <w:szCs w:val="18"/>
        </w:rPr>
        <w:t>bedankte de Grieken voor hun inzet</w:t>
      </w:r>
      <w:r w:rsidR="00A14576">
        <w:rPr>
          <w:rFonts w:ascii="Verdana" w:hAnsi="Verdana"/>
          <w:color w:val="000000"/>
          <w:sz w:val="18"/>
          <w:szCs w:val="18"/>
        </w:rPr>
        <w:t xml:space="preserve"> en feliciteerde Neder</w:t>
      </w:r>
      <w:r w:rsidR="00FA0331">
        <w:rPr>
          <w:rFonts w:ascii="Verdana" w:hAnsi="Verdana"/>
          <w:color w:val="000000"/>
          <w:sz w:val="18"/>
          <w:szCs w:val="18"/>
        </w:rPr>
        <w:t>land</w:t>
      </w:r>
      <w:r w:rsidR="00584472">
        <w:rPr>
          <w:rFonts w:ascii="Verdana" w:hAnsi="Verdana"/>
          <w:color w:val="000000"/>
          <w:sz w:val="18"/>
          <w:szCs w:val="18"/>
        </w:rPr>
        <w:t xml:space="preserve"> met de uitstekende organisatie.</w:t>
      </w:r>
    </w:p>
    <w:p w:rsidRPr="00A14576" w:rsidR="00A14576" w:rsidP="006838B3" w:rsidRDefault="00584472">
      <w:pPr>
        <w:pStyle w:val="NormalWeb"/>
        <w:numPr>
          <w:ilvl w:val="0"/>
          <w:numId w:val="12"/>
        </w:numPr>
        <w:spacing w:line="360" w:lineRule="auto"/>
        <w:rPr>
          <w:rFonts w:ascii="Verdana" w:hAnsi="Verdana"/>
          <w:sz w:val="18"/>
          <w:szCs w:val="18"/>
        </w:rPr>
      </w:pPr>
      <w:r w:rsidRPr="00FA0331">
        <w:rPr>
          <w:rFonts w:ascii="Verdana" w:hAnsi="Verdana"/>
          <w:color w:val="000000"/>
          <w:sz w:val="18"/>
          <w:szCs w:val="18"/>
        </w:rPr>
        <w:t>Resultaten</w:t>
      </w:r>
      <w:r>
        <w:rPr>
          <w:rFonts w:ascii="Verdana" w:hAnsi="Verdana"/>
          <w:sz w:val="18"/>
          <w:szCs w:val="18"/>
        </w:rPr>
        <w:t xml:space="preserve"> van de Vierde vergadering van de Conferentie van de partijen bij het Kaderverdrag voor de bescherming en duurzame ontwikkeling van de Karpaten (Mikulov, Tsjechië, 23 tot en met 26 september 2014) en het Tsjechische voorzitterschap voor het Verdrag 2014-2017</w:t>
      </w:r>
    </w:p>
    <w:p w:rsidR="00B3391D" w:rsidP="006838B3" w:rsidRDefault="00A14576">
      <w:pPr>
        <w:pStyle w:val="NormalWeb"/>
        <w:numPr>
          <w:ilvl w:val="0"/>
          <w:numId w:val="15"/>
        </w:numPr>
        <w:spacing w:line="360" w:lineRule="auto"/>
        <w:rPr>
          <w:b/>
          <w:i/>
          <w:szCs w:val="18"/>
        </w:rPr>
      </w:pPr>
      <w:r w:rsidRPr="00A14576">
        <w:rPr>
          <w:rFonts w:ascii="Verdana" w:hAnsi="Verdana"/>
          <w:sz w:val="18"/>
          <w:szCs w:val="18"/>
        </w:rPr>
        <w:t>Tsjechië </w:t>
      </w:r>
      <w:r>
        <w:rPr>
          <w:rFonts w:ascii="Verdana" w:hAnsi="Verdana"/>
          <w:sz w:val="18"/>
          <w:szCs w:val="18"/>
        </w:rPr>
        <w:t xml:space="preserve">gaf aan dat </w:t>
      </w:r>
      <w:r w:rsidRPr="00A14576" w:rsidR="00584472">
        <w:rPr>
          <w:rFonts w:ascii="Verdana" w:hAnsi="Verdana"/>
          <w:sz w:val="18"/>
          <w:szCs w:val="18"/>
        </w:rPr>
        <w:t>besproken</w:t>
      </w:r>
      <w:r>
        <w:rPr>
          <w:rFonts w:ascii="Verdana" w:hAnsi="Verdana"/>
          <w:sz w:val="18"/>
          <w:szCs w:val="18"/>
        </w:rPr>
        <w:t xml:space="preserve"> is</w:t>
      </w:r>
      <w:r w:rsidRPr="00A14576" w:rsidR="00584472">
        <w:rPr>
          <w:rFonts w:ascii="Verdana" w:hAnsi="Verdana"/>
          <w:sz w:val="18"/>
          <w:szCs w:val="18"/>
        </w:rPr>
        <w:t xml:space="preserve"> hoe het beleid voor de Karpaten beter kan aansluiten bij Europese strategieën. </w:t>
      </w:r>
      <w:r>
        <w:rPr>
          <w:b/>
          <w:i/>
          <w:szCs w:val="18"/>
        </w:rPr>
        <w:t xml:space="preserve"> </w:t>
      </w:r>
    </w:p>
    <w:p w:rsidR="00D03098" w:rsidP="00D03098" w:rsidRDefault="00B3391D">
      <w:pPr>
        <w:spacing w:line="360" w:lineRule="auto"/>
        <w:rPr>
          <w:b/>
          <w:szCs w:val="18"/>
        </w:rPr>
      </w:pPr>
      <w:r w:rsidRPr="009F745B">
        <w:rPr>
          <w:b/>
          <w:szCs w:val="18"/>
        </w:rPr>
        <w:t>European Sustainable Developement Week</w:t>
      </w:r>
    </w:p>
    <w:p w:rsidRPr="00D03098" w:rsidR="00A14576" w:rsidP="00D03098" w:rsidRDefault="00A14576">
      <w:pPr>
        <w:spacing w:line="360" w:lineRule="auto"/>
        <w:rPr>
          <w:b/>
          <w:szCs w:val="18"/>
        </w:rPr>
      </w:pPr>
      <w:r w:rsidRPr="00A14576">
        <w:rPr>
          <w:szCs w:val="18"/>
        </w:rPr>
        <w:t xml:space="preserve">Duitsland, Frankrijk, Oostenrijk en Finland </w:t>
      </w:r>
      <w:r w:rsidRPr="00A14576" w:rsidR="009F745B">
        <w:rPr>
          <w:szCs w:val="18"/>
        </w:rPr>
        <w:t>riepen lidstaten op</w:t>
      </w:r>
      <w:r>
        <w:rPr>
          <w:szCs w:val="18"/>
        </w:rPr>
        <w:t xml:space="preserve"> om</w:t>
      </w:r>
      <w:r w:rsidRPr="00A14576" w:rsidR="009F745B">
        <w:rPr>
          <w:szCs w:val="18"/>
        </w:rPr>
        <w:t xml:space="preserve"> mee te doen met de Europese week van de duurzame ontwikkeling </w:t>
      </w:r>
      <w:r>
        <w:rPr>
          <w:szCs w:val="18"/>
        </w:rPr>
        <w:t xml:space="preserve">die in 2015 voor het eerst zal worden gehouden </w:t>
      </w:r>
      <w:r w:rsidRPr="00A14576" w:rsidR="009F745B">
        <w:rPr>
          <w:szCs w:val="18"/>
        </w:rPr>
        <w:t>(3</w:t>
      </w:r>
      <w:r w:rsidRPr="00A14576" w:rsidR="00A56BB1">
        <w:rPr>
          <w:szCs w:val="18"/>
        </w:rPr>
        <w:t>0</w:t>
      </w:r>
      <w:r w:rsidRPr="00A14576" w:rsidR="009F745B">
        <w:rPr>
          <w:szCs w:val="18"/>
        </w:rPr>
        <w:t xml:space="preserve"> mei tot en met 5 juni 2015).</w:t>
      </w:r>
      <w:r w:rsidRPr="00A14576">
        <w:rPr>
          <w:szCs w:val="18"/>
        </w:rPr>
        <w:t xml:space="preserve"> </w:t>
      </w:r>
      <w:r>
        <w:rPr>
          <w:szCs w:val="18"/>
        </w:rPr>
        <w:t>De Commissie wees op haar eigen Green Week, die veel raakvlakken en relevante thema’s kent.</w:t>
      </w:r>
    </w:p>
    <w:p w:rsidRPr="009F745B" w:rsidR="009F745B" w:rsidP="006838B3" w:rsidRDefault="009F745B">
      <w:pPr>
        <w:spacing w:line="360" w:lineRule="auto"/>
        <w:rPr>
          <w:szCs w:val="18"/>
          <w:u w:val="single"/>
        </w:rPr>
      </w:pPr>
    </w:p>
    <w:p w:rsidRPr="007A5587" w:rsidR="00B5415B" w:rsidP="006838B3" w:rsidRDefault="00B5415B">
      <w:pPr>
        <w:spacing w:line="360" w:lineRule="auto"/>
        <w:rPr>
          <w:szCs w:val="18"/>
        </w:rPr>
      </w:pPr>
    </w:p>
    <w:p w:rsidRPr="007A5587" w:rsidR="00B5415B" w:rsidP="006838B3" w:rsidRDefault="00B5415B">
      <w:pPr>
        <w:spacing w:line="360" w:lineRule="auto"/>
        <w:rPr>
          <w:szCs w:val="18"/>
        </w:rPr>
      </w:pPr>
    </w:p>
    <w:p w:rsidRPr="007A5587" w:rsidR="007865BE" w:rsidP="006838B3" w:rsidRDefault="007865BE">
      <w:pPr>
        <w:spacing w:line="360" w:lineRule="auto"/>
        <w:rPr>
          <w:szCs w:val="18"/>
        </w:rPr>
      </w:pPr>
    </w:p>
    <w:sectPr w:rsidRPr="007A5587" w:rsidR="007865B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88" w:rsidRDefault="00954888" w:rsidP="00D51DBE">
      <w:pPr>
        <w:spacing w:line="240" w:lineRule="auto"/>
      </w:pPr>
      <w:r>
        <w:separator/>
      </w:r>
    </w:p>
  </w:endnote>
  <w:endnote w:type="continuationSeparator" w:id="0">
    <w:p w:rsidR="00954888" w:rsidRDefault="00954888" w:rsidP="00D51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88" w:rsidRDefault="00954888" w:rsidP="00D51DBE">
      <w:pPr>
        <w:spacing w:line="240" w:lineRule="auto"/>
      </w:pPr>
      <w:r>
        <w:separator/>
      </w:r>
    </w:p>
  </w:footnote>
  <w:footnote w:type="continuationSeparator" w:id="0">
    <w:p w:rsidR="00954888" w:rsidRDefault="00954888" w:rsidP="00D51DBE">
      <w:pPr>
        <w:spacing w:line="240" w:lineRule="auto"/>
      </w:pPr>
      <w:r>
        <w:continuationSeparator/>
      </w:r>
    </w:p>
  </w:footnote>
  <w:footnote w:id="1">
    <w:p w:rsidR="00CA2E54" w:rsidRDefault="00CA2E54">
      <w:pPr>
        <w:pStyle w:val="FootnoteText"/>
      </w:pPr>
      <w:r>
        <w:rPr>
          <w:rStyle w:val="FootnoteReference"/>
        </w:rPr>
        <w:footnoteRef/>
      </w:r>
      <w:r>
        <w:t xml:space="preserve"> </w:t>
      </w:r>
      <w:r w:rsidRPr="00E80E9D">
        <w:rPr>
          <w:sz w:val="16"/>
          <w:szCs w:val="16"/>
        </w:rPr>
        <w:t>Raadsdocument</w:t>
      </w:r>
      <w:r w:rsidRPr="00E80E9D">
        <w:rPr>
          <w:color w:val="FF0000"/>
          <w:sz w:val="16"/>
          <w:szCs w:val="16"/>
        </w:rPr>
        <w:t xml:space="preserve"> </w:t>
      </w:r>
      <w:r w:rsidRPr="00E80E9D">
        <w:rPr>
          <w:sz w:val="16"/>
          <w:szCs w:val="16"/>
        </w:rPr>
        <w:t>st14200 en14</w:t>
      </w:r>
    </w:p>
  </w:footnote>
  <w:footnote w:id="2">
    <w:p w:rsidR="00A65A63" w:rsidRPr="00063239" w:rsidRDefault="00A65A63" w:rsidP="00063239">
      <w:pPr>
        <w:pStyle w:val="FootnoteText"/>
      </w:pPr>
      <w:r>
        <w:rPr>
          <w:rStyle w:val="FootnoteReference"/>
        </w:rPr>
        <w:footnoteRef/>
      </w:r>
      <w:r>
        <w:t xml:space="preserve"> </w:t>
      </w:r>
      <w:r w:rsidR="00063239">
        <w:t xml:space="preserve">- </w:t>
      </w:r>
      <w:r w:rsidRPr="00D51DBE">
        <w:rPr>
          <w:sz w:val="16"/>
          <w:szCs w:val="16"/>
        </w:rPr>
        <w:t>Voorstel tot wijziging van de Richtlijnen 2008</w:t>
      </w:r>
      <w:r>
        <w:rPr>
          <w:sz w:val="16"/>
          <w:szCs w:val="16"/>
        </w:rPr>
        <w:t>/98/EG betreffende afvalstoffen</w:t>
      </w:r>
      <w:r w:rsidRPr="00D51DBE">
        <w:rPr>
          <w:sz w:val="16"/>
          <w:szCs w:val="16"/>
        </w:rPr>
        <w:t xml:space="preserve"> </w:t>
      </w:r>
    </w:p>
    <w:p w:rsidR="00A65A63" w:rsidRDefault="00A65A63" w:rsidP="00063239">
      <w:pPr>
        <w:pStyle w:val="FootnoteText"/>
        <w:numPr>
          <w:ilvl w:val="0"/>
          <w:numId w:val="10"/>
        </w:numPr>
        <w:rPr>
          <w:sz w:val="16"/>
          <w:szCs w:val="16"/>
        </w:rPr>
      </w:pPr>
      <w:r w:rsidRPr="00D51DBE">
        <w:rPr>
          <w:sz w:val="16"/>
          <w:szCs w:val="16"/>
        </w:rPr>
        <w:t xml:space="preserve">94/62/EG betreffende </w:t>
      </w:r>
      <w:r>
        <w:rPr>
          <w:sz w:val="16"/>
          <w:szCs w:val="16"/>
        </w:rPr>
        <w:t>verpakking en verpakkingsafval</w:t>
      </w:r>
    </w:p>
    <w:p w:rsidR="00A65A63" w:rsidRPr="00D51DBE" w:rsidRDefault="00A65A63" w:rsidP="00063239">
      <w:pPr>
        <w:pStyle w:val="FootnoteText"/>
        <w:numPr>
          <w:ilvl w:val="0"/>
          <w:numId w:val="10"/>
        </w:numPr>
      </w:pPr>
      <w:r w:rsidRPr="00D51DBE">
        <w:rPr>
          <w:sz w:val="16"/>
          <w:szCs w:val="16"/>
        </w:rPr>
        <w:t>1999/31/EG betreffen</w:t>
      </w:r>
      <w:r>
        <w:rPr>
          <w:sz w:val="16"/>
          <w:szCs w:val="16"/>
        </w:rPr>
        <w:t>de het storten van afvalstoffen</w:t>
      </w:r>
      <w:r w:rsidRPr="00D51DBE">
        <w:rPr>
          <w:sz w:val="16"/>
          <w:szCs w:val="16"/>
        </w:rPr>
        <w:t xml:space="preserve"> </w:t>
      </w:r>
    </w:p>
    <w:p w:rsidR="00A65A63" w:rsidRPr="00D51DBE" w:rsidRDefault="00A65A63" w:rsidP="00063239">
      <w:pPr>
        <w:pStyle w:val="FootnoteText"/>
        <w:numPr>
          <w:ilvl w:val="0"/>
          <w:numId w:val="10"/>
        </w:numPr>
      </w:pPr>
      <w:r w:rsidRPr="00D51DBE">
        <w:rPr>
          <w:sz w:val="16"/>
          <w:szCs w:val="16"/>
        </w:rPr>
        <w:t>200</w:t>
      </w:r>
      <w:r>
        <w:rPr>
          <w:sz w:val="16"/>
          <w:szCs w:val="16"/>
        </w:rPr>
        <w:t>0/53/EG betreffende autowrakken</w:t>
      </w:r>
      <w:r w:rsidRPr="00D51DBE">
        <w:rPr>
          <w:sz w:val="16"/>
          <w:szCs w:val="16"/>
        </w:rPr>
        <w:t xml:space="preserve"> </w:t>
      </w:r>
    </w:p>
    <w:p w:rsidR="00A65A63" w:rsidRPr="00D51DBE" w:rsidRDefault="00A65A63" w:rsidP="00063239">
      <w:pPr>
        <w:pStyle w:val="FootnoteText"/>
        <w:numPr>
          <w:ilvl w:val="0"/>
          <w:numId w:val="10"/>
        </w:numPr>
      </w:pPr>
      <w:r w:rsidRPr="00D51DBE">
        <w:rPr>
          <w:sz w:val="16"/>
          <w:szCs w:val="16"/>
        </w:rPr>
        <w:t xml:space="preserve">2006/66/EG inzake batterijen en accu’s -alsook afgedankte batterijen en accu’s- en </w:t>
      </w:r>
    </w:p>
    <w:p w:rsidR="00A65A63" w:rsidRDefault="00A65A63" w:rsidP="00063239">
      <w:pPr>
        <w:pStyle w:val="FootnoteText"/>
        <w:numPr>
          <w:ilvl w:val="0"/>
          <w:numId w:val="10"/>
        </w:numPr>
      </w:pPr>
      <w:r w:rsidRPr="00D51DBE">
        <w:rPr>
          <w:sz w:val="16"/>
          <w:szCs w:val="16"/>
        </w:rPr>
        <w:t>2012/19/EU betreffende afgedankte elektrische en elektronische apparatuur.</w:t>
      </w:r>
    </w:p>
  </w:footnote>
  <w:footnote w:id="3">
    <w:p w:rsidR="00CA2E54" w:rsidRDefault="00CA2E54">
      <w:pPr>
        <w:pStyle w:val="FootnoteText"/>
      </w:pPr>
      <w:r>
        <w:rPr>
          <w:rStyle w:val="FootnoteReference"/>
        </w:rPr>
        <w:footnoteRef/>
      </w:r>
      <w:r>
        <w:t xml:space="preserve"> </w:t>
      </w:r>
      <w:r>
        <w:rPr>
          <w:sz w:val="16"/>
          <w:szCs w:val="16"/>
        </w:rPr>
        <w:t>R</w:t>
      </w:r>
      <w:r w:rsidRPr="00CA2E54">
        <w:rPr>
          <w:sz w:val="16"/>
          <w:szCs w:val="16"/>
        </w:rPr>
        <w:t>aadsdocument 14747/14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B64"/>
    <w:multiLevelType w:val="hybridMultilevel"/>
    <w:tmpl w:val="1A4C1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8904AC"/>
    <w:multiLevelType w:val="hybridMultilevel"/>
    <w:tmpl w:val="D66C764A"/>
    <w:lvl w:ilvl="0" w:tplc="00C25564">
      <w:start w:val="1"/>
      <w:numFmt w:val="bullet"/>
      <w:lvlText w:val=""/>
      <w:lvlJc w:val="left"/>
      <w:pPr>
        <w:ind w:left="40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nsid w:val="1FA65E84"/>
    <w:multiLevelType w:val="hybridMultilevel"/>
    <w:tmpl w:val="67CA11BA"/>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3">
    <w:nsid w:val="2570644D"/>
    <w:multiLevelType w:val="hybridMultilevel"/>
    <w:tmpl w:val="31028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75B037E"/>
    <w:multiLevelType w:val="hybridMultilevel"/>
    <w:tmpl w:val="1564EED4"/>
    <w:lvl w:ilvl="0" w:tplc="00C255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0269AF"/>
    <w:multiLevelType w:val="hybridMultilevel"/>
    <w:tmpl w:val="6F1621F8"/>
    <w:lvl w:ilvl="0" w:tplc="00C255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E1B1F28"/>
    <w:multiLevelType w:val="hybridMultilevel"/>
    <w:tmpl w:val="FBC8F26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8F02EF1"/>
    <w:multiLevelType w:val="hybridMultilevel"/>
    <w:tmpl w:val="1CFEB3A4"/>
    <w:lvl w:ilvl="0" w:tplc="00C255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F76F99"/>
    <w:multiLevelType w:val="hybridMultilevel"/>
    <w:tmpl w:val="19C4E210"/>
    <w:lvl w:ilvl="0" w:tplc="00C25564">
      <w:start w:val="1"/>
      <w:numFmt w:val="bullet"/>
      <w:lvlText w:val=""/>
      <w:lvlJc w:val="left"/>
      <w:pPr>
        <w:ind w:left="40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nsid w:val="645428D2"/>
    <w:multiLevelType w:val="hybridMultilevel"/>
    <w:tmpl w:val="608C3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3C69F2"/>
    <w:multiLevelType w:val="hybridMultilevel"/>
    <w:tmpl w:val="5694E8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2062B0D"/>
    <w:multiLevelType w:val="hybridMultilevel"/>
    <w:tmpl w:val="8F427422"/>
    <w:lvl w:ilvl="0" w:tplc="00C255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907EDD"/>
    <w:multiLevelType w:val="hybridMultilevel"/>
    <w:tmpl w:val="026A12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E98511A"/>
    <w:multiLevelType w:val="hybridMultilevel"/>
    <w:tmpl w:val="2BF852A4"/>
    <w:lvl w:ilvl="0" w:tplc="9134E5A4">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F62244A"/>
    <w:multiLevelType w:val="hybridMultilevel"/>
    <w:tmpl w:val="78220B90"/>
    <w:lvl w:ilvl="0" w:tplc="00C2556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5"/>
  </w:num>
  <w:num w:numId="4">
    <w:abstractNumId w:val="1"/>
  </w:num>
  <w:num w:numId="5">
    <w:abstractNumId w:val="8"/>
  </w:num>
  <w:num w:numId="6">
    <w:abstractNumId w:val="3"/>
  </w:num>
  <w:num w:numId="7">
    <w:abstractNumId w:val="11"/>
  </w:num>
  <w:num w:numId="8">
    <w:abstractNumId w:val="7"/>
  </w:num>
  <w:num w:numId="9">
    <w:abstractNumId w:val="4"/>
  </w:num>
  <w:num w:numId="10">
    <w:abstractNumId w:val="13"/>
  </w:num>
  <w:num w:numId="11">
    <w:abstractNumId w:val="12"/>
  </w:num>
  <w:num w:numId="12">
    <w:abstractNumId w:val="6"/>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D68"/>
    <w:rsid w:val="0000236C"/>
    <w:rsid w:val="00025CFF"/>
    <w:rsid w:val="00034FC5"/>
    <w:rsid w:val="00045506"/>
    <w:rsid w:val="00063239"/>
    <w:rsid w:val="000635A5"/>
    <w:rsid w:val="000A48B0"/>
    <w:rsid w:val="000B5B05"/>
    <w:rsid w:val="000B6A57"/>
    <w:rsid w:val="000E44D9"/>
    <w:rsid w:val="000F128A"/>
    <w:rsid w:val="000F23C0"/>
    <w:rsid w:val="00111F5F"/>
    <w:rsid w:val="0011771E"/>
    <w:rsid w:val="001251D5"/>
    <w:rsid w:val="00131948"/>
    <w:rsid w:val="001353CD"/>
    <w:rsid w:val="001442B7"/>
    <w:rsid w:val="00151BDE"/>
    <w:rsid w:val="0015672C"/>
    <w:rsid w:val="00162121"/>
    <w:rsid w:val="00163933"/>
    <w:rsid w:val="001668A9"/>
    <w:rsid w:val="001715B8"/>
    <w:rsid w:val="00172134"/>
    <w:rsid w:val="00176BE7"/>
    <w:rsid w:val="00195D5E"/>
    <w:rsid w:val="001B0CAE"/>
    <w:rsid w:val="001D045F"/>
    <w:rsid w:val="001D11CB"/>
    <w:rsid w:val="001F0DA0"/>
    <w:rsid w:val="00200988"/>
    <w:rsid w:val="002060DC"/>
    <w:rsid w:val="00213513"/>
    <w:rsid w:val="00232F87"/>
    <w:rsid w:val="00237A09"/>
    <w:rsid w:val="00245813"/>
    <w:rsid w:val="00255731"/>
    <w:rsid w:val="00255B45"/>
    <w:rsid w:val="0026576B"/>
    <w:rsid w:val="00266003"/>
    <w:rsid w:val="00266FE9"/>
    <w:rsid w:val="002971F3"/>
    <w:rsid w:val="002D08D0"/>
    <w:rsid w:val="002D194C"/>
    <w:rsid w:val="002E2177"/>
    <w:rsid w:val="002F2808"/>
    <w:rsid w:val="00304632"/>
    <w:rsid w:val="00310C46"/>
    <w:rsid w:val="00312B16"/>
    <w:rsid w:val="00317C6A"/>
    <w:rsid w:val="0032638E"/>
    <w:rsid w:val="00355C1D"/>
    <w:rsid w:val="003602BE"/>
    <w:rsid w:val="00367496"/>
    <w:rsid w:val="00371E92"/>
    <w:rsid w:val="00396489"/>
    <w:rsid w:val="003E4971"/>
    <w:rsid w:val="003F7829"/>
    <w:rsid w:val="004018E4"/>
    <w:rsid w:val="0042746B"/>
    <w:rsid w:val="0046397E"/>
    <w:rsid w:val="00486A11"/>
    <w:rsid w:val="004A708D"/>
    <w:rsid w:val="004B6445"/>
    <w:rsid w:val="004F3F5D"/>
    <w:rsid w:val="00501EC4"/>
    <w:rsid w:val="00505411"/>
    <w:rsid w:val="005176BA"/>
    <w:rsid w:val="00573AC6"/>
    <w:rsid w:val="00580C74"/>
    <w:rsid w:val="00584472"/>
    <w:rsid w:val="00585B6D"/>
    <w:rsid w:val="00585B76"/>
    <w:rsid w:val="005C38B9"/>
    <w:rsid w:val="005E540B"/>
    <w:rsid w:val="006009FE"/>
    <w:rsid w:val="00611209"/>
    <w:rsid w:val="00640ADB"/>
    <w:rsid w:val="0064383C"/>
    <w:rsid w:val="00662F51"/>
    <w:rsid w:val="00683092"/>
    <w:rsid w:val="006838B3"/>
    <w:rsid w:val="00690376"/>
    <w:rsid w:val="006B0E0E"/>
    <w:rsid w:val="006C3028"/>
    <w:rsid w:val="006E0EAD"/>
    <w:rsid w:val="006E388A"/>
    <w:rsid w:val="006F35FE"/>
    <w:rsid w:val="007317F9"/>
    <w:rsid w:val="00737769"/>
    <w:rsid w:val="0074273C"/>
    <w:rsid w:val="00773142"/>
    <w:rsid w:val="007865BE"/>
    <w:rsid w:val="00786ED8"/>
    <w:rsid w:val="007A5587"/>
    <w:rsid w:val="007C470C"/>
    <w:rsid w:val="007E5ED7"/>
    <w:rsid w:val="007F53D4"/>
    <w:rsid w:val="008106E9"/>
    <w:rsid w:val="0081380E"/>
    <w:rsid w:val="0084246C"/>
    <w:rsid w:val="00844DA2"/>
    <w:rsid w:val="00885CF9"/>
    <w:rsid w:val="00891454"/>
    <w:rsid w:val="008A67F9"/>
    <w:rsid w:val="008D18DC"/>
    <w:rsid w:val="008E1590"/>
    <w:rsid w:val="0090135E"/>
    <w:rsid w:val="00942086"/>
    <w:rsid w:val="0095053A"/>
    <w:rsid w:val="00954888"/>
    <w:rsid w:val="00965C9B"/>
    <w:rsid w:val="0096620D"/>
    <w:rsid w:val="0098105D"/>
    <w:rsid w:val="009911B7"/>
    <w:rsid w:val="00991372"/>
    <w:rsid w:val="00995CA7"/>
    <w:rsid w:val="00996C1B"/>
    <w:rsid w:val="00997011"/>
    <w:rsid w:val="009D1C4D"/>
    <w:rsid w:val="009D474A"/>
    <w:rsid w:val="009E0A76"/>
    <w:rsid w:val="009E73DD"/>
    <w:rsid w:val="009F3C1A"/>
    <w:rsid w:val="009F57AB"/>
    <w:rsid w:val="009F745B"/>
    <w:rsid w:val="00A027E7"/>
    <w:rsid w:val="00A10B01"/>
    <w:rsid w:val="00A14576"/>
    <w:rsid w:val="00A1689C"/>
    <w:rsid w:val="00A17C6E"/>
    <w:rsid w:val="00A3357D"/>
    <w:rsid w:val="00A56BB1"/>
    <w:rsid w:val="00A6447D"/>
    <w:rsid w:val="00A65A63"/>
    <w:rsid w:val="00AA0E9A"/>
    <w:rsid w:val="00AD40E6"/>
    <w:rsid w:val="00AE20E3"/>
    <w:rsid w:val="00AE36D7"/>
    <w:rsid w:val="00B01460"/>
    <w:rsid w:val="00B30100"/>
    <w:rsid w:val="00B3391D"/>
    <w:rsid w:val="00B36C96"/>
    <w:rsid w:val="00B51802"/>
    <w:rsid w:val="00B5415B"/>
    <w:rsid w:val="00BA4DBA"/>
    <w:rsid w:val="00BB1AFA"/>
    <w:rsid w:val="00BC36FF"/>
    <w:rsid w:val="00BE0F01"/>
    <w:rsid w:val="00BE74C3"/>
    <w:rsid w:val="00BF06A6"/>
    <w:rsid w:val="00C34CA4"/>
    <w:rsid w:val="00C44094"/>
    <w:rsid w:val="00C639BA"/>
    <w:rsid w:val="00C64639"/>
    <w:rsid w:val="00C71FA4"/>
    <w:rsid w:val="00C93684"/>
    <w:rsid w:val="00CA2E54"/>
    <w:rsid w:val="00CC3EFD"/>
    <w:rsid w:val="00CE6994"/>
    <w:rsid w:val="00D0243A"/>
    <w:rsid w:val="00D03098"/>
    <w:rsid w:val="00D12723"/>
    <w:rsid w:val="00D37D80"/>
    <w:rsid w:val="00D4555E"/>
    <w:rsid w:val="00D50E5F"/>
    <w:rsid w:val="00D51DBE"/>
    <w:rsid w:val="00D52FA8"/>
    <w:rsid w:val="00D81E22"/>
    <w:rsid w:val="00D92F96"/>
    <w:rsid w:val="00DA1E51"/>
    <w:rsid w:val="00DA6864"/>
    <w:rsid w:val="00DB2D68"/>
    <w:rsid w:val="00DC4D43"/>
    <w:rsid w:val="00DD24E0"/>
    <w:rsid w:val="00DF445C"/>
    <w:rsid w:val="00DF4B39"/>
    <w:rsid w:val="00E12CD6"/>
    <w:rsid w:val="00E32E16"/>
    <w:rsid w:val="00E4558E"/>
    <w:rsid w:val="00E546D6"/>
    <w:rsid w:val="00E673AF"/>
    <w:rsid w:val="00E80E9D"/>
    <w:rsid w:val="00E95D59"/>
    <w:rsid w:val="00EA3E7A"/>
    <w:rsid w:val="00EC13BE"/>
    <w:rsid w:val="00EF40BE"/>
    <w:rsid w:val="00EF6C24"/>
    <w:rsid w:val="00F03FD8"/>
    <w:rsid w:val="00F21298"/>
    <w:rsid w:val="00F22CDC"/>
    <w:rsid w:val="00F308D0"/>
    <w:rsid w:val="00F572EA"/>
    <w:rsid w:val="00F62BB1"/>
    <w:rsid w:val="00F9539F"/>
    <w:rsid w:val="00FA0331"/>
    <w:rsid w:val="00FA215E"/>
    <w:rsid w:val="00FA4252"/>
    <w:rsid w:val="00FA514D"/>
    <w:rsid w:val="00FC5B87"/>
    <w:rsid w:val="00FD6DA9"/>
    <w:rsid w:val="00FF46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D6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C1D"/>
    <w:pPr>
      <w:spacing w:after="0" w:line="240" w:lineRule="auto"/>
    </w:pPr>
    <w:rPr>
      <w:rFonts w:eastAsiaTheme="minorEastAsia"/>
      <w:lang w:eastAsia="nl-NL"/>
    </w:rPr>
  </w:style>
  <w:style w:type="paragraph" w:styleId="ListParagraph">
    <w:name w:val="List Paragraph"/>
    <w:basedOn w:val="Normal"/>
    <w:uiPriority w:val="34"/>
    <w:qFormat/>
    <w:rsid w:val="007865BE"/>
    <w:pPr>
      <w:widowControl/>
      <w:suppressAutoHyphens w:val="0"/>
      <w:autoSpaceDN/>
      <w:spacing w:after="200" w:line="240" w:lineRule="auto"/>
      <w:ind w:left="720"/>
      <w:contextualSpacing/>
      <w:textAlignment w:val="auto"/>
    </w:pPr>
    <w:rPr>
      <w:rFonts w:eastAsiaTheme="minorHAnsi" w:cstheme="minorBidi"/>
      <w:kern w:val="0"/>
      <w:szCs w:val="22"/>
      <w:lang w:val="en-US" w:eastAsia="en-US" w:bidi="ar-SA"/>
    </w:rPr>
  </w:style>
  <w:style w:type="paragraph" w:styleId="BalloonText">
    <w:name w:val="Balloon Text"/>
    <w:basedOn w:val="Normal"/>
    <w:link w:val="BalloonTextChar"/>
    <w:uiPriority w:val="99"/>
    <w:semiHidden/>
    <w:unhideWhenUsed/>
    <w:rsid w:val="001668A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68A9"/>
    <w:rPr>
      <w:rFonts w:ascii="Tahoma" w:eastAsia="DejaVu Sans" w:hAnsi="Tahoma" w:cs="Mangal"/>
      <w:kern w:val="3"/>
      <w:sz w:val="16"/>
      <w:szCs w:val="14"/>
      <w:lang w:eastAsia="zh-CN" w:bidi="hi-IN"/>
    </w:rPr>
  </w:style>
  <w:style w:type="paragraph" w:styleId="FootnoteText">
    <w:name w:val="footnote text"/>
    <w:basedOn w:val="Normal"/>
    <w:link w:val="FootnoteTextChar"/>
    <w:uiPriority w:val="99"/>
    <w:semiHidden/>
    <w:unhideWhenUsed/>
    <w:rsid w:val="00D51DBE"/>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D51DBE"/>
    <w:rPr>
      <w:rFonts w:ascii="Verdana" w:eastAsia="DejaVu Sans" w:hAnsi="Verdana" w:cs="Mangal"/>
      <w:kern w:val="3"/>
      <w:sz w:val="20"/>
      <w:szCs w:val="18"/>
      <w:lang w:eastAsia="zh-CN" w:bidi="hi-IN"/>
    </w:rPr>
  </w:style>
  <w:style w:type="character" w:styleId="FootnoteReference">
    <w:name w:val="footnote reference"/>
    <w:basedOn w:val="DefaultParagraphFont"/>
    <w:uiPriority w:val="99"/>
    <w:semiHidden/>
    <w:unhideWhenUsed/>
    <w:rsid w:val="00D51DBE"/>
    <w:rPr>
      <w:vertAlign w:val="superscript"/>
    </w:rPr>
  </w:style>
  <w:style w:type="character" w:styleId="CommentReference">
    <w:name w:val="annotation reference"/>
    <w:basedOn w:val="DefaultParagraphFont"/>
    <w:uiPriority w:val="99"/>
    <w:semiHidden/>
    <w:unhideWhenUsed/>
    <w:rsid w:val="00DF4B39"/>
    <w:rPr>
      <w:sz w:val="16"/>
      <w:szCs w:val="16"/>
    </w:rPr>
  </w:style>
  <w:style w:type="paragraph" w:styleId="CommentText">
    <w:name w:val="annotation text"/>
    <w:basedOn w:val="Normal"/>
    <w:link w:val="CommentTextChar"/>
    <w:uiPriority w:val="99"/>
    <w:semiHidden/>
    <w:unhideWhenUsed/>
    <w:rsid w:val="00DF4B39"/>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DF4B39"/>
    <w:rPr>
      <w:rFonts w:ascii="Verdana" w:eastAsia="DejaVu Sans" w:hAnsi="Verdana" w:cs="Mangal"/>
      <w:kern w:val="3"/>
      <w:sz w:val="20"/>
      <w:szCs w:val="18"/>
      <w:lang w:eastAsia="zh-CN" w:bidi="hi-IN"/>
    </w:rPr>
  </w:style>
  <w:style w:type="paragraph" w:styleId="NormalWeb">
    <w:name w:val="Normal (Web)"/>
    <w:basedOn w:val="Normal"/>
    <w:uiPriority w:val="99"/>
    <w:unhideWhenUsed/>
    <w:rsid w:val="00584472"/>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lang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759">
      <w:bodyDiv w:val="1"/>
      <w:marLeft w:val="0"/>
      <w:marRight w:val="0"/>
      <w:marTop w:val="0"/>
      <w:marBottom w:val="0"/>
      <w:divBdr>
        <w:top w:val="none" w:sz="0" w:space="0" w:color="auto"/>
        <w:left w:val="none" w:sz="0" w:space="0" w:color="auto"/>
        <w:bottom w:val="none" w:sz="0" w:space="0" w:color="auto"/>
        <w:right w:val="none" w:sz="0" w:space="0" w:color="auto"/>
      </w:divBdr>
    </w:div>
    <w:div w:id="1242178844">
      <w:bodyDiv w:val="1"/>
      <w:marLeft w:val="0"/>
      <w:marRight w:val="0"/>
      <w:marTop w:val="0"/>
      <w:marBottom w:val="0"/>
      <w:divBdr>
        <w:top w:val="none" w:sz="0" w:space="0" w:color="auto"/>
        <w:left w:val="none" w:sz="0" w:space="0" w:color="auto"/>
        <w:bottom w:val="none" w:sz="0" w:space="0" w:color="auto"/>
        <w:right w:val="none" w:sz="0" w:space="0" w:color="auto"/>
      </w:divBdr>
    </w:div>
    <w:div w:id="1448506343">
      <w:bodyDiv w:val="1"/>
      <w:marLeft w:val="0"/>
      <w:marRight w:val="0"/>
      <w:marTop w:val="0"/>
      <w:marBottom w:val="0"/>
      <w:divBdr>
        <w:top w:val="none" w:sz="0" w:space="0" w:color="auto"/>
        <w:left w:val="none" w:sz="0" w:space="0" w:color="auto"/>
        <w:bottom w:val="none" w:sz="0" w:space="0" w:color="auto"/>
        <w:right w:val="none" w:sz="0" w:space="0" w:color="auto"/>
      </w:divBdr>
    </w:div>
    <w:div w:id="1511338154">
      <w:bodyDiv w:val="1"/>
      <w:marLeft w:val="0"/>
      <w:marRight w:val="0"/>
      <w:marTop w:val="0"/>
      <w:marBottom w:val="0"/>
      <w:divBdr>
        <w:top w:val="none" w:sz="0" w:space="0" w:color="auto"/>
        <w:left w:val="none" w:sz="0" w:space="0" w:color="auto"/>
        <w:bottom w:val="none" w:sz="0" w:space="0" w:color="auto"/>
        <w:right w:val="none" w:sz="0" w:space="0" w:color="auto"/>
      </w:divBdr>
      <w:divsChild>
        <w:div w:id="1689138482">
          <w:marLeft w:val="0"/>
          <w:marRight w:val="0"/>
          <w:marTop w:val="0"/>
          <w:marBottom w:val="0"/>
          <w:divBdr>
            <w:top w:val="none" w:sz="0" w:space="0" w:color="auto"/>
            <w:left w:val="none" w:sz="0" w:space="0" w:color="auto"/>
            <w:bottom w:val="none" w:sz="0" w:space="0" w:color="auto"/>
            <w:right w:val="none" w:sz="0" w:space="0" w:color="auto"/>
          </w:divBdr>
          <w:divsChild>
            <w:div w:id="881793492">
              <w:marLeft w:val="0"/>
              <w:marRight w:val="0"/>
              <w:marTop w:val="0"/>
              <w:marBottom w:val="0"/>
              <w:divBdr>
                <w:top w:val="none" w:sz="0" w:space="0" w:color="auto"/>
                <w:left w:val="none" w:sz="0" w:space="0" w:color="auto"/>
                <w:bottom w:val="none" w:sz="0" w:space="0" w:color="auto"/>
                <w:right w:val="none" w:sz="0" w:space="0" w:color="auto"/>
              </w:divBdr>
              <w:divsChild>
                <w:div w:id="1230193640">
                  <w:marLeft w:val="0"/>
                  <w:marRight w:val="0"/>
                  <w:marTop w:val="0"/>
                  <w:marBottom w:val="0"/>
                  <w:divBdr>
                    <w:top w:val="none" w:sz="0" w:space="0" w:color="auto"/>
                    <w:left w:val="none" w:sz="0" w:space="0" w:color="auto"/>
                    <w:bottom w:val="none" w:sz="0" w:space="0" w:color="auto"/>
                    <w:right w:val="none" w:sz="0" w:space="0" w:color="auto"/>
                  </w:divBdr>
                  <w:divsChild>
                    <w:div w:id="929585056">
                      <w:marLeft w:val="0"/>
                      <w:marRight w:val="0"/>
                      <w:marTop w:val="0"/>
                      <w:marBottom w:val="0"/>
                      <w:divBdr>
                        <w:top w:val="none" w:sz="0" w:space="0" w:color="auto"/>
                        <w:left w:val="none" w:sz="0" w:space="0" w:color="auto"/>
                        <w:bottom w:val="none" w:sz="0" w:space="0" w:color="auto"/>
                        <w:right w:val="none" w:sz="0" w:space="0" w:color="auto"/>
                      </w:divBdr>
                      <w:divsChild>
                        <w:div w:id="322860729">
                          <w:marLeft w:val="0"/>
                          <w:marRight w:val="0"/>
                          <w:marTop w:val="0"/>
                          <w:marBottom w:val="0"/>
                          <w:divBdr>
                            <w:top w:val="none" w:sz="0" w:space="0" w:color="auto"/>
                            <w:left w:val="none" w:sz="0" w:space="0" w:color="auto"/>
                            <w:bottom w:val="none" w:sz="0" w:space="0" w:color="auto"/>
                            <w:right w:val="none" w:sz="0" w:space="0" w:color="auto"/>
                          </w:divBdr>
                          <w:divsChild>
                            <w:div w:id="570240954">
                              <w:marLeft w:val="0"/>
                              <w:marRight w:val="0"/>
                              <w:marTop w:val="0"/>
                              <w:marBottom w:val="0"/>
                              <w:divBdr>
                                <w:top w:val="none" w:sz="0" w:space="0" w:color="auto"/>
                                <w:left w:val="none" w:sz="0" w:space="0" w:color="auto"/>
                                <w:bottom w:val="none" w:sz="0" w:space="0" w:color="auto"/>
                                <w:right w:val="none" w:sz="0" w:space="0" w:color="auto"/>
                              </w:divBdr>
                              <w:divsChild>
                                <w:div w:id="1034690920">
                                  <w:marLeft w:val="0"/>
                                  <w:marRight w:val="0"/>
                                  <w:marTop w:val="0"/>
                                  <w:marBottom w:val="0"/>
                                  <w:divBdr>
                                    <w:top w:val="none" w:sz="0" w:space="0" w:color="auto"/>
                                    <w:left w:val="none" w:sz="0" w:space="0" w:color="auto"/>
                                    <w:bottom w:val="none" w:sz="0" w:space="0" w:color="auto"/>
                                    <w:right w:val="none" w:sz="0" w:space="0" w:color="auto"/>
                                  </w:divBdr>
                                  <w:divsChild>
                                    <w:div w:id="1302273077">
                                      <w:marLeft w:val="60"/>
                                      <w:marRight w:val="0"/>
                                      <w:marTop w:val="0"/>
                                      <w:marBottom w:val="0"/>
                                      <w:divBdr>
                                        <w:top w:val="none" w:sz="0" w:space="0" w:color="auto"/>
                                        <w:left w:val="none" w:sz="0" w:space="0" w:color="auto"/>
                                        <w:bottom w:val="none" w:sz="0" w:space="0" w:color="auto"/>
                                        <w:right w:val="none" w:sz="0" w:space="0" w:color="auto"/>
                                      </w:divBdr>
                                      <w:divsChild>
                                        <w:div w:id="931624540">
                                          <w:marLeft w:val="0"/>
                                          <w:marRight w:val="0"/>
                                          <w:marTop w:val="0"/>
                                          <w:marBottom w:val="0"/>
                                          <w:divBdr>
                                            <w:top w:val="none" w:sz="0" w:space="0" w:color="auto"/>
                                            <w:left w:val="none" w:sz="0" w:space="0" w:color="auto"/>
                                            <w:bottom w:val="none" w:sz="0" w:space="0" w:color="auto"/>
                                            <w:right w:val="none" w:sz="0" w:space="0" w:color="auto"/>
                                          </w:divBdr>
                                          <w:divsChild>
                                            <w:div w:id="645596669">
                                              <w:marLeft w:val="0"/>
                                              <w:marRight w:val="0"/>
                                              <w:marTop w:val="0"/>
                                              <w:marBottom w:val="120"/>
                                              <w:divBdr>
                                                <w:top w:val="single" w:sz="6" w:space="0" w:color="F5F5F5"/>
                                                <w:left w:val="single" w:sz="6" w:space="0" w:color="F5F5F5"/>
                                                <w:bottom w:val="single" w:sz="6" w:space="0" w:color="F5F5F5"/>
                                                <w:right w:val="single" w:sz="6" w:space="0" w:color="F5F5F5"/>
                                              </w:divBdr>
                                              <w:divsChild>
                                                <w:div w:id="200047505">
                                                  <w:marLeft w:val="0"/>
                                                  <w:marRight w:val="0"/>
                                                  <w:marTop w:val="0"/>
                                                  <w:marBottom w:val="0"/>
                                                  <w:divBdr>
                                                    <w:top w:val="none" w:sz="0" w:space="0" w:color="auto"/>
                                                    <w:left w:val="none" w:sz="0" w:space="0" w:color="auto"/>
                                                    <w:bottom w:val="none" w:sz="0" w:space="0" w:color="auto"/>
                                                    <w:right w:val="none" w:sz="0" w:space="0" w:color="auto"/>
                                                  </w:divBdr>
                                                  <w:divsChild>
                                                    <w:div w:id="15741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694189">
      <w:bodyDiv w:val="1"/>
      <w:marLeft w:val="0"/>
      <w:marRight w:val="0"/>
      <w:marTop w:val="0"/>
      <w:marBottom w:val="0"/>
      <w:divBdr>
        <w:top w:val="none" w:sz="0" w:space="0" w:color="auto"/>
        <w:left w:val="none" w:sz="0" w:space="0" w:color="auto"/>
        <w:bottom w:val="none" w:sz="0" w:space="0" w:color="auto"/>
        <w:right w:val="none" w:sz="0" w:space="0" w:color="auto"/>
      </w:divBdr>
      <w:divsChild>
        <w:div w:id="1503932772">
          <w:marLeft w:val="0"/>
          <w:marRight w:val="0"/>
          <w:marTop w:val="0"/>
          <w:marBottom w:val="0"/>
          <w:divBdr>
            <w:top w:val="none" w:sz="0" w:space="0" w:color="auto"/>
            <w:left w:val="none" w:sz="0" w:space="0" w:color="auto"/>
            <w:bottom w:val="none" w:sz="0" w:space="0" w:color="auto"/>
            <w:right w:val="none" w:sz="0" w:space="0" w:color="auto"/>
          </w:divBdr>
          <w:divsChild>
            <w:div w:id="1884513596">
              <w:marLeft w:val="0"/>
              <w:marRight w:val="0"/>
              <w:marTop w:val="0"/>
              <w:marBottom w:val="0"/>
              <w:divBdr>
                <w:top w:val="none" w:sz="0" w:space="0" w:color="auto"/>
                <w:left w:val="none" w:sz="0" w:space="0" w:color="auto"/>
                <w:bottom w:val="none" w:sz="0" w:space="0" w:color="auto"/>
                <w:right w:val="none" w:sz="0" w:space="0" w:color="auto"/>
              </w:divBdr>
              <w:divsChild>
                <w:div w:id="1785536160">
                  <w:marLeft w:val="0"/>
                  <w:marRight w:val="0"/>
                  <w:marTop w:val="0"/>
                  <w:marBottom w:val="0"/>
                  <w:divBdr>
                    <w:top w:val="none" w:sz="0" w:space="0" w:color="auto"/>
                    <w:left w:val="none" w:sz="0" w:space="0" w:color="auto"/>
                    <w:bottom w:val="none" w:sz="0" w:space="0" w:color="auto"/>
                    <w:right w:val="none" w:sz="0" w:space="0" w:color="auto"/>
                  </w:divBdr>
                  <w:divsChild>
                    <w:div w:id="734547072">
                      <w:marLeft w:val="0"/>
                      <w:marRight w:val="0"/>
                      <w:marTop w:val="0"/>
                      <w:marBottom w:val="0"/>
                      <w:divBdr>
                        <w:top w:val="none" w:sz="0" w:space="0" w:color="auto"/>
                        <w:left w:val="none" w:sz="0" w:space="0" w:color="auto"/>
                        <w:bottom w:val="none" w:sz="0" w:space="0" w:color="auto"/>
                        <w:right w:val="none" w:sz="0" w:space="0" w:color="auto"/>
                      </w:divBdr>
                      <w:divsChild>
                        <w:div w:id="961378390">
                          <w:marLeft w:val="0"/>
                          <w:marRight w:val="0"/>
                          <w:marTop w:val="0"/>
                          <w:marBottom w:val="0"/>
                          <w:divBdr>
                            <w:top w:val="none" w:sz="0" w:space="0" w:color="auto"/>
                            <w:left w:val="none" w:sz="0" w:space="0" w:color="auto"/>
                            <w:bottom w:val="none" w:sz="0" w:space="0" w:color="auto"/>
                            <w:right w:val="none" w:sz="0" w:space="0" w:color="auto"/>
                          </w:divBdr>
                          <w:divsChild>
                            <w:div w:id="1525898588">
                              <w:marLeft w:val="0"/>
                              <w:marRight w:val="0"/>
                              <w:marTop w:val="0"/>
                              <w:marBottom w:val="0"/>
                              <w:divBdr>
                                <w:top w:val="none" w:sz="0" w:space="0" w:color="auto"/>
                                <w:left w:val="none" w:sz="0" w:space="0" w:color="auto"/>
                                <w:bottom w:val="none" w:sz="0" w:space="0" w:color="auto"/>
                                <w:right w:val="none" w:sz="0" w:space="0" w:color="auto"/>
                              </w:divBdr>
                              <w:divsChild>
                                <w:div w:id="1213231361">
                                  <w:marLeft w:val="0"/>
                                  <w:marRight w:val="0"/>
                                  <w:marTop w:val="0"/>
                                  <w:marBottom w:val="0"/>
                                  <w:divBdr>
                                    <w:top w:val="none" w:sz="0" w:space="0" w:color="auto"/>
                                    <w:left w:val="none" w:sz="0" w:space="0" w:color="auto"/>
                                    <w:bottom w:val="none" w:sz="0" w:space="0" w:color="auto"/>
                                    <w:right w:val="none" w:sz="0" w:space="0" w:color="auto"/>
                                  </w:divBdr>
                                  <w:divsChild>
                                    <w:div w:id="1638492963">
                                      <w:marLeft w:val="60"/>
                                      <w:marRight w:val="0"/>
                                      <w:marTop w:val="0"/>
                                      <w:marBottom w:val="0"/>
                                      <w:divBdr>
                                        <w:top w:val="none" w:sz="0" w:space="0" w:color="auto"/>
                                        <w:left w:val="none" w:sz="0" w:space="0" w:color="auto"/>
                                        <w:bottom w:val="none" w:sz="0" w:space="0" w:color="auto"/>
                                        <w:right w:val="none" w:sz="0" w:space="0" w:color="auto"/>
                                      </w:divBdr>
                                      <w:divsChild>
                                        <w:div w:id="113639943">
                                          <w:marLeft w:val="0"/>
                                          <w:marRight w:val="0"/>
                                          <w:marTop w:val="0"/>
                                          <w:marBottom w:val="0"/>
                                          <w:divBdr>
                                            <w:top w:val="none" w:sz="0" w:space="0" w:color="auto"/>
                                            <w:left w:val="none" w:sz="0" w:space="0" w:color="auto"/>
                                            <w:bottom w:val="none" w:sz="0" w:space="0" w:color="auto"/>
                                            <w:right w:val="none" w:sz="0" w:space="0" w:color="auto"/>
                                          </w:divBdr>
                                          <w:divsChild>
                                            <w:div w:id="1110776400">
                                              <w:marLeft w:val="0"/>
                                              <w:marRight w:val="0"/>
                                              <w:marTop w:val="0"/>
                                              <w:marBottom w:val="120"/>
                                              <w:divBdr>
                                                <w:top w:val="single" w:sz="6" w:space="0" w:color="F5F5F5"/>
                                                <w:left w:val="single" w:sz="6" w:space="0" w:color="F5F5F5"/>
                                                <w:bottom w:val="single" w:sz="6" w:space="0" w:color="F5F5F5"/>
                                                <w:right w:val="single" w:sz="6" w:space="0" w:color="F5F5F5"/>
                                              </w:divBdr>
                                              <w:divsChild>
                                                <w:div w:id="1907452470">
                                                  <w:marLeft w:val="0"/>
                                                  <w:marRight w:val="0"/>
                                                  <w:marTop w:val="0"/>
                                                  <w:marBottom w:val="0"/>
                                                  <w:divBdr>
                                                    <w:top w:val="none" w:sz="0" w:space="0" w:color="auto"/>
                                                    <w:left w:val="none" w:sz="0" w:space="0" w:color="auto"/>
                                                    <w:bottom w:val="none" w:sz="0" w:space="0" w:color="auto"/>
                                                    <w:right w:val="none" w:sz="0" w:space="0" w:color="auto"/>
                                                  </w:divBdr>
                                                  <w:divsChild>
                                                    <w:div w:id="18724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3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1912</ap:Words>
  <ap:Characters>10519</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2014-11-11T13:45:00.0000000Z</dcterms:created>
  <dcterms:modified xsi:type="dcterms:W3CDTF">2014-11-11T13:45:00.0000000Z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