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W14.14.0084/IV/K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mei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3048E" w:rsidRDefault="005F540C">
              <w:r>
                <w:t>Bij Kabinetsmissive van 31 maart 2014, no.2014000644, heeft Uwe Majesteit, op voordracht van de Minister van Buitenlandse Zaken, mede namens de Minister van Infrastructuur en Milieu, bij de Afdeling advisering van de Raad van State van het Koninkrijk ter overweging aanhangig gemaakt het voorstel van rijkswet houdende goedkeuring van het op 18 mei 2007 te Nairobi tot stand gekomen Internationaal Verdrag inzake het opruimen van wrakken, 2007 (Trb. 2008, 115), met memorie van toelichting.</w:t>
              </w:r>
            </w:p>
          </w:sdtContent>
        </w:sdt>
        <w:p w:rsidR="0071031E" w:rsidRDefault="0071031E"/>
        <w:sdt>
          <w:sdtPr>
            <w:alias w:val="VrijeTekst1"/>
            <w:tag w:val="VrijeTekst1"/>
            <w:id w:val="-437221631"/>
            <w:lock w:val="sdtLocked"/>
          </w:sdtPr>
          <w:sdtEndPr/>
          <w:sdtContent>
            <w:p w:rsidR="00950FD4" w:rsidP="009C6F22" w:rsidRDefault="005F540C">
              <w:r w:rsidRPr="00950FD4">
                <w:t xml:space="preserve">De Afdeling advisering van de Raad van State van het Koninkrijk onderschrijft de strekking van het voorstel van rijkswet, maar maakt daarbij </w:t>
              </w:r>
              <w:r>
                <w:t xml:space="preserve">een </w:t>
              </w:r>
              <w:r w:rsidRPr="00950FD4">
                <w:t>kanttekening</w:t>
              </w:r>
              <w:r>
                <w:t xml:space="preserve"> over de toelichting waarin wordt verwezen naar het internationaal gewoonterecht</w:t>
              </w:r>
              <w:r w:rsidRPr="00950FD4">
                <w:t>.</w:t>
              </w:r>
            </w:p>
            <w:p w:rsidR="00950FD4" w:rsidP="009C6F22" w:rsidRDefault="002232C1"/>
            <w:p w:rsidR="002D2092" w:rsidP="009C6F22" w:rsidRDefault="005F540C">
              <w:r>
                <w:t>De toelichting vermeldt dat de kuststaat op grond van het internationaal gewoonterecht maatregelen kan treffen ter bescherming van diens veiligheid en vitale belangen, ingeval van gevaar voor de scheepsveiligheid buiten de territoriale zee.</w:t>
              </w:r>
              <w:r>
                <w:rPr>
                  <w:rStyle w:val="Voetnootmarkering"/>
                </w:rPr>
                <w:footnoteReference w:id="1"/>
              </w:r>
              <w:r>
                <w:t xml:space="preserve"> </w:t>
              </w:r>
            </w:p>
            <w:p w:rsidR="002D2092" w:rsidP="009C6F22" w:rsidRDefault="002232C1"/>
            <w:p w:rsidR="00F928AC" w:rsidP="002D2092" w:rsidRDefault="005F540C">
              <w:r>
                <w:t>Voor de ontwikkeling van internationaal gewoonterecht is onder meer van belang dat sprake is van een constante en uniforme statenpraktijk, gedurende een bepaalde periode. Voorts dient de overtuiging te bestaan dat deze statenpraktijk rechtens noodzakelijk is (</w:t>
              </w:r>
              <w:r>
                <w:rPr>
                  <w:i/>
                </w:rPr>
                <w:t xml:space="preserve">opinio </w:t>
              </w:r>
              <w:proofErr w:type="spellStart"/>
              <w:r>
                <w:rPr>
                  <w:i/>
                </w:rPr>
                <w:t>iuris</w:t>
              </w:r>
              <w:proofErr w:type="spellEnd"/>
              <w:r>
                <w:rPr>
                  <w:i/>
                </w:rPr>
                <w:t xml:space="preserve"> </w:t>
              </w:r>
              <w:proofErr w:type="spellStart"/>
              <w:r>
                <w:rPr>
                  <w:i/>
                </w:rPr>
                <w:t>sive</w:t>
              </w:r>
              <w:proofErr w:type="spellEnd"/>
              <w:r>
                <w:rPr>
                  <w:i/>
                </w:rPr>
                <w:t xml:space="preserve"> </w:t>
              </w:r>
              <w:proofErr w:type="spellStart"/>
              <w:r>
                <w:rPr>
                  <w:i/>
                </w:rPr>
                <w:t>necessitatis</w:t>
              </w:r>
              <w:proofErr w:type="spellEnd"/>
              <w:r>
                <w:t>’).</w:t>
              </w:r>
              <w:r>
                <w:rPr>
                  <w:rStyle w:val="Voetnootmarkering"/>
                </w:rPr>
                <w:footnoteReference w:id="2"/>
              </w:r>
              <w:r>
                <w:t xml:space="preserve"> De Afdeling merkt op dat de toelichting niet vermeldt op grond </w:t>
              </w:r>
              <w:r w:rsidRPr="002D2092">
                <w:t xml:space="preserve">waarvan aangenomen wordt dat </w:t>
              </w:r>
              <w:r>
                <w:t xml:space="preserve">de te treffen maatregelen voldoen aan deze voorwaarden voor het vormen van internationaal gewoonterecht. </w:t>
              </w:r>
            </w:p>
            <w:p w:rsidR="002D2092" w:rsidP="002D2092" w:rsidRDefault="005F540C">
              <w:r>
                <w:t xml:space="preserve">Een adequate toelichting is temeer van belang omdat tijdens de onderhandelingen over het onderhavige verdrag het standpunt naar voren is gebracht dat het treffen van maatregelen in de exclusieve economische zone (te weten het opruimen van een wrak) bij gevaar of belemmering van de scheepvaart </w:t>
              </w:r>
              <w:r w:rsidRPr="000F7B85">
                <w:rPr>
                  <w:i/>
                </w:rPr>
                <w:t>niet</w:t>
              </w:r>
              <w:r>
                <w:t xml:space="preserve"> zijn grondslag kan vinden in het gewoonterecht. Dit standpunt is niet betwist door ‘the </w:t>
              </w:r>
              <w:proofErr w:type="spellStart"/>
              <w:r>
                <w:t>legal</w:t>
              </w:r>
              <w:proofErr w:type="spellEnd"/>
              <w:r>
                <w:t xml:space="preserve"> </w:t>
              </w:r>
              <w:proofErr w:type="spellStart"/>
              <w:r>
                <w:t>committee</w:t>
              </w:r>
              <w:proofErr w:type="spellEnd"/>
              <w:r>
                <w:t>’ van de Internationale Maritieme Organisatie (IMO).</w:t>
              </w:r>
              <w:r>
                <w:rPr>
                  <w:rStyle w:val="Voetnootmarkering"/>
                </w:rPr>
                <w:footnoteReference w:id="3"/>
              </w:r>
            </w:p>
            <w:p w:rsidR="00950FD4" w:rsidP="009C6F22" w:rsidRDefault="002232C1">
              <w:pPr>
                <w:rPr>
                  <w:u w:val="single"/>
                </w:rPr>
              </w:pPr>
            </w:p>
            <w:p w:rsidR="00B96F55" w:rsidP="009C6F22" w:rsidRDefault="005F540C">
              <w:r>
                <w:t xml:space="preserve">Gelet op het vorenstaande adviseert de Afdeling om in de toelichting te concretiseren op grond </w:t>
              </w:r>
              <w:r w:rsidRPr="002D2092">
                <w:t>waarvan</w:t>
              </w:r>
              <w:r>
                <w:t xml:space="preserve"> kan worden </w:t>
              </w:r>
              <w:r w:rsidRPr="002D2092">
                <w:t>aangenomen dat</w:t>
              </w:r>
              <w:r>
                <w:t xml:space="preserve"> sprake is van internationaal gewoonterecht om in geval van gevaar voor de scheepsveiligheid buiten de territoriale zee</w:t>
              </w:r>
              <w:r w:rsidRPr="002D2092">
                <w:t xml:space="preserve"> </w:t>
              </w:r>
              <w:r>
                <w:t>maatregelen te treffen.</w:t>
              </w:r>
            </w:p>
            <w:p w:rsidR="0031089B" w:rsidP="009C6F22" w:rsidRDefault="002232C1"/>
          </w:sdtContent>
        </w:sdt>
        <w:p w:rsidR="003A1FC7" w:rsidRDefault="003A1FC7"/>
        <w:sdt>
          <w:sdtPr>
            <w:alias w:val="Dictum"/>
            <w:tag w:val="Dictum"/>
            <w:id w:val="1621489950"/>
            <w:lock w:val="sdtContentLocked"/>
            <w:placeholder>
              <w:docPart w:val="DefaultPlaceholder_1082065158"/>
            </w:placeholder>
            <w:text w:multiLine="1"/>
          </w:sdtPr>
          <w:sdtEndPr/>
          <w:sdtContent>
            <w:p w:rsidR="0013048E" w:rsidRDefault="005F540C">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lastRenderedPageBreak/>
                <w:br/>
                <w:t>De vice-president van de Raad van State van het Koninkrijk,</w:t>
              </w:r>
            </w:p>
          </w:sdtContent>
        </w:sdt>
      </w:sdtContent>
    </w:sdt>
    <w:sectPr w:rsidR="0013048E"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C1" w:rsidRDefault="004421C1" w:rsidP="002C6867">
      <w:r>
        <w:separator/>
      </w:r>
    </w:p>
  </w:endnote>
  <w:endnote w:type="continuationSeparator" w:id="0">
    <w:p w:rsidR="004421C1" w:rsidRDefault="004421C1"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5F540C" w:rsidP="005B3E03">
      <w:r>
        <w:separator/>
      </w:r>
    </w:p>
    <w:p w:rsidR="002D0ACF" w:rsidRDefault="002232C1"/>
  </w:footnote>
  <w:footnote w:type="continuationSeparator" w:id="0">
    <w:p w:rsidR="00847094" w:rsidRDefault="005F540C" w:rsidP="005B3E03">
      <w:r>
        <w:continuationSeparator/>
      </w:r>
    </w:p>
    <w:p w:rsidR="002D0ACF" w:rsidRDefault="002232C1"/>
  </w:footnote>
  <w:footnote w:id="1">
    <w:p w:rsidR="00950FD4" w:rsidRDefault="005F540C">
      <w:pPr>
        <w:pStyle w:val="Voetnoottekst"/>
      </w:pPr>
      <w:r>
        <w:rPr>
          <w:rStyle w:val="Voetnootmarkering"/>
        </w:rPr>
        <w:footnoteRef/>
      </w:r>
      <w:r>
        <w:tab/>
        <w:t xml:space="preserve">Paragraaf 2 van de toelichting.  </w:t>
      </w:r>
    </w:p>
  </w:footnote>
  <w:footnote w:id="2">
    <w:p w:rsidR="00997FF9" w:rsidRPr="00FB3DCA" w:rsidRDefault="005F540C">
      <w:pPr>
        <w:pStyle w:val="Voetnoottekst"/>
      </w:pPr>
      <w:r>
        <w:rPr>
          <w:rStyle w:val="Voetnootmarkering"/>
        </w:rPr>
        <w:footnoteRef/>
      </w:r>
      <w:r w:rsidRPr="00FB3DCA">
        <w:tab/>
        <w:t xml:space="preserve">Zie onder meer </w:t>
      </w:r>
      <w:r w:rsidRPr="00FB3DCA">
        <w:rPr>
          <w:i/>
        </w:rPr>
        <w:t xml:space="preserve">North Sea </w:t>
      </w:r>
      <w:proofErr w:type="spellStart"/>
      <w:r w:rsidRPr="00FB3DCA">
        <w:rPr>
          <w:i/>
        </w:rPr>
        <w:t>Continental</w:t>
      </w:r>
      <w:proofErr w:type="spellEnd"/>
      <w:r w:rsidRPr="00FB3DCA">
        <w:rPr>
          <w:i/>
        </w:rPr>
        <w:t xml:space="preserve"> </w:t>
      </w:r>
      <w:proofErr w:type="spellStart"/>
      <w:r w:rsidRPr="00FB3DCA">
        <w:rPr>
          <w:i/>
        </w:rPr>
        <w:t>Shelf</w:t>
      </w:r>
      <w:proofErr w:type="spellEnd"/>
      <w:r w:rsidRPr="00FB3DCA">
        <w:rPr>
          <w:i/>
        </w:rPr>
        <w:t xml:space="preserve"> case</w:t>
      </w:r>
      <w:r w:rsidRPr="00FB3DCA">
        <w:t xml:space="preserve"> (1969) ICJ 3 en </w:t>
      </w:r>
      <w:r w:rsidRPr="00FB3DCA">
        <w:rPr>
          <w:i/>
        </w:rPr>
        <w:t xml:space="preserve">Nicaragua v United </w:t>
      </w:r>
      <w:proofErr w:type="spellStart"/>
      <w:r w:rsidRPr="00FB3DCA">
        <w:rPr>
          <w:i/>
        </w:rPr>
        <w:t>States</w:t>
      </w:r>
      <w:proofErr w:type="spellEnd"/>
      <w:r w:rsidRPr="00FB3DCA">
        <w:rPr>
          <w:i/>
        </w:rPr>
        <w:t xml:space="preserve"> </w:t>
      </w:r>
      <w:r w:rsidRPr="00FB3DCA">
        <w:t>(1986) ICJ 14.</w:t>
      </w:r>
    </w:p>
  </w:footnote>
  <w:footnote w:id="3">
    <w:p w:rsidR="00F928AC" w:rsidRDefault="005F540C">
      <w:pPr>
        <w:pStyle w:val="Voetnoottekst"/>
      </w:pPr>
      <w:r>
        <w:rPr>
          <w:rStyle w:val="Voetnootmarkering"/>
        </w:rPr>
        <w:footnoteRef/>
      </w:r>
      <w:r>
        <w:tab/>
        <w:t xml:space="preserve">Zie onder meer </w:t>
      </w:r>
      <w:hyperlink r:id="rId1" w:history="1">
        <w:r w:rsidRPr="00C04C75">
          <w:rPr>
            <w:rStyle w:val="Hyperlink"/>
          </w:rPr>
          <w:t>http://www.state.gov/documents/organization/98407.pdf</w:t>
        </w:r>
      </w:hyperlink>
      <w:r>
        <w:t xml:space="preserve"> en  </w:t>
      </w:r>
      <w:hyperlink r:id="rId2" w:history="1">
        <w:r w:rsidRPr="00C04C75">
          <w:rPr>
            <w:rStyle w:val="Hyperlink"/>
          </w:rPr>
          <w:t>http://www.state.gov/documents/organization/98442.pdf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232C1">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564"/>
    <w:multiLevelType w:val="hybridMultilevel"/>
    <w:tmpl w:val="8110DA18"/>
    <w:lvl w:ilvl="0" w:tplc="78E42EE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6C4812"/>
    <w:multiLevelType w:val="hybridMultilevel"/>
    <w:tmpl w:val="1892EEA0"/>
    <w:lvl w:ilvl="0" w:tplc="78E42EEC">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3048E"/>
    <w:rsid w:val="00156F0B"/>
    <w:rsid w:val="0017188E"/>
    <w:rsid w:val="002232C1"/>
    <w:rsid w:val="002656A3"/>
    <w:rsid w:val="0027703A"/>
    <w:rsid w:val="002A16F1"/>
    <w:rsid w:val="002C6867"/>
    <w:rsid w:val="002D0875"/>
    <w:rsid w:val="00303CA7"/>
    <w:rsid w:val="00322CB5"/>
    <w:rsid w:val="00377066"/>
    <w:rsid w:val="003A1FC7"/>
    <w:rsid w:val="004421C1"/>
    <w:rsid w:val="004C120D"/>
    <w:rsid w:val="00503044"/>
    <w:rsid w:val="005F540C"/>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950FD4"/>
    <w:rPr>
      <w:vertAlign w:val="superscript"/>
    </w:rPr>
  </w:style>
  <w:style w:type="character" w:styleId="Hyperlink">
    <w:name w:val="Hyperlink"/>
    <w:basedOn w:val="Standaardalinea-lettertype"/>
    <w:rsid w:val="00F92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950FD4"/>
    <w:rPr>
      <w:vertAlign w:val="superscript"/>
    </w:rPr>
  </w:style>
  <w:style w:type="character" w:styleId="Hyperlink">
    <w:name w:val="Hyperlink"/>
    <w:basedOn w:val="Standaardalinea-lettertype"/>
    <w:rsid w:val="00F92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tate.gov/documents/organization/98442.pdf" TargetMode="External"/><Relationship Id="rId1" Type="http://schemas.openxmlformats.org/officeDocument/2006/relationships/hyperlink" Target="http://www.state.gov/documents/organization/98407.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402</ap:Words>
  <ap:Characters>2216</ap:Characters>
  <ap:DocSecurity>4</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2014-05-08T07:56:00.0000000Z</lastPrinted>
  <dcterms:created xsi:type="dcterms:W3CDTF">2014-10-10T14:22:00.0000000Z</dcterms:created>
  <dcterms:modified xsi:type="dcterms:W3CDTF">2014-10-10T14:22:00.0000000Z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0x010100842B3265FF41FE448D12D28FA0AAD8E5</vt:lpwstr>
  </property>
</Properties>
</file>