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D6BD2" w:rsidR="007471C7" w:rsidP="007471C7" w:rsidRDefault="007471C7">
      <w:pPr>
        <w:pStyle w:val="Default"/>
        <w:rPr>
          <w:rFonts w:ascii="Times New Roman" w:hAnsi="Times New Roman" w:cs="Times New Roman"/>
        </w:rPr>
      </w:pPr>
    </w:p>
    <w:p w:rsidR="007471C7" w:rsidP="007471C7" w:rsidRDefault="007471C7">
      <w:pPr>
        <w:pStyle w:val="Default"/>
        <w:rPr>
          <w:rFonts w:ascii="Times New Roman" w:hAnsi="Times New Roman" w:cs="Times New Roman"/>
        </w:rPr>
      </w:pPr>
      <w:r w:rsidRPr="006D6BD2">
        <w:rPr>
          <w:rFonts w:ascii="Times New Roman" w:hAnsi="Times New Roman" w:cs="Times New Roman"/>
        </w:rPr>
        <w:t xml:space="preserve">Bij Kabinetsmissive van 1 september 2014, no.2014001550, heeft Uwe Majesteit, op voordracht van de Minister van Financiën, bij de Afdeling advisering van de Raad van State ter overweging aanhangig gemaakt het ontwerp-Miljoenennota 2015, met memorie van toelichting. </w:t>
      </w:r>
    </w:p>
    <w:p w:rsidRPr="006D6BD2" w:rsidR="006D6BD2" w:rsidP="007471C7" w:rsidRDefault="006D6BD2">
      <w:pPr>
        <w:pStyle w:val="Default"/>
        <w:rPr>
          <w:rFonts w:ascii="Times New Roman" w:hAnsi="Times New Roman" w:cs="Times New Roman"/>
        </w:rPr>
      </w:pPr>
    </w:p>
    <w:p w:rsidR="007471C7" w:rsidP="007471C7" w:rsidRDefault="007471C7">
      <w:pPr>
        <w:pStyle w:val="Default"/>
        <w:rPr>
          <w:rFonts w:ascii="Times New Roman" w:hAnsi="Times New Roman" w:cs="Times New Roman"/>
        </w:rPr>
      </w:pPr>
      <w:r w:rsidRPr="006D6BD2">
        <w:rPr>
          <w:rFonts w:ascii="Times New Roman" w:hAnsi="Times New Roman" w:cs="Times New Roman"/>
        </w:rPr>
        <w:t xml:space="preserve">Op 15 december 2013 is de Wet houdbare overheidsfinanciën (Wet HOF) in werking getreden. Ingevolge die wet is de Raad van State, Afdeling advisering, aangewezen als onafhankelijke begrotingsautoriteit in de zin van de relevante bepalingen van Europees recht. Dit impliceert dat de Afdeling advisering niet alleen adviseert over de Miljoenennota, maar ook beoordeelt of bij de begrotingen is voldaan aan de Europese begrotingsregels waaraan Nederland moet voldoen. Deze beoordeling vindt plaats in deel III. </w:t>
      </w:r>
    </w:p>
    <w:p w:rsidRPr="006D6BD2" w:rsidR="006D6BD2" w:rsidP="007471C7" w:rsidRDefault="006D6BD2">
      <w:pPr>
        <w:pStyle w:val="Default"/>
        <w:rPr>
          <w:rFonts w:ascii="Times New Roman" w:hAnsi="Times New Roman" w:cs="Times New Roman"/>
        </w:rPr>
      </w:pPr>
      <w:bookmarkStart w:name="_GoBack" w:id="0"/>
      <w:bookmarkEnd w:id="0"/>
    </w:p>
    <w:p w:rsidR="007471C7" w:rsidP="007471C7" w:rsidRDefault="007471C7">
      <w:pPr>
        <w:pStyle w:val="Default"/>
        <w:rPr>
          <w:rFonts w:ascii="Times New Roman" w:hAnsi="Times New Roman" w:cs="Times New Roman"/>
          <w:b/>
          <w:bCs/>
        </w:rPr>
      </w:pPr>
      <w:r w:rsidRPr="006D6BD2">
        <w:rPr>
          <w:rFonts w:ascii="Times New Roman" w:hAnsi="Times New Roman" w:cs="Times New Roman"/>
          <w:b/>
          <w:bCs/>
        </w:rPr>
        <w:t xml:space="preserve">I. DE MILJOENENNOTA 2015 </w:t>
      </w:r>
    </w:p>
    <w:p w:rsidRPr="006D6BD2" w:rsidR="006D6BD2" w:rsidP="007471C7" w:rsidRDefault="006D6BD2">
      <w:pPr>
        <w:pStyle w:val="Default"/>
        <w:rPr>
          <w:rFonts w:ascii="Times New Roman" w:hAnsi="Times New Roman" w:cs="Times New Roman"/>
        </w:rPr>
      </w:pPr>
    </w:p>
    <w:p w:rsidRPr="006D6BD2" w:rsidR="007471C7" w:rsidP="007471C7" w:rsidRDefault="007471C7">
      <w:pPr>
        <w:pStyle w:val="Default"/>
        <w:rPr>
          <w:rFonts w:ascii="Times New Roman" w:hAnsi="Times New Roman" w:cs="Times New Roman"/>
        </w:rPr>
      </w:pPr>
      <w:r w:rsidRPr="006D6BD2">
        <w:rPr>
          <w:rFonts w:ascii="Times New Roman" w:hAnsi="Times New Roman" w:cs="Times New Roman"/>
        </w:rPr>
        <w:t xml:space="preserve">1. </w:t>
      </w:r>
      <w:r w:rsidRPr="006D6BD2">
        <w:rPr>
          <w:rFonts w:ascii="Times New Roman" w:hAnsi="Times New Roman" w:cs="Times New Roman"/>
          <w:u w:val="single"/>
        </w:rPr>
        <w:t xml:space="preserve">“Uit de schaduw” </w:t>
      </w:r>
    </w:p>
    <w:p w:rsidRPr="006D6BD2" w:rsidR="007471C7" w:rsidP="007471C7" w:rsidRDefault="007471C7">
      <w:pPr>
        <w:pStyle w:val="Default"/>
        <w:rPr>
          <w:rFonts w:ascii="Times New Roman" w:hAnsi="Times New Roman" w:cs="Times New Roman"/>
        </w:rPr>
      </w:pPr>
      <w:r w:rsidRPr="006D6BD2">
        <w:rPr>
          <w:rFonts w:ascii="Times New Roman" w:hAnsi="Times New Roman" w:cs="Times New Roman"/>
        </w:rPr>
        <w:t xml:space="preserve">Het kabinet presenteert dit jaar een miljoenennota die het midden zoekt tussen voorzichtige hoop op verbetering en het dempen van al te uitbundige verwachtingen daaromtrent. De Nederlandse economie is aan de beterende hand en indicatoren wijzen op groei, maar tegelijk zal de groei geremd worden door de traagheid van het herstel van binnenlandse bestedingen, onder meer als gevolg van het gegeven dat door de hele economie heen nog gewerkt wordt aan balansherstel. De tekenen van herstel zijn er, maar de economie werkt nog fors beneden de potentiële groei zoals de hoge werkloosheid laat zien. </w:t>
      </w:r>
    </w:p>
    <w:p w:rsidR="007471C7" w:rsidP="007471C7" w:rsidRDefault="007471C7">
      <w:pPr>
        <w:pStyle w:val="Default"/>
        <w:rPr>
          <w:rFonts w:ascii="Times New Roman" w:hAnsi="Times New Roman" w:cs="Times New Roman"/>
        </w:rPr>
      </w:pPr>
      <w:r w:rsidRPr="006D6BD2">
        <w:rPr>
          <w:rFonts w:ascii="Times New Roman" w:hAnsi="Times New Roman" w:cs="Times New Roman"/>
        </w:rPr>
        <w:t xml:space="preserve">Om de (gematigde) economische groei veilig te stellen zijn hervormingen nodig, aldus het kabinet. Het wijst in die context op de omvangrijke hervormingsagenda die in de afgelopen jaren in gang is gezet om duurzame groei te bevorderen en herstel van de overheidsfinanciën te realiseren. De ombuigingen waarvan de effecten in de komende jaren verder zullen oplopen, hebben de overheidsfinanciën opnieuw binnen de bandbreedte van het Stabiliteits- en Groeipact gebracht. Dat is niet zonder aanzienlijke lasten en koopkrachtverlies voor grote delen van de bevolking gerealiseerd. Het kabinet wijst er zelf op dat veel van deze hervormingen in het komende jaar in uitvoering moeten worden omgezet. Desalniettemin kan met voldoening worden terugzien op de reeds gezette stappen. </w:t>
      </w:r>
    </w:p>
    <w:p w:rsidRPr="006D6BD2" w:rsidR="006D6BD2" w:rsidP="007471C7" w:rsidRDefault="006D6BD2">
      <w:pPr>
        <w:pStyle w:val="Default"/>
        <w:rPr>
          <w:rFonts w:ascii="Times New Roman" w:hAnsi="Times New Roman" w:cs="Times New Roman"/>
        </w:rPr>
      </w:pPr>
    </w:p>
    <w:p w:rsidRPr="006D6BD2" w:rsidR="009E7070" w:rsidP="007471C7" w:rsidRDefault="007471C7">
      <w:r w:rsidRPr="006D6BD2">
        <w:t xml:space="preserve">Het grootste risico is nu gelegen in een verlies van het gevoel van urgentie en een tanend besef dat herstel en versterking van economie en overheidsfinanciën voortgaande inspanning en hervormingen eisen. Het is op zich zelf begrijpelijk dat er na jaren van ingrijpende bezuiniging, politieke strijd en zware lastenverhoging een gevoel van opluchting ontstaat wanneer het weer iets beter gaat; er is een drang om nu weer tot de meer gewone orde van de dag over te gaan. Daar is echter geen aanleiding voor. De economische ontwikkeling is nog kwetsbaar. De recente onconventionele besluiten van de Europese Centrale Bank </w:t>
      </w:r>
      <w:r w:rsidR="006D6BD2">
        <w:t>o</w:t>
      </w:r>
      <w:r w:rsidRPr="006D6BD2">
        <w:t>nderstrepen dat. (</w:t>
      </w:r>
      <w:proofErr w:type="spellStart"/>
      <w:r w:rsidRPr="006D6BD2">
        <w:t>Geo</w:t>
      </w:r>
      <w:proofErr w:type="spellEnd"/>
      <w:r w:rsidRPr="006D6BD2">
        <w:t>)politieke ontwikkelingen zoals in de Oekraïne en het Midden-Oosten en economische ontwikkelingen elders in de wereld, bergen tal van onzekerheden en</w:t>
      </w:r>
    </w:p>
    <w:p w:rsidR="007471C7" w:rsidP="007471C7" w:rsidRDefault="007471C7">
      <w:pPr>
        <w:pStyle w:val="Default"/>
        <w:rPr>
          <w:rFonts w:ascii="Times New Roman" w:hAnsi="Times New Roman" w:cs="Times New Roman"/>
        </w:rPr>
      </w:pPr>
      <w:r w:rsidRPr="006D6BD2">
        <w:rPr>
          <w:rFonts w:ascii="Times New Roman" w:hAnsi="Times New Roman" w:cs="Times New Roman"/>
        </w:rPr>
        <w:t xml:space="preserve">risico´s in zich. Het kabinet zelf laat in de Miljoenennota 2015 (MJN 2015) zien hoe kwetsbaar en stressgevoelig de economie nog is voor nieuwe tegenslagen. </w:t>
      </w:r>
    </w:p>
    <w:p w:rsidRPr="006D6BD2" w:rsidR="006D6BD2" w:rsidP="007471C7" w:rsidRDefault="006D6BD2">
      <w:pPr>
        <w:pStyle w:val="Default"/>
        <w:rPr>
          <w:rFonts w:ascii="Times New Roman" w:hAnsi="Times New Roman" w:cs="Times New Roman"/>
        </w:rPr>
      </w:pPr>
    </w:p>
    <w:p w:rsidR="007471C7" w:rsidP="007471C7" w:rsidRDefault="007471C7">
      <w:pPr>
        <w:pStyle w:val="Default"/>
        <w:rPr>
          <w:rFonts w:ascii="Times New Roman" w:hAnsi="Times New Roman" w:cs="Times New Roman"/>
        </w:rPr>
      </w:pPr>
      <w:r w:rsidRPr="006D6BD2">
        <w:rPr>
          <w:rFonts w:ascii="Times New Roman" w:hAnsi="Times New Roman" w:cs="Times New Roman"/>
        </w:rPr>
        <w:t xml:space="preserve">De Afdeling staat hierna eerst stil bij de kerncijfers die de stand van de economie en de overheidsfinanciën weergeven alsmede bij de kwetsbaarheden die het kabinet onderkent. Aan de hand daarvan wordt ingegaan op de twee centrale lijnen in de aanpak van het kabinet: het versterken van groei en van de weerbaarheid van de overheidsfinanciën. Vervolgens wordt </w:t>
      </w:r>
      <w:r w:rsidRPr="006D6BD2">
        <w:rPr>
          <w:rFonts w:ascii="Times New Roman" w:hAnsi="Times New Roman" w:cs="Times New Roman"/>
        </w:rPr>
        <w:lastRenderedPageBreak/>
        <w:t xml:space="preserve">een beoordeling gegeven van de begroting aan de hand van de bepalingen en criteria van het Europees begrotingsbeleid. </w:t>
      </w:r>
    </w:p>
    <w:p w:rsidRPr="006D6BD2" w:rsidR="006D6BD2" w:rsidP="007471C7" w:rsidRDefault="006D6BD2">
      <w:pPr>
        <w:pStyle w:val="Default"/>
        <w:rPr>
          <w:rFonts w:ascii="Times New Roman" w:hAnsi="Times New Roman" w:cs="Times New Roman"/>
        </w:rPr>
      </w:pPr>
    </w:p>
    <w:p w:rsidR="007471C7" w:rsidP="007471C7" w:rsidRDefault="007471C7">
      <w:pPr>
        <w:pStyle w:val="Default"/>
        <w:rPr>
          <w:rFonts w:ascii="Times New Roman" w:hAnsi="Times New Roman" w:cs="Times New Roman"/>
          <w:u w:val="single"/>
        </w:rPr>
      </w:pPr>
      <w:r w:rsidRPr="006D6BD2">
        <w:rPr>
          <w:rFonts w:ascii="Times New Roman" w:hAnsi="Times New Roman" w:cs="Times New Roman"/>
        </w:rPr>
        <w:t xml:space="preserve">2. </w:t>
      </w:r>
      <w:r w:rsidRPr="006D6BD2">
        <w:rPr>
          <w:rFonts w:ascii="Times New Roman" w:hAnsi="Times New Roman" w:cs="Times New Roman"/>
          <w:u w:val="single"/>
        </w:rPr>
        <w:t xml:space="preserve">Stand van de economie en de Rijksfinanciën </w:t>
      </w:r>
    </w:p>
    <w:p w:rsidRPr="006D6BD2" w:rsidR="007471C7" w:rsidP="007471C7" w:rsidRDefault="007471C7">
      <w:pPr>
        <w:pStyle w:val="Default"/>
        <w:rPr>
          <w:rFonts w:ascii="Times New Roman" w:hAnsi="Times New Roman" w:cs="Times New Roman"/>
        </w:rPr>
      </w:pPr>
      <w:r w:rsidRPr="006D6BD2">
        <w:rPr>
          <w:rFonts w:ascii="Times New Roman" w:hAnsi="Times New Roman" w:cs="Times New Roman"/>
        </w:rPr>
        <w:t xml:space="preserve">Volgens de MJN 2015 zal de economie herstellen met een groei van 1¼% BBP. Het begrotingstekort wordt geraamd op 2,2% BBP. Het structurele tekort daalt volgens de MJN 2015 van 1,0% BBP in 2014 tot 0,7% BBP in 2015. De EMU-schuld zal volgens de MJN 2015 oplopen van 69,8% BBP in 2014 met 0,2% BBP tot 70,0% BBP in 2015. Het Centraal Planbureau (CPB) komt in de Macro Economische Verkenning 2015 (MEV) tot enigszins afwijkende cijfers: van 69,7% BBP in 2014 naar 70,2% BBP in 2015, een stijging van 0,5%. Het structurele tekort daalt volgens de MEV niet, maar bedraagt in beide jaren 0,7% BBP. </w:t>
      </w:r>
    </w:p>
    <w:p w:rsidR="007471C7" w:rsidP="007471C7" w:rsidRDefault="007471C7">
      <w:pPr>
        <w:pStyle w:val="Default"/>
        <w:rPr>
          <w:rFonts w:ascii="Times New Roman" w:hAnsi="Times New Roman" w:cs="Times New Roman"/>
        </w:rPr>
      </w:pPr>
      <w:r w:rsidRPr="006D6BD2">
        <w:rPr>
          <w:rFonts w:ascii="Times New Roman" w:hAnsi="Times New Roman" w:cs="Times New Roman"/>
        </w:rPr>
        <w:t>De werkloosheid blijft hoog, maar daalt licht</w:t>
      </w:r>
      <w:r w:rsidRPr="006D6BD2">
        <w:rPr>
          <w:rStyle w:val="Voetnootmarkering"/>
          <w:rFonts w:ascii="Times New Roman" w:hAnsi="Times New Roman" w:cs="Times New Roman"/>
        </w:rPr>
        <w:footnoteReference w:id="1"/>
      </w:r>
      <w:r w:rsidRPr="006D6BD2">
        <w:rPr>
          <w:rFonts w:ascii="Times New Roman" w:hAnsi="Times New Roman" w:cs="Times New Roman"/>
        </w:rPr>
        <w:t>.1 De collectieve lasten dalen enigszins. Na jaren van koopkrachtverlies is in 2015 voor veel mensen sprake van een lichte koopkrachtstijging.</w:t>
      </w:r>
    </w:p>
    <w:p w:rsidRPr="006D6BD2" w:rsidR="006D6BD2" w:rsidP="007471C7" w:rsidRDefault="006D6BD2">
      <w:pPr>
        <w:pStyle w:val="Default"/>
        <w:rPr>
          <w:rFonts w:ascii="Times New Roman" w:hAnsi="Times New Roman" w:cs="Times New Roman"/>
        </w:rPr>
      </w:pPr>
    </w:p>
    <w:p w:rsidR="007471C7" w:rsidP="007471C7" w:rsidRDefault="007471C7">
      <w:pPr>
        <w:pStyle w:val="Default"/>
        <w:rPr>
          <w:rFonts w:ascii="Times New Roman" w:hAnsi="Times New Roman" w:cs="Times New Roman"/>
        </w:rPr>
      </w:pPr>
      <w:r w:rsidRPr="006D6BD2">
        <w:rPr>
          <w:rFonts w:ascii="Times New Roman" w:hAnsi="Times New Roman" w:cs="Times New Roman"/>
        </w:rPr>
        <w:t xml:space="preserve">De cijfers bieden hoop dat de economie geleidelijk uit de recessie komt. Er is meer stabiliteit op de financiële markten en er is ook een voorzichtig en heel gematigd herstel van economische groei te zien in de meeste landen. Ook de overheidsfinanciën laten verbetering zien ten opzichte van de afgelopen jaren: het tekort loopt in 2015 terug en het structurele saldo komt in de buurt van de (in Europees verband geldende) </w:t>
      </w:r>
      <w:proofErr w:type="spellStart"/>
      <w:r w:rsidRPr="006D6BD2">
        <w:rPr>
          <w:rFonts w:ascii="Times New Roman" w:hAnsi="Times New Roman" w:cs="Times New Roman"/>
        </w:rPr>
        <w:t>middellangetermijndoelstelling</w:t>
      </w:r>
      <w:proofErr w:type="spellEnd"/>
      <w:r w:rsidRPr="006D6BD2">
        <w:rPr>
          <w:rFonts w:ascii="Times New Roman" w:hAnsi="Times New Roman" w:cs="Times New Roman"/>
        </w:rPr>
        <w:t xml:space="preserve"> (medium term </w:t>
      </w:r>
      <w:proofErr w:type="spellStart"/>
      <w:r w:rsidRPr="006D6BD2">
        <w:rPr>
          <w:rFonts w:ascii="Times New Roman" w:hAnsi="Times New Roman" w:cs="Times New Roman"/>
        </w:rPr>
        <w:t>objective</w:t>
      </w:r>
      <w:proofErr w:type="spellEnd"/>
      <w:r w:rsidRPr="006D6BD2">
        <w:rPr>
          <w:rFonts w:ascii="Times New Roman" w:hAnsi="Times New Roman" w:cs="Times New Roman"/>
        </w:rPr>
        <w:t>, MTO). De nieuwe houdbaarheidsstudie van het CPB laat zien dat de houdbaarheid van de overheidsfinanciën is verbeterd, mede als gevolg van de maatregelen die de afgelopen jaren in gang zijn gezet.</w:t>
      </w:r>
      <w:r w:rsidRPr="006D6BD2">
        <w:rPr>
          <w:rStyle w:val="Voetnootmarkering"/>
          <w:rFonts w:ascii="Times New Roman" w:hAnsi="Times New Roman" w:cs="Times New Roman"/>
        </w:rPr>
        <w:footnoteReference w:id="2"/>
      </w:r>
    </w:p>
    <w:p w:rsidRPr="006D6BD2" w:rsidR="006D6BD2" w:rsidP="007471C7" w:rsidRDefault="006D6BD2">
      <w:pPr>
        <w:pStyle w:val="Default"/>
        <w:rPr>
          <w:rFonts w:ascii="Times New Roman" w:hAnsi="Times New Roman" w:cs="Times New Roman"/>
        </w:rPr>
      </w:pPr>
    </w:p>
    <w:p w:rsidR="007471C7" w:rsidP="007471C7" w:rsidRDefault="007471C7">
      <w:pPr>
        <w:pStyle w:val="Default"/>
        <w:rPr>
          <w:rFonts w:ascii="Times New Roman" w:hAnsi="Times New Roman" w:cs="Times New Roman"/>
        </w:rPr>
      </w:pPr>
      <w:r w:rsidRPr="006D6BD2">
        <w:rPr>
          <w:rFonts w:ascii="Times New Roman" w:hAnsi="Times New Roman" w:cs="Times New Roman"/>
        </w:rPr>
        <w:t xml:space="preserve">Het kabinet waarschuwt er in de MJN 2015 echter voor dat dit niet een terugkeer impliceert naar een economische ontwikkeling en groei zoals die zich in het decennium vóór de crisis voordeden. Daarbij wijzen zowel de MJN 2015 als het CPB (in de MEV) op serieuze risico’s van de traagheid van de verbetering van de schuldposities van banken, gezinnen en landen, waardoor de economische groei nog een tijd lang zal worden gedrukt. </w:t>
      </w:r>
    </w:p>
    <w:p w:rsidRPr="006D6BD2" w:rsidR="006D6BD2" w:rsidP="007471C7" w:rsidRDefault="006D6BD2">
      <w:pPr>
        <w:pStyle w:val="Default"/>
        <w:rPr>
          <w:rFonts w:ascii="Times New Roman" w:hAnsi="Times New Roman" w:cs="Times New Roman"/>
        </w:rPr>
      </w:pPr>
    </w:p>
    <w:p w:rsidR="007471C7" w:rsidP="007471C7" w:rsidRDefault="007471C7">
      <w:pPr>
        <w:pStyle w:val="Default"/>
        <w:rPr>
          <w:rFonts w:ascii="Times New Roman" w:hAnsi="Times New Roman" w:cs="Times New Roman"/>
        </w:rPr>
      </w:pPr>
      <w:r w:rsidRPr="006D6BD2">
        <w:rPr>
          <w:rFonts w:ascii="Times New Roman" w:hAnsi="Times New Roman" w:cs="Times New Roman"/>
        </w:rPr>
        <w:t>De MJN 2015 wijst er ook op dat recent de onzekerheden over de economische ontwikkeling sterk zijn toegenomen. De eerder bedoelde (</w:t>
      </w:r>
      <w:proofErr w:type="spellStart"/>
      <w:r w:rsidRPr="006D6BD2">
        <w:rPr>
          <w:rFonts w:ascii="Times New Roman" w:hAnsi="Times New Roman" w:cs="Times New Roman"/>
        </w:rPr>
        <w:t>geo</w:t>
      </w:r>
      <w:proofErr w:type="spellEnd"/>
      <w:r w:rsidRPr="006D6BD2">
        <w:rPr>
          <w:rFonts w:ascii="Times New Roman" w:hAnsi="Times New Roman" w:cs="Times New Roman"/>
        </w:rPr>
        <w:t>)politieke en nieuwe economische ontwikkelingen dragen bij aan de onzekerheden.</w:t>
      </w:r>
      <w:r w:rsidRPr="006D6BD2">
        <w:rPr>
          <w:rStyle w:val="Voetnootmarkering"/>
          <w:rFonts w:ascii="Times New Roman" w:hAnsi="Times New Roman" w:cs="Times New Roman"/>
        </w:rPr>
        <w:footnoteReference w:id="3"/>
      </w:r>
      <w:r w:rsidRPr="006D6BD2">
        <w:rPr>
          <w:rFonts w:ascii="Times New Roman" w:hAnsi="Times New Roman" w:cs="Times New Roman"/>
        </w:rPr>
        <w:t xml:space="preserve"> Voor veel Europese landen, waaronder Duitsland, heeft dit inmiddels tot neerwaartse bijstelling van de verwachtingen geleid. </w:t>
      </w:r>
    </w:p>
    <w:p w:rsidRPr="006D6BD2" w:rsidR="006D6BD2" w:rsidP="007471C7" w:rsidRDefault="006D6BD2">
      <w:pPr>
        <w:pStyle w:val="Default"/>
        <w:rPr>
          <w:rFonts w:ascii="Times New Roman" w:hAnsi="Times New Roman" w:cs="Times New Roman"/>
        </w:rPr>
      </w:pPr>
    </w:p>
    <w:p w:rsidR="007471C7" w:rsidP="007471C7" w:rsidRDefault="007471C7">
      <w:pPr>
        <w:pStyle w:val="Default"/>
        <w:rPr>
          <w:rFonts w:ascii="Times New Roman" w:hAnsi="Times New Roman" w:cs="Times New Roman"/>
        </w:rPr>
      </w:pPr>
      <w:r w:rsidRPr="006D6BD2">
        <w:rPr>
          <w:rFonts w:ascii="Times New Roman" w:hAnsi="Times New Roman" w:cs="Times New Roman"/>
        </w:rPr>
        <w:t xml:space="preserve">Daarbij moet geconstateerd worden, dat de afgelopen jaren bestaande buffers in aanzienlijke mate moesten worden aangesproken. Ons land heeft sinds 2008 de buffer, die toen aanwezig was in de vorm van een overheidsschuld van 45% BBP (ruim onder de 60% BBP grens van het Stabiliteits- en Groeipact) moeten verbruiken waardoor deze is opgelopen tot boven 70% BBP. Er is daardoor nu aanzienlijk minder ruimte om nieuwe schokken op te vangen. </w:t>
      </w:r>
    </w:p>
    <w:p w:rsidRPr="006D6BD2" w:rsidR="006D6BD2" w:rsidP="007471C7" w:rsidRDefault="006D6BD2">
      <w:pPr>
        <w:pStyle w:val="Default"/>
        <w:rPr>
          <w:rFonts w:ascii="Times New Roman" w:hAnsi="Times New Roman" w:cs="Times New Roman"/>
        </w:rPr>
      </w:pPr>
    </w:p>
    <w:p w:rsidRPr="006D6BD2" w:rsidR="007471C7" w:rsidP="007471C7" w:rsidRDefault="007471C7">
      <w:pPr>
        <w:pStyle w:val="Default"/>
        <w:rPr>
          <w:rFonts w:ascii="Times New Roman" w:hAnsi="Times New Roman" w:cs="Times New Roman"/>
        </w:rPr>
      </w:pPr>
      <w:r w:rsidRPr="006D6BD2">
        <w:rPr>
          <w:rFonts w:ascii="Times New Roman" w:hAnsi="Times New Roman" w:cs="Times New Roman"/>
        </w:rPr>
        <w:t>Hoofdstuk 4 van de MJN 2015 geeft de uitkomsten weer van een schokproef van de Nederlandse openbare financiën. De schokproef betreft enkele scenario’s, toegespitst op een nieuwe financiële crisis</w:t>
      </w:r>
      <w:r w:rsidRPr="006D6BD2">
        <w:rPr>
          <w:rStyle w:val="Voetnootmarkering"/>
          <w:rFonts w:ascii="Times New Roman" w:hAnsi="Times New Roman" w:cs="Times New Roman"/>
        </w:rPr>
        <w:footnoteReference w:id="4"/>
      </w:r>
      <w:r w:rsidRPr="006D6BD2">
        <w:rPr>
          <w:rFonts w:ascii="Times New Roman" w:hAnsi="Times New Roman" w:cs="Times New Roman"/>
        </w:rPr>
        <w:t xml:space="preserve">, een nieuwe Europese schuldencrisis, een mondiale economische </w:t>
      </w:r>
      <w:r w:rsidRPr="006D6BD2">
        <w:rPr>
          <w:rFonts w:ascii="Times New Roman" w:hAnsi="Times New Roman" w:cs="Times New Roman"/>
        </w:rPr>
        <w:lastRenderedPageBreak/>
        <w:t xml:space="preserve">crisis, een forse stijging van de olieprijs, een forse daling van de woningprijzen en een periode met langdurige lage economische groei. De berekeningen leiden tot een mogelijk oplopen van de schuldquote variërend van 81% tot 106% BBP (Figuur 4.3.9). De MJN 2015 geeft in hoofdstuk 4 aan dat een schuldniveau tussen de 80 en 100% “de reële economie raakt” (paragraaf 4.3.4). Gegeven de potentiële risico’s van een oplopende schuldquote ingeval zich een nieuwe schok voordoet, “is de kans dus groot dat Nederland in de gevarenzone terecht komt en het niveau van de overheidsschuld daadwerkelijk reële economische gevolgen kan hebben”(paragraaf 4.3.4). </w:t>
      </w:r>
    </w:p>
    <w:p w:rsidR="006D6BD2" w:rsidP="007471C7" w:rsidRDefault="006D6BD2">
      <w:pPr>
        <w:pStyle w:val="Default"/>
        <w:rPr>
          <w:rFonts w:ascii="Times New Roman" w:hAnsi="Times New Roman" w:cs="Times New Roman"/>
          <w:b/>
          <w:bCs/>
        </w:rPr>
      </w:pPr>
    </w:p>
    <w:p w:rsidR="007471C7" w:rsidP="007471C7" w:rsidRDefault="007471C7">
      <w:pPr>
        <w:pStyle w:val="Default"/>
        <w:rPr>
          <w:rFonts w:ascii="Times New Roman" w:hAnsi="Times New Roman" w:cs="Times New Roman"/>
          <w:b/>
          <w:bCs/>
        </w:rPr>
      </w:pPr>
      <w:r w:rsidRPr="006D6BD2">
        <w:rPr>
          <w:rFonts w:ascii="Times New Roman" w:hAnsi="Times New Roman" w:cs="Times New Roman"/>
          <w:b/>
          <w:bCs/>
        </w:rPr>
        <w:t xml:space="preserve">II. ADVIES </w:t>
      </w:r>
    </w:p>
    <w:p w:rsidRPr="006D6BD2" w:rsidR="006D6BD2" w:rsidP="007471C7" w:rsidRDefault="006D6BD2">
      <w:pPr>
        <w:pStyle w:val="Default"/>
        <w:rPr>
          <w:rFonts w:ascii="Times New Roman" w:hAnsi="Times New Roman" w:cs="Times New Roman"/>
        </w:rPr>
      </w:pPr>
    </w:p>
    <w:p w:rsidRPr="006D6BD2" w:rsidR="007471C7" w:rsidP="007471C7" w:rsidRDefault="007471C7">
      <w:pPr>
        <w:pStyle w:val="Default"/>
        <w:rPr>
          <w:rFonts w:ascii="Times New Roman" w:hAnsi="Times New Roman" w:cs="Times New Roman"/>
        </w:rPr>
      </w:pPr>
      <w:r w:rsidRPr="006D6BD2">
        <w:rPr>
          <w:rFonts w:ascii="Times New Roman" w:hAnsi="Times New Roman" w:cs="Times New Roman"/>
        </w:rPr>
        <w:t xml:space="preserve">3. </w:t>
      </w:r>
      <w:r w:rsidRPr="006D6BD2">
        <w:rPr>
          <w:rFonts w:ascii="Times New Roman" w:hAnsi="Times New Roman" w:cs="Times New Roman"/>
          <w:u w:val="single"/>
        </w:rPr>
        <w:t xml:space="preserve">Sterker uit de crisis komen: groei en werkgelegenheid </w:t>
      </w:r>
    </w:p>
    <w:p w:rsidR="007471C7" w:rsidP="007471C7" w:rsidRDefault="007471C7">
      <w:pPr>
        <w:pStyle w:val="Default"/>
        <w:rPr>
          <w:rFonts w:ascii="Times New Roman" w:hAnsi="Times New Roman" w:cs="Times New Roman"/>
        </w:rPr>
      </w:pPr>
      <w:r w:rsidRPr="006D6BD2">
        <w:rPr>
          <w:rFonts w:ascii="Times New Roman" w:hAnsi="Times New Roman" w:cs="Times New Roman"/>
        </w:rPr>
        <w:t xml:space="preserve">De in de afgelopen jaren vaak herhaalde inzet bij pijnlijke beleidsmaatregelen was “om sterker uit de crisis te komen”. Het beeld, dat de MJN 2015 en de cijfers van het CPB geven van de economie en overheidsfinanciën, laat zien dat deze weliswaar geleidelijk uit de crisis komen, maar de keuzes die nu en in de komende tijd gemaakt worden zullen bepalend zijn voor de mate waarin we sterker uit de crisis komen. </w:t>
      </w:r>
    </w:p>
    <w:p w:rsidRPr="006D6BD2" w:rsidR="006D6BD2" w:rsidP="007471C7" w:rsidRDefault="006D6BD2">
      <w:pPr>
        <w:pStyle w:val="Default"/>
        <w:rPr>
          <w:rFonts w:ascii="Times New Roman" w:hAnsi="Times New Roman" w:cs="Times New Roman"/>
        </w:rPr>
      </w:pPr>
    </w:p>
    <w:p w:rsidR="007471C7" w:rsidP="007471C7" w:rsidRDefault="007471C7">
      <w:pPr>
        <w:pStyle w:val="Default"/>
        <w:rPr>
          <w:rFonts w:ascii="Times New Roman" w:hAnsi="Times New Roman" w:cs="Times New Roman"/>
        </w:rPr>
      </w:pPr>
      <w:r w:rsidRPr="006D6BD2">
        <w:rPr>
          <w:rFonts w:ascii="Times New Roman" w:hAnsi="Times New Roman" w:cs="Times New Roman"/>
        </w:rPr>
        <w:t>Blijkens de MJN 2015 staan voor het kabinet daarbij twee invalshoeken centraal. Het kabinet richt zich in de eerste plaats op de mogelijkheden om het toekomstig verdienvermogen van de Nederlandse economie te vergroten en op de aanpassingen die daarvoor nodig zullen zijn.</w:t>
      </w:r>
      <w:r w:rsidRPr="006D6BD2">
        <w:rPr>
          <w:rStyle w:val="Voetnootmarkering"/>
          <w:rFonts w:ascii="Times New Roman" w:hAnsi="Times New Roman" w:cs="Times New Roman"/>
        </w:rPr>
        <w:footnoteReference w:id="5"/>
      </w:r>
      <w:r w:rsidRPr="006D6BD2">
        <w:rPr>
          <w:rFonts w:ascii="Times New Roman" w:hAnsi="Times New Roman" w:cs="Times New Roman"/>
        </w:rPr>
        <w:t xml:space="preserve"> Het budgettaire beleid vormt de tweede invalshoek. De MJN 2015 stelt daarbij herstel van buffers als doel. Dat gebeurt door in te zetten op het geleidelijk in overeenstemming brengen van de overheidsfinanciën met de MTO en de terugkeer naar het trendmatig begrotingsbeleid. </w:t>
      </w:r>
    </w:p>
    <w:p w:rsidRPr="006D6BD2" w:rsidR="006D6BD2" w:rsidP="007471C7" w:rsidRDefault="006D6BD2">
      <w:pPr>
        <w:pStyle w:val="Default"/>
        <w:rPr>
          <w:rFonts w:ascii="Times New Roman" w:hAnsi="Times New Roman" w:cs="Times New Roman"/>
        </w:rPr>
      </w:pPr>
    </w:p>
    <w:p w:rsidR="007471C7" w:rsidP="007471C7" w:rsidRDefault="007471C7">
      <w:pPr>
        <w:pStyle w:val="Default"/>
        <w:rPr>
          <w:rFonts w:ascii="Times New Roman" w:hAnsi="Times New Roman" w:cs="Times New Roman"/>
        </w:rPr>
      </w:pPr>
      <w:r w:rsidRPr="006D6BD2">
        <w:rPr>
          <w:rFonts w:ascii="Times New Roman" w:hAnsi="Times New Roman" w:cs="Times New Roman"/>
        </w:rPr>
        <w:t xml:space="preserve">De Afdeling gaat hier in op de ambities van de MJN 2015 betreffende het </w:t>
      </w:r>
      <w:proofErr w:type="spellStart"/>
      <w:r w:rsidRPr="006D6BD2">
        <w:rPr>
          <w:rFonts w:ascii="Times New Roman" w:hAnsi="Times New Roman" w:cs="Times New Roman"/>
        </w:rPr>
        <w:t>groeivermogen</w:t>
      </w:r>
      <w:proofErr w:type="spellEnd"/>
      <w:r w:rsidRPr="006D6BD2">
        <w:rPr>
          <w:rFonts w:ascii="Times New Roman" w:hAnsi="Times New Roman" w:cs="Times New Roman"/>
        </w:rPr>
        <w:t xml:space="preserve">. In punt 4 gaat zij nader in op het begrotingsbeleid. </w:t>
      </w:r>
    </w:p>
    <w:p w:rsidRPr="006D6BD2" w:rsidR="006D6BD2" w:rsidP="007471C7" w:rsidRDefault="006D6BD2">
      <w:pPr>
        <w:pStyle w:val="Default"/>
        <w:rPr>
          <w:rFonts w:ascii="Times New Roman" w:hAnsi="Times New Roman" w:cs="Times New Roman"/>
        </w:rPr>
      </w:pPr>
    </w:p>
    <w:p w:rsidR="007471C7" w:rsidP="007471C7" w:rsidRDefault="007471C7">
      <w:pPr>
        <w:pStyle w:val="Default"/>
        <w:rPr>
          <w:rFonts w:ascii="Times New Roman" w:hAnsi="Times New Roman" w:cs="Times New Roman"/>
        </w:rPr>
      </w:pPr>
      <w:r w:rsidRPr="006D6BD2">
        <w:rPr>
          <w:rFonts w:ascii="Times New Roman" w:hAnsi="Times New Roman" w:cs="Times New Roman"/>
        </w:rPr>
        <w:t>De Afdeling merkt op, dat uit de MJN 2015 een besef spreekt van noodzaak en urgentie van verdergaande veranderingen in de economie: “</w:t>
      </w:r>
      <w:r w:rsidRPr="006D6BD2">
        <w:rPr>
          <w:rFonts w:ascii="Times New Roman" w:hAnsi="Times New Roman" w:cs="Times New Roman"/>
          <w:i/>
          <w:iCs/>
        </w:rPr>
        <w:t>Essentieel voor duurzame welvaart is dat de economie de ruimte heeft om zich voortdurend aan te passen aan veranderende omstandigheden, nieuwe opvattingen en technieken (creatieve destructie). Economisch instituties en collectieve voorzieningen moeten meebewegen”</w:t>
      </w:r>
      <w:r w:rsidRPr="006D6BD2">
        <w:rPr>
          <w:rFonts w:ascii="Times New Roman" w:hAnsi="Times New Roman" w:cs="Times New Roman"/>
        </w:rPr>
        <w:t>.</w:t>
      </w:r>
      <w:r w:rsidRPr="006D6BD2">
        <w:rPr>
          <w:rStyle w:val="Voetnootmarkering"/>
          <w:rFonts w:ascii="Times New Roman" w:hAnsi="Times New Roman" w:cs="Times New Roman"/>
        </w:rPr>
        <w:footnoteReference w:id="6"/>
      </w:r>
      <w:r w:rsidRPr="006D6BD2">
        <w:rPr>
          <w:rFonts w:ascii="Times New Roman" w:hAnsi="Times New Roman" w:cs="Times New Roman"/>
        </w:rPr>
        <w:t xml:space="preserve"> En: “</w:t>
      </w:r>
      <w:r w:rsidRPr="006D6BD2">
        <w:rPr>
          <w:rFonts w:ascii="Times New Roman" w:hAnsi="Times New Roman" w:cs="Times New Roman"/>
          <w:i/>
          <w:iCs/>
        </w:rPr>
        <w:t>Het is economische verstandig om de komende periode van economische groei te benutten om een aantal verdere aanpassingen in de welvaartsstaat voor te bereiden.</w:t>
      </w:r>
      <w:r w:rsidRPr="006D6BD2">
        <w:rPr>
          <w:rFonts w:ascii="Times New Roman" w:hAnsi="Times New Roman" w:cs="Times New Roman"/>
        </w:rPr>
        <w:t>”</w:t>
      </w:r>
      <w:r w:rsidRPr="006D6BD2">
        <w:rPr>
          <w:rStyle w:val="Voetnootmarkering"/>
          <w:rFonts w:ascii="Times New Roman" w:hAnsi="Times New Roman" w:cs="Times New Roman"/>
        </w:rPr>
        <w:footnoteReference w:id="7"/>
      </w:r>
      <w:r w:rsidRPr="006D6BD2">
        <w:rPr>
          <w:rFonts w:ascii="Times New Roman" w:hAnsi="Times New Roman" w:cs="Times New Roman"/>
        </w:rPr>
        <w:t xml:space="preserve"> De MJN 2015 wijst op de maatregelen die reeds getroffen zijn en de hervormingen die in gang zijn gezet, maar stelt in dat verband ook dat nog stappen moeten worden gezet. </w:t>
      </w:r>
    </w:p>
    <w:p w:rsidRPr="006D6BD2" w:rsidR="006D6BD2" w:rsidP="007471C7" w:rsidRDefault="006D6BD2">
      <w:pPr>
        <w:pStyle w:val="Default"/>
        <w:rPr>
          <w:rFonts w:ascii="Times New Roman" w:hAnsi="Times New Roman" w:cs="Times New Roman"/>
        </w:rPr>
      </w:pPr>
    </w:p>
    <w:p w:rsidR="006D6BD2" w:rsidP="007471C7" w:rsidRDefault="007471C7">
      <w:r w:rsidRPr="006D6BD2">
        <w:t xml:space="preserve">De Afdeling onderschrijft de noodzaak om ruimte te scheppen voor groei en het besef van urgentie. We zijn er nog niet om het hoofd te kunnen bieden aan de ingrijpende veranderingen waarmee ons land wordt geconfronteerd: demografische veranderingen in binnen- en buitenland, technische ontwikkelingen, ontwikkelingen op het terrein van milieu en grondstoffen, en geopolitiek. De internationale onderlinge afhankelijkheid is sterk toegenomen en daarmee de volatiliteit van onze financieel-economische positie. Dit vraagt dan ook om versterking van het aanpassingsvermogen en de weerbaarheid van de </w:t>
      </w:r>
      <w:r w:rsidRPr="006D6BD2">
        <w:lastRenderedPageBreak/>
        <w:t xml:space="preserve">Nederlandse economie en van de </w:t>
      </w:r>
      <w:proofErr w:type="spellStart"/>
      <w:r w:rsidRPr="006D6BD2">
        <w:t>sociaal-economische</w:t>
      </w:r>
      <w:proofErr w:type="spellEnd"/>
      <w:r w:rsidRPr="006D6BD2">
        <w:t xml:space="preserve"> instituties, alsmede om meer flexibiliteit van markten: van de arbeidsmarkt, van de kapitaalmarkt en van productmarkten. </w:t>
      </w:r>
    </w:p>
    <w:p w:rsidR="006D6BD2" w:rsidP="007471C7" w:rsidRDefault="006D6BD2"/>
    <w:p w:rsidRPr="006D6BD2" w:rsidR="007471C7" w:rsidP="007471C7" w:rsidRDefault="007471C7">
      <w:r w:rsidRPr="006D6BD2">
        <w:t>De Afdeling onderschrijft daarbij het onderscheid dat wordt gemaakt tussen maatregelen die op korte termijn groei op gang kunnen brengen en structuurveranderingen die groei duurzaam kunnen ondersteunen en bevorderen.</w:t>
      </w:r>
    </w:p>
    <w:p w:rsidRPr="006D6BD2" w:rsidR="007471C7" w:rsidP="007471C7" w:rsidRDefault="007471C7">
      <w:r w:rsidRPr="006D6BD2">
        <w:t>De Afdeling mist echter de vertaling van de urgentie en noodzaak die in de MJN 2015 worden uitgesproken in concrete maatregelen of hervormingen waarvan de voorbereiding in gang wordt gezet. Hoofdstuk 2 bevat wel veel beschouwingen en relevante opmerkingen over factoren die de groei kunnen bevorderen, veranderingen die mogelijk zijn of een aanpak die gevergd wordt, maar wijst in dat verband vooral op beleid dat al in gang is gezet (studiefinanciering, nationaal pensioendebat, een streven naar belastingverbetering). Dit is niet in overeenstemming met de hiervoor geciteerde taakstellende passages en wekt de suggestie dat het beleid en de structurele veranderingen die nodig zijn al in gang zijn gezet.</w:t>
      </w:r>
      <w:r w:rsidRPr="006D6BD2">
        <w:rPr>
          <w:rStyle w:val="Voetnootmarkering"/>
        </w:rPr>
        <w:footnoteReference w:id="8"/>
      </w:r>
    </w:p>
    <w:p w:rsidRPr="006D6BD2" w:rsidR="007471C7" w:rsidP="007471C7" w:rsidRDefault="007471C7"/>
    <w:p w:rsidRPr="006D6BD2" w:rsidR="007471C7" w:rsidP="007471C7" w:rsidRDefault="007471C7">
      <w:r w:rsidRPr="006D6BD2">
        <w:t>De Afdeling onderkent dat wat betreft de timing enige behoedzaamheid geboden kan zijn bij stelselwijzigingen, mede gelet op de op onderdelen ingrijpende maatregelen die recent tot stand zijn gebracht en die deels nog hun beslag moeten krijgen. Maar dat laat onverlet dat naar het oordeel van de Afdeling het kabinet de vereiste maatregelen reeds nu zou moeten agenderen en thans daadwerkelijk voorbereidende stappen zou moeten zetten zodat wanneer de noodzaak of de mogelijkheid zich daartoe voordoet, zij voor besluitvorming gereed zijn. Zo dit niet reeds nu geschiedt, dan vindt agendering op zijn vroegst pas ná de eerstvolgende verkiezingen plaats waarna de voorbereiding nog moet volgen. Dat betekent dat daadwerkelijke stappen op zijn vroegst pas na de volgende verkiezingen voor de Tweede Kamer der Staten-Generaal (uiterlijk in 2017) te verwachten zijn. Dit doet geen recht aan de urgentie van het doorvoeren van deze aanpassingen. Volgens de Afdeling dienen deze dan ook reeds daarvoor zo te zijn voorbereid, dat zij tot stand kunnen worden gebracht wanneer daarvoor het geschikte moment is aangebroken. Ziet de Afdeling het goed, dan is dat ook de strekking van drie van de vier op 8 juli 2014 door de Raad van de Europese Unie in het kader van het zogenoemde Europese semester voor Nederland vastgestelde aanbevelingen.</w:t>
      </w:r>
      <w:r w:rsidRPr="006D6BD2">
        <w:rPr>
          <w:rStyle w:val="Voetnootmarkering"/>
        </w:rPr>
        <w:footnoteReference w:id="9"/>
      </w:r>
    </w:p>
    <w:p w:rsidRPr="006D6BD2" w:rsidR="007471C7" w:rsidP="007471C7" w:rsidRDefault="007471C7"/>
    <w:p w:rsidR="007471C7" w:rsidP="007471C7" w:rsidRDefault="007471C7">
      <w:pPr>
        <w:pStyle w:val="Default"/>
        <w:rPr>
          <w:rFonts w:ascii="Times New Roman" w:hAnsi="Times New Roman" w:cs="Times New Roman"/>
        </w:rPr>
      </w:pPr>
      <w:r w:rsidRPr="006D6BD2">
        <w:rPr>
          <w:rFonts w:ascii="Times New Roman" w:hAnsi="Times New Roman" w:cs="Times New Roman"/>
        </w:rPr>
        <w:t xml:space="preserve">De Afdeling wijst meer in het bijzonder op de noodzaak van verdergaande stelselwijzigingen met betrekking tot arrangementen van de arbeidsmarkt in brede zin (arbeid, belastingen en sociale zekerheid en oudedagsvoorzieningen), inkomenspolitiek – ook over de levensloop heen - en wonen. Ter toelichting het volgende. </w:t>
      </w:r>
    </w:p>
    <w:p w:rsidRPr="006D6BD2" w:rsidR="006D6BD2" w:rsidP="007471C7" w:rsidRDefault="006D6BD2">
      <w:pPr>
        <w:pStyle w:val="Default"/>
        <w:rPr>
          <w:rFonts w:ascii="Times New Roman" w:hAnsi="Times New Roman" w:cs="Times New Roman"/>
        </w:rPr>
      </w:pPr>
    </w:p>
    <w:p w:rsidRPr="006D6BD2" w:rsidR="007471C7" w:rsidP="007471C7" w:rsidRDefault="007471C7">
      <w:pPr>
        <w:pStyle w:val="Default"/>
        <w:rPr>
          <w:rFonts w:ascii="Times New Roman" w:hAnsi="Times New Roman" w:cs="Times New Roman"/>
        </w:rPr>
      </w:pPr>
      <w:r w:rsidRPr="006D6BD2">
        <w:rPr>
          <w:rFonts w:ascii="Times New Roman" w:hAnsi="Times New Roman" w:cs="Times New Roman"/>
        </w:rPr>
        <w:t xml:space="preserve">a. </w:t>
      </w:r>
      <w:r w:rsidR="006D6BD2">
        <w:rPr>
          <w:rFonts w:ascii="Times New Roman" w:hAnsi="Times New Roman" w:cs="Times New Roman"/>
        </w:rPr>
        <w:tab/>
      </w:r>
      <w:r w:rsidRPr="006D6BD2">
        <w:rPr>
          <w:rFonts w:ascii="Times New Roman" w:hAnsi="Times New Roman" w:cs="Times New Roman"/>
          <w:i/>
          <w:iCs/>
        </w:rPr>
        <w:t xml:space="preserve">Arbeidsmarktarrangementen </w:t>
      </w:r>
    </w:p>
    <w:p w:rsidR="007471C7" w:rsidP="007471C7" w:rsidRDefault="007471C7">
      <w:pPr>
        <w:pStyle w:val="Default"/>
        <w:rPr>
          <w:rFonts w:ascii="Times New Roman" w:hAnsi="Times New Roman" w:cs="Times New Roman"/>
        </w:rPr>
      </w:pPr>
      <w:r w:rsidRPr="006D6BD2">
        <w:rPr>
          <w:rFonts w:ascii="Times New Roman" w:hAnsi="Times New Roman" w:cs="Times New Roman"/>
        </w:rPr>
        <w:t xml:space="preserve">De wetgever heeft in de afgelopen periode maatregelen getroffen om arbeidsmarktinstituties te moderniseren en de werking van de arbeidsmarkt te verbeteren. De (eerdere) afschaffing van VUT-regelingen en de verhoging van de AOW-leeftijd hebben bijgedragen aan een substantiële verruiming van de arbeidsparticipatie van ouderen en de beheersing van de kosten voor oudedagsvoorzieningen. Recenter zijn wijzigingen met betrekking tot het ontslagrecht, de Werkloosheidswet en de Participatiewet vastgesteld alsmede de beperkingen </w:t>
      </w:r>
      <w:r w:rsidRPr="006D6BD2">
        <w:rPr>
          <w:rFonts w:ascii="Times New Roman" w:hAnsi="Times New Roman" w:cs="Times New Roman"/>
        </w:rPr>
        <w:lastRenderedPageBreak/>
        <w:t xml:space="preserve">van de fiscale ruimte voor pensioenopbouw (aanpassing Witteveenkader) doorgevoerd. Het effect van veel van deze maatregelen zal daarbij nog moeten worden afgewacht. </w:t>
      </w:r>
    </w:p>
    <w:p w:rsidRPr="006D6BD2" w:rsidR="006D6BD2" w:rsidP="007471C7" w:rsidRDefault="006D6BD2">
      <w:pPr>
        <w:pStyle w:val="Default"/>
        <w:rPr>
          <w:rFonts w:ascii="Times New Roman" w:hAnsi="Times New Roman" w:cs="Times New Roman"/>
        </w:rPr>
      </w:pPr>
    </w:p>
    <w:p w:rsidR="007471C7" w:rsidP="007471C7" w:rsidRDefault="007471C7">
      <w:pPr>
        <w:pStyle w:val="Default"/>
        <w:rPr>
          <w:rFonts w:ascii="Times New Roman" w:hAnsi="Times New Roman" w:cs="Times New Roman"/>
        </w:rPr>
      </w:pPr>
      <w:r w:rsidRPr="006D6BD2">
        <w:rPr>
          <w:rFonts w:ascii="Times New Roman" w:hAnsi="Times New Roman" w:cs="Times New Roman"/>
        </w:rPr>
        <w:t xml:space="preserve">Zoals ook de MJN 2015 vermeldt moeten er nog verdere stappen worden gezet. Er is een grotere dynamiek van de arbeidsmarkt nodig. De arbeidsparticipatie van ouderen neemt wel toe, maar is nog steeds relatief laag met het oog op de demografische ontwikkelingen. De MJN 2015 vraagt ook aandacht voor de positie van </w:t>
      </w:r>
      <w:proofErr w:type="spellStart"/>
      <w:r w:rsidRPr="006D6BD2">
        <w:rPr>
          <w:rFonts w:ascii="Times New Roman" w:hAnsi="Times New Roman" w:cs="Times New Roman"/>
        </w:rPr>
        <w:t>zzp’ers</w:t>
      </w:r>
      <w:proofErr w:type="spellEnd"/>
      <w:r w:rsidRPr="006D6BD2">
        <w:rPr>
          <w:rFonts w:ascii="Times New Roman" w:hAnsi="Times New Roman" w:cs="Times New Roman"/>
        </w:rPr>
        <w:t xml:space="preserve">. Wat de aanvullende pensioenen betreft wijst de MJN 2015 er op dat inmiddels een herziening van het financiële toetsingskader in gang is gezet, maar de principiële discussie over het stelsel van aanvullende pensioenen moet nog plaatsvinden. </w:t>
      </w:r>
    </w:p>
    <w:p w:rsidRPr="006D6BD2" w:rsidR="006D6BD2" w:rsidP="007471C7" w:rsidRDefault="006D6BD2">
      <w:pPr>
        <w:pStyle w:val="Default"/>
        <w:rPr>
          <w:rFonts w:ascii="Times New Roman" w:hAnsi="Times New Roman" w:cs="Times New Roman"/>
        </w:rPr>
      </w:pPr>
    </w:p>
    <w:p w:rsidRPr="006D6BD2" w:rsidR="007471C7" w:rsidP="007471C7" w:rsidRDefault="007471C7">
      <w:r w:rsidRPr="006D6BD2">
        <w:t>De Afdeling onderkent dat op deze terreinen het een en ander in gang is gezet, maar vraagt aandacht voor een drietal vraagstukken: de arbeidsovereenkomst als centraal aangrijpingspunt voor sociale bescherming, de inrichting van het belasting- en toeslagenstelsel en de effecten ervan op de arbeidsmarkt en de positie van ouderen.</w:t>
      </w:r>
    </w:p>
    <w:p w:rsidRPr="006D6BD2" w:rsidR="007471C7" w:rsidP="007471C7" w:rsidRDefault="007471C7"/>
    <w:p w:rsidRPr="006D6BD2" w:rsidR="007471C7" w:rsidP="007471C7" w:rsidRDefault="007471C7">
      <w:pPr>
        <w:pStyle w:val="Default"/>
        <w:rPr>
          <w:rFonts w:ascii="Times New Roman" w:hAnsi="Times New Roman" w:cs="Times New Roman"/>
        </w:rPr>
      </w:pPr>
      <w:r w:rsidRPr="006D6BD2">
        <w:rPr>
          <w:rFonts w:ascii="Times New Roman" w:hAnsi="Times New Roman" w:cs="Times New Roman"/>
        </w:rPr>
        <w:t xml:space="preserve">1°. </w:t>
      </w:r>
      <w:r w:rsidR="006D6BD2">
        <w:rPr>
          <w:rFonts w:ascii="Times New Roman" w:hAnsi="Times New Roman" w:cs="Times New Roman"/>
        </w:rPr>
        <w:tab/>
      </w:r>
      <w:r w:rsidRPr="006D6BD2">
        <w:rPr>
          <w:rFonts w:ascii="Times New Roman" w:hAnsi="Times New Roman" w:cs="Times New Roman"/>
          <w:i/>
          <w:iCs/>
        </w:rPr>
        <w:t xml:space="preserve">Arbeidsovereenkomst </w:t>
      </w:r>
    </w:p>
    <w:p w:rsidR="007471C7" w:rsidP="007471C7" w:rsidRDefault="007471C7">
      <w:pPr>
        <w:pStyle w:val="Default"/>
        <w:rPr>
          <w:rFonts w:ascii="Times New Roman" w:hAnsi="Times New Roman" w:cs="Times New Roman"/>
        </w:rPr>
      </w:pPr>
      <w:r w:rsidRPr="006D6BD2">
        <w:rPr>
          <w:rFonts w:ascii="Times New Roman" w:hAnsi="Times New Roman" w:cs="Times New Roman"/>
        </w:rPr>
        <w:t>De MJN 2015 onderstreept het belang van een flexibele arbeidsmarkt. Flexibilisering van de arbeidsmarkt en (om)scholing van werknemers zijn van groot belang voor zowel het bevorderen van de economische groei als voor de aanpak van een betere aansluiting tussen vraag en aanbod op de arbeidsmarkt.</w:t>
      </w:r>
      <w:r w:rsidRPr="006D6BD2">
        <w:rPr>
          <w:rStyle w:val="Voetnootmarkering"/>
          <w:rFonts w:ascii="Times New Roman" w:hAnsi="Times New Roman" w:cs="Times New Roman"/>
        </w:rPr>
        <w:footnoteReference w:id="10"/>
      </w:r>
      <w:r w:rsidRPr="006D6BD2">
        <w:rPr>
          <w:rFonts w:ascii="Times New Roman" w:hAnsi="Times New Roman" w:cs="Times New Roman"/>
        </w:rPr>
        <w:t xml:space="preserve"> Dit dwingt te gaan naar een stelsel dat gericht is op werkzekerheid.</w:t>
      </w:r>
      <w:r w:rsidRPr="006D6BD2">
        <w:rPr>
          <w:rStyle w:val="Voetnootmarkering"/>
          <w:rFonts w:ascii="Times New Roman" w:hAnsi="Times New Roman" w:cs="Times New Roman"/>
        </w:rPr>
        <w:footnoteReference w:id="11"/>
      </w:r>
      <w:r w:rsidRPr="006D6BD2">
        <w:rPr>
          <w:rFonts w:ascii="Times New Roman" w:hAnsi="Times New Roman" w:cs="Times New Roman"/>
        </w:rPr>
        <w:t xml:space="preserve"> De overheid heeft hierbij een belangrijke voorwaardenscheppende rol. In dat verband moet worden vastgesteld dat veel bestaande arrangementen, zoals die rond (her)scholing, ontslagrecht, inkomensbescherming (sociale zekerheid en oudedagsvoorzieningen), loopbaanbeleid, re-integratie, en de praktijk inzake algemeenverbindendverklaring van cao-afspraken van oudsher zijn gericht op baanzekerheid en zijn gekoppeld aan de traditionele arbeidsovereenkomst. Deze arrangementen zullen in ongewijzigde vorm niet zonder meer functioneel zijn in een stelsel dat gericht is op werkzekerheid. </w:t>
      </w:r>
    </w:p>
    <w:p w:rsidRPr="006D6BD2" w:rsidR="006D6BD2" w:rsidP="007471C7" w:rsidRDefault="006D6BD2">
      <w:pPr>
        <w:pStyle w:val="Default"/>
        <w:rPr>
          <w:rFonts w:ascii="Times New Roman" w:hAnsi="Times New Roman" w:cs="Times New Roman"/>
        </w:rPr>
      </w:pPr>
    </w:p>
    <w:p w:rsidR="007471C7" w:rsidP="007471C7" w:rsidRDefault="007471C7">
      <w:r w:rsidRPr="006D6BD2">
        <w:t xml:space="preserve">In de MJN 2015 richt het kabinet de aandacht op de groei van het aantal </w:t>
      </w:r>
      <w:proofErr w:type="spellStart"/>
      <w:r w:rsidRPr="006D6BD2">
        <w:t>zzp’ers</w:t>
      </w:r>
      <w:proofErr w:type="spellEnd"/>
      <w:r w:rsidRPr="006D6BD2">
        <w:t xml:space="preserve"> en de druk die dit zet op de welvaartsstaat. Geconstateerd wordt dat deze ontwikkeling zowel positieve als negatieve kanten heeft. De groei van het aantal </w:t>
      </w:r>
      <w:proofErr w:type="spellStart"/>
      <w:r w:rsidRPr="006D6BD2">
        <w:t>zzp´ers</w:t>
      </w:r>
      <w:proofErr w:type="spellEnd"/>
      <w:r w:rsidRPr="006D6BD2">
        <w:t xml:space="preserve"> is vermoedelijk mede het gevolg van het minder functioneren van de bestaande arrangementen op een arbeidsmarkt die steeds meer diverse arbeidsrelaties omvat. Dat moet echter niet leiden tot een streven om dit verschijnsel terug te dringen in een patroon waarbij de arbeidsovereenkomst zoals wij die nu kennen, norm is. Om een stelsel dat uitgaat van werkzekerheid in plaats van baanzekerheid als overkoepelend uitgangspunt te kunnen laten functioneren, is volgens de Afdeling dan ook essentieel dat institutionele en financiële arrangementen zo worden ingericht dat in mindere mate de arbeidsovereenkomst, maar vooral het werk zelf, ongeacht de juridische vorm van de arbeidsrelatie, het aangrijpingspunt voor die arrangementen is. Dat vergt dan ook dat die arrangementen opnieuw worden doordacht en waar nodig zo worden aangepast dat deze – in onderlinge samenhang bezien - passen in de gekozen benadering van werkzekerheid. Alleen zo zal de beoogde sociale bescherming duurzaam waar kunnen worden gemaakt voor de verschillende vormen van arbeid. Het blijven aanknopen bij de dienstbetrekking voor de </w:t>
      </w:r>
      <w:r w:rsidRPr="006D6BD2">
        <w:lastRenderedPageBreak/>
        <w:t>inrichting van sociale bescherming brengt het risico mee dat de rol van de dienstbetrekking wordt uitgehold en daarmee ook die sociale bescherming zelf.</w:t>
      </w:r>
    </w:p>
    <w:p w:rsidRPr="006D6BD2" w:rsidR="006D6BD2" w:rsidP="007471C7" w:rsidRDefault="006D6BD2"/>
    <w:p w:rsidR="007471C7" w:rsidP="007471C7" w:rsidRDefault="007471C7">
      <w:r w:rsidRPr="006D6BD2">
        <w:t>De Afdeling wijst op de noodzaak van herijking van de uitgangspunten voor sociale bescherming in een groeiagenda. Het kabinet zou thans concreet noodzakelijke voorbereidingen hiertoe in gang moeten zetten ten behoeve van invoering in de komende jaren wanneer de omstandigheden daarvoor geschikter zijn.</w:t>
      </w:r>
    </w:p>
    <w:p w:rsidRPr="006D6BD2" w:rsidR="006D6BD2" w:rsidP="007471C7" w:rsidRDefault="006D6BD2"/>
    <w:p w:rsidRPr="006D6BD2" w:rsidR="007471C7" w:rsidP="007471C7" w:rsidRDefault="007471C7">
      <w:r w:rsidRPr="006D6BD2">
        <w:t xml:space="preserve">2°. </w:t>
      </w:r>
      <w:r w:rsidR="006D6BD2">
        <w:tab/>
      </w:r>
      <w:r w:rsidRPr="006D6BD2">
        <w:rPr>
          <w:i/>
        </w:rPr>
        <w:t>Lasten op arbeid</w:t>
      </w:r>
    </w:p>
    <w:p w:rsidR="007471C7" w:rsidP="007471C7" w:rsidRDefault="007471C7">
      <w:r w:rsidRPr="006D6BD2">
        <w:t>In de afgelopen periode zijn ter bestrijding van de tekorten bij de overheidsfinanciën de collectieve lasten fors gestegen, daaronder ook die op arbeid.</w:t>
      </w:r>
      <w:r w:rsidRPr="006D6BD2">
        <w:rPr>
          <w:rStyle w:val="Voetnootmarkering"/>
        </w:rPr>
        <w:footnoteReference w:id="12"/>
      </w:r>
      <w:r w:rsidRPr="006D6BD2">
        <w:t xml:space="preserve"> Hoewel deze maatregelen een stap in de goede richting zijn, mag van dergelijke beperkte aanpassingen niet al te veel effect verwacht worden. Voor komend jaar wordt enige verlaging voorzien. De relatief hoge collectieve lasten hebben een negatieve invloed op de economische bedrijvigheid en op de arbeidsmarkt. Wat dat betreft is het inmiddels breder gegroeide besef van de noodzaak om de lasten op arbeid te verlichten, een gunstige ontwikkeling. Er is in dit verband voor gekozen om € 500 </w:t>
      </w:r>
      <w:proofErr w:type="spellStart"/>
      <w:r w:rsidRPr="006D6BD2">
        <w:t>mjn</w:t>
      </w:r>
      <w:proofErr w:type="spellEnd"/>
      <w:r w:rsidRPr="006D6BD2">
        <w:t xml:space="preserve"> vrij te maken voor aanpassing van het afbouwtraject bij de arbeidskorting. Voorts wordt het tarief in de eerste schijf minder verhoogd dan eerder was voorzien. Hiermee is een bedrag van € 475 </w:t>
      </w:r>
      <w:proofErr w:type="spellStart"/>
      <w:r w:rsidRPr="006D6BD2">
        <w:t>mjn</w:t>
      </w:r>
      <w:proofErr w:type="spellEnd"/>
      <w:r w:rsidRPr="006D6BD2">
        <w:t xml:space="preserve"> gemoeid.</w:t>
      </w:r>
    </w:p>
    <w:p w:rsidRPr="006D6BD2" w:rsidR="00541A43" w:rsidP="007471C7" w:rsidRDefault="00541A43">
      <w:r>
        <w:t xml:space="preserve">Hoewel deze maatregelen een stap in de goede richting zijn, mag van dergelijke beperkte aanpassingen niet al te veel effect verwacht worden. </w:t>
      </w:r>
    </w:p>
    <w:p w:rsidRPr="006D6BD2" w:rsidR="007471C7" w:rsidP="007471C7" w:rsidRDefault="007471C7">
      <w:r w:rsidRPr="006D6BD2">
        <w:t>Voor de noodzakelijke verlichting van de lasten op arbeid is vooral de marginale collectieve lastendruk van belang. In dat opzicht zetten tariefsverlaging (in combinatie met grondslagverbreding (aftrekposten) en balansverkorting (toeslagen)) pas echt zoden aan de dijk. Alleen dan kan budgettair verantwoord een wezenlijke verlaging van de nominale tarieven gerealiseerd worden. Ook zal een verdergaande verschuiving bezien moeten worden van lasten over de levensloop, van actieven naar post-actieven. In het rapport van de Commissie inkomstenbelasting en toeslagen zijn bouwstenen voor aanpassingen van het belastingstelsel uiteengezet.</w:t>
      </w:r>
      <w:r w:rsidRPr="006D6BD2">
        <w:rPr>
          <w:rStyle w:val="Voetnootmarkering"/>
        </w:rPr>
        <w:footnoteReference w:id="13"/>
      </w:r>
    </w:p>
    <w:p w:rsidRPr="006D6BD2" w:rsidR="007471C7" w:rsidP="007471C7" w:rsidRDefault="007471C7">
      <w:pPr>
        <w:pStyle w:val="Default"/>
        <w:rPr>
          <w:rFonts w:ascii="Times New Roman" w:hAnsi="Times New Roman" w:cs="Times New Roman"/>
        </w:rPr>
      </w:pPr>
      <w:r w:rsidRPr="006D6BD2">
        <w:rPr>
          <w:rFonts w:ascii="Times New Roman" w:hAnsi="Times New Roman" w:cs="Times New Roman"/>
        </w:rPr>
        <w:t xml:space="preserve">Daarnaast laat de praktijk zien dat de belastingheffing ten aanzien van werknemers onevenwichtig is ten opzichte van die ten aanzien van IB-ondernemers en VPB-ondernemingen (in combinatie met een aanmerkelijk belang). De sociale verzekeringscomponent (werknemersverzekeringen) versterkt dit effect. Dat is vermoedelijk ook een belangrijke factor bij het ontstaan van verschillende alternatieve arbeidsvormen, zoals die van </w:t>
      </w:r>
      <w:proofErr w:type="spellStart"/>
      <w:r w:rsidRPr="006D6BD2">
        <w:rPr>
          <w:rFonts w:ascii="Times New Roman" w:hAnsi="Times New Roman" w:cs="Times New Roman"/>
        </w:rPr>
        <w:t>zzp’ers</w:t>
      </w:r>
      <w:proofErr w:type="spellEnd"/>
      <w:r w:rsidRPr="006D6BD2">
        <w:rPr>
          <w:rFonts w:ascii="Times New Roman" w:hAnsi="Times New Roman" w:cs="Times New Roman"/>
        </w:rPr>
        <w:t xml:space="preserve">. </w:t>
      </w:r>
    </w:p>
    <w:p w:rsidRPr="006D6BD2" w:rsidR="007471C7" w:rsidP="007471C7" w:rsidRDefault="007471C7">
      <w:pPr>
        <w:pStyle w:val="Default"/>
        <w:rPr>
          <w:rFonts w:ascii="Times New Roman" w:hAnsi="Times New Roman" w:cs="Times New Roman"/>
        </w:rPr>
      </w:pPr>
      <w:r w:rsidRPr="006D6BD2">
        <w:rPr>
          <w:rFonts w:ascii="Times New Roman" w:hAnsi="Times New Roman" w:cs="Times New Roman"/>
        </w:rPr>
        <w:t>Een meer dynamisch functionerende arbeidsmarkt vergt dan ook een bredere belastingherziening. De MJN 2015 zou hierover uitsluitsel moeten geven.</w:t>
      </w:r>
      <w:r w:rsidRPr="006D6BD2">
        <w:rPr>
          <w:rStyle w:val="Voetnootmarkering"/>
          <w:rFonts w:ascii="Times New Roman" w:hAnsi="Times New Roman" w:cs="Times New Roman"/>
        </w:rPr>
        <w:footnoteReference w:id="14"/>
      </w:r>
      <w:r w:rsidRPr="006D6BD2">
        <w:rPr>
          <w:rFonts w:ascii="Times New Roman" w:hAnsi="Times New Roman" w:cs="Times New Roman"/>
        </w:rPr>
        <w:t xml:space="preserve"> De concrete voorbereidingen voor een dergelijke herziening dienen tijdig in gang te worden gezet. </w:t>
      </w:r>
    </w:p>
    <w:p w:rsidRPr="006D6BD2" w:rsidR="007471C7" w:rsidP="007471C7" w:rsidRDefault="007471C7"/>
    <w:p w:rsidRPr="006D6BD2" w:rsidR="007471C7" w:rsidP="007471C7" w:rsidRDefault="007471C7">
      <w:pPr>
        <w:rPr>
          <w:i/>
          <w:iCs/>
        </w:rPr>
      </w:pPr>
      <w:r w:rsidRPr="006D6BD2">
        <w:t xml:space="preserve">3°. </w:t>
      </w:r>
      <w:r w:rsidR="00541A43">
        <w:tab/>
      </w:r>
      <w:r w:rsidRPr="006D6BD2">
        <w:rPr>
          <w:i/>
          <w:iCs/>
        </w:rPr>
        <w:t>Ouderen</w:t>
      </w:r>
    </w:p>
    <w:p w:rsidRPr="006D6BD2" w:rsidR="007471C7" w:rsidP="007471C7" w:rsidRDefault="007471C7">
      <w:r w:rsidRPr="006D6BD2">
        <w:t xml:space="preserve">De afschaffing van de VUT en de verhoging van de AOW-leeftijd hebben in de afgelopen periode tot een stijging van de arbeidsparticipatie van ouderen geleid. Daarbij dient te worden aangetekend dat zich een tweedeling aftekent: de arbeidsparticipatie van ouderen mét een </w:t>
      </w:r>
      <w:r w:rsidRPr="006D6BD2">
        <w:lastRenderedPageBreak/>
        <w:t>baan is sterk gestegen (zij blijven langer doorwerken), maar de kansen van ouderen zonder baan zijn slecht. Bovendien is de arbeidsmobiliteit van ouderen zeer beperkt.</w:t>
      </w:r>
      <w:r w:rsidRPr="006D6BD2">
        <w:rPr>
          <w:rStyle w:val="Voetnootmarkering"/>
        </w:rPr>
        <w:footnoteReference w:id="15"/>
      </w:r>
    </w:p>
    <w:p w:rsidRPr="006D6BD2" w:rsidR="00225830" w:rsidP="007471C7" w:rsidRDefault="00225830"/>
    <w:p w:rsidRPr="006D6BD2" w:rsidR="00225830" w:rsidP="00225830" w:rsidRDefault="00225830">
      <w:pPr>
        <w:pStyle w:val="Default"/>
        <w:rPr>
          <w:rFonts w:ascii="Times New Roman" w:hAnsi="Times New Roman" w:cs="Times New Roman"/>
        </w:rPr>
      </w:pPr>
      <w:r w:rsidRPr="006D6BD2">
        <w:rPr>
          <w:rFonts w:ascii="Times New Roman" w:hAnsi="Times New Roman" w:cs="Times New Roman"/>
        </w:rPr>
        <w:t>Gelet op de demografische ontwikkelingen in Nederland (vergrijzing en ontgroening) en de noodzaak van flexibiliteit op de arbeidsmarkt (werkzekerheid in plaats van baanzekerheid)</w:t>
      </w:r>
      <w:r w:rsidRPr="006D6BD2">
        <w:rPr>
          <w:rStyle w:val="Voetnootmarkering"/>
          <w:rFonts w:ascii="Times New Roman" w:hAnsi="Times New Roman" w:cs="Times New Roman"/>
        </w:rPr>
        <w:footnoteReference w:id="16"/>
      </w:r>
      <w:r w:rsidRPr="006D6BD2">
        <w:rPr>
          <w:rFonts w:ascii="Times New Roman" w:hAnsi="Times New Roman" w:cs="Times New Roman"/>
        </w:rPr>
        <w:t xml:space="preserve"> is het van belang dat voor ouderen de kansen op de arbeidsmarkt en de flexibiliteit op de arbeidsmarkt worden vergroot. Naar schatting zijn er in 2023 ruim 480.000 65-plussers die door de stapsgewijze verhoging van de AOW-leeftijd na hun 65ste een aantal jaren geen AOW-uitkering meer ontvangen.</w:t>
      </w:r>
      <w:r w:rsidRPr="006D6BD2">
        <w:rPr>
          <w:rStyle w:val="Voetnootmarkering"/>
          <w:rFonts w:ascii="Times New Roman" w:hAnsi="Times New Roman" w:cs="Times New Roman"/>
        </w:rPr>
        <w:footnoteReference w:id="17"/>
      </w:r>
      <w:r w:rsidRPr="006D6BD2">
        <w:rPr>
          <w:rFonts w:ascii="Times New Roman" w:hAnsi="Times New Roman" w:cs="Times New Roman"/>
        </w:rPr>
        <w:t xml:space="preserve"> De uitdaging voor werkgevers, werknemers en arbeidsorganisaties is om deze groep daadwerkelijk op de arbeidsmarkt actief te laten blijven en niet in andere socialezekerheidsregelingen terecht te laten komen. Daarbij moet er rekening mee worden gehouden dat vermoedelijk een steeds grotere groep ouderen die reeds pensioen geniet, zich op de arbeidsmarkt zal aanbieden wanneer deze pensioenen niet beantwoorden aan de verwachting of de behoefte.</w:t>
      </w:r>
    </w:p>
    <w:p w:rsidRPr="006D6BD2" w:rsidR="00225830" w:rsidP="00225830" w:rsidRDefault="00225830">
      <w:r w:rsidRPr="006D6BD2">
        <w:t>Daarom zal hier in de publieke arrangementen (zoals de wetgeving rond ziekte) alsook in de private arrangementen (zoals de inrichting van het loongebouw) in toenemende mate rekening mee moeten worden gehouden.</w:t>
      </w:r>
    </w:p>
    <w:p w:rsidRPr="006D6BD2" w:rsidR="00225830" w:rsidP="00225830" w:rsidRDefault="00225830"/>
    <w:p w:rsidRPr="006D6BD2" w:rsidR="00225830" w:rsidP="00225830" w:rsidRDefault="00225830">
      <w:pPr>
        <w:pStyle w:val="Default"/>
        <w:rPr>
          <w:rFonts w:ascii="Times New Roman" w:hAnsi="Times New Roman" w:cs="Times New Roman"/>
        </w:rPr>
      </w:pPr>
      <w:r w:rsidRPr="006D6BD2">
        <w:rPr>
          <w:rFonts w:ascii="Times New Roman" w:hAnsi="Times New Roman" w:cs="Times New Roman"/>
        </w:rPr>
        <w:t xml:space="preserve">b. </w:t>
      </w:r>
      <w:r w:rsidR="00541A43">
        <w:rPr>
          <w:rFonts w:ascii="Times New Roman" w:hAnsi="Times New Roman" w:cs="Times New Roman"/>
        </w:rPr>
        <w:tab/>
      </w:r>
      <w:r w:rsidRPr="006D6BD2">
        <w:rPr>
          <w:rFonts w:ascii="Times New Roman" w:hAnsi="Times New Roman" w:cs="Times New Roman"/>
          <w:i/>
          <w:iCs/>
        </w:rPr>
        <w:t xml:space="preserve">Inkomenspolitiek </w:t>
      </w:r>
    </w:p>
    <w:p w:rsidRPr="006D6BD2" w:rsidR="00225830" w:rsidP="00225830" w:rsidRDefault="00225830">
      <w:r w:rsidRPr="006D6BD2">
        <w:t>Solidariteit is een belangrijke drijfveer voor de financiering en opzet van overheidsvoorzieningen. De vraag is evenwel of de vooronderstellingen waarop bestaande voorzieningen berusten over wie ondersteuning nodig heeft, inmiddels niet ten dele achterhaald zijn. In grote lijnen gaat het erom dat in de jaren vijftig ouderdom meestal ook automatisch armoede meebracht. Dat heeft geleid tot een jarenlange opbouw van voorzieningen, die in hoge mate ten goede komen aan ouderen. Voor een deel is daarvoor nog steeds voldoende reden, maar voor een steeds groter wordende groep kunnen daar inmiddels vraagtekens bij geplaatst worden (de armoede bij personen onder 65 is ongeveer 7,5%, bij personen ouder dan 65 is dat percentage ongeveer 3%).</w:t>
      </w:r>
      <w:r w:rsidRPr="006D6BD2">
        <w:rPr>
          <w:rStyle w:val="Voetnootmarkering"/>
        </w:rPr>
        <w:footnoteReference w:id="18"/>
      </w:r>
      <w:r w:rsidRPr="006D6BD2">
        <w:t xml:space="preserve"> Ook de MJN 2015 wijst hier op (paragraaf 2.3.4).</w:t>
      </w:r>
    </w:p>
    <w:p w:rsidRPr="006D6BD2" w:rsidR="00225830" w:rsidP="00225830" w:rsidRDefault="00225830"/>
    <w:p w:rsidRPr="006D6BD2" w:rsidR="00225830" w:rsidP="00225830" w:rsidRDefault="00225830">
      <w:r w:rsidRPr="006D6BD2">
        <w:t>Daarbij komt ook de vraag op of bepaalde andere groepen inmiddels niet méér in de knel komen. Gewezen kan worden op de problemen op de woningmarkt, waardoor vooral jongere generaties worden geraakt: het huis van rond 60% van de generatie tussen 20 en 40 met een eigen woning staat “onder water”.</w:t>
      </w:r>
      <w:r w:rsidRPr="006D6BD2">
        <w:rPr>
          <w:rStyle w:val="Voetnootmarkering"/>
        </w:rPr>
        <w:footnoteReference w:id="19"/>
      </w:r>
      <w:r w:rsidRPr="006D6BD2">
        <w:t xml:space="preserve"> Ook de – op zichzelf noodzakelijke – (inkomensafhankelijke) versobering van voorzieningen betekent vaak dat mensen met enig eigen inkomen meer zelf gaan betalen (zorg, </w:t>
      </w:r>
      <w:proofErr w:type="spellStart"/>
      <w:r w:rsidRPr="006D6BD2">
        <w:t>kindregelingen</w:t>
      </w:r>
      <w:proofErr w:type="spellEnd"/>
      <w:r w:rsidRPr="006D6BD2">
        <w:t>, wonen, studiefinanciering), hetgeen middengroepen naar verhouding zwaar raakt, terwijl deze groep tegelijkertijd wordt geconfronteerd met een toenemende collectieve lastendruk.</w:t>
      </w:r>
      <w:r w:rsidRPr="006D6BD2">
        <w:rPr>
          <w:rStyle w:val="Voetnootmarkering"/>
        </w:rPr>
        <w:footnoteReference w:id="20"/>
      </w:r>
      <w:r w:rsidRPr="006D6BD2">
        <w:t xml:space="preserve"> Verder raken de gevolgen van technische ontwikkelingen vooral ook de werkgelegenheid bij middengroepen.</w:t>
      </w:r>
      <w:r w:rsidRPr="006D6BD2">
        <w:rPr>
          <w:rStyle w:val="Voetnootmarkering"/>
        </w:rPr>
        <w:footnoteReference w:id="21"/>
      </w:r>
    </w:p>
    <w:p w:rsidR="00225830" w:rsidP="00225830" w:rsidRDefault="00225830">
      <w:pPr>
        <w:pStyle w:val="Default"/>
        <w:rPr>
          <w:rFonts w:ascii="Times New Roman" w:hAnsi="Times New Roman" w:cs="Times New Roman"/>
        </w:rPr>
      </w:pPr>
      <w:r w:rsidRPr="006D6BD2">
        <w:rPr>
          <w:rFonts w:ascii="Times New Roman" w:hAnsi="Times New Roman" w:cs="Times New Roman"/>
        </w:rPr>
        <w:lastRenderedPageBreak/>
        <w:t xml:space="preserve">Dit lijkt te duiden op een in veel opzichten niet te veronachtzamen en zorgelijke ontwikkeling waarbij in het bijzonder de aankomende generaties van de middengroepen in het gedrang komen. </w:t>
      </w:r>
    </w:p>
    <w:p w:rsidRPr="006D6BD2" w:rsidR="00541A43" w:rsidP="00225830" w:rsidRDefault="00541A43">
      <w:pPr>
        <w:pStyle w:val="Default"/>
        <w:rPr>
          <w:rFonts w:ascii="Times New Roman" w:hAnsi="Times New Roman" w:cs="Times New Roman"/>
        </w:rPr>
      </w:pPr>
    </w:p>
    <w:p w:rsidRPr="006D6BD2" w:rsidR="00225830" w:rsidP="00225830" w:rsidRDefault="00225830">
      <w:r w:rsidRPr="006D6BD2">
        <w:t>Om deze problematiek aan te pakken zou de inrichting van de verschillende herverdelingsmechanismen opnieuw tegen het licht gehouden moeten worden in verband met gewijzigde maatschappelijke omstandigheden: hetgeen in paragraaf 2.3.4 van de MJN 2015 over de inkomenspositie van huishoudens over de levensloop wordt uiteengezet kan daarbij behulpzaam zijn. Aandacht verdient hierbij de belastingheffing, meer in het bijzonder de lastenverdeling tussen actieven en post-actieven. De MJN 2015 brengt in figuur 2.3.8. treffend in beeld dat de inkomens van 65-plussers sinds 1990 zo’n 8% meer zijn gestegen dan die die van huishoudens onder 65 jaar. In dit verband zijn eerder opties voor beleid geschetst.</w:t>
      </w:r>
      <w:r w:rsidRPr="006D6BD2">
        <w:rPr>
          <w:rStyle w:val="Voetnootmarkering"/>
        </w:rPr>
        <w:footnoteReference w:id="22"/>
      </w:r>
    </w:p>
    <w:p w:rsidRPr="006D6BD2" w:rsidR="00225830" w:rsidP="00225830" w:rsidRDefault="00225830"/>
    <w:p w:rsidRPr="006D6BD2" w:rsidR="00225830" w:rsidP="00225830" w:rsidRDefault="00225830">
      <w:pPr>
        <w:pStyle w:val="Default"/>
        <w:rPr>
          <w:rFonts w:ascii="Times New Roman" w:hAnsi="Times New Roman" w:cs="Times New Roman"/>
        </w:rPr>
      </w:pPr>
      <w:r w:rsidRPr="006D6BD2">
        <w:rPr>
          <w:rFonts w:ascii="Times New Roman" w:hAnsi="Times New Roman" w:cs="Times New Roman"/>
        </w:rPr>
        <w:t xml:space="preserve">c. </w:t>
      </w:r>
      <w:r w:rsidR="00541A43">
        <w:rPr>
          <w:rFonts w:ascii="Times New Roman" w:hAnsi="Times New Roman" w:cs="Times New Roman"/>
        </w:rPr>
        <w:tab/>
      </w:r>
      <w:r w:rsidRPr="006D6BD2">
        <w:rPr>
          <w:rFonts w:ascii="Times New Roman" w:hAnsi="Times New Roman" w:cs="Times New Roman"/>
          <w:i/>
          <w:iCs/>
        </w:rPr>
        <w:t xml:space="preserve">Woningmarkt (koop en huur) </w:t>
      </w:r>
    </w:p>
    <w:p w:rsidR="00225830" w:rsidP="00225830" w:rsidRDefault="00225830">
      <w:pPr>
        <w:pStyle w:val="Default"/>
        <w:rPr>
          <w:rFonts w:ascii="Times New Roman" w:hAnsi="Times New Roman" w:cs="Times New Roman"/>
        </w:rPr>
      </w:pPr>
      <w:r w:rsidRPr="006D6BD2">
        <w:rPr>
          <w:rFonts w:ascii="Times New Roman" w:hAnsi="Times New Roman" w:cs="Times New Roman"/>
        </w:rPr>
        <w:t xml:space="preserve">Op het terrein van de woningmarkt zijn zowel voor de koopsector als voor de huursector hervormingen in gang gezet: geleidelijke beperking van de hypotheekrenteaftrek en beperking van de leenmogelijkheden, tegengaan </w:t>
      </w:r>
      <w:proofErr w:type="spellStart"/>
      <w:r w:rsidRPr="006D6BD2">
        <w:rPr>
          <w:rFonts w:ascii="Times New Roman" w:hAnsi="Times New Roman" w:cs="Times New Roman"/>
        </w:rPr>
        <w:t>scheefwonen</w:t>
      </w:r>
      <w:proofErr w:type="spellEnd"/>
      <w:r w:rsidRPr="006D6BD2">
        <w:rPr>
          <w:rFonts w:ascii="Times New Roman" w:hAnsi="Times New Roman" w:cs="Times New Roman"/>
        </w:rPr>
        <w:t xml:space="preserve"> in de sociale huursector en verkleining van de sociale huursector waardoor die zich beter op de kerntaken gaat richten. Dat neemt niet weg dat nog altijd ruime fiscale aftrekmogelijkheden bestaan en de nieuwe zogenoemde </w:t>
      </w:r>
      <w:proofErr w:type="spellStart"/>
      <w:r w:rsidRPr="006D6BD2">
        <w:rPr>
          <w:rFonts w:ascii="Times New Roman" w:hAnsi="Times New Roman" w:cs="Times New Roman"/>
        </w:rPr>
        <w:t>loan-to-value</w:t>
      </w:r>
      <w:proofErr w:type="spellEnd"/>
      <w:r w:rsidRPr="006D6BD2">
        <w:rPr>
          <w:rFonts w:ascii="Times New Roman" w:hAnsi="Times New Roman" w:cs="Times New Roman"/>
        </w:rPr>
        <w:t xml:space="preserve"> normen internationaal gezien nog altijd heel hoog zijn. Van een groot deel van de woningeigenaren (vooral jongere huishoudens) staat de woning “onder water”, hetgeen negatieve gevolgen heeft voor de consumptie en voor de woon- en arbeidsmobiliteit. De sociale huursector is te groot; een particuliere huurmarkt is vrijwel afwezig. </w:t>
      </w:r>
    </w:p>
    <w:p w:rsidRPr="006D6BD2" w:rsidR="00541A43" w:rsidP="00225830" w:rsidRDefault="00541A43">
      <w:pPr>
        <w:pStyle w:val="Default"/>
        <w:rPr>
          <w:rFonts w:ascii="Times New Roman" w:hAnsi="Times New Roman" w:cs="Times New Roman"/>
        </w:rPr>
      </w:pPr>
    </w:p>
    <w:p w:rsidR="00225830" w:rsidP="00225830" w:rsidRDefault="00225830">
      <w:pPr>
        <w:pStyle w:val="Default"/>
        <w:rPr>
          <w:rFonts w:ascii="Times New Roman" w:hAnsi="Times New Roman" w:cs="Times New Roman"/>
        </w:rPr>
      </w:pPr>
      <w:r w:rsidRPr="006D6BD2">
        <w:rPr>
          <w:rFonts w:ascii="Times New Roman" w:hAnsi="Times New Roman" w:cs="Times New Roman"/>
        </w:rPr>
        <w:t>De Afdeling begrijpt dat in dit verband een goede balans moet worden gevonden tussen de gewenste snelheid van de beoogde beleidswijzigingen en de effecten op de woningmarkt. Wat betreft de zeer geleidelijke beperking van de aftrekmogelijkheden voor de hypotheekrente wijst de Afdeling er op, dat binnen de bestaande fiscale kaders een dergelijke geleidelijke aanpak met het oog op de effecten op de woningmarkt weliswaar begrijpelijk is, maar dat dit te meer onderstreept, dat het werken aan een bredere belastingherziening noodzakelijk is. Die maakt immers mogelijk dat een grondslagverbreding gepaard gaat met een aanzienlijke tariefsverlaging. Het gevolg van een dergelijke aanpak kan een veel snellere afname van het effect van deze fiscale faciliteit zijn.</w:t>
      </w:r>
      <w:r w:rsidRPr="006D6BD2">
        <w:rPr>
          <w:rStyle w:val="Voetnootmarkering"/>
          <w:rFonts w:ascii="Times New Roman" w:hAnsi="Times New Roman" w:cs="Times New Roman"/>
        </w:rPr>
        <w:footnoteReference w:id="23"/>
      </w:r>
    </w:p>
    <w:p w:rsidRPr="006D6BD2" w:rsidR="00541A43" w:rsidP="00225830" w:rsidRDefault="00541A43">
      <w:pPr>
        <w:pStyle w:val="Default"/>
        <w:rPr>
          <w:rFonts w:ascii="Times New Roman" w:hAnsi="Times New Roman" w:cs="Times New Roman"/>
        </w:rPr>
      </w:pPr>
    </w:p>
    <w:p w:rsidRPr="006D6BD2" w:rsidR="00225830" w:rsidP="00225830" w:rsidRDefault="00225830">
      <w:pPr>
        <w:rPr>
          <w:i/>
          <w:iCs/>
        </w:rPr>
      </w:pPr>
      <w:r w:rsidRPr="006D6BD2">
        <w:t xml:space="preserve">d. </w:t>
      </w:r>
      <w:r w:rsidR="00541A43">
        <w:tab/>
      </w:r>
      <w:r w:rsidRPr="006D6BD2">
        <w:rPr>
          <w:i/>
          <w:iCs/>
        </w:rPr>
        <w:t>Uitvoeringsaspecten</w:t>
      </w:r>
    </w:p>
    <w:p w:rsidRPr="006D6BD2" w:rsidR="00225830" w:rsidP="00225830" w:rsidRDefault="00225830">
      <w:r w:rsidRPr="006D6BD2">
        <w:t xml:space="preserve">De MJN 2015 vraagt in paragraaf 2.4 meer aandacht voor de uitvoeringsaspecten van hervormingen, de zogenoemde “hoe” en “wie” vragen. Gewezen wordt op het belang van het betrekken van veldpartijen en uitvoerders bij het opstellen van plannen (“akkoorden”). Ook wordt gewezen op de complexiteit van regels, onder andere als gevolg van stapeling. Tot slot wordt gewezen op de grote </w:t>
      </w:r>
      <w:proofErr w:type="spellStart"/>
      <w:r w:rsidRPr="006D6BD2">
        <w:t>decentralisatie-operatie</w:t>
      </w:r>
      <w:proofErr w:type="spellEnd"/>
      <w:r w:rsidRPr="006D6BD2">
        <w:t xml:space="preserve"> die in 2015 wordt doorgevoerd op een aantal terreinen (maatschappelijke ondersteuning, jeugd en participatie).</w:t>
      </w:r>
    </w:p>
    <w:p w:rsidRPr="006D6BD2" w:rsidR="00225830" w:rsidP="00225830" w:rsidRDefault="00225830"/>
    <w:p w:rsidRPr="006D6BD2" w:rsidR="00225830" w:rsidP="00225830" w:rsidRDefault="00225830">
      <w:pPr>
        <w:pStyle w:val="Default"/>
        <w:rPr>
          <w:rFonts w:ascii="Times New Roman" w:hAnsi="Times New Roman" w:cs="Times New Roman"/>
        </w:rPr>
      </w:pPr>
      <w:r w:rsidRPr="006D6BD2">
        <w:rPr>
          <w:rFonts w:ascii="Times New Roman" w:hAnsi="Times New Roman" w:cs="Times New Roman"/>
        </w:rPr>
        <w:t xml:space="preserve">De Afdeling benadrukt het belang van aandacht voor deze aspecten bij de beleidsvorming en het opstellen van wetgeving. De ervaring van de Afdeling in het kader van de wetgevingsadvisering is dat bij de voorbereiding meer dan eens onvoldoende met de </w:t>
      </w:r>
      <w:r w:rsidRPr="006D6BD2">
        <w:rPr>
          <w:rFonts w:ascii="Times New Roman" w:hAnsi="Times New Roman" w:cs="Times New Roman"/>
        </w:rPr>
        <w:lastRenderedPageBreak/>
        <w:t xml:space="preserve">uitvoeringsaspecten rekening wordt gehouden. Voorgenomen wijzigingen dreigen dan in de praktijk niet of niet volledig te worden gerealiseerd. Dit dwingt tot zelfbeheersing in het politieke besluitvormingsproces door alle betrokkenen. Het betreft zowel de mate van detaillering van de regels als de frequentie waarmee regels worden gewijzigd. Dit klemt temeer wanneer het gaat om gedecentraliseerde beleidsterreinen. </w:t>
      </w:r>
    </w:p>
    <w:p w:rsidR="00541A43" w:rsidP="00225830" w:rsidRDefault="00541A43">
      <w:pPr>
        <w:pStyle w:val="Default"/>
        <w:rPr>
          <w:rFonts w:ascii="Times New Roman" w:hAnsi="Times New Roman" w:cs="Times New Roman"/>
        </w:rPr>
      </w:pPr>
    </w:p>
    <w:p w:rsidRPr="006D6BD2" w:rsidR="00225830" w:rsidP="00225830" w:rsidRDefault="00225830">
      <w:pPr>
        <w:pStyle w:val="Default"/>
        <w:rPr>
          <w:rFonts w:ascii="Times New Roman" w:hAnsi="Times New Roman" w:cs="Times New Roman"/>
        </w:rPr>
      </w:pPr>
      <w:r w:rsidRPr="006D6BD2">
        <w:rPr>
          <w:rFonts w:ascii="Times New Roman" w:hAnsi="Times New Roman" w:cs="Times New Roman"/>
        </w:rPr>
        <w:t xml:space="preserve">4. </w:t>
      </w:r>
      <w:r w:rsidRPr="006D6BD2">
        <w:rPr>
          <w:rFonts w:ascii="Times New Roman" w:hAnsi="Times New Roman" w:cs="Times New Roman"/>
          <w:u w:val="single"/>
        </w:rPr>
        <w:t xml:space="preserve">Begrotingsbeleid </w:t>
      </w:r>
    </w:p>
    <w:p w:rsidR="00225830" w:rsidP="00225830" w:rsidRDefault="00225830">
      <w:pPr>
        <w:pStyle w:val="Default"/>
        <w:rPr>
          <w:rFonts w:ascii="Times New Roman" w:hAnsi="Times New Roman" w:cs="Times New Roman"/>
        </w:rPr>
      </w:pPr>
      <w:r w:rsidRPr="006D6BD2">
        <w:rPr>
          <w:rFonts w:ascii="Times New Roman" w:hAnsi="Times New Roman" w:cs="Times New Roman"/>
        </w:rPr>
        <w:t xml:space="preserve">Het budgettaire beleid vormt de tweede centrale invalshoek bij de aanpak van het herstel van de economie en de overheidsfinanciën. In het derde hoofdstuk van de MJN 2015 gaat het kabinet nader in op de aanpak dienaangaande. Geconstateerd wordt dat de overheidsfinanciën verbetering laten zien ten opzichte van de afgelopen jaren. Het tekort loopt in 2015 terug naar 2,2% BBP (en het structurele saldo komt in de buurt van de </w:t>
      </w:r>
      <w:proofErr w:type="spellStart"/>
      <w:r w:rsidRPr="006D6BD2">
        <w:rPr>
          <w:rFonts w:ascii="Times New Roman" w:hAnsi="Times New Roman" w:cs="Times New Roman"/>
        </w:rPr>
        <w:t>middellangetermijndoelstelling</w:t>
      </w:r>
      <w:proofErr w:type="spellEnd"/>
      <w:r w:rsidRPr="006D6BD2">
        <w:rPr>
          <w:rFonts w:ascii="Times New Roman" w:hAnsi="Times New Roman" w:cs="Times New Roman"/>
        </w:rPr>
        <w:t xml:space="preserve"> (MTO). Nederland is uit de buitensporig tekortprocedure. Ook de houdbaarheid van de overheidsfinanciën is blijkens de nieuwe studie van het CPB verbeterd. Wel zijn de uitgaven sinds het begin van de crisis harder gegroeid dan de economie. De bestaande buffers moesten daarom in de afgelopen jaren aanzienlijk worden aangesproken en zijn nu verbruikt. </w:t>
      </w:r>
    </w:p>
    <w:p w:rsidRPr="006D6BD2" w:rsidR="00541A43" w:rsidP="00225830" w:rsidRDefault="00541A43">
      <w:pPr>
        <w:pStyle w:val="Default"/>
        <w:rPr>
          <w:rFonts w:ascii="Times New Roman" w:hAnsi="Times New Roman" w:cs="Times New Roman"/>
        </w:rPr>
      </w:pPr>
    </w:p>
    <w:p w:rsidR="00225830" w:rsidP="00225830" w:rsidRDefault="00225830">
      <w:pPr>
        <w:pStyle w:val="Default"/>
        <w:rPr>
          <w:rFonts w:ascii="Times New Roman" w:hAnsi="Times New Roman" w:cs="Times New Roman"/>
        </w:rPr>
      </w:pPr>
      <w:r w:rsidRPr="006D6BD2">
        <w:rPr>
          <w:rFonts w:ascii="Times New Roman" w:hAnsi="Times New Roman" w:cs="Times New Roman"/>
        </w:rPr>
        <w:t xml:space="preserve">Het kabinet stelt zich daarom ten doel de overheidsfinanciën geleidelijk in overeenstemming te brengen met de MTO en terug te keren naar een trendmatig begrotingsbeleid. Op die wijze wordt geleidelijke afbouw van de staatsschuld mogelijk en ontstaat meer bestuurlijke rust in het begrotingsbeleid. Om dit te kunnen bereiken is volgens de MJN 2015 wel meer afstand nodig ten opzichte van het tekortplafond van 3% BBP. </w:t>
      </w:r>
    </w:p>
    <w:p w:rsidRPr="006D6BD2" w:rsidR="00541A43" w:rsidP="00225830" w:rsidRDefault="00541A43">
      <w:pPr>
        <w:pStyle w:val="Default"/>
        <w:rPr>
          <w:rFonts w:ascii="Times New Roman" w:hAnsi="Times New Roman" w:cs="Times New Roman"/>
        </w:rPr>
      </w:pPr>
    </w:p>
    <w:p w:rsidR="00225830" w:rsidP="00225830" w:rsidRDefault="00225830">
      <w:pPr>
        <w:pStyle w:val="Default"/>
        <w:rPr>
          <w:rFonts w:ascii="Times New Roman" w:hAnsi="Times New Roman" w:cs="Times New Roman"/>
        </w:rPr>
      </w:pPr>
      <w:r w:rsidRPr="006D6BD2">
        <w:rPr>
          <w:rFonts w:ascii="Times New Roman" w:hAnsi="Times New Roman" w:cs="Times New Roman"/>
        </w:rPr>
        <w:t xml:space="preserve">Naar het oordeel van de Afdeling wijst de MJN 2015 terecht op het belang van het creëren van voldoende buffers om nieuwe schokken op te vangen. Zij onderschrijft dan ook de ambitie van het kabinet op het gebied van het begrotingsbeleid. Daarbij moet er naar haar oordeel voorlopig voor een langere periode van worden uitgegaan dat bestaande en nieuwe onzekerheden en de kans op een trage verbetering van de schuldposities van banken, gezinnen en landen, de economische groei nog een tijd lang zullen drukken. Dat betekent dat voor de beoogde saldoverbetering zal moeten worden gekeken naar </w:t>
      </w:r>
      <w:proofErr w:type="spellStart"/>
      <w:r w:rsidRPr="006D6BD2">
        <w:rPr>
          <w:rFonts w:ascii="Times New Roman" w:hAnsi="Times New Roman" w:cs="Times New Roman"/>
        </w:rPr>
        <w:t>uitgavenbeperkende</w:t>
      </w:r>
      <w:proofErr w:type="spellEnd"/>
      <w:r w:rsidRPr="006D6BD2">
        <w:rPr>
          <w:rFonts w:ascii="Times New Roman" w:hAnsi="Times New Roman" w:cs="Times New Roman"/>
        </w:rPr>
        <w:t xml:space="preserve"> maatregelen, aangezien inkomstenverhogende maatregelen de economische bedrijvigheid en daarmee de groei al snel belasten. In dit verband wijst de MJN 2015 op de risico’s ten aanzien van de ontwikkeling van de collectieve zorguitgaven voor de beheersing van de overheidsuitgaven.</w:t>
      </w:r>
      <w:r w:rsidRPr="006D6BD2">
        <w:rPr>
          <w:rStyle w:val="Voetnootmarkering"/>
          <w:rFonts w:ascii="Times New Roman" w:hAnsi="Times New Roman" w:cs="Times New Roman"/>
        </w:rPr>
        <w:footnoteReference w:id="24"/>
      </w:r>
      <w:r w:rsidRPr="006D6BD2">
        <w:rPr>
          <w:rFonts w:ascii="Times New Roman" w:hAnsi="Times New Roman" w:cs="Times New Roman"/>
        </w:rPr>
        <w:t xml:space="preserve"> Door de verschillende maatregelen die in gang zijn gezet zijn de zorguitgaven vooralsnog onder controle.</w:t>
      </w:r>
      <w:r w:rsidRPr="006D6BD2">
        <w:rPr>
          <w:rStyle w:val="Voetnootmarkering"/>
          <w:rFonts w:ascii="Times New Roman" w:hAnsi="Times New Roman" w:cs="Times New Roman"/>
        </w:rPr>
        <w:footnoteReference w:id="25"/>
      </w:r>
      <w:r w:rsidRPr="006D6BD2">
        <w:rPr>
          <w:rFonts w:ascii="Times New Roman" w:hAnsi="Times New Roman" w:cs="Times New Roman"/>
        </w:rPr>
        <w:t xml:space="preserve"> Uit de begroting van het Ministerie voor Volksgezondheid, Welzijn en Sport maakt de Afdeling evenwel op dat de netto BKZ-uitgaven in constante prijzen in de jaren 2016-2019 met ruim 15%, zo’n 3% per jaar zullen stijgen, van € 66 </w:t>
      </w:r>
      <w:proofErr w:type="spellStart"/>
      <w:r w:rsidRPr="006D6BD2">
        <w:rPr>
          <w:rFonts w:ascii="Times New Roman" w:hAnsi="Times New Roman" w:cs="Times New Roman"/>
        </w:rPr>
        <w:t>mrd</w:t>
      </w:r>
      <w:proofErr w:type="spellEnd"/>
      <w:r w:rsidRPr="006D6BD2">
        <w:rPr>
          <w:rFonts w:ascii="Times New Roman" w:hAnsi="Times New Roman" w:cs="Times New Roman"/>
        </w:rPr>
        <w:t xml:space="preserve"> in 2015 naar € 76 </w:t>
      </w:r>
      <w:proofErr w:type="spellStart"/>
      <w:r w:rsidRPr="006D6BD2">
        <w:rPr>
          <w:rFonts w:ascii="Times New Roman" w:hAnsi="Times New Roman" w:cs="Times New Roman"/>
        </w:rPr>
        <w:t>mrd</w:t>
      </w:r>
      <w:proofErr w:type="spellEnd"/>
      <w:r w:rsidRPr="006D6BD2">
        <w:rPr>
          <w:rFonts w:ascii="Times New Roman" w:hAnsi="Times New Roman" w:cs="Times New Roman"/>
        </w:rPr>
        <w:t xml:space="preserve"> in 2019.</w:t>
      </w:r>
      <w:r w:rsidRPr="006D6BD2">
        <w:rPr>
          <w:rStyle w:val="Voetnootmarkering"/>
          <w:rFonts w:ascii="Times New Roman" w:hAnsi="Times New Roman" w:cs="Times New Roman"/>
        </w:rPr>
        <w:footnoteReference w:id="26"/>
      </w:r>
      <w:r w:rsidRPr="006D6BD2">
        <w:rPr>
          <w:rFonts w:ascii="Times New Roman" w:hAnsi="Times New Roman" w:cs="Times New Roman"/>
        </w:rPr>
        <w:t xml:space="preserve"> Dat zou betekenen dat de zorguitgaven na 2015 harder zullen stijgen dan het BBP en dat de opwaartse trend onvoldoende wordt doorbroken met het thans in gang gezette beleid. </w:t>
      </w:r>
    </w:p>
    <w:p w:rsidRPr="006D6BD2" w:rsidR="00541A43" w:rsidP="00225830" w:rsidRDefault="00541A43">
      <w:pPr>
        <w:pStyle w:val="Default"/>
        <w:rPr>
          <w:rFonts w:ascii="Times New Roman" w:hAnsi="Times New Roman" w:cs="Times New Roman"/>
        </w:rPr>
      </w:pPr>
    </w:p>
    <w:p w:rsidR="00225830" w:rsidP="00225830" w:rsidRDefault="00225830">
      <w:r w:rsidRPr="006D6BD2">
        <w:t>De MJN 2015 wijst er voorts op dat een groot deel van de collectieve uitgaven automatisch meebeweegt met de loonontwikkeling.</w:t>
      </w:r>
      <w:r w:rsidRPr="006D6BD2">
        <w:rPr>
          <w:rStyle w:val="Voetnootmarkering"/>
        </w:rPr>
        <w:footnoteReference w:id="27"/>
      </w:r>
      <w:r w:rsidRPr="006D6BD2">
        <w:t xml:space="preserve"> Het betreft met name de sociale zekerheid </w:t>
      </w:r>
      <w:r w:rsidRPr="006D6BD2">
        <w:lastRenderedPageBreak/>
        <w:t>(koppeling) en de zorg (het zogenoemde OVA-Convenant). Deze leiden tot een automatische opwaartse druk op de uitgaven. Zij dienen volgens de Afdeling gelet op het vorenstaande dan ook opnieuw tegen het licht te worden gehouden.</w:t>
      </w:r>
    </w:p>
    <w:p w:rsidRPr="006D6BD2" w:rsidR="00541A43" w:rsidP="00225830" w:rsidRDefault="00541A43"/>
    <w:p w:rsidRPr="006D6BD2" w:rsidR="00225830" w:rsidP="00225830" w:rsidRDefault="00225830">
      <w:r w:rsidRPr="006D6BD2">
        <w:t>De ambitie van het kabinet om terug te keren naar een trendmatig begrotingsbeleid vergt voorts dat in het nationale begrotingsbeleid strakkere grenzen worden aangehouden dan die welke voortvloeien uit de Europese begrotingsafspraken. De ervaringen in 2002 en 2009 illustreren dat de eisen die uit de Europese begrotingsregels voortvloeien ten aanzien van het begrotingstekort en de ontwikkeling van de staatsschuld snel overschreden kunnen worden. Aangezien de ruimte om nieuwe schokken op te vangen aanzienlijk kleiner is dan in 2008 het geval was en er enkele nieuwe risicofactoren zijn voor de te verwachten economische groei en de ontwikkeling van de uitgaven, impliceert dit in het begrotingsbeleid een veiliger marge dan waarvan nu sprake is. Het kabinet noemt in de MJN de Europese begrotingsafspraken de vangrail van het begrotingsbeleid. Het beeld is geëigend om de dilemma’s te schetsen. De vangrail is bedoeld om ongevallen te beperken, maar niet om het verkeer te ordenen. Daarom hoort bij een vangrail een vluchtstrook die niet mag worden overschreden behoudens in geval van panne en ongeval. Daar is te meer reden voor gelet op het feit dat de Europese begrotingsafspraken ten aanzien van de plafonds voor tekort en schuld nog in hoge mate berusten op een groei- en schuldensituatie zoals deze voor de crisis bestonden (3% BBP groei en een staatsschuld van 60%); met andere woorden, zij zijn reeds ruim bemeten, gegeven een lagere groei en hogere staatsschuld.</w:t>
      </w:r>
    </w:p>
    <w:p w:rsidRPr="006D6BD2" w:rsidR="00225830" w:rsidP="00225830" w:rsidRDefault="00225830">
      <w:r w:rsidRPr="006D6BD2">
        <w:t>Tegen de achtergrond van het vorenstaande concludeert de Afdeling dat het kabinetsvoornemen om terug te keren naar een trendmatig begrotingsbeleid dwingt tot grotere behoedzaamheid en een veiliger marge dan waarvan nu sprake is.</w:t>
      </w:r>
    </w:p>
    <w:p w:rsidRPr="006D6BD2" w:rsidR="00225830" w:rsidP="00225830" w:rsidRDefault="00225830"/>
    <w:p w:rsidRPr="006D6BD2" w:rsidR="00225830" w:rsidP="00225830" w:rsidRDefault="00225830">
      <w:r w:rsidRPr="006D6BD2">
        <w:t>5.</w:t>
      </w:r>
      <w:r w:rsidR="00541A43">
        <w:t xml:space="preserve"> </w:t>
      </w:r>
      <w:r w:rsidRPr="00541A43">
        <w:rPr>
          <w:u w:val="single"/>
        </w:rPr>
        <w:t>Geleidelijkheid vergt tijdigheid</w:t>
      </w:r>
    </w:p>
    <w:p w:rsidR="00225830" w:rsidP="00225830" w:rsidRDefault="00225830">
      <w:r w:rsidRPr="006D6BD2">
        <w:t>In ons land is er een traditie om noodzakelijk aanpassingsbeleid geleidelijk door te voeren, zoveel mogelijk in samenspraak met belangrijke sociale en andere maatschappelijke groepen. Deze praktijk voorkomt vanuit het beleid al te grote schokken, geeft de mogelijkheid aan te sluiten bij ontwikkelingen in de samenleving en kan draagvlak opleveren bij die groepen die het meest direct door het aanpassingsbeleid worden geraakt. Dit beleid past ook in een traditie om zoveel mogelijk sociale samenhang te behouden en te grote verschillen te voorkomen. Ontwikkelingen in landen met een meer Angelsaksische traditie laten veelal een ander type beleid zien met navenant grotere interne spanningen.</w:t>
      </w:r>
    </w:p>
    <w:p w:rsidRPr="006D6BD2" w:rsidR="00541A43" w:rsidP="00225830" w:rsidRDefault="00541A43"/>
    <w:p w:rsidR="00225830" w:rsidP="00225830" w:rsidRDefault="00225830">
      <w:r w:rsidRPr="006D6BD2">
        <w:t xml:space="preserve">De keerzijde van deze benadering van geleidelijkheid is wel dat het herstel dat met de maatregelen wordt beoogd, ook </w:t>
      </w:r>
      <w:proofErr w:type="spellStart"/>
      <w:r w:rsidRPr="006D6BD2">
        <w:t>geleidelijker</w:t>
      </w:r>
      <w:proofErr w:type="spellEnd"/>
      <w:r w:rsidRPr="006D6BD2">
        <w:t xml:space="preserve"> optreedt. De Afdeling signaleert, dat niet zelden wordt gepleit voor enerzijds geleidelijke invoering van noodzakelijke maatregelen, zonder dat anderzijds de consequentie van een ook geleidelijk herstel wordt aanvaard. Het één bepleiten en het andere negeren kan niet. Ook dit aspect stelt hoge eisen aan de maatvoering van het herstelbeleid en aan het “managen van verwachtingen” door het kabinet.</w:t>
      </w:r>
    </w:p>
    <w:p w:rsidRPr="006D6BD2" w:rsidR="00541A43" w:rsidP="00225830" w:rsidRDefault="00541A43"/>
    <w:p w:rsidR="00225830" w:rsidP="00225830" w:rsidRDefault="00225830">
      <w:r w:rsidRPr="006D6BD2">
        <w:t>Deze traditie van geleidelijkheid vergt voorts in de eerste plaats behoedzaamheid bij het hanteren van ramingen en verwachtingen en in de tweede plaats dat noodzakelijke hervormingen tijdig ter hand worden genomen om te voorkomen dat op enig moment, onder druk van de economische werkelijkheid, scherpere bochten moeten worden genomen. Nu het beeld wordt geschetst dat betere tijden weer aanbreken, moet worden gewaakt voor het wekken van verkeerde verwachtingen en het bieden van schijnzekerheden. De afgelopen crisisjaren en de jaren daarvoor zijn in meer opzichten kostbare jaren geweest; nu zal moeten blijken of deze periode ook een leerzame ervaring is geweest.</w:t>
      </w:r>
    </w:p>
    <w:p w:rsidRPr="006D6BD2" w:rsidR="00541A43" w:rsidP="00225830" w:rsidRDefault="00541A43"/>
    <w:p w:rsidRPr="006D6BD2" w:rsidR="00225830" w:rsidP="00225830" w:rsidRDefault="00225830">
      <w:r w:rsidRPr="006D6BD2">
        <w:t>De Afdeling advisering van de Raad van State geeft U in overweging de</w:t>
      </w:r>
    </w:p>
    <w:p w:rsidRPr="006D6BD2" w:rsidR="00225830" w:rsidP="00225830" w:rsidRDefault="00225830">
      <w:r w:rsidRPr="006D6BD2">
        <w:t>Miljoenennota 2015 te zenden aan de Tweede Kamer der Staten-Generaal, nadat</w:t>
      </w:r>
    </w:p>
    <w:p w:rsidRPr="006D6BD2" w:rsidR="00225830" w:rsidP="00225830" w:rsidRDefault="00225830">
      <w:r w:rsidRPr="006D6BD2">
        <w:t>aan het vorenstaande aandacht zal zijn geschonken.</w:t>
      </w:r>
    </w:p>
    <w:p w:rsidRPr="006D6BD2" w:rsidR="00225830" w:rsidP="00225830" w:rsidRDefault="00225830"/>
    <w:p w:rsidR="00225830" w:rsidP="00225830" w:rsidRDefault="00225830">
      <w:pPr>
        <w:pStyle w:val="Default"/>
        <w:rPr>
          <w:rFonts w:ascii="Times New Roman" w:hAnsi="Times New Roman" w:cs="Times New Roman"/>
          <w:b/>
          <w:bCs/>
        </w:rPr>
      </w:pPr>
      <w:r w:rsidRPr="006D6BD2">
        <w:rPr>
          <w:rFonts w:ascii="Times New Roman" w:hAnsi="Times New Roman" w:cs="Times New Roman"/>
          <w:b/>
          <w:bCs/>
        </w:rPr>
        <w:t xml:space="preserve">III. BEOORDELING BEGROTING </w:t>
      </w:r>
    </w:p>
    <w:p w:rsidRPr="006D6BD2" w:rsidR="00541A43" w:rsidP="00225830" w:rsidRDefault="00541A43">
      <w:pPr>
        <w:pStyle w:val="Default"/>
        <w:rPr>
          <w:rFonts w:ascii="Times New Roman" w:hAnsi="Times New Roman" w:cs="Times New Roman"/>
        </w:rPr>
      </w:pPr>
    </w:p>
    <w:p w:rsidRPr="006D6BD2" w:rsidR="00225830" w:rsidP="00225830" w:rsidRDefault="00225830">
      <w:pPr>
        <w:pStyle w:val="Default"/>
        <w:rPr>
          <w:rFonts w:ascii="Times New Roman" w:hAnsi="Times New Roman" w:cs="Times New Roman"/>
        </w:rPr>
      </w:pPr>
      <w:r w:rsidRPr="006D6BD2">
        <w:rPr>
          <w:rFonts w:ascii="Times New Roman" w:hAnsi="Times New Roman" w:cs="Times New Roman"/>
        </w:rPr>
        <w:t xml:space="preserve">6. </w:t>
      </w:r>
      <w:r w:rsidRPr="00541A43">
        <w:rPr>
          <w:rFonts w:ascii="Times New Roman" w:hAnsi="Times New Roman" w:cs="Times New Roman"/>
          <w:u w:val="single"/>
        </w:rPr>
        <w:t>De Afdeling advisering als onafhankelijke begrotingsautoriteit</w:t>
      </w:r>
      <w:r w:rsidRPr="006D6BD2">
        <w:rPr>
          <w:rFonts w:ascii="Times New Roman" w:hAnsi="Times New Roman" w:cs="Times New Roman"/>
        </w:rPr>
        <w:t xml:space="preserve"> </w:t>
      </w:r>
    </w:p>
    <w:p w:rsidRPr="006D6BD2" w:rsidR="00225830" w:rsidP="00225830" w:rsidRDefault="00225830">
      <w:r w:rsidRPr="006D6BD2">
        <w:t>Per 15 december 2013 is de Wet houdbare overheidsfinanciën (Wet HOF) in werking getreden. Ingevolge deze wet wordt de Afdeling advisering van de Raad van State verplicht gehoord over de jaarlijkse Miljoenennota en over een eventueel herstelplan dat moet worden opgesteld wanneer de daartoe bevoegde Europese instantie vaststelt dat het gevoerde begrotingsbeleid niet in voldoende mate leidt tot het bereiken van de overeengekomen doelen. Blijkens de memorie van toelichting die naar het toepasselijke EU-recht verwijst</w:t>
      </w:r>
      <w:r w:rsidRPr="006D6BD2">
        <w:rPr>
          <w:rStyle w:val="Voetnootmarkering"/>
        </w:rPr>
        <w:footnoteReference w:id="28"/>
      </w:r>
      <w:r w:rsidRPr="006D6BD2">
        <w:t xml:space="preserve"> is met artikel 2, achtste lid, Wet Hof beoogd dat de Afdeling advisering de functie uitoefent van onafhankelijke beoordelingsautoriteit, waarvan de bevoegdheden nader zijn uitgewerkt in artikel 5 van verordening 473/2013.</w:t>
      </w:r>
      <w:r w:rsidRPr="006D6BD2">
        <w:rPr>
          <w:rStyle w:val="Voetnootmarkering"/>
        </w:rPr>
        <w:footnoteReference w:id="29"/>
      </w:r>
      <w:r w:rsidRPr="006D6BD2">
        <w:t xml:space="preserve"> Inmiddels wordt de Raad van State, Afdeling advisering, in daarop betrekking hebbende stukken aangeduid als de onafhankelijke begrotingsautoriteit (OBA) in Nederland.</w:t>
      </w:r>
    </w:p>
    <w:p w:rsidRPr="006D6BD2" w:rsidR="00225830" w:rsidP="00225830" w:rsidRDefault="00225830"/>
    <w:p w:rsidRPr="006D6BD2" w:rsidR="00225830" w:rsidP="00225830" w:rsidRDefault="00225830">
      <w:r w:rsidRPr="006D6BD2">
        <w:t>Implicatie van deze aanwijzing is dat de bepalingen en criteria welke in daartoe strekkende verordeningen en regels van de Europese Unie worden gesteld aan onafhankelijke begrotingsautoriteiten, naast de bepalingen van de Wet HOF op de Afdeling advisering van toepassing zijn. In dit verband zij gewezen op het Verdrag inzake stabiliteit, coördinatie en bestuur in de economische en monetaire unie (</w:t>
      </w:r>
      <w:proofErr w:type="spellStart"/>
      <w:r w:rsidRPr="006D6BD2">
        <w:t>Trb</w:t>
      </w:r>
      <w:proofErr w:type="spellEnd"/>
      <w:r w:rsidRPr="006D6BD2">
        <w:t>. 2012, 51). Daarin wordt in artikel 3 bepaald dat de verdragsluitende partijen, op voorstel van de Europese Commissie gemeenschappelijke beginselen opstellen voor onder andere de taak en de onafhankelijkheid van de instellingen die op nationaal niveau verantwoordelijk zijn voor het toezicht op de naleving.</w:t>
      </w:r>
    </w:p>
    <w:p w:rsidRPr="006D6BD2" w:rsidR="00225830" w:rsidP="00225830" w:rsidRDefault="00225830"/>
    <w:p w:rsidRPr="006D6BD2" w:rsidR="00225830" w:rsidP="00225830" w:rsidRDefault="00225830">
      <w:r w:rsidRPr="006D6BD2">
        <w:t xml:space="preserve">De regering heeft er voor gekozen om de taken die verricht moeten worden in het kader van het toezicht op en de beoordeling van de begroting niet alle bij één instelling te concentreren, gegeven het feit dat in Nederland op dat punt reeds instellingen bestaan die al jaren bevredigend functioneren. Een belangrijk deel van de activiteiten betreft het voorzien in </w:t>
      </w:r>
      <w:r w:rsidRPr="006D6BD2">
        <w:lastRenderedPageBreak/>
        <w:t>betrouwbare cijfers en doorrekeningen van plannen en begrotingen. Die taak is belegd bij het CPB. De rol van de Afdeling als onafhankelijke begrotingsautoriteit is daarom toegespitst op een beoordeling op basis van de doorrekening van het CPB in meer bestuurlijk analytische zin.</w:t>
      </w:r>
      <w:r w:rsidRPr="006D6BD2">
        <w:rPr>
          <w:rStyle w:val="Voetnootmarkering"/>
        </w:rPr>
        <w:footnoteReference w:id="30"/>
      </w:r>
    </w:p>
    <w:p w:rsidRPr="006D6BD2" w:rsidR="00225830" w:rsidP="00225830" w:rsidRDefault="00225830"/>
    <w:p w:rsidR="00225830" w:rsidP="00225830" w:rsidRDefault="00225830">
      <w:pPr>
        <w:pStyle w:val="Default"/>
        <w:rPr>
          <w:rFonts w:ascii="Times New Roman" w:hAnsi="Times New Roman" w:cs="Times New Roman"/>
        </w:rPr>
      </w:pPr>
      <w:r w:rsidRPr="006D6BD2">
        <w:rPr>
          <w:rFonts w:ascii="Times New Roman" w:hAnsi="Times New Roman" w:cs="Times New Roman"/>
        </w:rPr>
        <w:t xml:space="preserve">In artikel 5 van verordening 473/2013 zijn nadere kaders voor de beoordeling door de OBA vastgesteld. Dit omvat niet alleen de vraag of voldaan is aan de begrotingsregels, maar ook de vraag of zich omstandigheden voordoen die moeten leiden tot de activering van het correctiemechanisme, de vraag of budgettaire correcties in overeenstemming met de nationale regels en plannen verlopen en de vraag of er zich omstandigheden voordoen die een tijdelijke afwijking van de begrotingsdoelstelling rechtvaardigen. </w:t>
      </w:r>
    </w:p>
    <w:p w:rsidRPr="006D6BD2" w:rsidR="00541A43" w:rsidP="00225830" w:rsidRDefault="00541A43">
      <w:pPr>
        <w:pStyle w:val="Default"/>
        <w:rPr>
          <w:rFonts w:ascii="Times New Roman" w:hAnsi="Times New Roman" w:cs="Times New Roman"/>
        </w:rPr>
      </w:pPr>
    </w:p>
    <w:p w:rsidR="00225830" w:rsidP="00225830" w:rsidRDefault="00225830">
      <w:pPr>
        <w:pStyle w:val="Default"/>
        <w:rPr>
          <w:rFonts w:ascii="Times New Roman" w:hAnsi="Times New Roman" w:cs="Times New Roman"/>
        </w:rPr>
      </w:pPr>
      <w:r w:rsidRPr="006D6BD2">
        <w:rPr>
          <w:rFonts w:ascii="Times New Roman" w:hAnsi="Times New Roman" w:cs="Times New Roman"/>
        </w:rPr>
        <w:t xml:space="preserve">Tot slot zij gewezen op de </w:t>
      </w:r>
      <w:proofErr w:type="spellStart"/>
      <w:r w:rsidRPr="006D6BD2">
        <w:rPr>
          <w:rFonts w:ascii="Times New Roman" w:hAnsi="Times New Roman" w:cs="Times New Roman"/>
        </w:rPr>
        <w:t>landenspecifieke</w:t>
      </w:r>
      <w:proofErr w:type="spellEnd"/>
      <w:r w:rsidRPr="006D6BD2">
        <w:rPr>
          <w:rFonts w:ascii="Times New Roman" w:hAnsi="Times New Roman" w:cs="Times New Roman"/>
        </w:rPr>
        <w:t xml:space="preserve"> aanbevelingen die de Raad van de Europese Unie jaarlijks vaststelt in het kader van het zogenoemde Europese semester. Zij hebben echter ten dele een aanvullend karakter op de eerder bedoelde begrotingsregels. Bij de beoordeling in bovenbedoelde zin spelen zij een belangrijke rol. Daarom worden zij hieronder afzonderlijk besproken. </w:t>
      </w:r>
    </w:p>
    <w:p w:rsidRPr="006D6BD2" w:rsidR="00541A43" w:rsidP="00225830" w:rsidRDefault="00541A43">
      <w:pPr>
        <w:pStyle w:val="Default"/>
        <w:rPr>
          <w:rFonts w:ascii="Times New Roman" w:hAnsi="Times New Roman" w:cs="Times New Roman"/>
        </w:rPr>
      </w:pPr>
    </w:p>
    <w:p w:rsidRPr="006D6BD2" w:rsidR="00225830" w:rsidP="00225830" w:rsidRDefault="00225830">
      <w:pPr>
        <w:pStyle w:val="Default"/>
        <w:rPr>
          <w:rFonts w:ascii="Times New Roman" w:hAnsi="Times New Roman" w:cs="Times New Roman"/>
        </w:rPr>
      </w:pPr>
      <w:r w:rsidRPr="006D6BD2">
        <w:rPr>
          <w:rFonts w:ascii="Times New Roman" w:hAnsi="Times New Roman" w:cs="Times New Roman"/>
        </w:rPr>
        <w:t xml:space="preserve">7. </w:t>
      </w:r>
      <w:r w:rsidRPr="00541A43">
        <w:rPr>
          <w:rFonts w:ascii="Times New Roman" w:hAnsi="Times New Roman" w:cs="Times New Roman"/>
          <w:u w:val="single"/>
        </w:rPr>
        <w:t>Toetsing aan gestelde kaders</w:t>
      </w:r>
      <w:r w:rsidRPr="006D6BD2">
        <w:rPr>
          <w:rFonts w:ascii="Times New Roman" w:hAnsi="Times New Roman" w:cs="Times New Roman"/>
        </w:rPr>
        <w:t xml:space="preserve"> </w:t>
      </w:r>
    </w:p>
    <w:p w:rsidRPr="006D6BD2" w:rsidR="00225830" w:rsidP="00225830" w:rsidRDefault="00225830">
      <w:pPr>
        <w:pStyle w:val="Default"/>
        <w:rPr>
          <w:rFonts w:ascii="Times New Roman" w:hAnsi="Times New Roman" w:cs="Times New Roman"/>
        </w:rPr>
      </w:pPr>
      <w:r w:rsidRPr="006D6BD2">
        <w:rPr>
          <w:rFonts w:ascii="Times New Roman" w:hAnsi="Times New Roman" w:cs="Times New Roman"/>
        </w:rPr>
        <w:t xml:space="preserve">De Afdeling advisering beoordeelt ingevolge deze bepalingen dit jaar voor het eerst de begrotingsvoorstellen mede in het licht van de Europese begrotingsregels. Zij doet dat op basis van de cijfermatige voorspellingen en analyses van het CPB. Nederland is dit voorjaar uit de buitensporig tekortprocedure ontslagen en thans gelden in Nederland de eisen van de zogenoemde preventieve arm van het Stabiliteits- en Groeipact. De Europese begrotingsregels die in de preventieve arm gelden zijn: het structurele begrotingstekort moet zich in voldoende tempo bewegen naar de MTO van -0,5% BBP, de uitgaven moeten voldoen aan een zogenoemde uitgavenbenchmark (dat wil zeggen: minder groeien dan de potentiele groei van de economie) en de schuldquote moet op termijn geleidelijk dalen naar 60 % BBP. </w:t>
      </w:r>
    </w:p>
    <w:p w:rsidRPr="006D6BD2" w:rsidR="00225830" w:rsidP="00541A43" w:rsidRDefault="00225830">
      <w:pPr>
        <w:pStyle w:val="Default"/>
        <w:ind w:left="708"/>
        <w:rPr>
          <w:rFonts w:ascii="Times New Roman" w:hAnsi="Times New Roman" w:cs="Times New Roman"/>
        </w:rPr>
      </w:pPr>
      <w:r w:rsidRPr="006D6BD2">
        <w:rPr>
          <w:rFonts w:ascii="Times New Roman" w:hAnsi="Times New Roman" w:cs="Times New Roman"/>
        </w:rPr>
        <w:t xml:space="preserve">• Blijkens de nieuwe ramingen in de Macro Economische Verkenning 2015 komt Nederland in 2015 uit op een structureel tekort van 0,7% BBP, dichtbij het gestelde middellange termijn doel van -0,5% BBP. Ook in 2013 blijkt dit met de kennis van vandaag– na verwerking van de revisie van het Europese systeem van nationale rekeningen – al bijna het geval te zijn geweest. Dit verrast tegen de achtergrond van de ramingen van dit voorjaar toen het structurele tekort van Nederland in 2013 nog op 1,3% BBP werd geschat en er dus nog stappen van bijna een half procent BBP per jaar moesten worden afgelegd om in 2015 op de middellange termijn doelstelling van -0,5% BBP uit te komen. Dit illustreert de onzekerheid waarmee deze schattingen zijn omgeven; daarbij blijven het schattingen want statistische realisatiecijfers van deze variabele komen nooit beschikbaar. </w:t>
      </w:r>
    </w:p>
    <w:p w:rsidRPr="006D6BD2" w:rsidR="00225830" w:rsidP="00541A43" w:rsidRDefault="00225830">
      <w:pPr>
        <w:pStyle w:val="Default"/>
        <w:ind w:left="708"/>
        <w:rPr>
          <w:rFonts w:ascii="Times New Roman" w:hAnsi="Times New Roman" w:cs="Times New Roman"/>
        </w:rPr>
      </w:pPr>
      <w:r w:rsidRPr="006D6BD2">
        <w:rPr>
          <w:rFonts w:ascii="Times New Roman" w:hAnsi="Times New Roman" w:cs="Times New Roman"/>
        </w:rPr>
        <w:t xml:space="preserve">• De berekeningen van het CPB geven aan dat aan het tweede criterium van de preventieve arm, in </w:t>
      </w:r>
      <w:proofErr w:type="spellStart"/>
      <w:r w:rsidRPr="006D6BD2">
        <w:rPr>
          <w:rFonts w:ascii="Times New Roman" w:hAnsi="Times New Roman" w:cs="Times New Roman"/>
        </w:rPr>
        <w:t>casu</w:t>
      </w:r>
      <w:proofErr w:type="spellEnd"/>
      <w:r w:rsidRPr="006D6BD2">
        <w:rPr>
          <w:rFonts w:ascii="Times New Roman" w:hAnsi="Times New Roman" w:cs="Times New Roman"/>
        </w:rPr>
        <w:t xml:space="preserve"> de uitgavenbenchmark wordt voldaan; de groeivoet van de (gecorrigeerde) overheidsuitgaven komt lager uit dan de groeivoet van het potentiële BBP. </w:t>
      </w:r>
    </w:p>
    <w:p w:rsidRPr="006D6BD2" w:rsidR="00225830" w:rsidP="00541A43" w:rsidRDefault="00225830">
      <w:pPr>
        <w:pStyle w:val="Default"/>
        <w:ind w:left="708"/>
        <w:rPr>
          <w:rFonts w:ascii="Times New Roman" w:hAnsi="Times New Roman" w:cs="Times New Roman"/>
        </w:rPr>
      </w:pPr>
      <w:r w:rsidRPr="006D6BD2">
        <w:rPr>
          <w:rFonts w:ascii="Times New Roman" w:hAnsi="Times New Roman" w:cs="Times New Roman"/>
        </w:rPr>
        <w:t xml:space="preserve">• De berekeningen van het CPB geven ook aan dat de schuldquote op enige termijn in voldoende tempo gaat dalen richting 60% BBP. </w:t>
      </w:r>
    </w:p>
    <w:p w:rsidR="00541A43" w:rsidP="00225830" w:rsidRDefault="00541A43">
      <w:pPr>
        <w:pStyle w:val="Default"/>
        <w:rPr>
          <w:rFonts w:ascii="Times New Roman" w:hAnsi="Times New Roman" w:cs="Times New Roman"/>
        </w:rPr>
      </w:pPr>
    </w:p>
    <w:p w:rsidR="00225830" w:rsidP="00225830" w:rsidRDefault="00225830">
      <w:pPr>
        <w:pStyle w:val="Default"/>
        <w:rPr>
          <w:rFonts w:ascii="Times New Roman" w:hAnsi="Times New Roman" w:cs="Times New Roman"/>
        </w:rPr>
      </w:pPr>
      <w:r w:rsidRPr="006D6BD2">
        <w:rPr>
          <w:rFonts w:ascii="Times New Roman" w:hAnsi="Times New Roman" w:cs="Times New Roman"/>
        </w:rPr>
        <w:lastRenderedPageBreak/>
        <w:t>In de preventieve arm wordt achteraf op basis van realisatiecijfers beoordeeld of een land aan de afspraken heeft voldaan en of er van een zogenoemde significante afwijking sprake is. Volgens het kabinet hanteert de Europese Commissie daarbij een zekere marge omdat de berekening van het structurele saldo met grote onzekerheden is omgeven en het verloop ervan volatiel is.</w:t>
      </w:r>
      <w:r w:rsidRPr="006D6BD2" w:rsidR="006D6BD2">
        <w:rPr>
          <w:rStyle w:val="Voetnootmarkering"/>
          <w:rFonts w:ascii="Times New Roman" w:hAnsi="Times New Roman" w:cs="Times New Roman"/>
        </w:rPr>
        <w:footnoteReference w:id="31"/>
      </w:r>
    </w:p>
    <w:p w:rsidRPr="006D6BD2" w:rsidR="00541A43" w:rsidP="00225830" w:rsidRDefault="00541A43">
      <w:pPr>
        <w:pStyle w:val="Default"/>
        <w:rPr>
          <w:rFonts w:ascii="Times New Roman" w:hAnsi="Times New Roman" w:cs="Times New Roman"/>
        </w:rPr>
      </w:pPr>
    </w:p>
    <w:p w:rsidR="006D6BD2" w:rsidP="006D6BD2" w:rsidRDefault="006D6BD2">
      <w:pPr>
        <w:pStyle w:val="Default"/>
        <w:rPr>
          <w:rFonts w:ascii="Times New Roman" w:hAnsi="Times New Roman" w:cs="Times New Roman"/>
        </w:rPr>
      </w:pPr>
      <w:r w:rsidRPr="006D6BD2">
        <w:rPr>
          <w:rFonts w:ascii="Times New Roman" w:hAnsi="Times New Roman" w:cs="Times New Roman"/>
        </w:rPr>
        <w:t xml:space="preserve">Uitgaande van het hanteren van een zekere marge door de Europese Commissie bij de beantwoording van de vraag of sprake is van een significante afwijking van de MTO, wordt met de begroting 2015 voldaan aan de relevante Europese normen omtrent schuld, tekort (feitelijk en structureel) en uitgavenbenchmark, indien een en ander ook daadwerkelijk wordt gerealiseerd. </w:t>
      </w:r>
    </w:p>
    <w:p w:rsidRPr="006D6BD2" w:rsidR="00541A43" w:rsidP="006D6BD2" w:rsidRDefault="00541A43">
      <w:pPr>
        <w:pStyle w:val="Default"/>
        <w:rPr>
          <w:rFonts w:ascii="Times New Roman" w:hAnsi="Times New Roman" w:cs="Times New Roman"/>
        </w:rPr>
      </w:pPr>
    </w:p>
    <w:p w:rsidRPr="006D6BD2" w:rsidR="00225830" w:rsidP="006D6BD2" w:rsidRDefault="006D6BD2">
      <w:r w:rsidRPr="006D6BD2">
        <w:t>Het kabinet vaart hiermee echter zeer scherp aan de wind: als de windrichting maar enigszins verandert voldoet Nederland niet meer aan de gestelde Europese eisen. De Afdeling wijst in dit verband op de eerste van vier aanbevelingen van de Raad van de Europese Unie voor Nederland, die op 8 juli 2014 zijn vastgesteld, waarin ook al is gewezen op het risico dat door Nederland significant wordt afgeweken van de vereisten van het Stabiliteits- en Groeipact.</w:t>
      </w:r>
      <w:r w:rsidRPr="006D6BD2">
        <w:rPr>
          <w:rStyle w:val="Voetnootmarkering"/>
        </w:rPr>
        <w:footnoteReference w:id="32"/>
      </w:r>
      <w:r w:rsidRPr="006D6BD2">
        <w:t xml:space="preserve"> Deze aanbeveling luidt:</w:t>
      </w:r>
    </w:p>
    <w:p w:rsidRPr="006D6BD2" w:rsidR="006D6BD2" w:rsidP="006D6BD2" w:rsidRDefault="006D6BD2"/>
    <w:tbl>
      <w:tblPr>
        <w:tblW w:w="0" w:type="auto"/>
        <w:tblInd w:w="108" w:type="dxa"/>
        <w:tblBorders>
          <w:top w:val="nil"/>
          <w:left w:val="nil"/>
          <w:bottom w:val="nil"/>
          <w:right w:val="nil"/>
        </w:tblBorders>
        <w:tblLayout w:type="fixed"/>
        <w:tblLook w:val="0000" w:firstRow="0" w:lastRow="0" w:firstColumn="0" w:lastColumn="0" w:noHBand="0" w:noVBand="0"/>
      </w:tblPr>
      <w:tblGrid>
        <w:gridCol w:w="709"/>
        <w:gridCol w:w="7733"/>
      </w:tblGrid>
      <w:tr w:rsidRPr="006D6BD2" w:rsidR="006D6BD2" w:rsidTr="00541A43">
        <w:trPr>
          <w:trHeight w:val="1283"/>
        </w:trPr>
        <w:tc>
          <w:tcPr>
            <w:tcW w:w="709" w:type="dxa"/>
          </w:tcPr>
          <w:p w:rsidRPr="006D6BD2" w:rsidR="006D6BD2" w:rsidRDefault="006D6BD2">
            <w:pPr>
              <w:pStyle w:val="Default"/>
              <w:rPr>
                <w:rFonts w:ascii="Times New Roman" w:hAnsi="Times New Roman" w:cs="Times New Roman"/>
              </w:rPr>
            </w:pPr>
            <w:r w:rsidRPr="006D6BD2">
              <w:rPr>
                <w:rFonts w:ascii="Times New Roman" w:hAnsi="Times New Roman" w:cs="Times New Roman"/>
                <w:i/>
                <w:iCs/>
              </w:rPr>
              <w:t>1°.</w:t>
            </w:r>
          </w:p>
        </w:tc>
        <w:tc>
          <w:tcPr>
            <w:tcW w:w="7733" w:type="dxa"/>
          </w:tcPr>
          <w:p w:rsidRPr="006D6BD2" w:rsidR="006D6BD2" w:rsidRDefault="006D6BD2">
            <w:pPr>
              <w:pStyle w:val="Default"/>
              <w:rPr>
                <w:rFonts w:ascii="Times New Roman" w:hAnsi="Times New Roman" w:cs="Times New Roman"/>
              </w:rPr>
            </w:pPr>
            <w:r w:rsidRPr="006D6BD2">
              <w:rPr>
                <w:rFonts w:ascii="Times New Roman" w:hAnsi="Times New Roman" w:cs="Times New Roman"/>
                <w:i/>
                <w:iCs/>
              </w:rPr>
              <w:t xml:space="preserve">Na de correctie van het buitensporige tekort de begrotingsmaatregelen voor 2014 te versterken in het licht van de opdoemende kloof van 0,5 % van het </w:t>
            </w:r>
            <w:proofErr w:type="spellStart"/>
            <w:r w:rsidRPr="006D6BD2">
              <w:rPr>
                <w:rFonts w:ascii="Times New Roman" w:hAnsi="Times New Roman" w:cs="Times New Roman"/>
                <w:i/>
                <w:iCs/>
              </w:rPr>
              <w:t>bbp</w:t>
            </w:r>
            <w:proofErr w:type="spellEnd"/>
            <w:r w:rsidRPr="006D6BD2">
              <w:rPr>
                <w:rFonts w:ascii="Times New Roman" w:hAnsi="Times New Roman" w:cs="Times New Roman"/>
                <w:i/>
                <w:iCs/>
              </w:rPr>
              <w:t xml:space="preserve"> op basis van de voorjaarsprognoses 2014 van de diensten van de Commissie, hetgeen duidt op het risico van een significante afwijking van de vereisten van het stabiliteits- en groeipact. In 2015 de begrotingsstrategie aanzienlijk te versterken om te waarborgen dat de </w:t>
            </w:r>
            <w:proofErr w:type="spellStart"/>
            <w:r w:rsidRPr="006D6BD2">
              <w:rPr>
                <w:rFonts w:ascii="Times New Roman" w:hAnsi="Times New Roman" w:cs="Times New Roman"/>
                <w:i/>
                <w:iCs/>
              </w:rPr>
              <w:t>middellangetermijndoelstelling</w:t>
            </w:r>
            <w:proofErr w:type="spellEnd"/>
            <w:r w:rsidRPr="006D6BD2">
              <w:rPr>
                <w:rFonts w:ascii="Times New Roman" w:hAnsi="Times New Roman" w:cs="Times New Roman"/>
                <w:i/>
                <w:iCs/>
              </w:rPr>
              <w:t xml:space="preserve"> wordt gehaald en vervolgens wordt vastgehouden, en te waarborgen dat de schuldregel wordt nageleefd om de overheidsschuldquote gestaag te doen dalen. De uitgaven op gebieden die rechtstreeks van belang zijn voor de groei, zoals onderwijs, innovatie en onderzoek, te beschermen. </w:t>
            </w:r>
          </w:p>
        </w:tc>
      </w:tr>
    </w:tbl>
    <w:p w:rsidRPr="006D6BD2" w:rsidR="006D6BD2" w:rsidP="006D6BD2" w:rsidRDefault="006D6BD2"/>
    <w:p w:rsidR="006D6BD2" w:rsidP="006D6BD2" w:rsidRDefault="006D6BD2">
      <w:r w:rsidRPr="006D6BD2">
        <w:t>De kern van deze aanbeveling is om, gelet op het risico van een significante afwijking van de vereisten van het Stabiliteits- en Groeipact, de begrotingsstrategie voor 2015 aanzienlijk te versterken om te waarborgen dat de MTO wordt gehaald en vervolgens wordt vastgehouden.</w:t>
      </w:r>
    </w:p>
    <w:p w:rsidRPr="006D6BD2" w:rsidR="00541A43" w:rsidP="006D6BD2" w:rsidRDefault="00541A43"/>
    <w:p w:rsidR="006D6BD2" w:rsidP="006D6BD2" w:rsidRDefault="006D6BD2">
      <w:r w:rsidRPr="006D6BD2">
        <w:t>In de MJN 2015 wordt over deze aanbeveling opgemerkt dat het ontslag uit de buitensporig tekortprocedure laat zien dat Nederland op dit terrein een belangrijke stap heeft gezet en dat Nederland volgens de huidige inschattingen, mede gelet op de door de Europese Commissie gehanteerde marge, voldoet aan de vereisten van de preventieve arm.</w:t>
      </w:r>
    </w:p>
    <w:p w:rsidRPr="006D6BD2" w:rsidR="00541A43" w:rsidP="006D6BD2" w:rsidRDefault="00541A43"/>
    <w:p w:rsidR="006D6BD2" w:rsidP="006D6BD2" w:rsidRDefault="006D6BD2">
      <w:r w:rsidRPr="006D6BD2">
        <w:t>De Afdeling stelt vast, dat de begrotingsmaatregelen voor 2015 puur cijfermatig, met gebruikmaking van een marge die de Europese Commissie aanhoudt, voldoen aan de vereisten waaraan in de zogenoemde preventieve arm moet worden voldaan.</w:t>
      </w:r>
    </w:p>
    <w:p w:rsidRPr="006D6BD2" w:rsidR="00541A43" w:rsidP="006D6BD2" w:rsidRDefault="00541A43"/>
    <w:p w:rsidR="006D6BD2" w:rsidP="006D6BD2" w:rsidRDefault="006D6BD2">
      <w:r w:rsidRPr="006D6BD2">
        <w:lastRenderedPageBreak/>
        <w:t>De vraag is evenwel of met een dergelijke puur cijfermatige benadering kan worden volstaan. Te meer nu de aanbeveling oproept tot een aanzienlijke versterking van de begrotingsstrategie voor 2015 om, gegeven de risico's van een significante afwijking van de vereisten van het Stabiliteits- en Groeipact, er voor te zorgen dat de MTO wordt gehaald en vervolgens wordt gewaarborgd. De Afdeling wijst in dit verband op het volgende:</w:t>
      </w:r>
    </w:p>
    <w:p w:rsidRPr="006D6BD2" w:rsidR="00541A43" w:rsidP="006D6BD2" w:rsidRDefault="00541A43"/>
    <w:p w:rsidRPr="006D6BD2" w:rsidR="006D6BD2" w:rsidP="006D6BD2" w:rsidRDefault="006D6BD2">
      <w:r w:rsidRPr="006D6BD2">
        <w:t>- In de samenvatting van de MJN 2015 wordt opgemerkt dat het verstandig is dat Nederland en de andere lidstaten van de Europese Unie zodanig begroten dat er bij een volgende economische tegenslag voldoende buffer is. Een feitelijk tekort van 2,6% BBP in 2014 (volgens de MEV; de MJN 2015 gaat uit van 2,9% BBP) en 2,2 % BBP in 2015 ligt nog maar in beperkte mate onder het tekortplafond van 3% BBP, en de schuldquote in 2015 stijgt nog steeds ten opzichte van 2014, met 0,5% BBP (CPB), onderscheidenlijk 0,2% (MJN 2015). Tegen de achtergrond van de onzekere internationale economische en politieke situatie is de marge – zowel in termen van tekort als schuld - nog steeds heel beperkt.</w:t>
      </w:r>
    </w:p>
    <w:p w:rsidRPr="006D6BD2" w:rsidR="006D6BD2" w:rsidP="006D6BD2" w:rsidRDefault="006D6BD2"/>
    <w:p w:rsidR="006D6BD2" w:rsidP="006D6BD2" w:rsidRDefault="006D6BD2">
      <w:pPr>
        <w:pStyle w:val="Default"/>
        <w:rPr>
          <w:rFonts w:ascii="Times New Roman" w:hAnsi="Times New Roman" w:cs="Times New Roman"/>
        </w:rPr>
      </w:pPr>
      <w:r w:rsidRPr="006D6BD2">
        <w:rPr>
          <w:rFonts w:ascii="Times New Roman" w:hAnsi="Times New Roman" w:cs="Times New Roman"/>
        </w:rPr>
        <w:t xml:space="preserve">- De ervaringen in 2002 en 2009 leren dat zelfs een overschot op de begroting heel snel in een tekort van meer dan 3% BBP kan omslaan. </w:t>
      </w:r>
    </w:p>
    <w:p w:rsidRPr="006D6BD2" w:rsidR="000F79C5" w:rsidP="006D6BD2" w:rsidRDefault="000F79C5">
      <w:pPr>
        <w:pStyle w:val="Default"/>
        <w:rPr>
          <w:rFonts w:ascii="Times New Roman" w:hAnsi="Times New Roman" w:cs="Times New Roman"/>
        </w:rPr>
      </w:pPr>
    </w:p>
    <w:p w:rsidR="006D6BD2" w:rsidP="006D6BD2" w:rsidRDefault="006D6BD2">
      <w:pPr>
        <w:pStyle w:val="Default"/>
        <w:rPr>
          <w:rFonts w:ascii="Times New Roman" w:hAnsi="Times New Roman" w:cs="Times New Roman"/>
        </w:rPr>
      </w:pPr>
      <w:r w:rsidRPr="006D6BD2">
        <w:rPr>
          <w:rFonts w:ascii="Times New Roman" w:hAnsi="Times New Roman" w:cs="Times New Roman"/>
        </w:rPr>
        <w:t xml:space="preserve">- De schokproef in Hoofdstuk 4 van de MJN 2015 brengt kwade kansen in beeld en geeft aan dat de buffers om nieuwe schokken op te vangen thans aanzienlijk kleiner zijn dan in 2008. </w:t>
      </w:r>
    </w:p>
    <w:p w:rsidRPr="006D6BD2" w:rsidR="000F79C5" w:rsidP="006D6BD2" w:rsidRDefault="000F79C5">
      <w:pPr>
        <w:pStyle w:val="Default"/>
        <w:rPr>
          <w:rFonts w:ascii="Times New Roman" w:hAnsi="Times New Roman" w:cs="Times New Roman"/>
        </w:rPr>
      </w:pPr>
    </w:p>
    <w:p w:rsidR="006D6BD2" w:rsidP="006D6BD2" w:rsidRDefault="006D6BD2">
      <w:pPr>
        <w:pStyle w:val="Default"/>
        <w:rPr>
          <w:rFonts w:ascii="Times New Roman" w:hAnsi="Times New Roman" w:cs="Times New Roman"/>
        </w:rPr>
      </w:pPr>
      <w:r w:rsidRPr="006D6BD2">
        <w:rPr>
          <w:rFonts w:ascii="Times New Roman" w:hAnsi="Times New Roman" w:cs="Times New Roman"/>
        </w:rPr>
        <w:t xml:space="preserve">- De MJN 2015 signaleert zelf risico’s over de ontwikkeling van de collectieve zorguitgaven na 2015 (hierop is ook hiervoor in punt 5 ingegaan). Ook de ingrijpende decentralisatie van taken in het sociale domein per 2015 vraagt in dit verband aandacht, zoals ook paragraaf 2.4 van de MJN 2015 beschrijft. </w:t>
      </w:r>
    </w:p>
    <w:p w:rsidRPr="006D6BD2" w:rsidR="000F79C5" w:rsidP="006D6BD2" w:rsidRDefault="000F79C5">
      <w:pPr>
        <w:pStyle w:val="Default"/>
        <w:rPr>
          <w:rFonts w:ascii="Times New Roman" w:hAnsi="Times New Roman" w:cs="Times New Roman"/>
        </w:rPr>
      </w:pPr>
    </w:p>
    <w:p w:rsidR="006D6BD2" w:rsidP="006D6BD2" w:rsidRDefault="006D6BD2">
      <w:pPr>
        <w:pStyle w:val="Default"/>
        <w:rPr>
          <w:rFonts w:ascii="Times New Roman" w:hAnsi="Times New Roman" w:cs="Times New Roman"/>
        </w:rPr>
      </w:pPr>
      <w:r w:rsidRPr="006D6BD2">
        <w:rPr>
          <w:rFonts w:ascii="Times New Roman" w:hAnsi="Times New Roman" w:cs="Times New Roman"/>
        </w:rPr>
        <w:t>In het licht van vorengenoemde risico’s en van de thans nog beperkt aanwezige buffers constateert de Afdeling, dat het kabinet zeer scherp aan de wind vaart bij de uitvoering van de aanbeveling van de Raad van de Europese Unie. De Afdeling onderkent dat de fragiele (internationale) economische situatie ook een lastig dilemma vormt bij de keuze van een passende mix van enerzijds uitgaven- en lastenontwikkeling en anderzijds verdere tekortreductie.</w:t>
      </w:r>
      <w:r w:rsidRPr="006D6BD2">
        <w:rPr>
          <w:rStyle w:val="Voetnootmarkering"/>
          <w:rFonts w:ascii="Times New Roman" w:hAnsi="Times New Roman" w:cs="Times New Roman"/>
        </w:rPr>
        <w:footnoteReference w:id="33"/>
      </w:r>
      <w:r w:rsidRPr="006D6BD2">
        <w:rPr>
          <w:rFonts w:ascii="Times New Roman" w:hAnsi="Times New Roman" w:cs="Times New Roman"/>
        </w:rPr>
        <w:t xml:space="preserve"> Dit dient temeer aanleiding te zijn om er voor te zorgen dat structuurvraagstukken die bepalend zijn voor de ontwikkeling van de overheidsfinanciën (zoals die met betrekking tot de zorg, wonen, arbeidsmarkt en inkomenspolitiek), met de nodige voortvarendheid worden aangepakt om zo de risico’s voor de overheidsfinanciën zo snel mogelijk te verminderen. </w:t>
      </w:r>
    </w:p>
    <w:p w:rsidRPr="006D6BD2" w:rsidR="000F79C5" w:rsidP="006D6BD2" w:rsidRDefault="000F79C5">
      <w:pPr>
        <w:pStyle w:val="Default"/>
        <w:rPr>
          <w:rFonts w:ascii="Times New Roman" w:hAnsi="Times New Roman" w:cs="Times New Roman"/>
        </w:rPr>
      </w:pPr>
    </w:p>
    <w:p w:rsidRPr="006D6BD2" w:rsidR="006D6BD2" w:rsidP="006D6BD2" w:rsidRDefault="006D6BD2">
      <w:pPr>
        <w:pStyle w:val="Default"/>
        <w:rPr>
          <w:rFonts w:ascii="Times New Roman" w:hAnsi="Times New Roman" w:cs="Times New Roman"/>
        </w:rPr>
      </w:pPr>
      <w:r w:rsidRPr="006D6BD2">
        <w:rPr>
          <w:rFonts w:ascii="Times New Roman" w:hAnsi="Times New Roman" w:cs="Times New Roman"/>
        </w:rPr>
        <w:t xml:space="preserve">De Afdeling is van oordeel dat, gelet op deze overwegingen, uit de reactie op de eerste aanbeveling van de Raad van de Europese Unie onvoldoende blijkt welke begrotingsstrategie is ontwikkeld met het oog op de gesignaleerde risico’s voor de overheidsfinanciën. Daarbij past ook het zetten van voorbereidende stappen voor mogelijke verdere structuuraanpassingen. </w:t>
      </w:r>
    </w:p>
    <w:p w:rsidRPr="006D6BD2" w:rsidR="006D6BD2" w:rsidP="006D6BD2" w:rsidRDefault="006D6BD2">
      <w:pPr>
        <w:pStyle w:val="Default"/>
        <w:rPr>
          <w:rFonts w:ascii="Times New Roman" w:hAnsi="Times New Roman" w:cs="Times New Roman"/>
        </w:rPr>
      </w:pPr>
    </w:p>
    <w:p w:rsidRPr="006D6BD2" w:rsidR="006D6BD2" w:rsidP="006D6BD2" w:rsidRDefault="006D6BD2">
      <w:pPr>
        <w:pStyle w:val="Default"/>
        <w:rPr>
          <w:rFonts w:ascii="Times New Roman" w:hAnsi="Times New Roman" w:cs="Times New Roman"/>
        </w:rPr>
      </w:pPr>
      <w:r w:rsidRPr="006D6BD2">
        <w:rPr>
          <w:rFonts w:ascii="Times New Roman" w:hAnsi="Times New Roman" w:cs="Times New Roman"/>
        </w:rPr>
        <w:t xml:space="preserve">8. </w:t>
      </w:r>
      <w:r w:rsidRPr="000F79C5">
        <w:rPr>
          <w:rFonts w:ascii="Times New Roman" w:hAnsi="Times New Roman" w:cs="Times New Roman"/>
          <w:u w:val="single"/>
        </w:rPr>
        <w:t>Overige aanbevelingen van de Raad van de Europese Unie</w:t>
      </w:r>
      <w:r w:rsidRPr="006D6BD2">
        <w:rPr>
          <w:rFonts w:ascii="Times New Roman" w:hAnsi="Times New Roman" w:cs="Times New Roman"/>
        </w:rPr>
        <w:t xml:space="preserve"> </w:t>
      </w:r>
    </w:p>
    <w:p w:rsidRPr="006D6BD2" w:rsidR="006D6BD2" w:rsidP="006D6BD2" w:rsidRDefault="006D6BD2">
      <w:pPr>
        <w:pStyle w:val="Default"/>
        <w:rPr>
          <w:rFonts w:ascii="Times New Roman" w:hAnsi="Times New Roman" w:cs="Times New Roman"/>
        </w:rPr>
      </w:pPr>
    </w:p>
    <w:p w:rsidR="006D6BD2" w:rsidP="006D6BD2" w:rsidRDefault="006D6BD2">
      <w:pPr>
        <w:pStyle w:val="Default"/>
        <w:rPr>
          <w:rFonts w:ascii="Times New Roman" w:hAnsi="Times New Roman" w:cs="Times New Roman"/>
        </w:rPr>
      </w:pPr>
      <w:r w:rsidRPr="006D6BD2">
        <w:rPr>
          <w:rFonts w:ascii="Times New Roman" w:hAnsi="Times New Roman" w:cs="Times New Roman"/>
        </w:rPr>
        <w:t>Zoals hiervoor gemeld heeft de Raad van de Europese Unie in het kader van het zogenoemde Europese semester op 8 juli 2014 vier aanbevelingen voor Nederland vastgesteld. De eerste aanbeveling werd hierboven gemeld; de andere drie luiden als volgt:</w:t>
      </w:r>
    </w:p>
    <w:p w:rsidRPr="006D6BD2" w:rsidR="000F79C5" w:rsidP="006D6BD2" w:rsidRDefault="000F79C5">
      <w:pPr>
        <w:pStyle w:val="Default"/>
        <w:rPr>
          <w:rFonts w:ascii="Times New Roman" w:hAnsi="Times New Roman" w:cs="Times New Roman"/>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67"/>
        <w:gridCol w:w="7873"/>
      </w:tblGrid>
      <w:tr w:rsidRPr="006D6BD2" w:rsidR="006D6BD2" w:rsidTr="000F79C5">
        <w:trPr>
          <w:trHeight w:val="1284"/>
        </w:trPr>
        <w:tc>
          <w:tcPr>
            <w:tcW w:w="567" w:type="dxa"/>
          </w:tcPr>
          <w:p w:rsidRPr="006D6BD2" w:rsidR="006D6BD2" w:rsidRDefault="006D6BD2">
            <w:pPr>
              <w:pStyle w:val="Default"/>
              <w:rPr>
                <w:rFonts w:ascii="Times New Roman" w:hAnsi="Times New Roman" w:cs="Times New Roman"/>
              </w:rPr>
            </w:pPr>
            <w:r w:rsidRPr="006D6BD2">
              <w:rPr>
                <w:rFonts w:ascii="Times New Roman" w:hAnsi="Times New Roman" w:cs="Times New Roman"/>
                <w:i/>
                <w:iCs/>
              </w:rPr>
              <w:t xml:space="preserve">2°. </w:t>
            </w:r>
          </w:p>
        </w:tc>
        <w:tc>
          <w:tcPr>
            <w:tcW w:w="7873" w:type="dxa"/>
          </w:tcPr>
          <w:p w:rsidRPr="006D6BD2" w:rsidR="006D6BD2" w:rsidRDefault="006D6BD2">
            <w:pPr>
              <w:pStyle w:val="Default"/>
              <w:rPr>
                <w:rFonts w:ascii="Times New Roman" w:hAnsi="Times New Roman" w:cs="Times New Roman"/>
              </w:rPr>
            </w:pPr>
            <w:r w:rsidRPr="006D6BD2">
              <w:rPr>
                <w:rFonts w:ascii="Times New Roman" w:hAnsi="Times New Roman" w:cs="Times New Roman"/>
                <w:i/>
                <w:iCs/>
              </w:rPr>
              <w:t xml:space="preserve">Wanneer het economisch klimaat het toelaat, de inspanningen gericht op de hervorming van de woningmarkt op te voeren door de beperking van de fiscale aftrekbaarheid van de hypotheekrente te bespoedigen, door een marktgerichter prijsmechanisme op de huurwoningenmarkt te realiseren, en door de huren in de </w:t>
            </w:r>
            <w:proofErr w:type="spellStart"/>
            <w:r w:rsidRPr="006D6BD2">
              <w:rPr>
                <w:rFonts w:ascii="Times New Roman" w:hAnsi="Times New Roman" w:cs="Times New Roman"/>
                <w:i/>
                <w:iCs/>
              </w:rPr>
              <w:t>socialewoningsector</w:t>
            </w:r>
            <w:proofErr w:type="spellEnd"/>
            <w:r w:rsidRPr="006D6BD2">
              <w:rPr>
                <w:rFonts w:ascii="Times New Roman" w:hAnsi="Times New Roman" w:cs="Times New Roman"/>
                <w:i/>
                <w:iCs/>
              </w:rPr>
              <w:t xml:space="preserve"> in verdere mate te koppelen aan de inkomens van huishoudens. De effecten van de hervormingen in de </w:t>
            </w:r>
            <w:proofErr w:type="spellStart"/>
            <w:r w:rsidRPr="006D6BD2">
              <w:rPr>
                <w:rFonts w:ascii="Times New Roman" w:hAnsi="Times New Roman" w:cs="Times New Roman"/>
                <w:i/>
                <w:iCs/>
              </w:rPr>
              <w:t>socialewoningsector</w:t>
            </w:r>
            <w:proofErr w:type="spellEnd"/>
            <w:r w:rsidRPr="006D6BD2">
              <w:rPr>
                <w:rFonts w:ascii="Times New Roman" w:hAnsi="Times New Roman" w:cs="Times New Roman"/>
                <w:i/>
                <w:iCs/>
              </w:rPr>
              <w:t xml:space="preserve"> te monitoren op het gebied van de toegankelijkheid en betaalbaarheid voor huishoudens met een laag inkomen. De inspanningen om het </w:t>
            </w:r>
            <w:proofErr w:type="spellStart"/>
            <w:r w:rsidRPr="006D6BD2">
              <w:rPr>
                <w:rFonts w:ascii="Times New Roman" w:hAnsi="Times New Roman" w:cs="Times New Roman"/>
                <w:i/>
                <w:iCs/>
              </w:rPr>
              <w:t>socialehuisvestingsbeleid</w:t>
            </w:r>
            <w:proofErr w:type="spellEnd"/>
            <w:r w:rsidRPr="006D6BD2">
              <w:rPr>
                <w:rFonts w:ascii="Times New Roman" w:hAnsi="Times New Roman" w:cs="Times New Roman"/>
                <w:i/>
                <w:iCs/>
              </w:rPr>
              <w:t xml:space="preserve"> te </w:t>
            </w:r>
            <w:proofErr w:type="spellStart"/>
            <w:r w:rsidRPr="006D6BD2">
              <w:rPr>
                <w:rFonts w:ascii="Times New Roman" w:hAnsi="Times New Roman" w:cs="Times New Roman"/>
                <w:i/>
                <w:iCs/>
              </w:rPr>
              <w:t>herprioriteren</w:t>
            </w:r>
            <w:proofErr w:type="spellEnd"/>
            <w:r w:rsidRPr="006D6BD2">
              <w:rPr>
                <w:rFonts w:ascii="Times New Roman" w:hAnsi="Times New Roman" w:cs="Times New Roman"/>
                <w:i/>
                <w:iCs/>
              </w:rPr>
              <w:t xml:space="preserve"> op de ondersteuning van de meest hulpbehoevende huishoudens, voort te zetten. </w:t>
            </w:r>
          </w:p>
        </w:tc>
      </w:tr>
      <w:tr w:rsidRPr="006D6BD2" w:rsidR="006D6BD2" w:rsidTr="000F79C5">
        <w:trPr>
          <w:trHeight w:val="1030"/>
        </w:trPr>
        <w:tc>
          <w:tcPr>
            <w:tcW w:w="567" w:type="dxa"/>
          </w:tcPr>
          <w:p w:rsidRPr="006D6BD2" w:rsidR="006D6BD2" w:rsidRDefault="006D6BD2">
            <w:pPr>
              <w:pStyle w:val="Default"/>
              <w:rPr>
                <w:rFonts w:ascii="Times New Roman" w:hAnsi="Times New Roman" w:cs="Times New Roman"/>
              </w:rPr>
            </w:pPr>
            <w:r w:rsidRPr="006D6BD2">
              <w:rPr>
                <w:rFonts w:ascii="Times New Roman" w:hAnsi="Times New Roman" w:cs="Times New Roman"/>
                <w:i/>
                <w:iCs/>
              </w:rPr>
              <w:t xml:space="preserve">3°. </w:t>
            </w:r>
          </w:p>
        </w:tc>
        <w:tc>
          <w:tcPr>
            <w:tcW w:w="7873" w:type="dxa"/>
          </w:tcPr>
          <w:p w:rsidRPr="006D6BD2" w:rsidR="006D6BD2" w:rsidRDefault="006D6BD2">
            <w:pPr>
              <w:pStyle w:val="Default"/>
              <w:rPr>
                <w:rFonts w:ascii="Times New Roman" w:hAnsi="Times New Roman" w:cs="Times New Roman"/>
              </w:rPr>
            </w:pPr>
            <w:r w:rsidRPr="006D6BD2">
              <w:rPr>
                <w:rFonts w:ascii="Times New Roman" w:hAnsi="Times New Roman" w:cs="Times New Roman"/>
                <w:i/>
                <w:iCs/>
              </w:rPr>
              <w:t xml:space="preserve">De hervormingen van de tweede pijler van het pensioenstelsel in te voeren en daarbij te zorgen voor een passende intra- en intergenerationele verdeling van de kosten en risico's. De geleidelijke verhoging van de wettelijke pensioenleeftijd te ondersteunen met maatregelen om de inzetbaarheid van oudere werknemers te verbeteren. De voorgenomen hervorming op het gebied van de langdurige zorg uit te voeren met het oog op de houdbaarheid van het stelsel, terwijl een eerlijke toegang en de kwaliteit van de diensten worden gewaarborgd, en de effecten ervan te monitoren. </w:t>
            </w:r>
          </w:p>
        </w:tc>
      </w:tr>
      <w:tr w:rsidRPr="006D6BD2" w:rsidR="006D6BD2" w:rsidTr="000F79C5">
        <w:trPr>
          <w:trHeight w:val="904"/>
        </w:trPr>
        <w:tc>
          <w:tcPr>
            <w:tcW w:w="567" w:type="dxa"/>
          </w:tcPr>
          <w:p w:rsidRPr="006D6BD2" w:rsidR="006D6BD2" w:rsidRDefault="006D6BD2">
            <w:pPr>
              <w:pStyle w:val="Default"/>
              <w:rPr>
                <w:rFonts w:ascii="Times New Roman" w:hAnsi="Times New Roman" w:cs="Times New Roman"/>
              </w:rPr>
            </w:pPr>
            <w:r w:rsidRPr="006D6BD2">
              <w:rPr>
                <w:rFonts w:ascii="Times New Roman" w:hAnsi="Times New Roman" w:cs="Times New Roman"/>
                <w:i/>
                <w:iCs/>
              </w:rPr>
              <w:t xml:space="preserve">4°. </w:t>
            </w:r>
          </w:p>
        </w:tc>
        <w:tc>
          <w:tcPr>
            <w:tcW w:w="7873" w:type="dxa"/>
          </w:tcPr>
          <w:p w:rsidRPr="006D6BD2" w:rsidR="006D6BD2" w:rsidRDefault="006D6BD2">
            <w:pPr>
              <w:pStyle w:val="Default"/>
              <w:rPr>
                <w:rFonts w:ascii="Times New Roman" w:hAnsi="Times New Roman" w:cs="Times New Roman"/>
              </w:rPr>
            </w:pPr>
            <w:r w:rsidRPr="006D6BD2">
              <w:rPr>
                <w:rFonts w:ascii="Times New Roman" w:hAnsi="Times New Roman" w:cs="Times New Roman"/>
                <w:i/>
                <w:iCs/>
              </w:rPr>
              <w:t xml:space="preserve">Verdere maatregelen te nemen om de arbeidsmarktparticipatie te verhogen, met name van mensen aan de onderkant van de arbeidsmarkt, en om negatieve fiscale arbeidsprikkels te beperken. Om de hervormingen in de wetgeving ter bescherming van werknemers en in het stelsel van werkloosheidsuitkeringen door te voeren en starheden op de arbeidsmarkt verder aan te pakken. In overleg met de sociale partners en conform de nationale praktijk de ruimte te benutten ten behoeve van sterker gedifferentieerde loonsverhogingen door volledig gebruik te maken van het bestaande institutionele kader. </w:t>
            </w:r>
          </w:p>
        </w:tc>
      </w:tr>
    </w:tbl>
    <w:p w:rsidRPr="006D6BD2" w:rsidR="006D6BD2" w:rsidP="006D6BD2" w:rsidRDefault="006D6BD2"/>
    <w:p w:rsidRPr="006D6BD2" w:rsidR="006D6BD2" w:rsidP="006D6BD2" w:rsidRDefault="006D6BD2">
      <w:pPr>
        <w:pStyle w:val="Default"/>
        <w:rPr>
          <w:rFonts w:ascii="Times New Roman" w:hAnsi="Times New Roman" w:cs="Times New Roman"/>
        </w:rPr>
      </w:pPr>
      <w:r w:rsidRPr="006D6BD2">
        <w:rPr>
          <w:rFonts w:ascii="Times New Roman" w:hAnsi="Times New Roman" w:cs="Times New Roman"/>
        </w:rPr>
        <w:t xml:space="preserve">Reeds uit de formulering van deze aanbevelingen blijkt dat deze niet behoren tot het kader waar de begroting aan moet worden getoetst, maar dat het gaat om aanbevelingen met betrekking tot de institutionele structuur van de economie. De regering dient deze aanbevelingen te zien als prikkels om structurele hervormingen door te voeren, zoals bedoeld in de MJN 2015 (paragraaf 2.2.4). </w:t>
      </w:r>
    </w:p>
    <w:p w:rsidRPr="006D6BD2" w:rsidR="006D6BD2" w:rsidP="006D6BD2" w:rsidRDefault="006D6BD2">
      <w:r w:rsidRPr="006D6BD2">
        <w:t>In de MJN 2015 is de reactie van het kabinet op deze aanbevelingen samengevat.</w:t>
      </w:r>
      <w:r w:rsidRPr="006D6BD2">
        <w:rPr>
          <w:rStyle w:val="Voetnootmarkering"/>
        </w:rPr>
        <w:footnoteReference w:id="34"/>
      </w:r>
    </w:p>
    <w:p w:rsidRPr="006D6BD2" w:rsidR="006D6BD2" w:rsidP="006D6BD2" w:rsidRDefault="006D6BD2"/>
    <w:p w:rsidR="006D6BD2" w:rsidP="006D6BD2" w:rsidRDefault="006D6BD2">
      <w:r w:rsidRPr="006D6BD2">
        <w:t>Wat de situatie op de woningmarkt betreft (de tweede aanbeveling) wordt gesteld dat deze thans om rust vraagt, mede gelet op de maatregelen die zowel bij de koopmarkt als de huurmarkt al in gang zijn gezet. Hiervoor is de Afdeling ingegaan op de situatie op de woningmarkt. Op zowel de huurmarkt als de koopmarkt zijn inmiddels maatregelen in gang gezet die geleidelijk effect zullen genereren. Wat betreft de hypotheekrenteaftrek heeft de Afdeling begrip voor de gekozen geleidelijke aanpak. Zij meent echter tevens dat – zie punt 3 hiervoor - vorengenoemde aanbeveling een aansporing vormt om een bredere belastingherziening voor te bereiden, waarin het effect van tariefsverlaging ook vermindering van het effect van deze faciliteit betekent.</w:t>
      </w:r>
    </w:p>
    <w:p w:rsidRPr="006D6BD2" w:rsidR="000F79C5" w:rsidP="006D6BD2" w:rsidRDefault="000F79C5"/>
    <w:p w:rsidR="006D6BD2" w:rsidP="006D6BD2" w:rsidRDefault="006D6BD2">
      <w:r w:rsidRPr="006D6BD2">
        <w:t>Wat het pensioenstelsel en de langdurige zorg betreft (de derde aanbeveling)wordt in de MJN 2015 gewezen op de verschillende maatregelen die in gang zijn gezet. De Afdeling onderschrijft dat inmiddels veel in gang is gezet op deze terreinen. Zij wijst evenwel ook op de noodzaak om de uitgangspunten van de arbeidsmarktarrangementen, waaronder die van aanvullende pensioenen en voor oudere werknemers, tegen het licht te houden (zie hiervoor punt 3). Anders moet gevreesd worden dat de aangekondigde maatregelen te weinig effect zullen hebben.</w:t>
      </w:r>
    </w:p>
    <w:p w:rsidRPr="006D6BD2" w:rsidR="000F79C5" w:rsidP="006D6BD2" w:rsidRDefault="000F79C5"/>
    <w:p w:rsidRPr="006D6BD2" w:rsidR="006D6BD2" w:rsidP="006D6BD2" w:rsidRDefault="006D6BD2">
      <w:r w:rsidRPr="006D6BD2">
        <w:t xml:space="preserve">Ook wat de arbeidsmarkt betreft (de vierde aanbeveling) wijst de MJN 2015 vooral op de maatregelen die inmiddels zijn getroffen, met name de Wet werk en zekerheid en de Participatiewet en de hervorming van </w:t>
      </w:r>
      <w:proofErr w:type="spellStart"/>
      <w:r w:rsidRPr="006D6BD2">
        <w:t>kindregelingen</w:t>
      </w:r>
      <w:proofErr w:type="spellEnd"/>
      <w:r w:rsidRPr="006D6BD2">
        <w:t>. De Afdeling onderkent dat ook op dit terrein veel is gebeurd. Zoals hiervoor in punt 3 echter aan de orde is geweest, is zij echter ook van oordeel dat ingrijpender herijking van arbeidsmarktarrangementen noodzakelijk is. Een belastingherziening zal hiervan deel uit moeten maken.</w:t>
      </w:r>
    </w:p>
    <w:p w:rsidR="006D6BD2" w:rsidP="006D6BD2" w:rsidRDefault="006D6BD2">
      <w:r w:rsidRPr="006D6BD2">
        <w:t>De Afdeling adviseert de daarvoor noodzakelijke voorbereidende stappen thans daadwerkelijk en concreet te zetten, zodat doorvoering van deze verdere aanpassingen in het arbeids- en belastingstelsel mogelijk zijn op een daartoe geschikt moment.</w:t>
      </w:r>
    </w:p>
    <w:p w:rsidRPr="006D6BD2" w:rsidR="000F79C5" w:rsidP="006D6BD2" w:rsidRDefault="000F79C5"/>
    <w:p w:rsidRPr="006D6BD2" w:rsidR="006D6BD2" w:rsidP="006D6BD2" w:rsidRDefault="006D6BD2">
      <w:r w:rsidRPr="006D6BD2">
        <w:t xml:space="preserve">9. </w:t>
      </w:r>
      <w:r w:rsidRPr="000F79C5">
        <w:rPr>
          <w:u w:val="single"/>
        </w:rPr>
        <w:t>Een ‘welkome prikkel’</w:t>
      </w:r>
    </w:p>
    <w:p w:rsidRPr="006D6BD2" w:rsidR="006D6BD2" w:rsidP="006D6BD2" w:rsidRDefault="006D6BD2">
      <w:pPr>
        <w:pStyle w:val="Default"/>
        <w:rPr>
          <w:rFonts w:ascii="Times New Roman" w:hAnsi="Times New Roman" w:cs="Times New Roman"/>
        </w:rPr>
      </w:pPr>
      <w:r w:rsidRPr="006D6BD2">
        <w:rPr>
          <w:rFonts w:ascii="Times New Roman" w:hAnsi="Times New Roman" w:cs="Times New Roman"/>
        </w:rPr>
        <w:t xml:space="preserve">De Afdeling tekent in dit verband nog aan, dat in verschillende landen de aanpak van structuurvraagstukken noodzakelijk is, en dat in het Europese begrotingsbeleid steeds meer de focus wordt gelegd op deze vraagstukken. Aanbevelingen van de Raad van de Europese Unie fungeren dan als “welkome prikkel” om lastige maar noodzakelijke structuurhervormingen door te voeren. De MJN 2015 constateert dat Nederland als handelsland meer dan gemiddeld profiteert van stabiliteit en groei in de eurozone (paragraaf 2.2.4). De </w:t>
      </w:r>
      <w:proofErr w:type="spellStart"/>
      <w:r w:rsidRPr="006D6BD2">
        <w:rPr>
          <w:rFonts w:ascii="Times New Roman" w:hAnsi="Times New Roman" w:cs="Times New Roman"/>
        </w:rPr>
        <w:t>landenspecifieke</w:t>
      </w:r>
      <w:proofErr w:type="spellEnd"/>
      <w:r w:rsidRPr="006D6BD2">
        <w:rPr>
          <w:rFonts w:ascii="Times New Roman" w:hAnsi="Times New Roman" w:cs="Times New Roman"/>
        </w:rPr>
        <w:t xml:space="preserve"> aanbevelingen zijn de concrete weerslag daarvan voor de verschillende lidstaten. De MJN 2015 vermeldt in dit verband terecht dat juist als het gaat om onderwerpen waarbij lidstaten met soortgelijke uitdagingen worden geconfronteerd en veel van elkaar kunnen leren, het van belang is dat ze met elkaar in gesprek blijven, en dat lidstaten elkaar er ook op zouden moeten aanspreken indien noodzakelijke hervormingen uitblijven (paragraaf 2.2.4). Nederland heeft er volgens de Afdeling dan ook belang bij dat de </w:t>
      </w:r>
      <w:proofErr w:type="spellStart"/>
      <w:r w:rsidRPr="006D6BD2">
        <w:rPr>
          <w:rFonts w:ascii="Times New Roman" w:hAnsi="Times New Roman" w:cs="Times New Roman"/>
        </w:rPr>
        <w:t>landenspecifieke</w:t>
      </w:r>
      <w:proofErr w:type="spellEnd"/>
      <w:r w:rsidRPr="006D6BD2">
        <w:rPr>
          <w:rFonts w:ascii="Times New Roman" w:hAnsi="Times New Roman" w:cs="Times New Roman"/>
        </w:rPr>
        <w:t xml:space="preserve"> aanbevelingen door lidstaten voortvarend ter hand worden genomen, juist ook waar het gaat om het onderkennen van het belang en de urgentie van de meer “zachte” aanbevelingen omtrent structuurvraagstukken. Vrijblijvendheid past daarbij niet. Gelet op het belang dat het kabinet blijkens de MJN 2015 hecht aan de aanpak van structuurvraagstukken door álle lidstaten, kunnen de tot Nederland gerichte aanbevelingen ook worden gebruikt als belangrijke steun in de rug voor het voorbereiden van verdere hervormingen. Het geldt immers niet alleen voor andere lidstaten maar ook voor ons land dat het voorbereiden van verdere hervormingen lastig en tegelijkertijd noodzakelijk is. Daarbij geldt, wat eerder al werd opgemerkt, dat in de huidige fase van herstel enige behoedzaamheid past om te voorkomen dat oude en nieuwe hervormingen in korte tijd gaan cumuleren. Maar juist daarom zou de voorbereiding van verdere hervormingen nu reeds ter hand moeten worden genomen teneinde daarover zo snel mogelijk te kunnen beslissen wanneer de noodzaak of mogelijkheid zich daarvoor aandient. Ook voor Nederland is deze prikkel welkom. </w:t>
      </w:r>
    </w:p>
    <w:p w:rsidR="000F79C5" w:rsidP="006D6BD2" w:rsidRDefault="000F79C5"/>
    <w:p w:rsidR="000F79C5" w:rsidP="006D6BD2" w:rsidRDefault="000F79C5"/>
    <w:p w:rsidRPr="006D6BD2" w:rsidR="006D6BD2" w:rsidP="006D6BD2" w:rsidRDefault="006D6BD2">
      <w:r w:rsidRPr="006D6BD2">
        <w:t xml:space="preserve">De </w:t>
      </w:r>
      <w:proofErr w:type="spellStart"/>
      <w:r w:rsidRPr="006D6BD2">
        <w:t>vice-president</w:t>
      </w:r>
      <w:proofErr w:type="spellEnd"/>
      <w:r w:rsidRPr="006D6BD2">
        <w:t xml:space="preserve"> van de Raad van State,</w:t>
      </w:r>
    </w:p>
    <w:sectPr w:rsidRPr="006D6BD2" w:rsidR="006D6BD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1C7" w:rsidRDefault="007471C7" w:rsidP="007471C7">
      <w:r>
        <w:separator/>
      </w:r>
    </w:p>
  </w:endnote>
  <w:endnote w:type="continuationSeparator" w:id="0">
    <w:p w:rsidR="007471C7" w:rsidRDefault="007471C7" w:rsidP="0074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1C7" w:rsidRDefault="007471C7" w:rsidP="007471C7">
      <w:r>
        <w:separator/>
      </w:r>
    </w:p>
  </w:footnote>
  <w:footnote w:type="continuationSeparator" w:id="0">
    <w:p w:rsidR="007471C7" w:rsidRDefault="007471C7" w:rsidP="007471C7">
      <w:r>
        <w:continuationSeparator/>
      </w:r>
    </w:p>
  </w:footnote>
  <w:footnote w:id="1">
    <w:p w:rsidR="007471C7" w:rsidRDefault="007471C7">
      <w:pPr>
        <w:pStyle w:val="Voetnoottekst"/>
      </w:pPr>
      <w:r>
        <w:rPr>
          <w:rStyle w:val="Voetnootmarkering"/>
        </w:rPr>
        <w:footnoteRef/>
      </w:r>
      <w:r>
        <w:t xml:space="preserve"> </w:t>
      </w:r>
      <w:r w:rsidRPr="007471C7">
        <w:rPr>
          <w:sz w:val="18"/>
          <w:szCs w:val="18"/>
        </w:rPr>
        <w:t>Een relatief belangrijke factor hierbij is terugtrekking van de arbeidsmarkt, zoals blijkt uit de MEV, Tabel 2.5.</w:t>
      </w:r>
    </w:p>
  </w:footnote>
  <w:footnote w:id="2">
    <w:p w:rsidR="007471C7" w:rsidRDefault="007471C7">
      <w:pPr>
        <w:pStyle w:val="Voetnoottekst"/>
      </w:pPr>
      <w:r>
        <w:rPr>
          <w:rStyle w:val="Voetnootmarkering"/>
        </w:rPr>
        <w:footnoteRef/>
      </w:r>
      <w:r>
        <w:t xml:space="preserve"> </w:t>
      </w:r>
      <w:r w:rsidRPr="007471C7">
        <w:rPr>
          <w:sz w:val="18"/>
          <w:szCs w:val="18"/>
        </w:rPr>
        <w:t>CPB, Minder zorg om vergrijzing, juli 20</w:t>
      </w:r>
      <w:r>
        <w:rPr>
          <w:sz w:val="18"/>
          <w:szCs w:val="18"/>
        </w:rPr>
        <w:t>14</w:t>
      </w:r>
    </w:p>
  </w:footnote>
  <w:footnote w:id="3">
    <w:p w:rsidR="007471C7" w:rsidRDefault="007471C7">
      <w:pPr>
        <w:pStyle w:val="Voetnoottekst"/>
      </w:pPr>
      <w:r>
        <w:rPr>
          <w:rStyle w:val="Voetnootmarkering"/>
        </w:rPr>
        <w:footnoteRef/>
      </w:r>
      <w:r>
        <w:t xml:space="preserve"> </w:t>
      </w:r>
      <w:r w:rsidRPr="007471C7">
        <w:rPr>
          <w:sz w:val="18"/>
          <w:szCs w:val="18"/>
        </w:rPr>
        <w:t>Zie MJN 2015, box 1.3.1</w:t>
      </w:r>
    </w:p>
  </w:footnote>
  <w:footnote w:id="4">
    <w:p w:rsidR="007471C7" w:rsidRDefault="007471C7">
      <w:pPr>
        <w:pStyle w:val="Voetnoottekst"/>
      </w:pPr>
      <w:r>
        <w:rPr>
          <w:rStyle w:val="Voetnootmarkering"/>
        </w:rPr>
        <w:footnoteRef/>
      </w:r>
      <w:r>
        <w:t xml:space="preserve"> </w:t>
      </w:r>
      <w:r>
        <w:rPr>
          <w:sz w:val="18"/>
          <w:szCs w:val="18"/>
        </w:rPr>
        <w:t>Volledigheidshalve wijst de Afdeling er op dat in het overzicht van de directe risico’s en indirecte risico’s in bijlage 7 de indirecte risico’s ten gevolge van de interventies en de mogelijke overname van MKB leningen door de ECB niet zijn genoemd.</w:t>
      </w:r>
    </w:p>
  </w:footnote>
  <w:footnote w:id="5">
    <w:p w:rsidR="007471C7" w:rsidRDefault="007471C7">
      <w:pPr>
        <w:pStyle w:val="Voetnoottekst"/>
      </w:pPr>
      <w:r>
        <w:rPr>
          <w:rStyle w:val="Voetnootmarkering"/>
        </w:rPr>
        <w:footnoteRef/>
      </w:r>
      <w:r>
        <w:t xml:space="preserve"> </w:t>
      </w:r>
      <w:r>
        <w:rPr>
          <w:sz w:val="18"/>
          <w:szCs w:val="18"/>
        </w:rPr>
        <w:t xml:space="preserve">In hoofdstuk 2 van de MJN 2015 wordt in dat verband een aantal speerpunten genoemd. In de gelijk met de MJN 2015 uitgebrachte brief ´Werken aan groei’ wordt daarnaast een reeks van maatregelen voorgesteld om het </w:t>
      </w:r>
      <w:proofErr w:type="spellStart"/>
      <w:r>
        <w:rPr>
          <w:sz w:val="18"/>
          <w:szCs w:val="18"/>
        </w:rPr>
        <w:t>groeivermogen</w:t>
      </w:r>
      <w:proofErr w:type="spellEnd"/>
      <w:r>
        <w:rPr>
          <w:sz w:val="18"/>
          <w:szCs w:val="18"/>
        </w:rPr>
        <w:t xml:space="preserve"> te versterken en de werking van de arbeidsmarkt te verbeteren. </w:t>
      </w:r>
      <w:r>
        <w:t xml:space="preserve"> </w:t>
      </w:r>
    </w:p>
  </w:footnote>
  <w:footnote w:id="6">
    <w:p w:rsidR="007471C7" w:rsidRDefault="007471C7">
      <w:pPr>
        <w:pStyle w:val="Voetnoottekst"/>
      </w:pPr>
      <w:r>
        <w:rPr>
          <w:rStyle w:val="Voetnootmarkering"/>
        </w:rPr>
        <w:footnoteRef/>
      </w:r>
      <w:r>
        <w:t xml:space="preserve"> </w:t>
      </w:r>
      <w:r w:rsidRPr="007471C7">
        <w:t>MJN 2015, paragraaf 2.1, tweede alinea.</w:t>
      </w:r>
    </w:p>
  </w:footnote>
  <w:footnote w:id="7">
    <w:p w:rsidR="007471C7" w:rsidRDefault="007471C7">
      <w:pPr>
        <w:pStyle w:val="Voetnoottekst"/>
      </w:pPr>
      <w:r>
        <w:rPr>
          <w:rStyle w:val="Voetnootmarkering"/>
        </w:rPr>
        <w:footnoteRef/>
      </w:r>
      <w:r>
        <w:t xml:space="preserve"> </w:t>
      </w:r>
      <w:r>
        <w:rPr>
          <w:sz w:val="18"/>
          <w:szCs w:val="18"/>
        </w:rPr>
        <w:t xml:space="preserve">MJN 2015, paragraaf 2.1, vijfde alinea. </w:t>
      </w:r>
      <w:r>
        <w:t xml:space="preserve"> </w:t>
      </w:r>
    </w:p>
  </w:footnote>
  <w:footnote w:id="8">
    <w:p w:rsidR="007471C7" w:rsidRDefault="007471C7">
      <w:pPr>
        <w:pStyle w:val="Voetnoottekst"/>
      </w:pPr>
      <w:r>
        <w:rPr>
          <w:rStyle w:val="Voetnootmarkering"/>
        </w:rPr>
        <w:footnoteRef/>
      </w:r>
      <w:r>
        <w:t xml:space="preserve"> </w:t>
      </w:r>
      <w:r>
        <w:rPr>
          <w:sz w:val="18"/>
          <w:szCs w:val="18"/>
        </w:rPr>
        <w:t xml:space="preserve">De brief “Werken aan groei” biedt op een aantal punten wel een nadere uitwerking van punten die in de MJN 2015 zijn genoemd, maar het gaat daarbij overwegend om een nadere invulling binnen bestaande kaders en niet om nieuwe hervormingen die nodig zijn om het hoofd te kunnen bieden aan de ingrijpende veranderingen waarmee ons land wordt geconfronteerd. </w:t>
      </w:r>
      <w:r>
        <w:t xml:space="preserve"> </w:t>
      </w:r>
    </w:p>
  </w:footnote>
  <w:footnote w:id="9">
    <w:p w:rsidR="007471C7" w:rsidRDefault="007471C7">
      <w:pPr>
        <w:pStyle w:val="Voetnoottekst"/>
      </w:pPr>
      <w:r>
        <w:rPr>
          <w:rStyle w:val="Voetnootmarkering"/>
        </w:rPr>
        <w:footnoteRef/>
      </w:r>
      <w:r>
        <w:t xml:space="preserve"> </w:t>
      </w:r>
      <w:r>
        <w:rPr>
          <w:sz w:val="18"/>
          <w:szCs w:val="18"/>
        </w:rPr>
        <w:t>Aanbeveling van de Raad van de Europese Unie van 8 juli 2014 over het hervormingsprogramma 2014 van Nederland en met een advies van de Raad over het stabiliteitsprogramma van Nederland voor 2014 (</w:t>
      </w:r>
      <w:proofErr w:type="spellStart"/>
      <w:r>
        <w:rPr>
          <w:sz w:val="18"/>
          <w:szCs w:val="18"/>
        </w:rPr>
        <w:t>PbEU</w:t>
      </w:r>
      <w:proofErr w:type="spellEnd"/>
      <w:r>
        <w:rPr>
          <w:sz w:val="18"/>
          <w:szCs w:val="18"/>
        </w:rPr>
        <w:t xml:space="preserve"> C 247). Zie hierover nader onderdeel III hierna. </w:t>
      </w:r>
      <w:r>
        <w:t xml:space="preserve"> </w:t>
      </w:r>
    </w:p>
  </w:footnote>
  <w:footnote w:id="10">
    <w:p w:rsidR="007471C7" w:rsidRDefault="007471C7">
      <w:pPr>
        <w:pStyle w:val="Voetnoottekst"/>
      </w:pPr>
      <w:r>
        <w:rPr>
          <w:rStyle w:val="Voetnootmarkering"/>
        </w:rPr>
        <w:footnoteRef/>
      </w:r>
      <w:r>
        <w:t xml:space="preserve"> </w:t>
      </w:r>
      <w:r>
        <w:rPr>
          <w:sz w:val="18"/>
          <w:szCs w:val="18"/>
        </w:rPr>
        <w:t xml:space="preserve">Zie nader het advies over het wetsvoorstel Wet werk en zekerheid (Kamerstukken 2013/14, 33 818, nr. 4). </w:t>
      </w:r>
      <w:r>
        <w:t xml:space="preserve"> </w:t>
      </w:r>
    </w:p>
  </w:footnote>
  <w:footnote w:id="11">
    <w:p w:rsidR="007471C7" w:rsidRDefault="007471C7">
      <w:pPr>
        <w:pStyle w:val="Voetnoottekst"/>
      </w:pPr>
      <w:r>
        <w:rPr>
          <w:rStyle w:val="Voetnootmarkering"/>
        </w:rPr>
        <w:footnoteRef/>
      </w:r>
      <w:r>
        <w:t xml:space="preserve"> </w:t>
      </w:r>
      <w:r>
        <w:rPr>
          <w:sz w:val="18"/>
          <w:szCs w:val="18"/>
        </w:rPr>
        <w:t xml:space="preserve">Volgens de WRR (Investeren in werkzekerheid, 2007) zijn herschikkingen wenselijk op vier gebieden: een leven lang leren, inkomensbescherming, re-integratiebeleid, ‘nieuwe risico’s’. De inspanningen op deze terreinen moeten volgens de WRR (beter) worden afgestemd op het verwezenlijken van inzetbaarheid van individuele werknemers. </w:t>
      </w:r>
      <w:r>
        <w:t xml:space="preserve"> </w:t>
      </w:r>
    </w:p>
  </w:footnote>
  <w:footnote w:id="12">
    <w:p w:rsidR="007471C7" w:rsidRDefault="007471C7">
      <w:pPr>
        <w:pStyle w:val="Voetnoottekst"/>
      </w:pPr>
      <w:r>
        <w:rPr>
          <w:rStyle w:val="Voetnootmarkering"/>
        </w:rPr>
        <w:footnoteRef/>
      </w:r>
      <w:r>
        <w:t xml:space="preserve"> </w:t>
      </w:r>
      <w:r>
        <w:rPr>
          <w:sz w:val="18"/>
          <w:szCs w:val="18"/>
        </w:rPr>
        <w:t xml:space="preserve">CBS september 2014, De Nederlandse economie 2013, hoofdstuk 10, paragraaf 5. </w:t>
      </w:r>
      <w:r>
        <w:t xml:space="preserve"> </w:t>
      </w:r>
    </w:p>
  </w:footnote>
  <w:footnote w:id="13">
    <w:p w:rsidR="007471C7" w:rsidRDefault="007471C7">
      <w:pPr>
        <w:pStyle w:val="Voetnoottekst"/>
      </w:pPr>
      <w:r>
        <w:rPr>
          <w:rStyle w:val="Voetnootmarkering"/>
        </w:rPr>
        <w:footnoteRef/>
      </w:r>
      <w:r>
        <w:t xml:space="preserve"> </w:t>
      </w:r>
      <w:r>
        <w:rPr>
          <w:sz w:val="18"/>
          <w:szCs w:val="18"/>
        </w:rPr>
        <w:t xml:space="preserve">Commissie inkomstenbelasting en toeslagen, naar een </w:t>
      </w:r>
      <w:proofErr w:type="spellStart"/>
      <w:r>
        <w:rPr>
          <w:sz w:val="18"/>
          <w:szCs w:val="18"/>
        </w:rPr>
        <w:t>activerender</w:t>
      </w:r>
      <w:proofErr w:type="spellEnd"/>
      <w:r>
        <w:rPr>
          <w:sz w:val="18"/>
          <w:szCs w:val="18"/>
        </w:rPr>
        <w:t xml:space="preserve"> belastingstelsel (Commissie Van Dijkhuizen), interim-rapport oktober 2012 en eindrapport juni 2013. </w:t>
      </w:r>
      <w:r>
        <w:t xml:space="preserve"> </w:t>
      </w:r>
    </w:p>
  </w:footnote>
  <w:footnote w:id="14">
    <w:p w:rsidR="007471C7" w:rsidRDefault="007471C7">
      <w:pPr>
        <w:pStyle w:val="Voetnoottekst"/>
      </w:pPr>
      <w:r>
        <w:rPr>
          <w:rStyle w:val="Voetnootmarkering"/>
        </w:rPr>
        <w:footnoteRef/>
      </w:r>
      <w:r>
        <w:t xml:space="preserve"> </w:t>
      </w:r>
      <w:r>
        <w:rPr>
          <w:sz w:val="18"/>
          <w:szCs w:val="18"/>
        </w:rPr>
        <w:t>Zie ook het advies van de Afdeling advisering van 8 september 2014 betreffende het Belastingplan 2015 (W06.14.0283/III).</w:t>
      </w:r>
    </w:p>
  </w:footnote>
  <w:footnote w:id="15">
    <w:p w:rsidR="007471C7" w:rsidRDefault="007471C7">
      <w:pPr>
        <w:pStyle w:val="Voetnoottekst"/>
      </w:pPr>
      <w:r>
        <w:rPr>
          <w:rStyle w:val="Voetnootmarkering"/>
        </w:rPr>
        <w:footnoteRef/>
      </w:r>
      <w:r>
        <w:t xml:space="preserve"> </w:t>
      </w:r>
      <w:r>
        <w:rPr>
          <w:sz w:val="18"/>
          <w:szCs w:val="18"/>
        </w:rPr>
        <w:t xml:space="preserve">Zie onder andere OECD, </w:t>
      </w:r>
      <w:proofErr w:type="spellStart"/>
      <w:r>
        <w:rPr>
          <w:sz w:val="18"/>
          <w:szCs w:val="18"/>
        </w:rPr>
        <w:t>Ageing</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Employment</w:t>
      </w:r>
      <w:proofErr w:type="spellEnd"/>
      <w:r>
        <w:rPr>
          <w:sz w:val="18"/>
          <w:szCs w:val="18"/>
        </w:rPr>
        <w:t xml:space="preserve"> </w:t>
      </w:r>
      <w:proofErr w:type="spellStart"/>
      <w:r>
        <w:rPr>
          <w:sz w:val="18"/>
          <w:szCs w:val="18"/>
        </w:rPr>
        <w:t>Policies</w:t>
      </w:r>
      <w:proofErr w:type="spellEnd"/>
      <w:r>
        <w:rPr>
          <w:sz w:val="18"/>
          <w:szCs w:val="18"/>
        </w:rPr>
        <w:t xml:space="preserve">, Netherlands, </w:t>
      </w:r>
      <w:proofErr w:type="spellStart"/>
      <w:r>
        <w:rPr>
          <w:sz w:val="18"/>
          <w:szCs w:val="18"/>
        </w:rPr>
        <w:t>working</w:t>
      </w:r>
      <w:proofErr w:type="spellEnd"/>
      <w:r>
        <w:rPr>
          <w:sz w:val="18"/>
          <w:szCs w:val="18"/>
        </w:rPr>
        <w:t xml:space="preserve"> </w:t>
      </w:r>
      <w:proofErr w:type="spellStart"/>
      <w:r>
        <w:rPr>
          <w:sz w:val="18"/>
          <w:szCs w:val="18"/>
        </w:rPr>
        <w:t>better</w:t>
      </w:r>
      <w:proofErr w:type="spellEnd"/>
      <w:r>
        <w:rPr>
          <w:sz w:val="18"/>
          <w:szCs w:val="18"/>
        </w:rPr>
        <w:t xml:space="preserve"> </w:t>
      </w:r>
      <w:proofErr w:type="spellStart"/>
      <w:r>
        <w:rPr>
          <w:sz w:val="18"/>
          <w:szCs w:val="18"/>
        </w:rPr>
        <w:t>with</w:t>
      </w:r>
      <w:proofErr w:type="spellEnd"/>
      <w:r>
        <w:rPr>
          <w:sz w:val="18"/>
          <w:szCs w:val="18"/>
        </w:rPr>
        <w:t xml:space="preserve"> </w:t>
      </w:r>
      <w:proofErr w:type="spellStart"/>
      <w:r>
        <w:rPr>
          <w:sz w:val="18"/>
          <w:szCs w:val="18"/>
        </w:rPr>
        <w:t>age</w:t>
      </w:r>
      <w:proofErr w:type="spellEnd"/>
      <w:r>
        <w:rPr>
          <w:sz w:val="18"/>
          <w:szCs w:val="18"/>
        </w:rPr>
        <w:t xml:space="preserve">, 2014. </w:t>
      </w:r>
      <w:r>
        <w:t xml:space="preserve"> </w:t>
      </w:r>
    </w:p>
  </w:footnote>
  <w:footnote w:id="16">
    <w:p w:rsidR="00225830" w:rsidRDefault="00225830">
      <w:pPr>
        <w:pStyle w:val="Voetnoottekst"/>
      </w:pPr>
      <w:r>
        <w:rPr>
          <w:rStyle w:val="Voetnootmarkering"/>
        </w:rPr>
        <w:footnoteRef/>
      </w:r>
      <w:r>
        <w:t xml:space="preserve"> </w:t>
      </w:r>
      <w:r>
        <w:rPr>
          <w:sz w:val="18"/>
          <w:szCs w:val="18"/>
        </w:rPr>
        <w:t xml:space="preserve">Zie hierover nader het eerder door de Afdeling gegeven advies over het wetsvoorstel Wet werk en zekerheid (Kamerstukken 2013/14, 33 818, nr. 4). </w:t>
      </w:r>
      <w:r>
        <w:t xml:space="preserve"> </w:t>
      </w:r>
    </w:p>
  </w:footnote>
  <w:footnote w:id="17">
    <w:p w:rsidR="00225830" w:rsidRDefault="00225830">
      <w:pPr>
        <w:pStyle w:val="Voetnoottekst"/>
      </w:pPr>
      <w:r>
        <w:rPr>
          <w:rStyle w:val="Voetnootmarkering"/>
        </w:rPr>
        <w:footnoteRef/>
      </w:r>
      <w:r>
        <w:t xml:space="preserve"> </w:t>
      </w:r>
      <w:r>
        <w:rPr>
          <w:sz w:val="18"/>
          <w:szCs w:val="18"/>
        </w:rPr>
        <w:t xml:space="preserve">CPB, Minder zorg om vergrijzing, 2014, blz. 35. </w:t>
      </w:r>
      <w:r>
        <w:t xml:space="preserve"> </w:t>
      </w:r>
    </w:p>
  </w:footnote>
  <w:footnote w:id="18">
    <w:p w:rsidR="00225830" w:rsidRDefault="00225830">
      <w:pPr>
        <w:pStyle w:val="Voetnoottekst"/>
      </w:pPr>
      <w:r>
        <w:rPr>
          <w:rStyle w:val="Voetnootmarkering"/>
        </w:rPr>
        <w:footnoteRef/>
      </w:r>
      <w:r>
        <w:t xml:space="preserve"> </w:t>
      </w:r>
      <w:r w:rsidRPr="00225830">
        <w:t>SCP/CBS, Armoedemonitor 2013, CBS, Welvaart in Nederland 2014.</w:t>
      </w:r>
    </w:p>
  </w:footnote>
  <w:footnote w:id="19">
    <w:p w:rsidR="00225830" w:rsidRDefault="00225830">
      <w:pPr>
        <w:pStyle w:val="Voetnoottekst"/>
      </w:pPr>
      <w:r>
        <w:rPr>
          <w:rStyle w:val="Voetnootmarkering"/>
        </w:rPr>
        <w:footnoteRef/>
      </w:r>
      <w:r>
        <w:t xml:space="preserve"> </w:t>
      </w:r>
      <w:r>
        <w:rPr>
          <w:sz w:val="18"/>
          <w:szCs w:val="18"/>
        </w:rPr>
        <w:t xml:space="preserve">CBS, Welvaart in Nederland, 2014, blz. 71, zie ook paragraaf 1.4.3 van de MJN 2015. </w:t>
      </w:r>
      <w:r>
        <w:t xml:space="preserve"> </w:t>
      </w:r>
    </w:p>
  </w:footnote>
  <w:footnote w:id="20">
    <w:p w:rsidR="00225830" w:rsidRDefault="00225830">
      <w:pPr>
        <w:pStyle w:val="Voetnoottekst"/>
      </w:pPr>
      <w:r>
        <w:rPr>
          <w:rStyle w:val="Voetnootmarkering"/>
        </w:rPr>
        <w:footnoteRef/>
      </w:r>
      <w:r>
        <w:t xml:space="preserve"> </w:t>
      </w:r>
      <w:r>
        <w:rPr>
          <w:sz w:val="18"/>
          <w:szCs w:val="18"/>
        </w:rPr>
        <w:t xml:space="preserve">In dit verband ook Kamerstukken II 2012/13, 33 400 XV, nr. 89, waaruit naar voren komt dat de loon- en koopkrachtontwikkeling van actieven met een inkomen rond modaal de laatste jaren beperkt en veelal zelfs negatief is geweest, terwijl de koopkrachtontwikkeling van minima en inactieven in het algemeen gunstiger was. </w:t>
      </w:r>
      <w:r>
        <w:t xml:space="preserve"> </w:t>
      </w:r>
    </w:p>
  </w:footnote>
  <w:footnote w:id="21">
    <w:p w:rsidR="00225830" w:rsidRDefault="00225830">
      <w:pPr>
        <w:pStyle w:val="Voetnoottekst"/>
      </w:pPr>
      <w:r>
        <w:rPr>
          <w:rStyle w:val="Voetnootmarkering"/>
        </w:rPr>
        <w:footnoteRef/>
      </w:r>
      <w:r>
        <w:t xml:space="preserve"> </w:t>
      </w:r>
      <w:r>
        <w:rPr>
          <w:sz w:val="18"/>
          <w:szCs w:val="18"/>
        </w:rPr>
        <w:t xml:space="preserve">De MJN 2015, Box 2.2.2. wijst hier op </w:t>
      </w:r>
      <w:r>
        <w:t xml:space="preserve"> </w:t>
      </w:r>
    </w:p>
  </w:footnote>
  <w:footnote w:id="22">
    <w:p w:rsidR="00225830" w:rsidRDefault="00225830">
      <w:pPr>
        <w:pStyle w:val="Voetnoottekst"/>
      </w:pPr>
      <w:r>
        <w:rPr>
          <w:rStyle w:val="Voetnootmarkering"/>
        </w:rPr>
        <w:footnoteRef/>
      </w:r>
      <w:r>
        <w:t xml:space="preserve"> </w:t>
      </w:r>
      <w:r>
        <w:rPr>
          <w:sz w:val="18"/>
          <w:szCs w:val="18"/>
        </w:rPr>
        <w:t xml:space="preserve">Inkomen en vermogen van ouderen: analyse en beleidsopties, IBO Inkomens- en vermogenspositie en subsidiëring 65+’ers, augustus 2013. </w:t>
      </w:r>
      <w:r>
        <w:t xml:space="preserve"> </w:t>
      </w:r>
    </w:p>
  </w:footnote>
  <w:footnote w:id="23">
    <w:p w:rsidR="00225830" w:rsidRDefault="00225830">
      <w:pPr>
        <w:pStyle w:val="Voetnoottekst"/>
      </w:pPr>
      <w:r>
        <w:rPr>
          <w:rStyle w:val="Voetnootmarkering"/>
        </w:rPr>
        <w:footnoteRef/>
      </w:r>
      <w:r>
        <w:t xml:space="preserve"> </w:t>
      </w:r>
      <w:r w:rsidRPr="00225830">
        <w:t>De aanbevelingen van de Raad van de Europese Unie in het kader van het Europese Semester vragen hier uitdrukkelijk aandacht voor. Hierna in onderdeel III wordt daarop nader ingegaan.</w:t>
      </w:r>
    </w:p>
  </w:footnote>
  <w:footnote w:id="24">
    <w:p w:rsidR="00225830" w:rsidRDefault="00225830">
      <w:pPr>
        <w:pStyle w:val="Voetnoottekst"/>
      </w:pPr>
      <w:r>
        <w:rPr>
          <w:rStyle w:val="Voetnootmarkering"/>
        </w:rPr>
        <w:footnoteRef/>
      </w:r>
      <w:r>
        <w:t xml:space="preserve"> </w:t>
      </w:r>
      <w:r>
        <w:rPr>
          <w:sz w:val="18"/>
          <w:szCs w:val="18"/>
        </w:rPr>
        <w:t xml:space="preserve">Ook voor de houdbaarheid van de overheidsfinanciën op langere termijn is de ontwikkeling van de collectieve zorguitgaven een belangrijke factor (zie CPB, Minder zorg om vergrijzing, 2014). De MJN 2015 merkt op, dat wanneer deze uitgaven met 1% per jaar sneller toenemen dan is aangenomen in de hiervoor genoemde houdbaarheidsstudie van het CPB, het houdbaarheidsscenario met 5,6% </w:t>
      </w:r>
      <w:proofErr w:type="spellStart"/>
      <w:r>
        <w:rPr>
          <w:sz w:val="18"/>
          <w:szCs w:val="18"/>
        </w:rPr>
        <w:t>pnt</w:t>
      </w:r>
      <w:proofErr w:type="spellEnd"/>
      <w:r>
        <w:rPr>
          <w:sz w:val="18"/>
          <w:szCs w:val="18"/>
        </w:rPr>
        <w:t xml:space="preserve"> verslechtert. </w:t>
      </w:r>
      <w:r>
        <w:t xml:space="preserve"> </w:t>
      </w:r>
    </w:p>
  </w:footnote>
  <w:footnote w:id="25">
    <w:p w:rsidR="00225830" w:rsidRDefault="00225830">
      <w:pPr>
        <w:pStyle w:val="Voetnoottekst"/>
      </w:pPr>
      <w:r>
        <w:rPr>
          <w:rStyle w:val="Voetnootmarkering"/>
        </w:rPr>
        <w:footnoteRef/>
      </w:r>
      <w:r>
        <w:t xml:space="preserve"> </w:t>
      </w:r>
      <w:r>
        <w:rPr>
          <w:sz w:val="18"/>
          <w:szCs w:val="18"/>
        </w:rPr>
        <w:t xml:space="preserve">Figuur 2.3.2 en figuur 3.3.4 van de MJN 2015. </w:t>
      </w:r>
      <w:r>
        <w:t xml:space="preserve"> </w:t>
      </w:r>
    </w:p>
  </w:footnote>
  <w:footnote w:id="26">
    <w:p w:rsidR="00225830" w:rsidRDefault="00225830">
      <w:pPr>
        <w:pStyle w:val="Voetnoottekst"/>
      </w:pPr>
      <w:r>
        <w:rPr>
          <w:rStyle w:val="Voetnootmarkering"/>
        </w:rPr>
        <w:footnoteRef/>
      </w:r>
      <w:r>
        <w:t xml:space="preserve"> </w:t>
      </w:r>
      <w:r>
        <w:rPr>
          <w:sz w:val="18"/>
          <w:szCs w:val="18"/>
        </w:rPr>
        <w:t xml:space="preserve">Begroting 2015 Ministerie van Volksgezondheid, Welzijn en Sport (XVI), toelichting hoofdstuk Financieel Beeld Zorg, paragraaf 2.3, tabel 5 Verticale ontwikkeling van de BKZ-uitgaven en –ontvangsten. </w:t>
      </w:r>
      <w:r>
        <w:t xml:space="preserve"> </w:t>
      </w:r>
    </w:p>
  </w:footnote>
  <w:footnote w:id="27">
    <w:p w:rsidR="00225830" w:rsidRDefault="00225830">
      <w:pPr>
        <w:pStyle w:val="Voetnoottekst"/>
      </w:pPr>
      <w:r>
        <w:rPr>
          <w:rStyle w:val="Voetnootmarkering"/>
        </w:rPr>
        <w:footnoteRef/>
      </w:r>
      <w:r>
        <w:t xml:space="preserve"> </w:t>
      </w:r>
      <w:r>
        <w:rPr>
          <w:sz w:val="18"/>
          <w:szCs w:val="18"/>
        </w:rPr>
        <w:t>MJN 2015, paragraaf 3.3.1.</w:t>
      </w:r>
    </w:p>
  </w:footnote>
  <w:footnote w:id="28">
    <w:p w:rsidR="00225830" w:rsidRDefault="00225830">
      <w:pPr>
        <w:pStyle w:val="Voetnoottekst"/>
      </w:pPr>
      <w:r>
        <w:rPr>
          <w:rStyle w:val="Voetnootmarkering"/>
        </w:rPr>
        <w:footnoteRef/>
      </w:r>
      <w:r>
        <w:t xml:space="preserve"> </w:t>
      </w:r>
      <w:r>
        <w:rPr>
          <w:sz w:val="18"/>
          <w:szCs w:val="18"/>
        </w:rPr>
        <w:t xml:space="preserve">Kamerstukken II 2012/13, 33 416, nr. 3. </w:t>
      </w:r>
      <w:r>
        <w:t xml:space="preserve"> </w:t>
      </w:r>
    </w:p>
  </w:footnote>
  <w:footnote w:id="29">
    <w:p w:rsidR="00225830" w:rsidRPr="00DF4BAA" w:rsidRDefault="00225830" w:rsidP="00225830">
      <w:pPr>
        <w:pStyle w:val="Default"/>
        <w:rPr>
          <w:rFonts w:ascii="Times New Roman" w:hAnsi="Times New Roman" w:cs="Times New Roman"/>
          <w:sz w:val="18"/>
          <w:szCs w:val="18"/>
        </w:rPr>
      </w:pPr>
      <w:r w:rsidRPr="00DF4BAA">
        <w:rPr>
          <w:rStyle w:val="Voetnootmarkering"/>
          <w:rFonts w:ascii="Times New Roman" w:hAnsi="Times New Roman" w:cs="Times New Roman"/>
          <w:sz w:val="20"/>
          <w:szCs w:val="20"/>
        </w:rPr>
        <w:footnoteRef/>
      </w:r>
      <w:r>
        <w:t xml:space="preserve"> </w:t>
      </w:r>
      <w:r w:rsidRPr="00DF4BAA">
        <w:rPr>
          <w:rFonts w:ascii="Times New Roman" w:hAnsi="Times New Roman" w:cs="Times New Roman"/>
          <w:sz w:val="18"/>
          <w:szCs w:val="18"/>
        </w:rPr>
        <w:t xml:space="preserve">Verordening (EU) nr. 473/2013 van het Europees Parlement en de Raad van 21 mei 2013 betreffende gemeenschappelijke voorschriften voor het monitoren en beoordelen van ontwerpbegrotingsplannen en voor het garanderen van de correctie van buitensporige tekorten van de lidstaten van de eurozone (PBEU L 140). </w:t>
      </w:r>
    </w:p>
    <w:p w:rsidR="00225830" w:rsidRPr="00DF4BAA" w:rsidRDefault="00225830" w:rsidP="00225830">
      <w:pPr>
        <w:pStyle w:val="Default"/>
        <w:rPr>
          <w:rFonts w:ascii="Times New Roman" w:hAnsi="Times New Roman" w:cs="Times New Roman"/>
          <w:sz w:val="18"/>
          <w:szCs w:val="18"/>
        </w:rPr>
      </w:pPr>
      <w:r w:rsidRPr="00DF4BAA">
        <w:rPr>
          <w:rFonts w:ascii="Times New Roman" w:hAnsi="Times New Roman" w:cs="Times New Roman"/>
          <w:sz w:val="18"/>
          <w:szCs w:val="18"/>
        </w:rPr>
        <w:t xml:space="preserve">Artikel 5 van die verordening bepaalt dat de lidstaten beschikken over onafhankelijke instanties die toezicht houden op de inachtneming van: </w:t>
      </w:r>
    </w:p>
    <w:p w:rsidR="00225830" w:rsidRPr="00DF4BAA" w:rsidRDefault="00225830" w:rsidP="00225830">
      <w:pPr>
        <w:pStyle w:val="Default"/>
        <w:rPr>
          <w:rFonts w:ascii="Times New Roman" w:hAnsi="Times New Roman" w:cs="Times New Roman"/>
          <w:sz w:val="18"/>
          <w:szCs w:val="18"/>
        </w:rPr>
      </w:pPr>
      <w:r w:rsidRPr="00DF4BAA">
        <w:rPr>
          <w:rFonts w:ascii="Times New Roman" w:hAnsi="Times New Roman" w:cs="Times New Roman"/>
          <w:sz w:val="18"/>
          <w:szCs w:val="18"/>
        </w:rPr>
        <w:t xml:space="preserve">a) cijfermatige begrotingsregels die de </w:t>
      </w:r>
      <w:proofErr w:type="spellStart"/>
      <w:r w:rsidRPr="00DF4BAA">
        <w:rPr>
          <w:rFonts w:ascii="Times New Roman" w:hAnsi="Times New Roman" w:cs="Times New Roman"/>
          <w:sz w:val="18"/>
          <w:szCs w:val="18"/>
        </w:rPr>
        <w:t>middellangetermijndoelstelling</w:t>
      </w:r>
      <w:proofErr w:type="spellEnd"/>
      <w:r w:rsidRPr="00DF4BAA">
        <w:rPr>
          <w:rFonts w:ascii="Times New Roman" w:hAnsi="Times New Roman" w:cs="Times New Roman"/>
          <w:sz w:val="18"/>
          <w:szCs w:val="18"/>
        </w:rPr>
        <w:t xml:space="preserve"> voor de begrotingssituatie als vastgelegd in artikel 2 bis van Verordening (EG) nr. 1466/97 in de nationale begrotingsprocedure verwerken; </w:t>
      </w:r>
    </w:p>
    <w:p w:rsidR="00225830" w:rsidRPr="00DF4BAA" w:rsidRDefault="00225830" w:rsidP="00225830">
      <w:pPr>
        <w:pStyle w:val="Default"/>
        <w:rPr>
          <w:rFonts w:ascii="Times New Roman" w:hAnsi="Times New Roman" w:cs="Times New Roman"/>
          <w:sz w:val="18"/>
          <w:szCs w:val="18"/>
        </w:rPr>
      </w:pPr>
      <w:r w:rsidRPr="00DF4BAA">
        <w:rPr>
          <w:rFonts w:ascii="Times New Roman" w:hAnsi="Times New Roman" w:cs="Times New Roman"/>
          <w:sz w:val="18"/>
          <w:szCs w:val="18"/>
        </w:rPr>
        <w:t xml:space="preserve">b) cijfermatige begrotingsregels als bedoeld in artikel 5 van Richtlijn 2011/85/EU. </w:t>
      </w:r>
    </w:p>
    <w:p w:rsidR="00225830" w:rsidRPr="00DF4BAA" w:rsidRDefault="00225830" w:rsidP="00225830">
      <w:pPr>
        <w:pStyle w:val="Default"/>
        <w:rPr>
          <w:rFonts w:ascii="Times New Roman" w:hAnsi="Times New Roman" w:cs="Times New Roman"/>
          <w:sz w:val="18"/>
          <w:szCs w:val="18"/>
        </w:rPr>
      </w:pPr>
      <w:r w:rsidRPr="00DF4BAA">
        <w:rPr>
          <w:rFonts w:ascii="Times New Roman" w:hAnsi="Times New Roman" w:cs="Times New Roman"/>
          <w:sz w:val="18"/>
          <w:szCs w:val="18"/>
        </w:rPr>
        <w:t xml:space="preserve">Deze instanties stellen, waar passend, publiekelijk toegankelijke beoordelingen op met betrekking tot de nationale begrotingsregels, onder meer met betrekking tot: </w:t>
      </w:r>
    </w:p>
    <w:p w:rsidR="00225830" w:rsidRPr="00DF4BAA" w:rsidRDefault="00225830" w:rsidP="00225830">
      <w:pPr>
        <w:pStyle w:val="Default"/>
        <w:rPr>
          <w:rFonts w:ascii="Times New Roman" w:hAnsi="Times New Roman" w:cs="Times New Roman"/>
          <w:sz w:val="18"/>
          <w:szCs w:val="18"/>
        </w:rPr>
      </w:pPr>
      <w:r w:rsidRPr="00DF4BAA">
        <w:rPr>
          <w:rFonts w:ascii="Times New Roman" w:hAnsi="Times New Roman" w:cs="Times New Roman"/>
          <w:sz w:val="18"/>
          <w:szCs w:val="18"/>
        </w:rPr>
        <w:t xml:space="preserve">a) het zich voordoen van omstandigheden die leiden tot de activering van het correctiemechanisme voor gevallen van aanzienlijke geconstateerde afwijking van de </w:t>
      </w:r>
      <w:proofErr w:type="spellStart"/>
      <w:r w:rsidRPr="00DF4BAA">
        <w:rPr>
          <w:rFonts w:ascii="Times New Roman" w:hAnsi="Times New Roman" w:cs="Times New Roman"/>
          <w:sz w:val="18"/>
          <w:szCs w:val="18"/>
        </w:rPr>
        <w:t>middellangetermijndoelstelling</w:t>
      </w:r>
      <w:proofErr w:type="spellEnd"/>
      <w:r w:rsidRPr="00DF4BAA">
        <w:rPr>
          <w:rFonts w:ascii="Times New Roman" w:hAnsi="Times New Roman" w:cs="Times New Roman"/>
          <w:sz w:val="18"/>
          <w:szCs w:val="18"/>
        </w:rPr>
        <w:t xml:space="preserve"> of het aanpassingstraject naar die doelstelling, overeenkomstig artikel 6, lid 2, van Verordening (EG) nr. 1466/97; </w:t>
      </w:r>
    </w:p>
    <w:p w:rsidR="00225830" w:rsidRPr="00DF4BAA" w:rsidRDefault="00225830" w:rsidP="00225830">
      <w:pPr>
        <w:pStyle w:val="Default"/>
        <w:rPr>
          <w:rFonts w:ascii="Times New Roman" w:hAnsi="Times New Roman" w:cs="Times New Roman"/>
          <w:sz w:val="18"/>
          <w:szCs w:val="18"/>
        </w:rPr>
      </w:pPr>
      <w:r w:rsidRPr="00DF4BAA">
        <w:rPr>
          <w:rFonts w:ascii="Times New Roman" w:hAnsi="Times New Roman" w:cs="Times New Roman"/>
          <w:sz w:val="18"/>
          <w:szCs w:val="18"/>
        </w:rPr>
        <w:t xml:space="preserve">b) de vraag of de budgettaire correctie verloopt in overeenstemming met de nationale regels en plannen; </w:t>
      </w:r>
    </w:p>
    <w:p w:rsidR="00225830" w:rsidRDefault="00225830" w:rsidP="00225830">
      <w:pPr>
        <w:pStyle w:val="Default"/>
        <w:rPr>
          <w:sz w:val="18"/>
          <w:szCs w:val="18"/>
        </w:rPr>
      </w:pPr>
      <w:r w:rsidRPr="00DF4BAA">
        <w:rPr>
          <w:rFonts w:ascii="Times New Roman" w:hAnsi="Times New Roman" w:cs="Times New Roman"/>
          <w:sz w:val="18"/>
          <w:szCs w:val="18"/>
        </w:rPr>
        <w:t xml:space="preserve">c) het zich al dan niet meer voordoen van omstandigheden als bedoeld in artikel 5, lid 1, tiende alinea, van Verordening (EG) nr. 1466/97, op grond waarvan een tijdelijke afwijking kan worden toestaan van de begrotingsdoelstelling voor de middellange termijn of van aanpassingstraject naar die doelstelling, mits een dergelijke afwijking de houdbaarheid van de begroting op de middellange termijn niet in gevaar brengt. </w:t>
      </w:r>
    </w:p>
    <w:p w:rsidR="00225830" w:rsidRDefault="00225830">
      <w:pPr>
        <w:pStyle w:val="Voetnoottekst"/>
      </w:pPr>
    </w:p>
  </w:footnote>
  <w:footnote w:id="30">
    <w:p w:rsidR="00225830" w:rsidRDefault="00225830">
      <w:pPr>
        <w:pStyle w:val="Voetnoottekst"/>
      </w:pPr>
      <w:r>
        <w:rPr>
          <w:rStyle w:val="Voetnootmarkering"/>
        </w:rPr>
        <w:footnoteRef/>
      </w:r>
      <w:r>
        <w:t xml:space="preserve"> </w:t>
      </w:r>
      <w:r>
        <w:rPr>
          <w:sz w:val="18"/>
          <w:szCs w:val="18"/>
        </w:rPr>
        <w:t xml:space="preserve">De Afdeling wijst er op dat dit met zich brengt dat er bij de voorbereiding van de begrotingen en de miljoenennota rekening mee wordt gehouden dat de Afdeling tijdig moet beschikken over de cijfers die voor beoordeling van de begrotingen en de miljoenennota nodig zijn. </w:t>
      </w:r>
      <w:r>
        <w:t xml:space="preserve"> </w:t>
      </w:r>
    </w:p>
  </w:footnote>
  <w:footnote w:id="31">
    <w:p w:rsidR="006D6BD2" w:rsidRDefault="006D6BD2">
      <w:pPr>
        <w:pStyle w:val="Voetnoottekst"/>
      </w:pPr>
      <w:r>
        <w:rPr>
          <w:rStyle w:val="Voetnootmarkering"/>
        </w:rPr>
        <w:footnoteRef/>
      </w:r>
      <w:r>
        <w:t xml:space="preserve"> </w:t>
      </w:r>
      <w:r>
        <w:rPr>
          <w:sz w:val="18"/>
          <w:szCs w:val="18"/>
        </w:rPr>
        <w:t xml:space="preserve">MJN 2015, paragraaf 3.4 en brief van de Minister van Financiën en de Minister van Economische Zaken van 29 augustus 2014 aan de voorzitter van de Eerste Kamer der Staten-Generaal inzake beantwoording vragen over structureel saldo en </w:t>
      </w:r>
      <w:proofErr w:type="spellStart"/>
      <w:r>
        <w:rPr>
          <w:sz w:val="18"/>
          <w:szCs w:val="18"/>
        </w:rPr>
        <w:t>landenspecifieke</w:t>
      </w:r>
      <w:proofErr w:type="spellEnd"/>
      <w:r>
        <w:rPr>
          <w:sz w:val="18"/>
          <w:szCs w:val="18"/>
        </w:rPr>
        <w:t xml:space="preserve"> aanbevelingen. In de brief wordt vermeld dat eerder ten aanzien van Estland een marge van 0,2 BBP is aangehouden. </w:t>
      </w:r>
      <w:r>
        <w:t xml:space="preserve"> </w:t>
      </w:r>
    </w:p>
  </w:footnote>
  <w:footnote w:id="32">
    <w:p w:rsidR="006D6BD2" w:rsidRDefault="006D6BD2">
      <w:pPr>
        <w:pStyle w:val="Voetnoottekst"/>
      </w:pPr>
      <w:r>
        <w:rPr>
          <w:rStyle w:val="Voetnootmarkering"/>
        </w:rPr>
        <w:footnoteRef/>
      </w:r>
      <w:r>
        <w:t xml:space="preserve"> </w:t>
      </w:r>
      <w:r>
        <w:rPr>
          <w:sz w:val="18"/>
          <w:szCs w:val="18"/>
        </w:rPr>
        <w:t>Aanbeveling van de Raad van de Europese Unie van 8 juli 2014 over het hervormingsprogramma 2014 van Nederland en met een advies van de Raad over het stabiliteitsprogramma van Nederland voor 2014 (</w:t>
      </w:r>
      <w:proofErr w:type="spellStart"/>
      <w:r>
        <w:rPr>
          <w:sz w:val="18"/>
          <w:szCs w:val="18"/>
        </w:rPr>
        <w:t>PbEU</w:t>
      </w:r>
      <w:proofErr w:type="spellEnd"/>
      <w:r>
        <w:rPr>
          <w:sz w:val="18"/>
          <w:szCs w:val="18"/>
        </w:rPr>
        <w:t xml:space="preserve"> C 247). </w:t>
      </w:r>
      <w:r>
        <w:t xml:space="preserve"> </w:t>
      </w:r>
    </w:p>
  </w:footnote>
  <w:footnote w:id="33">
    <w:p w:rsidR="006D6BD2" w:rsidRDefault="006D6BD2">
      <w:pPr>
        <w:pStyle w:val="Voetnoottekst"/>
      </w:pPr>
      <w:r>
        <w:rPr>
          <w:rStyle w:val="Voetnootmarkering"/>
        </w:rPr>
        <w:footnoteRef/>
      </w:r>
      <w:r>
        <w:t xml:space="preserve"> </w:t>
      </w:r>
      <w:r>
        <w:rPr>
          <w:sz w:val="18"/>
          <w:szCs w:val="18"/>
        </w:rPr>
        <w:t>In dit verband wijst de Afdeling er wel op, dat naast de Europese begrotingsregels, vastgelegd in de Wet HOF, ook de hoofdlijnen van het – nationale – trendmatige begrotingsbeleid in de Wet HOF zijn vastgelegd. Ten aanzien van deze (nationale)regels valt op dat het kabinet meevallers aan de uitgavenkant als structureel beschouwt en aanwendt voor lastenverlichting en zowel het inkomstenkader als uitgavenkader hiervoor aanpast. Deze ruimte wordt derhalve niet benut voor verdere vermindering van het structurele tekort naar de afgesproken -0,5% BBP. Hoe wenselijk lastenverlichting ook moge zijn, zonder voldoende buffers en een veilige marge bij het tekort wordt de kans te groot dat lastenverlichting achteraf niet structureel blijkt te zijn.</w:t>
      </w:r>
    </w:p>
  </w:footnote>
  <w:footnote w:id="34">
    <w:p w:rsidR="006D6BD2" w:rsidRDefault="006D6BD2">
      <w:pPr>
        <w:pStyle w:val="Voetnoottekst"/>
      </w:pPr>
      <w:r>
        <w:rPr>
          <w:rStyle w:val="Voetnootmarkering"/>
        </w:rPr>
        <w:footnoteRef/>
      </w:r>
      <w:r>
        <w:t xml:space="preserve"> </w:t>
      </w:r>
      <w:r>
        <w:rPr>
          <w:sz w:val="18"/>
          <w:szCs w:val="18"/>
        </w:rPr>
        <w:t>MJN 2015, box 3.4.1 en Kamerstukken II 2013/14, 21 501-20, nr. 880.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1C7"/>
    <w:rsid w:val="000F79C5"/>
    <w:rsid w:val="00225830"/>
    <w:rsid w:val="00485333"/>
    <w:rsid w:val="004F79F1"/>
    <w:rsid w:val="00541A43"/>
    <w:rsid w:val="006D6BD2"/>
    <w:rsid w:val="007471C7"/>
    <w:rsid w:val="009E7070"/>
    <w:rsid w:val="00A54391"/>
    <w:rsid w:val="00DF4B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471C7"/>
    <w:pPr>
      <w:autoSpaceDE w:val="0"/>
      <w:autoSpaceDN w:val="0"/>
      <w:adjustRightInd w:val="0"/>
    </w:pPr>
    <w:rPr>
      <w:rFonts w:ascii="Arial" w:hAnsi="Arial" w:cs="Arial"/>
      <w:color w:val="000000"/>
      <w:sz w:val="24"/>
      <w:szCs w:val="24"/>
    </w:rPr>
  </w:style>
  <w:style w:type="paragraph" w:styleId="Voetnoottekst">
    <w:name w:val="footnote text"/>
    <w:basedOn w:val="Standaard"/>
    <w:link w:val="VoetnoottekstChar"/>
    <w:rsid w:val="007471C7"/>
    <w:rPr>
      <w:sz w:val="20"/>
      <w:szCs w:val="20"/>
    </w:rPr>
  </w:style>
  <w:style w:type="character" w:customStyle="1" w:styleId="VoetnoottekstChar">
    <w:name w:val="Voetnoottekst Char"/>
    <w:basedOn w:val="Standaardalinea-lettertype"/>
    <w:link w:val="Voetnoottekst"/>
    <w:rsid w:val="007471C7"/>
  </w:style>
  <w:style w:type="character" w:styleId="Voetnootmarkering">
    <w:name w:val="footnote reference"/>
    <w:basedOn w:val="Standaardalinea-lettertype"/>
    <w:rsid w:val="007471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471C7"/>
    <w:pPr>
      <w:autoSpaceDE w:val="0"/>
      <w:autoSpaceDN w:val="0"/>
      <w:adjustRightInd w:val="0"/>
    </w:pPr>
    <w:rPr>
      <w:rFonts w:ascii="Arial" w:hAnsi="Arial" w:cs="Arial"/>
      <w:color w:val="000000"/>
      <w:sz w:val="24"/>
      <w:szCs w:val="24"/>
    </w:rPr>
  </w:style>
  <w:style w:type="paragraph" w:styleId="Voetnoottekst">
    <w:name w:val="footnote text"/>
    <w:basedOn w:val="Standaard"/>
    <w:link w:val="VoetnoottekstChar"/>
    <w:rsid w:val="007471C7"/>
    <w:rPr>
      <w:sz w:val="20"/>
      <w:szCs w:val="20"/>
    </w:rPr>
  </w:style>
  <w:style w:type="character" w:customStyle="1" w:styleId="VoetnoottekstChar">
    <w:name w:val="Voetnoottekst Char"/>
    <w:basedOn w:val="Standaardalinea-lettertype"/>
    <w:link w:val="Voetnoottekst"/>
    <w:rsid w:val="007471C7"/>
  </w:style>
  <w:style w:type="character" w:styleId="Voetnootmarkering">
    <w:name w:val="footnote reference"/>
    <w:basedOn w:val="Standaardalinea-lettertype"/>
    <w:rsid w:val="007471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microsoft.com/office/2007/relationships/stylesWithEffects" Target="stylesWithEffect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7662</ap:Words>
  <ap:Characters>43340</ap:Characters>
  <ap:DocSecurity>4</ap:DocSecurity>
  <ap:Lines>361</ap:Lines>
  <ap:Paragraphs>101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50901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2014-09-17T15:23:00.0000000Z</dcterms:created>
  <dcterms:modified xsi:type="dcterms:W3CDTF">2014-09-17T15:23:00.0000000Z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0x010100E5ED3023EBEAA6499984663616FE8EA0</vt:lpwstr>
  </property>
</Properties>
</file>