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25B3C" w:rsidR="00700D8C" w:rsidP="0049253F" w:rsidRDefault="00700D8C" w14:paraId="63207F5E" w14:textId="77777777">
      <w:pPr>
        <w:rPr>
          <w:rFonts w:ascii="Times New Roman" w:hAnsi="Times New Roman" w:cs="Times New Roman"/>
          <w:b/>
          <w:sz w:val="22"/>
          <w:szCs w:val="22"/>
        </w:rPr>
      </w:pPr>
      <w:bookmarkStart w:name="_GoBack" w:id="0"/>
      <w:bookmarkEnd w:id="0"/>
      <w:r w:rsidRPr="00925B3C">
        <w:rPr>
          <w:rFonts w:ascii="Times New Roman" w:hAnsi="Times New Roman" w:cs="Times New Roman"/>
          <w:b/>
          <w:sz w:val="22"/>
          <w:szCs w:val="22"/>
        </w:rPr>
        <w:t>Kabinetsreactie AIV advies ‘Naar een gedragen Europese samenwerking; werken aan vertrouwen’</w:t>
      </w:r>
    </w:p>
    <w:p w:rsidRPr="00925B3C" w:rsidR="00700D8C" w:rsidP="0049253F" w:rsidRDefault="00700D8C" w14:paraId="70C31DD9" w14:textId="77777777">
      <w:pPr>
        <w:rPr>
          <w:rFonts w:ascii="Times New Roman" w:hAnsi="Times New Roman" w:cs="Times New Roman"/>
          <w:b/>
          <w:sz w:val="22"/>
          <w:szCs w:val="22"/>
        </w:rPr>
      </w:pPr>
    </w:p>
    <w:p w:rsidRPr="00925B3C" w:rsidR="0020066B" w:rsidP="0049253F" w:rsidRDefault="00A35129" w14:paraId="085D12D5" w14:textId="77777777">
      <w:pPr>
        <w:pStyle w:val="Lijstalinea"/>
        <w:numPr>
          <w:ilvl w:val="0"/>
          <w:numId w:val="6"/>
        </w:numPr>
        <w:rPr>
          <w:rFonts w:ascii="Times New Roman" w:hAnsi="Times New Roman" w:cs="Times New Roman"/>
          <w:b/>
          <w:sz w:val="22"/>
          <w:szCs w:val="22"/>
        </w:rPr>
      </w:pPr>
      <w:r w:rsidRPr="00925B3C">
        <w:rPr>
          <w:rFonts w:ascii="Times New Roman" w:hAnsi="Times New Roman" w:cs="Times New Roman"/>
          <w:b/>
          <w:sz w:val="22"/>
          <w:szCs w:val="22"/>
        </w:rPr>
        <w:t xml:space="preserve">Inleiding </w:t>
      </w:r>
    </w:p>
    <w:p w:rsidRPr="00925B3C" w:rsidR="0033379C" w:rsidP="0049253F" w:rsidRDefault="0033379C" w14:paraId="75A838BD" w14:textId="77777777">
      <w:pPr>
        <w:pStyle w:val="Lijstalinea"/>
        <w:rPr>
          <w:rFonts w:ascii="Times New Roman" w:hAnsi="Times New Roman" w:cs="Times New Roman"/>
          <w:b/>
          <w:sz w:val="22"/>
          <w:szCs w:val="22"/>
        </w:rPr>
      </w:pPr>
    </w:p>
    <w:p w:rsidRPr="00925B3C" w:rsidR="0020066B" w:rsidP="0049253F" w:rsidRDefault="00A972C6" w14:paraId="51958FD0" w14:textId="77777777">
      <w:pPr>
        <w:pStyle w:val="Lijstalinea"/>
        <w:ind w:left="0"/>
        <w:rPr>
          <w:rFonts w:ascii="Times New Roman" w:hAnsi="Times New Roman" w:cs="Times New Roman"/>
          <w:sz w:val="22"/>
          <w:szCs w:val="22"/>
        </w:rPr>
      </w:pPr>
      <w:r w:rsidRPr="00925B3C">
        <w:rPr>
          <w:rFonts w:ascii="Times New Roman" w:hAnsi="Times New Roman" w:cs="Times New Roman"/>
          <w:sz w:val="22"/>
          <w:szCs w:val="22"/>
        </w:rPr>
        <w:t>Het kabinet streeft naar een optimaal functionerende en slagvaardige EU, met meer focus, balans en legitimiteit. Een effectieve Unie v</w:t>
      </w:r>
      <w:r w:rsidRPr="00925B3C" w:rsidR="002A57BD">
        <w:rPr>
          <w:rFonts w:ascii="Times New Roman" w:hAnsi="Times New Roman" w:cs="Times New Roman"/>
          <w:sz w:val="22"/>
          <w:szCs w:val="22"/>
        </w:rPr>
        <w:t>ereist</w:t>
      </w:r>
      <w:r w:rsidRPr="00925B3C" w:rsidR="000C0940">
        <w:rPr>
          <w:rFonts w:ascii="Times New Roman" w:hAnsi="Times New Roman" w:cs="Times New Roman"/>
          <w:sz w:val="22"/>
          <w:szCs w:val="22"/>
        </w:rPr>
        <w:t xml:space="preserve"> </w:t>
      </w:r>
      <w:r w:rsidRPr="00925B3C" w:rsidR="002A57BD">
        <w:rPr>
          <w:rFonts w:ascii="Times New Roman" w:hAnsi="Times New Roman" w:cs="Times New Roman"/>
          <w:sz w:val="22"/>
          <w:szCs w:val="22"/>
        </w:rPr>
        <w:t>een solide draagvlak.</w:t>
      </w:r>
      <w:r w:rsidR="004B0189">
        <w:rPr>
          <w:rFonts w:ascii="Times New Roman" w:hAnsi="Times New Roman" w:cs="Times New Roman"/>
          <w:sz w:val="22"/>
          <w:szCs w:val="22"/>
        </w:rPr>
        <w:t xml:space="preserve"> N</w:t>
      </w:r>
      <w:r w:rsidRPr="00925B3C" w:rsidR="004B0189">
        <w:rPr>
          <w:rFonts w:ascii="Times New Roman" w:hAnsi="Times New Roman" w:cs="Times New Roman"/>
          <w:sz w:val="22"/>
          <w:szCs w:val="22"/>
        </w:rPr>
        <w:t xml:space="preserve">u duidelijk is dat </w:t>
      </w:r>
      <w:r w:rsidR="004B0189">
        <w:rPr>
          <w:rFonts w:ascii="Times New Roman" w:hAnsi="Times New Roman" w:cs="Times New Roman"/>
          <w:sz w:val="22"/>
          <w:szCs w:val="22"/>
        </w:rPr>
        <w:t>dit</w:t>
      </w:r>
      <w:r w:rsidRPr="00925B3C" w:rsidR="004B0189">
        <w:rPr>
          <w:rFonts w:ascii="Times New Roman" w:hAnsi="Times New Roman" w:cs="Times New Roman"/>
          <w:sz w:val="22"/>
          <w:szCs w:val="22"/>
        </w:rPr>
        <w:t xml:space="preserve"> </w:t>
      </w:r>
      <w:r w:rsidR="004B0189">
        <w:rPr>
          <w:rFonts w:ascii="Times New Roman" w:hAnsi="Times New Roman" w:cs="Times New Roman"/>
          <w:sz w:val="22"/>
          <w:szCs w:val="22"/>
        </w:rPr>
        <w:t xml:space="preserve">draagvlak </w:t>
      </w:r>
      <w:r w:rsidRPr="00925B3C" w:rsidR="004B0189">
        <w:rPr>
          <w:rFonts w:ascii="Times New Roman" w:hAnsi="Times New Roman" w:cs="Times New Roman"/>
          <w:sz w:val="22"/>
          <w:szCs w:val="22"/>
        </w:rPr>
        <w:t>onder druk staat</w:t>
      </w:r>
      <w:r w:rsidR="004B0189">
        <w:rPr>
          <w:rFonts w:ascii="Times New Roman" w:hAnsi="Times New Roman" w:cs="Times New Roman"/>
          <w:sz w:val="22"/>
          <w:szCs w:val="22"/>
        </w:rPr>
        <w:t xml:space="preserve">, is </w:t>
      </w:r>
      <w:r w:rsidR="003B0796">
        <w:rPr>
          <w:rFonts w:ascii="Times New Roman" w:hAnsi="Times New Roman" w:cs="Times New Roman"/>
          <w:sz w:val="22"/>
          <w:szCs w:val="22"/>
        </w:rPr>
        <w:t>het</w:t>
      </w:r>
      <w:r w:rsidR="004B0189">
        <w:rPr>
          <w:rFonts w:ascii="Times New Roman" w:hAnsi="Times New Roman" w:cs="Times New Roman"/>
          <w:sz w:val="22"/>
          <w:szCs w:val="22"/>
        </w:rPr>
        <w:t xml:space="preserve"> s</w:t>
      </w:r>
      <w:r w:rsidRPr="00925B3C" w:rsidR="002A57BD">
        <w:rPr>
          <w:rFonts w:ascii="Times New Roman" w:hAnsi="Times New Roman" w:cs="Times New Roman"/>
          <w:sz w:val="22"/>
          <w:szCs w:val="22"/>
        </w:rPr>
        <w:t>peerpunt van het kabinet daarom</w:t>
      </w:r>
      <w:r w:rsidRPr="00925B3C">
        <w:rPr>
          <w:rFonts w:ascii="Times New Roman" w:hAnsi="Times New Roman" w:cs="Times New Roman"/>
          <w:sz w:val="22"/>
          <w:szCs w:val="22"/>
        </w:rPr>
        <w:t xml:space="preserve"> de democratische legitimiteit van de EU t</w:t>
      </w:r>
      <w:r w:rsidRPr="00925B3C" w:rsidR="002A57BD">
        <w:rPr>
          <w:rFonts w:ascii="Times New Roman" w:hAnsi="Times New Roman" w:cs="Times New Roman"/>
          <w:sz w:val="22"/>
          <w:szCs w:val="22"/>
        </w:rPr>
        <w:t>e versterken,</w:t>
      </w:r>
      <w:r w:rsidR="004B0189">
        <w:rPr>
          <w:rFonts w:ascii="Times New Roman" w:hAnsi="Times New Roman" w:cs="Times New Roman"/>
          <w:sz w:val="22"/>
          <w:szCs w:val="22"/>
        </w:rPr>
        <w:t xml:space="preserve"> in de vorm van verbeterde controle, maar ook in termen van slagvaardigheid</w:t>
      </w:r>
      <w:r w:rsidRPr="00925B3C" w:rsidR="002A57BD">
        <w:rPr>
          <w:rFonts w:ascii="Times New Roman" w:hAnsi="Times New Roman" w:cs="Times New Roman"/>
          <w:sz w:val="22"/>
          <w:szCs w:val="22"/>
        </w:rPr>
        <w:t xml:space="preserve">. In de Staat van de Unie in 2013 en 2014 zette het kabinet </w:t>
      </w:r>
      <w:r w:rsidR="00585811">
        <w:rPr>
          <w:rFonts w:ascii="Times New Roman" w:hAnsi="Times New Roman" w:cs="Times New Roman"/>
          <w:sz w:val="22"/>
          <w:szCs w:val="22"/>
        </w:rPr>
        <w:t>reeds</w:t>
      </w:r>
      <w:r w:rsidRPr="00925B3C" w:rsidR="00585811">
        <w:rPr>
          <w:rFonts w:ascii="Times New Roman" w:hAnsi="Times New Roman" w:cs="Times New Roman"/>
          <w:sz w:val="22"/>
          <w:szCs w:val="22"/>
        </w:rPr>
        <w:t xml:space="preserve"> </w:t>
      </w:r>
      <w:r w:rsidRPr="00925B3C" w:rsidR="002A57BD">
        <w:rPr>
          <w:rFonts w:ascii="Times New Roman" w:hAnsi="Times New Roman" w:cs="Times New Roman"/>
          <w:sz w:val="22"/>
          <w:szCs w:val="22"/>
        </w:rPr>
        <w:t xml:space="preserve">zijn </w:t>
      </w:r>
      <w:r w:rsidRPr="00925B3C" w:rsidR="00522566">
        <w:rPr>
          <w:rFonts w:ascii="Times New Roman" w:hAnsi="Times New Roman" w:cs="Times New Roman"/>
          <w:sz w:val="22"/>
          <w:szCs w:val="22"/>
        </w:rPr>
        <w:t>ideeën</w:t>
      </w:r>
      <w:r w:rsidRPr="00925B3C" w:rsidR="002A57BD">
        <w:rPr>
          <w:rFonts w:ascii="Times New Roman" w:hAnsi="Times New Roman" w:cs="Times New Roman"/>
          <w:sz w:val="22"/>
          <w:szCs w:val="22"/>
        </w:rPr>
        <w:t xml:space="preserve"> uiteen</w:t>
      </w:r>
      <w:r w:rsidR="000008F3">
        <w:rPr>
          <w:rFonts w:ascii="Times New Roman" w:hAnsi="Times New Roman" w:cs="Times New Roman"/>
          <w:sz w:val="22"/>
          <w:szCs w:val="22"/>
        </w:rPr>
        <w:t xml:space="preserve"> </w:t>
      </w:r>
      <w:r w:rsidRPr="0049253F" w:rsidR="000008F3">
        <w:rPr>
          <w:rFonts w:ascii="Times New Roman" w:hAnsi="Times New Roman" w:cs="Times New Roman"/>
          <w:sz w:val="22"/>
          <w:szCs w:val="22"/>
        </w:rPr>
        <w:t>(Kamerstuk 33 551, nr. 1</w:t>
      </w:r>
      <w:r w:rsidR="000008F3">
        <w:rPr>
          <w:rFonts w:ascii="Times New Roman" w:hAnsi="Times New Roman" w:cs="Times New Roman"/>
          <w:sz w:val="22"/>
          <w:szCs w:val="22"/>
        </w:rPr>
        <w:t xml:space="preserve"> en </w:t>
      </w:r>
      <w:r w:rsidRPr="0049253F" w:rsidR="000008F3">
        <w:rPr>
          <w:rFonts w:ascii="Times New Roman" w:hAnsi="Times New Roman" w:cs="Times New Roman"/>
          <w:sz w:val="22"/>
          <w:szCs w:val="22"/>
        </w:rPr>
        <w:t>Kamerstuk 33 877, nr. 1)</w:t>
      </w:r>
      <w:r w:rsidRPr="00925B3C" w:rsidR="002A57BD">
        <w:rPr>
          <w:rFonts w:ascii="Times New Roman" w:hAnsi="Times New Roman" w:cs="Times New Roman"/>
          <w:sz w:val="22"/>
          <w:szCs w:val="22"/>
        </w:rPr>
        <w:t xml:space="preserve">. </w:t>
      </w:r>
      <w:r w:rsidRPr="00925B3C">
        <w:rPr>
          <w:rFonts w:ascii="Times New Roman" w:hAnsi="Times New Roman" w:cs="Times New Roman"/>
          <w:sz w:val="22"/>
          <w:szCs w:val="22"/>
        </w:rPr>
        <w:t>Ook verzocht het kabinet in dit kader</w:t>
      </w:r>
      <w:r w:rsidRPr="00925B3C" w:rsidR="007F4113">
        <w:rPr>
          <w:rFonts w:ascii="Times New Roman" w:hAnsi="Times New Roman" w:cs="Times New Roman"/>
          <w:sz w:val="22"/>
          <w:szCs w:val="22"/>
        </w:rPr>
        <w:t xml:space="preserve"> </w:t>
      </w:r>
      <w:r w:rsidRPr="00925B3C" w:rsidR="00CD445A">
        <w:rPr>
          <w:rFonts w:ascii="Times New Roman" w:hAnsi="Times New Roman" w:cs="Times New Roman"/>
          <w:sz w:val="22"/>
          <w:szCs w:val="22"/>
        </w:rPr>
        <w:t xml:space="preserve">de AIV </w:t>
      </w:r>
      <w:r w:rsidRPr="00925B3C" w:rsidR="00B82C52">
        <w:rPr>
          <w:rFonts w:ascii="Times New Roman" w:hAnsi="Times New Roman" w:cs="Times New Roman"/>
          <w:sz w:val="22"/>
          <w:szCs w:val="22"/>
        </w:rPr>
        <w:t>een</w:t>
      </w:r>
      <w:r w:rsidRPr="00925B3C" w:rsidR="00995D3E">
        <w:rPr>
          <w:rFonts w:ascii="Times New Roman" w:hAnsi="Times New Roman" w:cs="Times New Roman"/>
          <w:sz w:val="22"/>
          <w:szCs w:val="22"/>
        </w:rPr>
        <w:t xml:space="preserve"> </w:t>
      </w:r>
      <w:r w:rsidRPr="00925B3C" w:rsidR="00B82C52">
        <w:rPr>
          <w:rFonts w:ascii="Times New Roman" w:hAnsi="Times New Roman" w:cs="Times New Roman"/>
          <w:sz w:val="22"/>
          <w:szCs w:val="22"/>
        </w:rPr>
        <w:t>advies</w:t>
      </w:r>
      <w:r w:rsidRPr="00925B3C" w:rsidR="00995D3E">
        <w:rPr>
          <w:rFonts w:ascii="Times New Roman" w:hAnsi="Times New Roman" w:cs="Times New Roman"/>
          <w:sz w:val="22"/>
          <w:szCs w:val="22"/>
        </w:rPr>
        <w:t xml:space="preserve"> </w:t>
      </w:r>
      <w:r w:rsidRPr="00925B3C">
        <w:rPr>
          <w:rFonts w:ascii="Times New Roman" w:hAnsi="Times New Roman" w:cs="Times New Roman"/>
          <w:sz w:val="22"/>
          <w:szCs w:val="22"/>
        </w:rPr>
        <w:t xml:space="preserve">uit te brengen </w:t>
      </w:r>
      <w:r w:rsidRPr="00925B3C" w:rsidR="00995D3E">
        <w:rPr>
          <w:rFonts w:ascii="Times New Roman" w:hAnsi="Times New Roman" w:cs="Times New Roman"/>
          <w:sz w:val="22"/>
          <w:szCs w:val="22"/>
        </w:rPr>
        <w:t>over</w:t>
      </w:r>
      <w:r w:rsidRPr="00925B3C" w:rsidR="007F4113">
        <w:rPr>
          <w:rFonts w:ascii="Times New Roman" w:hAnsi="Times New Roman" w:cs="Times New Roman"/>
          <w:sz w:val="22"/>
          <w:szCs w:val="22"/>
        </w:rPr>
        <w:t xml:space="preserve"> de versterking van de democratische legitimiteit</w:t>
      </w:r>
      <w:r w:rsidRPr="00925B3C" w:rsidR="00995D3E">
        <w:rPr>
          <w:rFonts w:ascii="Times New Roman" w:hAnsi="Times New Roman" w:cs="Times New Roman"/>
          <w:sz w:val="22"/>
          <w:szCs w:val="22"/>
        </w:rPr>
        <w:t xml:space="preserve">, alsmede over de verhouding </w:t>
      </w:r>
      <w:r w:rsidRPr="00925B3C" w:rsidR="007F4113">
        <w:rPr>
          <w:rFonts w:ascii="Times New Roman" w:hAnsi="Times New Roman" w:cs="Times New Roman"/>
          <w:sz w:val="22"/>
          <w:szCs w:val="22"/>
        </w:rPr>
        <w:t xml:space="preserve">tussen slagvaardigheid en legitimiteit en de verhouding tussen de intergouvernementele </w:t>
      </w:r>
      <w:r w:rsidR="00B20D40">
        <w:rPr>
          <w:rFonts w:ascii="Times New Roman" w:hAnsi="Times New Roman" w:cs="Times New Roman"/>
          <w:sz w:val="22"/>
          <w:szCs w:val="22"/>
        </w:rPr>
        <w:t>en</w:t>
      </w:r>
      <w:r w:rsidRPr="00925B3C" w:rsidR="007F4113">
        <w:rPr>
          <w:rFonts w:ascii="Times New Roman" w:hAnsi="Times New Roman" w:cs="Times New Roman"/>
          <w:sz w:val="22"/>
          <w:szCs w:val="22"/>
        </w:rPr>
        <w:t xml:space="preserve"> communautaire methode. </w:t>
      </w:r>
    </w:p>
    <w:p w:rsidRPr="00925B3C" w:rsidR="0033379C" w:rsidP="0049253F" w:rsidRDefault="0033379C" w14:paraId="71BB00A4" w14:textId="77777777">
      <w:pPr>
        <w:pStyle w:val="Lijstalinea"/>
        <w:ind w:left="0"/>
        <w:rPr>
          <w:rFonts w:ascii="Times New Roman" w:hAnsi="Times New Roman" w:cs="Times New Roman"/>
          <w:sz w:val="22"/>
          <w:szCs w:val="22"/>
        </w:rPr>
      </w:pPr>
    </w:p>
    <w:p w:rsidRPr="00925B3C" w:rsidR="00F218AF" w:rsidP="0049253F" w:rsidRDefault="00CF01FE" w14:paraId="2E148ADE" w14:textId="77777777">
      <w:pPr>
        <w:pStyle w:val="Lijstalinea"/>
        <w:ind w:left="0"/>
        <w:rPr>
          <w:rFonts w:ascii="Times New Roman" w:hAnsi="Times New Roman" w:cs="Times New Roman"/>
          <w:sz w:val="22"/>
          <w:szCs w:val="22"/>
        </w:rPr>
      </w:pPr>
      <w:r w:rsidRPr="00925B3C">
        <w:rPr>
          <w:rFonts w:ascii="Times New Roman" w:hAnsi="Times New Roman" w:cs="Times New Roman"/>
          <w:sz w:val="22"/>
          <w:szCs w:val="22"/>
        </w:rPr>
        <w:t xml:space="preserve">Op 24 april jl. verscheen het AIV advies ‘Naar een gedragen Europese samenwerking; werken aan vertrouwen’. </w:t>
      </w:r>
      <w:r w:rsidRPr="00925B3C" w:rsidR="007F4113">
        <w:rPr>
          <w:rFonts w:ascii="Times New Roman" w:hAnsi="Times New Roman" w:cs="Times New Roman"/>
          <w:sz w:val="22"/>
          <w:szCs w:val="22"/>
        </w:rPr>
        <w:t>Middels</w:t>
      </w:r>
      <w:r w:rsidRPr="00925B3C">
        <w:rPr>
          <w:rFonts w:ascii="Times New Roman" w:hAnsi="Times New Roman" w:cs="Times New Roman"/>
          <w:sz w:val="22"/>
          <w:szCs w:val="22"/>
        </w:rPr>
        <w:t xml:space="preserve"> deze </w:t>
      </w:r>
      <w:r w:rsidRPr="00925B3C" w:rsidR="007F4113">
        <w:rPr>
          <w:rFonts w:ascii="Times New Roman" w:hAnsi="Times New Roman" w:cs="Times New Roman"/>
          <w:sz w:val="22"/>
          <w:szCs w:val="22"/>
        </w:rPr>
        <w:t xml:space="preserve">brief reageert het kabinet op de conclusies en aanbevelingen van de AIV. Daarnaast </w:t>
      </w:r>
      <w:r w:rsidRPr="00925B3C" w:rsidR="00B82C52">
        <w:rPr>
          <w:rFonts w:ascii="Times New Roman" w:hAnsi="Times New Roman" w:cs="Times New Roman"/>
          <w:sz w:val="22"/>
          <w:szCs w:val="22"/>
        </w:rPr>
        <w:t>is</w:t>
      </w:r>
      <w:r w:rsidRPr="00925B3C" w:rsidR="007F4113">
        <w:rPr>
          <w:rFonts w:ascii="Times New Roman" w:hAnsi="Times New Roman" w:cs="Times New Roman"/>
          <w:sz w:val="22"/>
          <w:szCs w:val="22"/>
        </w:rPr>
        <w:t xml:space="preserve"> in deze kabinetsappreciatie </w:t>
      </w:r>
      <w:r w:rsidRPr="00925B3C" w:rsidR="00B82C52">
        <w:rPr>
          <w:rFonts w:ascii="Times New Roman" w:hAnsi="Times New Roman" w:cs="Times New Roman"/>
          <w:sz w:val="22"/>
          <w:szCs w:val="22"/>
        </w:rPr>
        <w:t xml:space="preserve">opgenomen </w:t>
      </w:r>
      <w:r w:rsidRPr="00925B3C" w:rsidR="007F4113">
        <w:rPr>
          <w:rFonts w:ascii="Times New Roman" w:hAnsi="Times New Roman" w:cs="Times New Roman"/>
          <w:sz w:val="22"/>
          <w:szCs w:val="22"/>
        </w:rPr>
        <w:t xml:space="preserve">de </w:t>
      </w:r>
      <w:r w:rsidRPr="00925B3C" w:rsidR="004A4333">
        <w:rPr>
          <w:rFonts w:ascii="Times New Roman" w:hAnsi="Times New Roman" w:cs="Times New Roman"/>
          <w:sz w:val="22"/>
          <w:szCs w:val="22"/>
        </w:rPr>
        <w:t xml:space="preserve">aanvullende </w:t>
      </w:r>
      <w:r w:rsidRPr="00925B3C" w:rsidR="007F4113">
        <w:rPr>
          <w:rFonts w:ascii="Times New Roman" w:hAnsi="Times New Roman" w:cs="Times New Roman"/>
          <w:sz w:val="22"/>
          <w:szCs w:val="22"/>
        </w:rPr>
        <w:t>reactie op het v</w:t>
      </w:r>
      <w:r w:rsidRPr="00925B3C" w:rsidR="00F218AF">
        <w:rPr>
          <w:rFonts w:ascii="Times New Roman" w:hAnsi="Times New Roman" w:cs="Times New Roman"/>
          <w:sz w:val="22"/>
          <w:szCs w:val="22"/>
        </w:rPr>
        <w:t xml:space="preserve">erzoek </w:t>
      </w:r>
      <w:r w:rsidRPr="00925B3C" w:rsidR="00B82C52">
        <w:rPr>
          <w:rFonts w:ascii="Times New Roman" w:hAnsi="Times New Roman" w:cs="Times New Roman"/>
          <w:sz w:val="22"/>
          <w:szCs w:val="22"/>
        </w:rPr>
        <w:t xml:space="preserve">van de </w:t>
      </w:r>
      <w:r w:rsidR="00440C19">
        <w:rPr>
          <w:rFonts w:ascii="Times New Roman" w:hAnsi="Times New Roman" w:cs="Times New Roman"/>
          <w:sz w:val="22"/>
          <w:szCs w:val="22"/>
        </w:rPr>
        <w:t xml:space="preserve">vaste Commissie voor Europese Zaken </w:t>
      </w:r>
      <w:r w:rsidRPr="00925B3C" w:rsidR="00B82C52">
        <w:rPr>
          <w:rFonts w:ascii="Times New Roman" w:hAnsi="Times New Roman" w:cs="Times New Roman"/>
          <w:sz w:val="22"/>
          <w:szCs w:val="22"/>
        </w:rPr>
        <w:t>over de rol van nationale parlementen in het besluitvormingsproces en een overzicht van het krachtenveld op het terrein van democratische legitimiteit en institutionele hervormingen</w:t>
      </w:r>
      <w:r w:rsidR="00A11BC8">
        <w:rPr>
          <w:rFonts w:ascii="Times New Roman" w:hAnsi="Times New Roman" w:cs="Times New Roman"/>
          <w:sz w:val="22"/>
          <w:szCs w:val="22"/>
        </w:rPr>
        <w:t xml:space="preserve"> zoals geformuleerd in</w:t>
      </w:r>
      <w:r w:rsidRPr="00925B3C" w:rsidR="00A11BC8">
        <w:rPr>
          <w:rFonts w:ascii="Times New Roman" w:hAnsi="Times New Roman" w:cs="Times New Roman"/>
          <w:sz w:val="22"/>
          <w:szCs w:val="22"/>
        </w:rPr>
        <w:t xml:space="preserve"> de brief van </w:t>
      </w:r>
      <w:r w:rsidR="00A11BC8">
        <w:rPr>
          <w:rFonts w:ascii="Times New Roman" w:hAnsi="Times New Roman" w:cs="Times New Roman"/>
          <w:sz w:val="22"/>
          <w:szCs w:val="22"/>
        </w:rPr>
        <w:t>9</w:t>
      </w:r>
      <w:r w:rsidRPr="00925B3C" w:rsidR="00A11BC8">
        <w:rPr>
          <w:rFonts w:ascii="Times New Roman" w:hAnsi="Times New Roman" w:cs="Times New Roman"/>
          <w:sz w:val="22"/>
          <w:szCs w:val="22"/>
        </w:rPr>
        <w:t xml:space="preserve"> </w:t>
      </w:r>
      <w:r w:rsidR="00A11BC8">
        <w:rPr>
          <w:rFonts w:ascii="Times New Roman" w:hAnsi="Times New Roman" w:cs="Times New Roman"/>
          <w:sz w:val="22"/>
          <w:szCs w:val="22"/>
        </w:rPr>
        <w:t>oktober 2013 (2013Z18442/2013D39980)</w:t>
      </w:r>
      <w:r w:rsidRPr="00925B3C" w:rsidR="00B82C52">
        <w:rPr>
          <w:rFonts w:ascii="Times New Roman" w:hAnsi="Times New Roman" w:cs="Times New Roman"/>
          <w:sz w:val="22"/>
          <w:szCs w:val="22"/>
        </w:rPr>
        <w:t xml:space="preserve">. </w:t>
      </w:r>
      <w:r w:rsidRPr="00925B3C" w:rsidR="00144FB9">
        <w:rPr>
          <w:rFonts w:ascii="Times New Roman" w:hAnsi="Times New Roman" w:cs="Times New Roman"/>
          <w:sz w:val="22"/>
          <w:szCs w:val="22"/>
        </w:rPr>
        <w:t xml:space="preserve">Ook een reactie op de motie Pechtold over de modernisering van </w:t>
      </w:r>
      <w:r w:rsidRPr="00515861" w:rsidR="00144FB9">
        <w:rPr>
          <w:rFonts w:ascii="Times New Roman" w:hAnsi="Times New Roman"/>
          <w:sz w:val="22"/>
        </w:rPr>
        <w:t>de Eurowob</w:t>
      </w:r>
      <w:r w:rsidR="00144FB9">
        <w:rPr>
          <w:rFonts w:ascii="Times New Roman" w:hAnsi="Times New Roman"/>
          <w:sz w:val="22"/>
        </w:rPr>
        <w:t xml:space="preserve"> (</w:t>
      </w:r>
      <w:r w:rsidR="002A3B77">
        <w:rPr>
          <w:rFonts w:ascii="Times New Roman" w:hAnsi="Times New Roman"/>
          <w:sz w:val="22"/>
        </w:rPr>
        <w:t xml:space="preserve">Kamerstuk </w:t>
      </w:r>
      <w:r w:rsidR="00144FB9">
        <w:rPr>
          <w:rFonts w:ascii="Times New Roman" w:hAnsi="Times New Roman"/>
          <w:sz w:val="22"/>
        </w:rPr>
        <w:t>33877 nr. 10)</w:t>
      </w:r>
      <w:r w:rsidRPr="00925B3C" w:rsidR="00144FB9">
        <w:rPr>
          <w:rFonts w:ascii="Times New Roman" w:hAnsi="Times New Roman" w:cs="Times New Roman"/>
          <w:sz w:val="22"/>
          <w:szCs w:val="22"/>
        </w:rPr>
        <w:t>, de motie Pechtold over de institutionele hervormingen binnen de verdragen</w:t>
      </w:r>
      <w:r w:rsidR="00144FB9">
        <w:rPr>
          <w:rFonts w:ascii="Times New Roman" w:hAnsi="Times New Roman" w:cs="Times New Roman"/>
          <w:sz w:val="22"/>
          <w:szCs w:val="22"/>
        </w:rPr>
        <w:t xml:space="preserve"> (</w:t>
      </w:r>
      <w:r w:rsidR="002A3B77">
        <w:rPr>
          <w:rFonts w:ascii="Times New Roman" w:hAnsi="Times New Roman" w:cs="Times New Roman"/>
          <w:sz w:val="22"/>
          <w:szCs w:val="22"/>
        </w:rPr>
        <w:t xml:space="preserve">Kamerstuk </w:t>
      </w:r>
      <w:r w:rsidR="00144FB9">
        <w:rPr>
          <w:rFonts w:ascii="Times New Roman" w:hAnsi="Times New Roman" w:cs="Times New Roman"/>
          <w:sz w:val="22"/>
          <w:szCs w:val="22"/>
        </w:rPr>
        <w:t>33877 nr. 9),</w:t>
      </w:r>
      <w:r w:rsidRPr="00925B3C" w:rsidR="00144FB9">
        <w:rPr>
          <w:rFonts w:ascii="Times New Roman" w:hAnsi="Times New Roman" w:cs="Times New Roman"/>
          <w:sz w:val="22"/>
          <w:szCs w:val="22"/>
        </w:rPr>
        <w:t xml:space="preserve"> de motie Omtzigt over de rode kaart</w:t>
      </w:r>
      <w:r w:rsidR="00144FB9">
        <w:rPr>
          <w:rFonts w:ascii="Times New Roman" w:hAnsi="Times New Roman" w:cs="Times New Roman"/>
          <w:sz w:val="22"/>
          <w:szCs w:val="22"/>
        </w:rPr>
        <w:t xml:space="preserve"> (</w:t>
      </w:r>
      <w:r w:rsidR="002A3B77">
        <w:rPr>
          <w:rFonts w:ascii="Times New Roman" w:hAnsi="Times New Roman" w:cs="Times New Roman"/>
          <w:sz w:val="22"/>
          <w:szCs w:val="22"/>
        </w:rPr>
        <w:t xml:space="preserve">Kamerstuk </w:t>
      </w:r>
      <w:r w:rsidR="00144FB9">
        <w:rPr>
          <w:rFonts w:ascii="Times New Roman" w:hAnsi="Times New Roman" w:cs="Times New Roman"/>
          <w:sz w:val="22"/>
          <w:szCs w:val="22"/>
        </w:rPr>
        <w:t>33877 nr.6)</w:t>
      </w:r>
      <w:r w:rsidRPr="00925B3C" w:rsidR="00144FB9">
        <w:rPr>
          <w:rFonts w:ascii="Times New Roman" w:hAnsi="Times New Roman" w:cs="Times New Roman"/>
          <w:sz w:val="22"/>
          <w:szCs w:val="22"/>
        </w:rPr>
        <w:t xml:space="preserve"> </w:t>
      </w:r>
      <w:r w:rsidR="00144FB9">
        <w:rPr>
          <w:rFonts w:ascii="Times New Roman" w:hAnsi="Times New Roman" w:cs="Times New Roman"/>
          <w:sz w:val="22"/>
          <w:szCs w:val="22"/>
        </w:rPr>
        <w:t>en de motie Schouten/Dijkgraaf over de zetel van het Europees Parlement (</w:t>
      </w:r>
      <w:r w:rsidR="002A3B77">
        <w:rPr>
          <w:rFonts w:ascii="Times New Roman" w:hAnsi="Times New Roman" w:cs="Times New Roman"/>
          <w:sz w:val="22"/>
          <w:szCs w:val="22"/>
        </w:rPr>
        <w:t xml:space="preserve">Kamerstuk </w:t>
      </w:r>
      <w:r w:rsidR="00144FB9">
        <w:rPr>
          <w:rFonts w:ascii="Times New Roman" w:hAnsi="Times New Roman" w:cs="Times New Roman"/>
          <w:sz w:val="22"/>
          <w:szCs w:val="22"/>
        </w:rPr>
        <w:t xml:space="preserve">21 501-20 nr. 860) </w:t>
      </w:r>
      <w:r w:rsidRPr="00925B3C" w:rsidR="00144FB9">
        <w:rPr>
          <w:rFonts w:ascii="Times New Roman" w:hAnsi="Times New Roman" w:cs="Times New Roman"/>
          <w:sz w:val="22"/>
          <w:szCs w:val="22"/>
        </w:rPr>
        <w:t xml:space="preserve">worden meegenomen. </w:t>
      </w:r>
      <w:r w:rsidR="00E24E03">
        <w:rPr>
          <w:rFonts w:ascii="Times New Roman" w:hAnsi="Times New Roman" w:cs="Times New Roman"/>
          <w:sz w:val="22"/>
          <w:szCs w:val="22"/>
        </w:rPr>
        <w:t>Daarnaast</w:t>
      </w:r>
      <w:r w:rsidRPr="00925B3C" w:rsidR="00144FB9">
        <w:rPr>
          <w:rFonts w:ascii="Times New Roman" w:hAnsi="Times New Roman" w:cs="Times New Roman"/>
          <w:sz w:val="22"/>
          <w:szCs w:val="22"/>
        </w:rPr>
        <w:t xml:space="preserve"> wordt </w:t>
      </w:r>
      <w:r w:rsidR="00144FB9">
        <w:rPr>
          <w:rFonts w:ascii="Times New Roman" w:hAnsi="Times New Roman" w:cs="Times New Roman"/>
          <w:sz w:val="22"/>
          <w:szCs w:val="22"/>
        </w:rPr>
        <w:t xml:space="preserve">conform </w:t>
      </w:r>
      <w:r w:rsidRPr="00925B3C" w:rsidR="00144FB9">
        <w:rPr>
          <w:rFonts w:ascii="Times New Roman" w:hAnsi="Times New Roman" w:cs="Times New Roman"/>
          <w:sz w:val="22"/>
          <w:szCs w:val="22"/>
        </w:rPr>
        <w:t>de toezegging</w:t>
      </w:r>
      <w:r w:rsidR="00A11BC8">
        <w:rPr>
          <w:rFonts w:ascii="Times New Roman" w:hAnsi="Times New Roman" w:cs="Times New Roman"/>
          <w:sz w:val="22"/>
          <w:szCs w:val="22"/>
        </w:rPr>
        <w:t>,</w:t>
      </w:r>
      <w:r w:rsidRPr="00925B3C" w:rsidR="00144FB9">
        <w:rPr>
          <w:rFonts w:ascii="Times New Roman" w:hAnsi="Times New Roman" w:cs="Times New Roman"/>
          <w:sz w:val="22"/>
          <w:szCs w:val="22"/>
        </w:rPr>
        <w:t xml:space="preserve"> gedaan tijdens het debat over de Staat van de Unie in de Tweede Kamer</w:t>
      </w:r>
      <w:r w:rsidR="00A11BC8">
        <w:rPr>
          <w:rFonts w:ascii="Times New Roman" w:hAnsi="Times New Roman" w:cs="Times New Roman"/>
          <w:sz w:val="22"/>
          <w:szCs w:val="22"/>
        </w:rPr>
        <w:t>,</w:t>
      </w:r>
      <w:r w:rsidRPr="00925B3C" w:rsidR="00144FB9">
        <w:rPr>
          <w:rFonts w:ascii="Times New Roman" w:hAnsi="Times New Roman" w:cs="Times New Roman"/>
          <w:sz w:val="22"/>
          <w:szCs w:val="22"/>
        </w:rPr>
        <w:t xml:space="preserve"> ook ingegaan op de verhouding tussen intergouvernementele en communautaire arrangementen op het terrein van economisch beleid (ingetrokken motie Pechtold</w:t>
      </w:r>
      <w:r w:rsidR="00144FB9">
        <w:rPr>
          <w:rFonts w:ascii="Times New Roman" w:hAnsi="Times New Roman" w:cs="Times New Roman"/>
          <w:sz w:val="22"/>
          <w:szCs w:val="22"/>
        </w:rPr>
        <w:t xml:space="preserve"> 33877 nr. 11</w:t>
      </w:r>
      <w:r w:rsidRPr="00925B3C" w:rsidR="00144FB9">
        <w:rPr>
          <w:rFonts w:ascii="Times New Roman" w:hAnsi="Times New Roman" w:cs="Times New Roman"/>
          <w:sz w:val="22"/>
          <w:szCs w:val="22"/>
        </w:rPr>
        <w:t xml:space="preserve">). </w:t>
      </w:r>
      <w:r w:rsidR="00E24E03">
        <w:rPr>
          <w:rFonts w:ascii="Times New Roman" w:hAnsi="Times New Roman" w:cs="Times New Roman"/>
          <w:sz w:val="22"/>
          <w:szCs w:val="22"/>
        </w:rPr>
        <w:t xml:space="preserve">Ten slotte is ook </w:t>
      </w:r>
      <w:r w:rsidRPr="00925B3C" w:rsidR="00E24E03">
        <w:rPr>
          <w:rFonts w:ascii="Times New Roman" w:hAnsi="Times New Roman" w:cs="Times New Roman"/>
          <w:sz w:val="22"/>
          <w:szCs w:val="22"/>
        </w:rPr>
        <w:t xml:space="preserve">het recente rapport van </w:t>
      </w:r>
      <w:r w:rsidR="00E24E03">
        <w:rPr>
          <w:rFonts w:ascii="Times New Roman" w:hAnsi="Times New Roman" w:cs="Times New Roman"/>
          <w:sz w:val="22"/>
          <w:szCs w:val="22"/>
        </w:rPr>
        <w:t xml:space="preserve">uw rapporteur democratische legitimiteit </w:t>
      </w:r>
      <w:r w:rsidRPr="00925B3C" w:rsidR="00E24E03">
        <w:rPr>
          <w:rFonts w:ascii="Times New Roman" w:hAnsi="Times New Roman" w:cs="Times New Roman"/>
          <w:sz w:val="22"/>
          <w:szCs w:val="22"/>
        </w:rPr>
        <w:t>‘Voorop in Europa; over de rol van de Tweede Kamer en nationale parlementen in de Europese Unie’ (hierna: rapport Leegte)</w:t>
      </w:r>
      <w:r w:rsidR="00E24E03">
        <w:rPr>
          <w:rFonts w:ascii="Times New Roman" w:hAnsi="Times New Roman" w:cs="Times New Roman"/>
          <w:sz w:val="22"/>
          <w:szCs w:val="22"/>
        </w:rPr>
        <w:t xml:space="preserve"> meegenomen in deze kabinetsappreciatie. </w:t>
      </w:r>
    </w:p>
    <w:p w:rsidRPr="00925B3C" w:rsidR="00F218AF" w:rsidP="0049253F" w:rsidRDefault="00F218AF" w14:paraId="652020B7" w14:textId="77777777">
      <w:pPr>
        <w:rPr>
          <w:rFonts w:ascii="Times New Roman" w:hAnsi="Times New Roman" w:cs="Times New Roman"/>
          <w:sz w:val="22"/>
          <w:szCs w:val="22"/>
        </w:rPr>
      </w:pPr>
    </w:p>
    <w:p w:rsidRPr="00925B3C" w:rsidR="007F194C" w:rsidP="0049253F" w:rsidRDefault="007F194C" w14:paraId="1C9403EB" w14:textId="77777777">
      <w:pPr>
        <w:pStyle w:val="Lijstalinea"/>
        <w:numPr>
          <w:ilvl w:val="0"/>
          <w:numId w:val="6"/>
        </w:numPr>
        <w:rPr>
          <w:rFonts w:ascii="Times New Roman" w:hAnsi="Times New Roman" w:cs="Times New Roman"/>
          <w:b/>
          <w:sz w:val="22"/>
          <w:szCs w:val="22"/>
        </w:rPr>
      </w:pPr>
      <w:r w:rsidRPr="00925B3C">
        <w:rPr>
          <w:rFonts w:ascii="Times New Roman" w:hAnsi="Times New Roman" w:cs="Times New Roman"/>
          <w:b/>
          <w:sz w:val="22"/>
          <w:szCs w:val="22"/>
        </w:rPr>
        <w:t xml:space="preserve">Aanbevelingen AIV </w:t>
      </w:r>
    </w:p>
    <w:p w:rsidRPr="00925B3C" w:rsidR="007F194C" w:rsidP="0049253F" w:rsidRDefault="007F194C" w14:paraId="75671660" w14:textId="77777777">
      <w:pPr>
        <w:pStyle w:val="Lijstalinea"/>
        <w:rPr>
          <w:rFonts w:ascii="Times New Roman" w:hAnsi="Times New Roman" w:cs="Times New Roman"/>
          <w:b/>
          <w:sz w:val="22"/>
          <w:szCs w:val="22"/>
        </w:rPr>
      </w:pPr>
    </w:p>
    <w:p w:rsidRPr="00925B3C" w:rsidR="00302191" w:rsidP="0049253F" w:rsidRDefault="00EC0268" w14:paraId="0ED25012" w14:textId="77777777">
      <w:pPr>
        <w:pStyle w:val="Lijstalinea"/>
        <w:numPr>
          <w:ilvl w:val="1"/>
          <w:numId w:val="16"/>
        </w:numPr>
        <w:rPr>
          <w:rFonts w:ascii="Times New Roman" w:hAnsi="Times New Roman" w:cs="Times New Roman"/>
          <w:b/>
          <w:i/>
          <w:sz w:val="22"/>
          <w:szCs w:val="22"/>
        </w:rPr>
      </w:pPr>
      <w:r w:rsidRPr="00925B3C">
        <w:rPr>
          <w:rFonts w:ascii="Times New Roman" w:hAnsi="Times New Roman" w:cs="Times New Roman"/>
          <w:b/>
          <w:i/>
          <w:sz w:val="22"/>
          <w:szCs w:val="22"/>
        </w:rPr>
        <w:t>Algemene opmerkingen</w:t>
      </w:r>
    </w:p>
    <w:p w:rsidRPr="00925B3C" w:rsidR="0033379C" w:rsidP="0049253F" w:rsidRDefault="0033379C" w14:paraId="35568B4C" w14:textId="77777777">
      <w:pPr>
        <w:pStyle w:val="Lijstalinea"/>
        <w:rPr>
          <w:rFonts w:ascii="Times New Roman" w:hAnsi="Times New Roman" w:cs="Times New Roman"/>
          <w:b/>
          <w:sz w:val="22"/>
          <w:szCs w:val="22"/>
        </w:rPr>
      </w:pPr>
    </w:p>
    <w:p w:rsidRPr="00925B3C" w:rsidR="00AE1005" w:rsidP="0049253F" w:rsidRDefault="002D2B54" w14:paraId="542AA465" w14:textId="62D61399">
      <w:pPr>
        <w:rPr>
          <w:rFonts w:ascii="Times New Roman" w:hAnsi="Times New Roman" w:cs="Times New Roman"/>
          <w:sz w:val="22"/>
          <w:szCs w:val="22"/>
        </w:rPr>
      </w:pPr>
      <w:r w:rsidRPr="00925B3C">
        <w:rPr>
          <w:rFonts w:ascii="Times New Roman" w:hAnsi="Times New Roman" w:cs="Times New Roman"/>
          <w:sz w:val="22"/>
          <w:szCs w:val="22"/>
        </w:rPr>
        <w:t xml:space="preserve">De AIV schetst in zijn rapport een </w:t>
      </w:r>
      <w:r w:rsidRPr="00925B3C" w:rsidR="00B0648B">
        <w:rPr>
          <w:rFonts w:ascii="Times New Roman" w:hAnsi="Times New Roman" w:cs="Times New Roman"/>
          <w:sz w:val="22"/>
          <w:szCs w:val="22"/>
        </w:rPr>
        <w:t>herkenbaar</w:t>
      </w:r>
      <w:r w:rsidRPr="00925B3C">
        <w:rPr>
          <w:rFonts w:ascii="Times New Roman" w:hAnsi="Times New Roman" w:cs="Times New Roman"/>
          <w:sz w:val="22"/>
          <w:szCs w:val="22"/>
        </w:rPr>
        <w:t xml:space="preserve"> beeld van het afnemend vertrouwen en draagvlak voor de EU, onderzoekt mogelijke oorzaken daarvoor en doet aanbevelingen voor de versterking van de </w:t>
      </w:r>
      <w:r w:rsidRPr="00925B3C" w:rsidR="00DD418F">
        <w:rPr>
          <w:rFonts w:ascii="Times New Roman" w:hAnsi="Times New Roman" w:cs="Times New Roman"/>
          <w:sz w:val="22"/>
          <w:szCs w:val="22"/>
        </w:rPr>
        <w:t xml:space="preserve">democratische </w:t>
      </w:r>
      <w:r w:rsidRPr="00925B3C">
        <w:rPr>
          <w:rFonts w:ascii="Times New Roman" w:hAnsi="Times New Roman" w:cs="Times New Roman"/>
          <w:sz w:val="22"/>
          <w:szCs w:val="22"/>
        </w:rPr>
        <w:t xml:space="preserve">legitimiteit van de EU. Daarbij benadrukt de AIV dat enkel institutionele maatregelen </w:t>
      </w:r>
      <w:r w:rsidR="00F77518">
        <w:rPr>
          <w:rFonts w:ascii="Times New Roman" w:hAnsi="Times New Roman" w:cs="Times New Roman"/>
          <w:sz w:val="22"/>
          <w:szCs w:val="22"/>
        </w:rPr>
        <w:t>on</w:t>
      </w:r>
      <w:r w:rsidRPr="00925B3C">
        <w:rPr>
          <w:rFonts w:ascii="Times New Roman" w:hAnsi="Times New Roman" w:cs="Times New Roman"/>
          <w:sz w:val="22"/>
          <w:szCs w:val="22"/>
        </w:rPr>
        <w:t xml:space="preserve">voldoende oplossing voor de geconstateerde problemen </w:t>
      </w:r>
      <w:r w:rsidRPr="00E10B51" w:rsidR="00A11BC8">
        <w:rPr>
          <w:rFonts w:ascii="Times New Roman" w:hAnsi="Times New Roman" w:cs="Times New Roman"/>
          <w:sz w:val="22"/>
          <w:szCs w:val="22"/>
        </w:rPr>
        <w:t>bied</w:t>
      </w:r>
      <w:r w:rsidRPr="00E10B51" w:rsidR="00E10B51">
        <w:rPr>
          <w:rFonts w:ascii="Times New Roman" w:hAnsi="Times New Roman" w:cs="Times New Roman"/>
          <w:sz w:val="22"/>
          <w:szCs w:val="22"/>
        </w:rPr>
        <w:t>en</w:t>
      </w:r>
      <w:r w:rsidR="00B20D40">
        <w:rPr>
          <w:rFonts w:ascii="Times New Roman" w:hAnsi="Times New Roman" w:cs="Times New Roman"/>
          <w:sz w:val="22"/>
          <w:szCs w:val="22"/>
        </w:rPr>
        <w:t>. De AIV</w:t>
      </w:r>
      <w:r w:rsidRPr="00925B3C">
        <w:rPr>
          <w:rFonts w:ascii="Times New Roman" w:hAnsi="Times New Roman" w:cs="Times New Roman"/>
          <w:sz w:val="22"/>
          <w:szCs w:val="22"/>
        </w:rPr>
        <w:t xml:space="preserve"> staat een m</w:t>
      </w:r>
      <w:r w:rsidRPr="00925B3C" w:rsidR="007A5E73">
        <w:rPr>
          <w:rFonts w:ascii="Times New Roman" w:hAnsi="Times New Roman" w:cs="Times New Roman"/>
          <w:sz w:val="22"/>
          <w:szCs w:val="22"/>
        </w:rPr>
        <w:t>eersporenbeleid</w:t>
      </w:r>
      <w:r w:rsidRPr="00925B3C">
        <w:rPr>
          <w:rFonts w:ascii="Times New Roman" w:hAnsi="Times New Roman" w:cs="Times New Roman"/>
          <w:sz w:val="22"/>
          <w:szCs w:val="22"/>
        </w:rPr>
        <w:t xml:space="preserve"> voor</w:t>
      </w:r>
      <w:r w:rsidRPr="00925B3C" w:rsidR="00AE1005">
        <w:rPr>
          <w:rFonts w:ascii="Times New Roman" w:hAnsi="Times New Roman" w:cs="Times New Roman"/>
          <w:sz w:val="22"/>
          <w:szCs w:val="22"/>
        </w:rPr>
        <w:t xml:space="preserve">, </w:t>
      </w:r>
      <w:r w:rsidRPr="00925B3C" w:rsidR="00480FE5">
        <w:rPr>
          <w:rFonts w:ascii="Times New Roman" w:hAnsi="Times New Roman" w:cs="Times New Roman"/>
          <w:sz w:val="22"/>
          <w:szCs w:val="22"/>
        </w:rPr>
        <w:t>zowel op nationaal niveau als</w:t>
      </w:r>
      <w:r w:rsidRPr="00925B3C" w:rsidR="00AE1005">
        <w:rPr>
          <w:rFonts w:ascii="Times New Roman" w:hAnsi="Times New Roman" w:cs="Times New Roman"/>
          <w:sz w:val="22"/>
          <w:szCs w:val="22"/>
        </w:rPr>
        <w:t xml:space="preserve"> op EU-niveau, </w:t>
      </w:r>
      <w:r w:rsidRPr="00925B3C" w:rsidR="0020066B">
        <w:rPr>
          <w:rFonts w:ascii="Times New Roman" w:hAnsi="Times New Roman" w:cs="Times New Roman"/>
          <w:sz w:val="22"/>
          <w:szCs w:val="22"/>
        </w:rPr>
        <w:t xml:space="preserve">variërend </w:t>
      </w:r>
      <w:r w:rsidRPr="00925B3C" w:rsidR="00AE1005">
        <w:rPr>
          <w:rFonts w:ascii="Times New Roman" w:hAnsi="Times New Roman" w:cs="Times New Roman"/>
          <w:sz w:val="22"/>
          <w:szCs w:val="22"/>
        </w:rPr>
        <w:t xml:space="preserve">van het optimaliseren van </w:t>
      </w:r>
      <w:r w:rsidRPr="00925B3C" w:rsidR="00BA64FA">
        <w:rPr>
          <w:rFonts w:ascii="Times New Roman" w:hAnsi="Times New Roman" w:cs="Times New Roman"/>
          <w:sz w:val="22"/>
          <w:szCs w:val="22"/>
        </w:rPr>
        <w:t>bestaande</w:t>
      </w:r>
      <w:r w:rsidRPr="00925B3C" w:rsidR="00AE1005">
        <w:rPr>
          <w:rFonts w:ascii="Times New Roman" w:hAnsi="Times New Roman" w:cs="Times New Roman"/>
          <w:sz w:val="22"/>
          <w:szCs w:val="22"/>
        </w:rPr>
        <w:t xml:space="preserve"> instrumenten, het doen van voorstellen voor nieuwe instrumenten, tot politisering en ver</w:t>
      </w:r>
      <w:r w:rsidRPr="00925B3C" w:rsidR="00BA64FA">
        <w:rPr>
          <w:rFonts w:ascii="Times New Roman" w:hAnsi="Times New Roman" w:cs="Times New Roman"/>
          <w:sz w:val="22"/>
          <w:szCs w:val="22"/>
        </w:rPr>
        <w:t>sterking van burgerparticipatie</w:t>
      </w:r>
      <w:r w:rsidRPr="00925B3C" w:rsidR="00AE1005">
        <w:rPr>
          <w:rFonts w:ascii="Times New Roman" w:hAnsi="Times New Roman" w:cs="Times New Roman"/>
          <w:sz w:val="22"/>
          <w:szCs w:val="22"/>
        </w:rPr>
        <w:t xml:space="preserve">. </w:t>
      </w:r>
      <w:r w:rsidR="0035031D">
        <w:rPr>
          <w:rFonts w:ascii="Times New Roman" w:hAnsi="Times New Roman" w:cs="Times New Roman"/>
          <w:sz w:val="22"/>
          <w:szCs w:val="22"/>
        </w:rPr>
        <w:t xml:space="preserve">De AIV doet in </w:t>
      </w:r>
      <w:r w:rsidRPr="00925B3C" w:rsidR="0035031D">
        <w:rPr>
          <w:rFonts w:ascii="Times New Roman" w:hAnsi="Times New Roman" w:cs="Times New Roman"/>
          <w:sz w:val="22"/>
          <w:szCs w:val="22"/>
        </w:rPr>
        <w:t>het bijzonder ook</w:t>
      </w:r>
      <w:r w:rsidR="0035031D">
        <w:rPr>
          <w:rFonts w:ascii="Times New Roman" w:hAnsi="Times New Roman" w:cs="Times New Roman"/>
          <w:sz w:val="22"/>
          <w:szCs w:val="22"/>
        </w:rPr>
        <w:t xml:space="preserve"> aanbevelingen</w:t>
      </w:r>
      <w:r w:rsidRPr="00925B3C" w:rsidR="0035031D">
        <w:rPr>
          <w:rFonts w:ascii="Times New Roman" w:hAnsi="Times New Roman" w:cs="Times New Roman"/>
          <w:sz w:val="22"/>
          <w:szCs w:val="22"/>
        </w:rPr>
        <w:t xml:space="preserve"> op het terrein van het economische en monetair beleid</w:t>
      </w:r>
      <w:r w:rsidR="0035031D">
        <w:rPr>
          <w:rFonts w:ascii="Times New Roman" w:hAnsi="Times New Roman" w:cs="Times New Roman"/>
          <w:sz w:val="22"/>
          <w:szCs w:val="22"/>
        </w:rPr>
        <w:t xml:space="preserve"> omdat de AIV op dit terrein specifieke knelpunten identificeert.</w:t>
      </w:r>
    </w:p>
    <w:p w:rsidRPr="00925B3C" w:rsidR="007A5E73" w:rsidP="0049253F" w:rsidRDefault="007A5E73" w14:paraId="02F1A2F8" w14:textId="77777777">
      <w:pPr>
        <w:rPr>
          <w:rFonts w:ascii="Times New Roman" w:hAnsi="Times New Roman" w:cs="Times New Roman"/>
          <w:sz w:val="22"/>
          <w:szCs w:val="22"/>
        </w:rPr>
      </w:pPr>
    </w:p>
    <w:p w:rsidRPr="00925B3C" w:rsidR="00ED0DE2" w:rsidP="0049253F" w:rsidRDefault="0020066B" w14:paraId="0B05A344" w14:textId="77777777">
      <w:pPr>
        <w:rPr>
          <w:rFonts w:ascii="Times New Roman" w:hAnsi="Times New Roman" w:cs="Times New Roman"/>
          <w:sz w:val="22"/>
          <w:szCs w:val="22"/>
        </w:rPr>
      </w:pPr>
      <w:r w:rsidRPr="00925B3C">
        <w:rPr>
          <w:rFonts w:ascii="Times New Roman" w:hAnsi="Times New Roman" w:cs="Times New Roman"/>
          <w:sz w:val="22"/>
          <w:szCs w:val="22"/>
        </w:rPr>
        <w:t>De</w:t>
      </w:r>
      <w:r w:rsidRPr="00925B3C" w:rsidR="00BA64FA">
        <w:rPr>
          <w:rFonts w:ascii="Times New Roman" w:hAnsi="Times New Roman" w:cs="Times New Roman"/>
          <w:sz w:val="22"/>
          <w:szCs w:val="22"/>
        </w:rPr>
        <w:t xml:space="preserve"> bevindingen leveren een </w:t>
      </w:r>
      <w:r w:rsidR="004B0189">
        <w:rPr>
          <w:rFonts w:ascii="Times New Roman" w:hAnsi="Times New Roman" w:cs="Times New Roman"/>
          <w:sz w:val="22"/>
          <w:szCs w:val="22"/>
        </w:rPr>
        <w:t>interessante</w:t>
      </w:r>
      <w:r w:rsidRPr="00925B3C" w:rsidR="00BA64FA">
        <w:rPr>
          <w:rFonts w:ascii="Times New Roman" w:hAnsi="Times New Roman" w:cs="Times New Roman"/>
          <w:sz w:val="22"/>
          <w:szCs w:val="22"/>
        </w:rPr>
        <w:t xml:space="preserve"> bijdrage aan </w:t>
      </w:r>
      <w:r w:rsidR="00A11BC8">
        <w:rPr>
          <w:rFonts w:ascii="Times New Roman" w:hAnsi="Times New Roman" w:cs="Times New Roman"/>
          <w:sz w:val="22"/>
          <w:szCs w:val="22"/>
        </w:rPr>
        <w:t>de gedachtevorming</w:t>
      </w:r>
      <w:r w:rsidRPr="00925B3C" w:rsidR="00BA64FA">
        <w:rPr>
          <w:rFonts w:ascii="Times New Roman" w:hAnsi="Times New Roman" w:cs="Times New Roman"/>
          <w:sz w:val="22"/>
          <w:szCs w:val="22"/>
        </w:rPr>
        <w:t xml:space="preserve"> van het kabinet over hoe de EU dichter bij de mensen kan worden gebracht en het draagvlak voor de EU kan worden vergroot. Het kabinet is het met de AIV eens dat er geen simpele remedie voor de geconstateerde problemen is</w:t>
      </w:r>
      <w:r w:rsidR="00E24E03">
        <w:rPr>
          <w:rFonts w:ascii="Times New Roman" w:hAnsi="Times New Roman" w:cs="Times New Roman"/>
          <w:sz w:val="22"/>
          <w:szCs w:val="22"/>
        </w:rPr>
        <w:t xml:space="preserve"> en dat</w:t>
      </w:r>
      <w:r w:rsidRPr="00925B3C" w:rsidR="00BA64FA">
        <w:rPr>
          <w:rFonts w:ascii="Times New Roman" w:hAnsi="Times New Roman" w:cs="Times New Roman"/>
          <w:sz w:val="22"/>
          <w:szCs w:val="22"/>
        </w:rPr>
        <w:t xml:space="preserve"> een breed scala </w:t>
      </w:r>
      <w:r w:rsidRPr="00925B3C" w:rsidR="00506AB7">
        <w:rPr>
          <w:rFonts w:ascii="Times New Roman" w:hAnsi="Times New Roman" w:cs="Times New Roman"/>
          <w:sz w:val="22"/>
          <w:szCs w:val="22"/>
        </w:rPr>
        <w:t>aan maatregelen nodig is</w:t>
      </w:r>
      <w:r w:rsidRPr="00925B3C" w:rsidR="00480FE5">
        <w:rPr>
          <w:rFonts w:ascii="Times New Roman" w:hAnsi="Times New Roman" w:cs="Times New Roman"/>
          <w:sz w:val="22"/>
          <w:szCs w:val="22"/>
        </w:rPr>
        <w:t xml:space="preserve"> </w:t>
      </w:r>
      <w:r w:rsidR="00A11BC8">
        <w:rPr>
          <w:rFonts w:ascii="Times New Roman" w:hAnsi="Times New Roman" w:cs="Times New Roman"/>
          <w:sz w:val="22"/>
          <w:szCs w:val="22"/>
        </w:rPr>
        <w:t xml:space="preserve">om </w:t>
      </w:r>
      <w:r w:rsidRPr="00925B3C" w:rsidR="00506AB7">
        <w:rPr>
          <w:rFonts w:ascii="Times New Roman" w:hAnsi="Times New Roman" w:cs="Times New Roman"/>
          <w:sz w:val="22"/>
          <w:szCs w:val="22"/>
        </w:rPr>
        <w:t xml:space="preserve">de EU te laten ontwikkelen tot een democratisch breed gedragen bestuurslaag. </w:t>
      </w:r>
      <w:r w:rsidRPr="00925B3C" w:rsidR="00ED0DE2">
        <w:rPr>
          <w:rFonts w:ascii="Times New Roman" w:hAnsi="Times New Roman" w:cs="Times New Roman"/>
          <w:sz w:val="22"/>
          <w:szCs w:val="22"/>
        </w:rPr>
        <w:t>De opkomst bi</w:t>
      </w:r>
      <w:r w:rsidR="0035031D">
        <w:rPr>
          <w:rFonts w:ascii="Times New Roman" w:hAnsi="Times New Roman" w:cs="Times New Roman"/>
          <w:sz w:val="22"/>
          <w:szCs w:val="22"/>
        </w:rPr>
        <w:t>j de recente EP-verkiezingen toont</w:t>
      </w:r>
      <w:r w:rsidRPr="00925B3C" w:rsidR="00ED0DE2">
        <w:rPr>
          <w:rFonts w:ascii="Times New Roman" w:hAnsi="Times New Roman" w:cs="Times New Roman"/>
          <w:sz w:val="22"/>
          <w:szCs w:val="22"/>
        </w:rPr>
        <w:t xml:space="preserve"> temeer het belang hiervan aan. </w:t>
      </w:r>
      <w:r w:rsidRPr="00925B3C" w:rsidR="00480FE5">
        <w:rPr>
          <w:rFonts w:ascii="Times New Roman" w:hAnsi="Times New Roman" w:cs="Times New Roman"/>
          <w:sz w:val="22"/>
          <w:szCs w:val="22"/>
        </w:rPr>
        <w:t xml:space="preserve">Het kabinet ziet uit naar het vervolg van de </w:t>
      </w:r>
      <w:r w:rsidRPr="00925B3C">
        <w:rPr>
          <w:rFonts w:ascii="Times New Roman" w:hAnsi="Times New Roman" w:cs="Times New Roman"/>
          <w:sz w:val="22"/>
          <w:szCs w:val="22"/>
        </w:rPr>
        <w:t xml:space="preserve">gedachtewisseling </w:t>
      </w:r>
      <w:r w:rsidRPr="00925B3C" w:rsidR="00ED0DE2">
        <w:rPr>
          <w:rFonts w:ascii="Times New Roman" w:hAnsi="Times New Roman" w:cs="Times New Roman"/>
          <w:sz w:val="22"/>
          <w:szCs w:val="22"/>
        </w:rPr>
        <w:t xml:space="preserve">met uw Kamer, lidstaten en andere </w:t>
      </w:r>
      <w:r w:rsidRPr="00925B3C" w:rsidR="00710AEB">
        <w:rPr>
          <w:rFonts w:ascii="Times New Roman" w:hAnsi="Times New Roman" w:cs="Times New Roman"/>
          <w:sz w:val="22"/>
          <w:szCs w:val="22"/>
        </w:rPr>
        <w:t>belanghebbenden</w:t>
      </w:r>
      <w:r w:rsidRPr="00925B3C" w:rsidR="00ED0DE2">
        <w:rPr>
          <w:rFonts w:ascii="Times New Roman" w:hAnsi="Times New Roman" w:cs="Times New Roman"/>
          <w:sz w:val="22"/>
          <w:szCs w:val="22"/>
        </w:rPr>
        <w:t xml:space="preserve"> </w:t>
      </w:r>
      <w:r w:rsidRPr="00925B3C" w:rsidR="00480FE5">
        <w:rPr>
          <w:rFonts w:ascii="Times New Roman" w:hAnsi="Times New Roman" w:cs="Times New Roman"/>
          <w:sz w:val="22"/>
          <w:szCs w:val="22"/>
        </w:rPr>
        <w:lastRenderedPageBreak/>
        <w:t xml:space="preserve">hierover en is verheugd over de </w:t>
      </w:r>
      <w:r w:rsidRPr="00925B3C">
        <w:rPr>
          <w:rFonts w:ascii="Times New Roman" w:hAnsi="Times New Roman" w:cs="Times New Roman"/>
          <w:sz w:val="22"/>
          <w:szCs w:val="22"/>
        </w:rPr>
        <w:t xml:space="preserve">proactieve </w:t>
      </w:r>
      <w:r w:rsidRPr="00925B3C" w:rsidR="00480FE5">
        <w:rPr>
          <w:rFonts w:ascii="Times New Roman" w:hAnsi="Times New Roman" w:cs="Times New Roman"/>
          <w:sz w:val="22"/>
          <w:szCs w:val="22"/>
        </w:rPr>
        <w:t xml:space="preserve">houding van uw Kamer </w:t>
      </w:r>
      <w:r w:rsidR="00CB289A">
        <w:rPr>
          <w:rFonts w:ascii="Times New Roman" w:hAnsi="Times New Roman" w:cs="Times New Roman"/>
          <w:sz w:val="22"/>
          <w:szCs w:val="22"/>
        </w:rPr>
        <w:t>op dit terrein</w:t>
      </w:r>
      <w:r w:rsidRPr="00925B3C" w:rsidR="00ED0DE2">
        <w:rPr>
          <w:rFonts w:ascii="Times New Roman" w:hAnsi="Times New Roman" w:cs="Times New Roman"/>
          <w:sz w:val="22"/>
          <w:szCs w:val="22"/>
        </w:rPr>
        <w:t xml:space="preserve">, zoals ook neergelegd in </w:t>
      </w:r>
      <w:r w:rsidRPr="00925B3C" w:rsidR="00480FE5">
        <w:rPr>
          <w:rFonts w:ascii="Times New Roman" w:hAnsi="Times New Roman" w:cs="Times New Roman"/>
          <w:sz w:val="22"/>
          <w:szCs w:val="22"/>
        </w:rPr>
        <w:t xml:space="preserve">het </w:t>
      </w:r>
      <w:r w:rsidRPr="00925B3C" w:rsidR="00A22138">
        <w:rPr>
          <w:rFonts w:ascii="Times New Roman" w:hAnsi="Times New Roman" w:cs="Times New Roman"/>
          <w:sz w:val="22"/>
          <w:szCs w:val="22"/>
        </w:rPr>
        <w:t>rapport Leegte</w:t>
      </w:r>
      <w:r w:rsidRPr="00925B3C" w:rsidR="00480FE5">
        <w:rPr>
          <w:rFonts w:ascii="Times New Roman" w:hAnsi="Times New Roman" w:cs="Times New Roman"/>
          <w:sz w:val="22"/>
          <w:szCs w:val="22"/>
        </w:rPr>
        <w:t xml:space="preserve">. </w:t>
      </w:r>
    </w:p>
    <w:p w:rsidRPr="00925B3C" w:rsidR="00ED0DE2" w:rsidP="0049253F" w:rsidRDefault="00ED0DE2" w14:paraId="725530C2" w14:textId="77777777">
      <w:pPr>
        <w:rPr>
          <w:rFonts w:ascii="Times New Roman" w:hAnsi="Times New Roman" w:cs="Times New Roman"/>
          <w:sz w:val="22"/>
          <w:szCs w:val="22"/>
        </w:rPr>
      </w:pPr>
    </w:p>
    <w:p w:rsidRPr="00925B3C" w:rsidR="00EC0268" w:rsidP="00B7270A" w:rsidRDefault="00BA64FA" w14:paraId="493C7721" w14:textId="1BB66068">
      <w:pPr>
        <w:pStyle w:val="Default"/>
        <w:rPr>
          <w:rFonts w:ascii="Times New Roman" w:hAnsi="Times New Roman" w:cs="Times New Roman"/>
          <w:sz w:val="22"/>
          <w:szCs w:val="22"/>
        </w:rPr>
      </w:pPr>
      <w:r w:rsidRPr="00925B3C">
        <w:rPr>
          <w:rFonts w:ascii="Times New Roman" w:hAnsi="Times New Roman" w:cs="Times New Roman"/>
          <w:sz w:val="22"/>
          <w:szCs w:val="22"/>
        </w:rPr>
        <w:t xml:space="preserve">Hieronder zal een reactie worden gegeven op de aanbevelingen voor zover deze aan het kabinet zijn gericht en voor zover deze nog niet zijn neergelegd in de Staat van de Unie van 2013 </w:t>
      </w:r>
      <w:r w:rsidRPr="002A3B77">
        <w:rPr>
          <w:rFonts w:ascii="Times New Roman" w:hAnsi="Times New Roman" w:cs="Times New Roman"/>
          <w:sz w:val="22"/>
          <w:szCs w:val="22"/>
        </w:rPr>
        <w:t xml:space="preserve">en 2014 en </w:t>
      </w:r>
      <w:r w:rsidRPr="002A3B77" w:rsidR="00710AEB">
        <w:rPr>
          <w:rFonts w:ascii="Times New Roman" w:hAnsi="Times New Roman" w:cs="Times New Roman"/>
          <w:sz w:val="22"/>
          <w:szCs w:val="22"/>
        </w:rPr>
        <w:t xml:space="preserve">de </w:t>
      </w:r>
      <w:r w:rsidRPr="002A3B77">
        <w:rPr>
          <w:rFonts w:ascii="Times New Roman" w:hAnsi="Times New Roman" w:cs="Times New Roman"/>
          <w:sz w:val="22"/>
          <w:szCs w:val="22"/>
        </w:rPr>
        <w:t>kabinetsreactie op het AIV advies over de relaties met</w:t>
      </w:r>
      <w:r w:rsidRPr="002A3B77" w:rsidR="00710AEB">
        <w:rPr>
          <w:rFonts w:ascii="Times New Roman" w:hAnsi="Times New Roman" w:cs="Times New Roman"/>
          <w:sz w:val="22"/>
          <w:szCs w:val="22"/>
        </w:rPr>
        <w:t xml:space="preserve"> het</w:t>
      </w:r>
      <w:r w:rsidRPr="002A3B77">
        <w:rPr>
          <w:rFonts w:ascii="Times New Roman" w:hAnsi="Times New Roman" w:cs="Times New Roman"/>
          <w:sz w:val="22"/>
          <w:szCs w:val="22"/>
        </w:rPr>
        <w:t xml:space="preserve"> Europees Parlement</w:t>
      </w:r>
      <w:r w:rsidRPr="002A3B77" w:rsidR="00440C19">
        <w:rPr>
          <w:rFonts w:ascii="Times New Roman" w:hAnsi="Times New Roman" w:cs="Times New Roman"/>
          <w:sz w:val="22"/>
          <w:szCs w:val="22"/>
        </w:rPr>
        <w:t xml:space="preserve"> (</w:t>
      </w:r>
      <w:r w:rsidRPr="002A3B77" w:rsidR="002A3B77">
        <w:rPr>
          <w:rFonts w:ascii="Times New Roman" w:hAnsi="Times New Roman" w:cs="Times New Roman"/>
          <w:bCs/>
          <w:sz w:val="22"/>
          <w:szCs w:val="22"/>
        </w:rPr>
        <w:t>Kamerstuk 33 400 V, nr. 124)</w:t>
      </w:r>
      <w:r w:rsidRPr="002A3B77">
        <w:rPr>
          <w:rFonts w:ascii="Times New Roman" w:hAnsi="Times New Roman" w:cs="Times New Roman"/>
          <w:sz w:val="22"/>
          <w:szCs w:val="22"/>
        </w:rPr>
        <w:t>.</w:t>
      </w:r>
      <w:r w:rsidRPr="00925B3C">
        <w:rPr>
          <w:rFonts w:ascii="Times New Roman" w:hAnsi="Times New Roman" w:cs="Times New Roman"/>
          <w:sz w:val="22"/>
          <w:szCs w:val="22"/>
        </w:rPr>
        <w:t xml:space="preserve"> </w:t>
      </w:r>
    </w:p>
    <w:p w:rsidRPr="00925B3C" w:rsidR="00346A6C" w:rsidP="0049253F" w:rsidRDefault="00346A6C" w14:paraId="2FB316DD" w14:textId="77777777">
      <w:pPr>
        <w:rPr>
          <w:rFonts w:ascii="Times New Roman" w:hAnsi="Times New Roman" w:cs="Times New Roman"/>
          <w:b/>
          <w:i/>
          <w:sz w:val="22"/>
          <w:szCs w:val="22"/>
        </w:rPr>
      </w:pPr>
    </w:p>
    <w:p w:rsidRPr="00925B3C" w:rsidR="00EC0268" w:rsidP="0049253F" w:rsidRDefault="00A21654" w14:paraId="0480E904" w14:textId="77777777">
      <w:pPr>
        <w:pStyle w:val="Lijstalinea"/>
        <w:numPr>
          <w:ilvl w:val="1"/>
          <w:numId w:val="16"/>
        </w:numPr>
        <w:rPr>
          <w:rFonts w:ascii="Times New Roman" w:hAnsi="Times New Roman" w:cs="Times New Roman"/>
          <w:b/>
          <w:i/>
          <w:sz w:val="22"/>
          <w:szCs w:val="22"/>
        </w:rPr>
      </w:pPr>
      <w:r w:rsidRPr="00925B3C">
        <w:rPr>
          <w:rFonts w:ascii="Times New Roman" w:hAnsi="Times New Roman" w:cs="Times New Roman"/>
          <w:b/>
          <w:i/>
          <w:sz w:val="22"/>
          <w:szCs w:val="22"/>
        </w:rPr>
        <w:t>Democratische legitimiteit</w:t>
      </w:r>
    </w:p>
    <w:p w:rsidRPr="00925B3C" w:rsidR="00870E42" w:rsidP="0049253F" w:rsidRDefault="00870E42" w14:paraId="6077F1ED" w14:textId="77777777">
      <w:pPr>
        <w:rPr>
          <w:rFonts w:ascii="Times New Roman" w:hAnsi="Times New Roman" w:cs="Times New Roman"/>
          <w:b/>
          <w:i/>
          <w:sz w:val="22"/>
          <w:szCs w:val="22"/>
        </w:rPr>
      </w:pPr>
    </w:p>
    <w:p w:rsidRPr="00925B3C" w:rsidR="009D66CA" w:rsidP="0049253F" w:rsidRDefault="00870E42" w14:paraId="74890921" w14:textId="77777777">
      <w:pPr>
        <w:pStyle w:val="Lijstalinea"/>
        <w:numPr>
          <w:ilvl w:val="0"/>
          <w:numId w:val="14"/>
        </w:numPr>
        <w:rPr>
          <w:rFonts w:ascii="Times New Roman" w:hAnsi="Times New Roman" w:cs="Times New Roman"/>
          <w:b/>
          <w:sz w:val="22"/>
          <w:szCs w:val="22"/>
        </w:rPr>
      </w:pPr>
      <w:r w:rsidRPr="00925B3C">
        <w:rPr>
          <w:rFonts w:ascii="Times New Roman" w:hAnsi="Times New Roman" w:cs="Times New Roman"/>
          <w:b/>
          <w:sz w:val="22"/>
          <w:szCs w:val="22"/>
        </w:rPr>
        <w:t>V</w:t>
      </w:r>
      <w:r w:rsidRPr="00925B3C" w:rsidR="009D66CA">
        <w:rPr>
          <w:rFonts w:ascii="Times New Roman" w:hAnsi="Times New Roman" w:cs="Times New Roman"/>
          <w:b/>
          <w:sz w:val="22"/>
          <w:szCs w:val="22"/>
        </w:rPr>
        <w:t xml:space="preserve">ersterking bestaande instrumenten </w:t>
      </w:r>
    </w:p>
    <w:p w:rsidRPr="00925B3C" w:rsidR="001F42E2" w:rsidP="0049253F" w:rsidRDefault="001F42E2" w14:paraId="483036BE" w14:textId="77777777">
      <w:pPr>
        <w:pStyle w:val="Lijstalinea"/>
        <w:rPr>
          <w:rFonts w:ascii="Times New Roman" w:hAnsi="Times New Roman" w:cs="Times New Roman"/>
          <w:b/>
          <w:sz w:val="22"/>
          <w:szCs w:val="22"/>
        </w:rPr>
      </w:pPr>
    </w:p>
    <w:p w:rsidRPr="00925B3C" w:rsidR="009453EE" w:rsidP="0049253F" w:rsidRDefault="00544981" w14:paraId="7CB0E552" w14:textId="77777777">
      <w:pPr>
        <w:pStyle w:val="Lijstalinea"/>
        <w:numPr>
          <w:ilvl w:val="0"/>
          <w:numId w:val="3"/>
        </w:numPr>
        <w:rPr>
          <w:rFonts w:ascii="Times New Roman" w:hAnsi="Times New Roman" w:cs="Times New Roman"/>
          <w:i/>
          <w:sz w:val="22"/>
          <w:szCs w:val="22"/>
        </w:rPr>
      </w:pPr>
      <w:r w:rsidRPr="00925B3C">
        <w:rPr>
          <w:rFonts w:ascii="Times New Roman" w:hAnsi="Times New Roman" w:cs="Times New Roman"/>
          <w:i/>
          <w:sz w:val="22"/>
          <w:szCs w:val="22"/>
        </w:rPr>
        <w:t>Verste</w:t>
      </w:r>
      <w:r w:rsidRPr="00925B3C" w:rsidR="00402C77">
        <w:rPr>
          <w:rFonts w:ascii="Times New Roman" w:hAnsi="Times New Roman" w:cs="Times New Roman"/>
          <w:i/>
          <w:sz w:val="22"/>
          <w:szCs w:val="22"/>
        </w:rPr>
        <w:t>rking rol nationale parlementen</w:t>
      </w:r>
      <w:r w:rsidRPr="00925B3C" w:rsidR="00FC1CDE">
        <w:rPr>
          <w:rFonts w:ascii="Times New Roman" w:hAnsi="Times New Roman" w:cs="Times New Roman"/>
          <w:i/>
          <w:sz w:val="22"/>
          <w:szCs w:val="22"/>
        </w:rPr>
        <w:t xml:space="preserve"> </w:t>
      </w:r>
    </w:p>
    <w:p w:rsidRPr="00925B3C" w:rsidR="00522566" w:rsidP="0049253F" w:rsidRDefault="00522566" w14:paraId="295A73E0" w14:textId="77777777">
      <w:pPr>
        <w:pStyle w:val="Lijstalinea"/>
        <w:rPr>
          <w:rFonts w:ascii="Times New Roman" w:hAnsi="Times New Roman" w:cs="Times New Roman"/>
          <w:i/>
          <w:sz w:val="22"/>
          <w:szCs w:val="22"/>
        </w:rPr>
      </w:pPr>
    </w:p>
    <w:p w:rsidRPr="00925B3C" w:rsidR="00700D8C" w:rsidP="0049253F" w:rsidRDefault="003164C6" w14:paraId="0E1C203C" w14:textId="1196DF3A">
      <w:pPr>
        <w:autoSpaceDE w:val="0"/>
        <w:autoSpaceDN w:val="0"/>
        <w:adjustRightInd w:val="0"/>
        <w:rPr>
          <w:rFonts w:ascii="Times New Roman" w:hAnsi="Times New Roman" w:cs="Times New Roman"/>
          <w:sz w:val="22"/>
          <w:szCs w:val="22"/>
        </w:rPr>
      </w:pPr>
      <w:r w:rsidRPr="00925B3C">
        <w:rPr>
          <w:rFonts w:ascii="Times New Roman" w:hAnsi="Times New Roman" w:cs="Times New Roman"/>
          <w:sz w:val="22"/>
          <w:szCs w:val="22"/>
        </w:rPr>
        <w:t>De AIV is van mening dat de controlerende rol van nationale parlementen moet worden versterkt, bijvoorbeeld middels de versterking van de gele- en oranje kaart procedure. Tegelijkertijd</w:t>
      </w:r>
      <w:r w:rsidRPr="00925B3C" w:rsidR="002B3C41">
        <w:rPr>
          <w:rFonts w:ascii="Times New Roman" w:hAnsi="Times New Roman" w:cs="Times New Roman"/>
          <w:sz w:val="22"/>
          <w:szCs w:val="22"/>
        </w:rPr>
        <w:t xml:space="preserve"> geeft de AIV aan </w:t>
      </w:r>
      <w:r w:rsidRPr="00925B3C" w:rsidR="00710AEB">
        <w:rPr>
          <w:rFonts w:ascii="Times New Roman" w:hAnsi="Times New Roman" w:cs="Times New Roman"/>
          <w:sz w:val="22"/>
          <w:szCs w:val="22"/>
        </w:rPr>
        <w:t xml:space="preserve">dat </w:t>
      </w:r>
      <w:r w:rsidRPr="00925B3C" w:rsidR="002B3C41">
        <w:rPr>
          <w:rFonts w:ascii="Times New Roman" w:hAnsi="Times New Roman" w:cs="Times New Roman"/>
          <w:sz w:val="22"/>
          <w:szCs w:val="22"/>
        </w:rPr>
        <w:t>eerst goede samenwerking tot stand moet komen tussen parlementen om van bestaande instrumenten effectief gebruik te maken,</w:t>
      </w:r>
      <w:r w:rsidRPr="00925B3C" w:rsidR="00402C77">
        <w:rPr>
          <w:rFonts w:ascii="Times New Roman" w:hAnsi="Times New Roman" w:cs="Times New Roman"/>
          <w:sz w:val="22"/>
          <w:szCs w:val="22"/>
        </w:rPr>
        <w:t xml:space="preserve"> waarbij de AIV uitdrukkelijk wijst op de mogelijkheden van de COSAC en de art. 13 conferentie</w:t>
      </w:r>
      <w:r w:rsidR="0090443B">
        <w:rPr>
          <w:rStyle w:val="Voetnootmarkering"/>
          <w:rFonts w:ascii="Times New Roman" w:hAnsi="Times New Roman"/>
          <w:sz w:val="22"/>
          <w:szCs w:val="22"/>
        </w:rPr>
        <w:footnoteReference w:id="2"/>
      </w:r>
      <w:r w:rsidRPr="00925B3C" w:rsidR="00402C77">
        <w:rPr>
          <w:rFonts w:ascii="Times New Roman" w:hAnsi="Times New Roman" w:cs="Times New Roman"/>
          <w:sz w:val="22"/>
          <w:szCs w:val="22"/>
        </w:rPr>
        <w:t>,</w:t>
      </w:r>
      <w:r w:rsidRPr="00925B3C" w:rsidR="002B3C41">
        <w:rPr>
          <w:rFonts w:ascii="Times New Roman" w:hAnsi="Times New Roman" w:cs="Times New Roman"/>
          <w:sz w:val="22"/>
          <w:szCs w:val="22"/>
        </w:rPr>
        <w:t xml:space="preserve"> alvorens er nieuwe instrumenten in het leven worden geroepen. </w:t>
      </w:r>
      <w:r w:rsidRPr="00925B3C" w:rsidR="00402C77">
        <w:rPr>
          <w:rFonts w:ascii="Times New Roman" w:hAnsi="Times New Roman" w:cs="Times New Roman"/>
          <w:sz w:val="22"/>
          <w:szCs w:val="22"/>
        </w:rPr>
        <w:t xml:space="preserve">De ideeën van </w:t>
      </w:r>
      <w:r w:rsidRPr="00925B3C" w:rsidR="00710AEB">
        <w:rPr>
          <w:rFonts w:ascii="Times New Roman" w:hAnsi="Times New Roman" w:cs="Times New Roman"/>
          <w:sz w:val="22"/>
          <w:szCs w:val="22"/>
        </w:rPr>
        <w:t xml:space="preserve">de </w:t>
      </w:r>
      <w:r w:rsidRPr="00925B3C" w:rsidR="00402C77">
        <w:rPr>
          <w:rFonts w:ascii="Times New Roman" w:hAnsi="Times New Roman" w:cs="Times New Roman"/>
          <w:sz w:val="22"/>
          <w:szCs w:val="22"/>
        </w:rPr>
        <w:t>AIV</w:t>
      </w:r>
      <w:r w:rsidRPr="00925B3C" w:rsidR="005C769B">
        <w:rPr>
          <w:rFonts w:ascii="Times New Roman" w:hAnsi="Times New Roman" w:cs="Times New Roman"/>
          <w:sz w:val="22"/>
          <w:szCs w:val="22"/>
        </w:rPr>
        <w:t>, bijvoorbeeld ten aanzien van de versterking van de toetsing aan proportionaliteit,</w:t>
      </w:r>
      <w:r w:rsidRPr="00925B3C" w:rsidR="00402C77">
        <w:rPr>
          <w:rFonts w:ascii="Times New Roman" w:hAnsi="Times New Roman" w:cs="Times New Roman"/>
          <w:sz w:val="22"/>
          <w:szCs w:val="22"/>
        </w:rPr>
        <w:t xml:space="preserve"> sluiten aan bij het kabinetsbeleid ter zake, zoals neergelegd in de Staat van de Unie in 2013 en 2014.</w:t>
      </w:r>
      <w:r w:rsidRPr="00925B3C" w:rsidR="009F20BA">
        <w:rPr>
          <w:rFonts w:ascii="Times New Roman" w:hAnsi="Times New Roman" w:cs="Times New Roman"/>
          <w:sz w:val="22"/>
          <w:szCs w:val="22"/>
        </w:rPr>
        <w:t xml:space="preserve"> In dit verband hecht het kabinet eraan op te merken dat hoewel de gele kaart i</w:t>
      </w:r>
      <w:r w:rsidRPr="00925B3C" w:rsidR="00A972C6">
        <w:rPr>
          <w:rFonts w:ascii="Times New Roman" w:hAnsi="Times New Roman" w:cs="Times New Roman"/>
          <w:sz w:val="22"/>
          <w:szCs w:val="22"/>
        </w:rPr>
        <w:t xml:space="preserve">nmiddels twee maal getrokken is, </w:t>
      </w:r>
      <w:r w:rsidRPr="00925B3C" w:rsidR="009F20BA">
        <w:rPr>
          <w:rFonts w:ascii="Times New Roman" w:hAnsi="Times New Roman" w:cs="Times New Roman"/>
          <w:sz w:val="22"/>
          <w:szCs w:val="22"/>
        </w:rPr>
        <w:t xml:space="preserve">de oranje kaart nog niet is toegepast. Deze kaart biedt de kans een wetsvoorstel te blokkeren </w:t>
      </w:r>
      <w:r w:rsidR="00147DB9">
        <w:rPr>
          <w:rFonts w:ascii="Times New Roman" w:hAnsi="Times New Roman" w:cs="Times New Roman"/>
          <w:sz w:val="22"/>
          <w:szCs w:val="22"/>
        </w:rPr>
        <w:t>op grond van subsid</w:t>
      </w:r>
      <w:r w:rsidR="003C41C5">
        <w:rPr>
          <w:rFonts w:ascii="Times New Roman" w:hAnsi="Times New Roman" w:cs="Times New Roman"/>
          <w:sz w:val="22"/>
          <w:szCs w:val="22"/>
        </w:rPr>
        <w:t>i</w:t>
      </w:r>
      <w:r w:rsidR="00147DB9">
        <w:rPr>
          <w:rFonts w:ascii="Times New Roman" w:hAnsi="Times New Roman" w:cs="Times New Roman"/>
          <w:sz w:val="22"/>
          <w:szCs w:val="22"/>
        </w:rPr>
        <w:t>ar</w:t>
      </w:r>
      <w:r w:rsidR="00E24E03">
        <w:rPr>
          <w:rFonts w:ascii="Times New Roman" w:hAnsi="Times New Roman" w:cs="Times New Roman"/>
          <w:sz w:val="22"/>
          <w:szCs w:val="22"/>
        </w:rPr>
        <w:t>i</w:t>
      </w:r>
      <w:r w:rsidR="00147DB9">
        <w:rPr>
          <w:rFonts w:ascii="Times New Roman" w:hAnsi="Times New Roman" w:cs="Times New Roman"/>
          <w:sz w:val="22"/>
          <w:szCs w:val="22"/>
        </w:rPr>
        <w:t xml:space="preserve">teit </w:t>
      </w:r>
      <w:r w:rsidRPr="00925B3C" w:rsidR="009F20BA">
        <w:rPr>
          <w:rFonts w:ascii="Times New Roman" w:hAnsi="Times New Roman" w:cs="Times New Roman"/>
          <w:sz w:val="22"/>
          <w:szCs w:val="22"/>
        </w:rPr>
        <w:t xml:space="preserve">indien een meerderheid van de </w:t>
      </w:r>
      <w:r w:rsidRPr="00925B3C" w:rsidR="00700D8C">
        <w:rPr>
          <w:rFonts w:ascii="Times New Roman" w:hAnsi="Times New Roman" w:cs="Times New Roman"/>
          <w:sz w:val="22"/>
          <w:szCs w:val="22"/>
        </w:rPr>
        <w:t>parlementen</w:t>
      </w:r>
      <w:r w:rsidRPr="00925B3C" w:rsidR="009F20BA">
        <w:rPr>
          <w:rFonts w:ascii="Times New Roman" w:hAnsi="Times New Roman" w:cs="Times New Roman"/>
          <w:sz w:val="22"/>
          <w:szCs w:val="22"/>
        </w:rPr>
        <w:t xml:space="preserve"> hier</w:t>
      </w:r>
      <w:r w:rsidR="0098683C">
        <w:rPr>
          <w:rFonts w:ascii="Times New Roman" w:hAnsi="Times New Roman" w:cs="Times New Roman"/>
          <w:sz w:val="22"/>
          <w:szCs w:val="22"/>
        </w:rPr>
        <w:t xml:space="preserve"> </w:t>
      </w:r>
      <w:r w:rsidRPr="00925B3C" w:rsidR="009F20BA">
        <w:rPr>
          <w:rFonts w:ascii="Times New Roman" w:hAnsi="Times New Roman" w:cs="Times New Roman"/>
          <w:sz w:val="22"/>
          <w:szCs w:val="22"/>
        </w:rPr>
        <w:t>tegen is</w:t>
      </w:r>
      <w:r w:rsidR="00147DB9">
        <w:rPr>
          <w:rFonts w:ascii="Times New Roman" w:hAnsi="Times New Roman" w:cs="Times New Roman"/>
          <w:sz w:val="22"/>
          <w:szCs w:val="22"/>
        </w:rPr>
        <w:t xml:space="preserve"> </w:t>
      </w:r>
      <w:r w:rsidR="00CB289A">
        <w:rPr>
          <w:rFonts w:ascii="Times New Roman" w:hAnsi="Times New Roman" w:cs="Times New Roman"/>
          <w:sz w:val="22"/>
          <w:szCs w:val="22"/>
        </w:rPr>
        <w:t>è</w:t>
      </w:r>
      <w:r w:rsidR="00147DB9">
        <w:rPr>
          <w:rFonts w:ascii="Times New Roman" w:hAnsi="Times New Roman" w:cs="Times New Roman"/>
          <w:sz w:val="22"/>
          <w:szCs w:val="22"/>
        </w:rPr>
        <w:t xml:space="preserve">n </w:t>
      </w:r>
      <w:r w:rsidRPr="00925B3C" w:rsidR="009F20BA">
        <w:rPr>
          <w:rFonts w:ascii="Times New Roman" w:hAnsi="Times New Roman" w:cs="Times New Roman"/>
          <w:sz w:val="22"/>
          <w:szCs w:val="22"/>
        </w:rPr>
        <w:t>de Raad met 55% van zijn leden</w:t>
      </w:r>
      <w:r w:rsidRPr="00925B3C" w:rsidR="00710AEB">
        <w:rPr>
          <w:rFonts w:ascii="Times New Roman" w:hAnsi="Times New Roman" w:cs="Times New Roman"/>
          <w:sz w:val="22"/>
          <w:szCs w:val="22"/>
        </w:rPr>
        <w:t xml:space="preserve"> of een meerderheid van de leden van het Europees Parlement</w:t>
      </w:r>
      <w:r w:rsidR="00147DB9">
        <w:rPr>
          <w:rFonts w:ascii="Times New Roman" w:hAnsi="Times New Roman" w:cs="Times New Roman"/>
          <w:sz w:val="22"/>
          <w:szCs w:val="22"/>
        </w:rPr>
        <w:t xml:space="preserve"> hier ook tegen is</w:t>
      </w:r>
      <w:r w:rsidR="00CB289A">
        <w:rPr>
          <w:rFonts w:ascii="Times New Roman" w:hAnsi="Times New Roman" w:cs="Times New Roman"/>
          <w:sz w:val="22"/>
          <w:szCs w:val="22"/>
        </w:rPr>
        <w:t xml:space="preserve"> (indien de Commissie haar voorstel handhaaft)</w:t>
      </w:r>
      <w:r w:rsidRPr="00925B3C" w:rsidR="009F20BA">
        <w:rPr>
          <w:rFonts w:ascii="Times New Roman" w:hAnsi="Times New Roman" w:cs="Times New Roman"/>
          <w:sz w:val="22"/>
          <w:szCs w:val="22"/>
        </w:rPr>
        <w:t xml:space="preserve">. Naar verwachting zal de mening van de nationale parlementen zwaar wegen voor de betreffende regering, waarmee feitelijk reeds een </w:t>
      </w:r>
      <w:r w:rsidRPr="00925B3C" w:rsidR="00A972C6">
        <w:rPr>
          <w:rFonts w:ascii="Times New Roman" w:hAnsi="Times New Roman" w:cs="Times New Roman"/>
          <w:sz w:val="22"/>
          <w:szCs w:val="22"/>
        </w:rPr>
        <w:t xml:space="preserve">zeer </w:t>
      </w:r>
      <w:r w:rsidRPr="00925B3C" w:rsidR="009F20BA">
        <w:rPr>
          <w:rFonts w:ascii="Times New Roman" w:hAnsi="Times New Roman" w:cs="Times New Roman"/>
          <w:sz w:val="22"/>
          <w:szCs w:val="22"/>
        </w:rPr>
        <w:t xml:space="preserve">krachtig instrument </w:t>
      </w:r>
      <w:r w:rsidRPr="00925B3C" w:rsidR="00522566">
        <w:rPr>
          <w:rFonts w:ascii="Times New Roman" w:hAnsi="Times New Roman" w:cs="Times New Roman"/>
          <w:sz w:val="22"/>
          <w:szCs w:val="22"/>
        </w:rPr>
        <w:t>gecreëerd</w:t>
      </w:r>
      <w:r w:rsidRPr="00925B3C" w:rsidR="009F20BA">
        <w:rPr>
          <w:rFonts w:ascii="Times New Roman" w:hAnsi="Times New Roman" w:cs="Times New Roman"/>
          <w:sz w:val="22"/>
          <w:szCs w:val="22"/>
        </w:rPr>
        <w:t xml:space="preserve"> wordt</w:t>
      </w:r>
      <w:r w:rsidRPr="00925B3C" w:rsidR="00700D8C">
        <w:rPr>
          <w:rFonts w:ascii="Times New Roman" w:hAnsi="Times New Roman" w:cs="Times New Roman"/>
          <w:sz w:val="22"/>
          <w:szCs w:val="22"/>
        </w:rPr>
        <w:t xml:space="preserve"> als een meerderheid van de parlementen een negatief subsidiariteits</w:t>
      </w:r>
      <w:r w:rsidR="008D1DE8">
        <w:rPr>
          <w:rFonts w:ascii="Times New Roman" w:hAnsi="Times New Roman" w:cs="Times New Roman"/>
          <w:sz w:val="22"/>
          <w:szCs w:val="22"/>
        </w:rPr>
        <w:t>oordeel</w:t>
      </w:r>
      <w:r w:rsidR="00203A6F">
        <w:rPr>
          <w:rFonts w:ascii="Times New Roman" w:hAnsi="Times New Roman" w:cs="Times New Roman"/>
          <w:sz w:val="22"/>
          <w:szCs w:val="22"/>
        </w:rPr>
        <w:t xml:space="preserve"> </w:t>
      </w:r>
      <w:r w:rsidRPr="00925B3C" w:rsidR="00700D8C">
        <w:rPr>
          <w:rFonts w:ascii="Times New Roman" w:hAnsi="Times New Roman" w:cs="Times New Roman"/>
          <w:sz w:val="22"/>
          <w:szCs w:val="22"/>
        </w:rPr>
        <w:t>velt</w:t>
      </w:r>
      <w:r w:rsidRPr="00925B3C" w:rsidR="009F20BA">
        <w:rPr>
          <w:rFonts w:ascii="Times New Roman" w:hAnsi="Times New Roman" w:cs="Times New Roman"/>
          <w:sz w:val="22"/>
          <w:szCs w:val="22"/>
        </w:rPr>
        <w:t>.</w:t>
      </w:r>
      <w:r w:rsidRPr="00925B3C" w:rsidR="00700D8C">
        <w:rPr>
          <w:rStyle w:val="Voetnootmarkering"/>
          <w:rFonts w:ascii="Times New Roman" w:hAnsi="Times New Roman"/>
          <w:sz w:val="22"/>
          <w:szCs w:val="22"/>
        </w:rPr>
        <w:footnoteReference w:id="3"/>
      </w:r>
      <w:r w:rsidRPr="00925B3C" w:rsidR="009F20BA">
        <w:rPr>
          <w:rFonts w:ascii="Times New Roman" w:hAnsi="Times New Roman" w:cs="Times New Roman"/>
          <w:sz w:val="22"/>
          <w:szCs w:val="22"/>
        </w:rPr>
        <w:t xml:space="preserve"> </w:t>
      </w:r>
    </w:p>
    <w:p w:rsidRPr="00925B3C" w:rsidR="002B3C41" w:rsidP="0049253F" w:rsidRDefault="002B3C41" w14:paraId="680D58B0" w14:textId="77777777">
      <w:pPr>
        <w:rPr>
          <w:rFonts w:ascii="Times New Roman" w:hAnsi="Times New Roman" w:cs="Times New Roman"/>
          <w:sz w:val="22"/>
          <w:szCs w:val="22"/>
        </w:rPr>
      </w:pPr>
    </w:p>
    <w:p w:rsidRPr="00925B3C" w:rsidR="003F6AF7" w:rsidP="0049253F" w:rsidRDefault="00A56411" w14:paraId="63104F4C" w14:textId="77777777">
      <w:pPr>
        <w:autoSpaceDE w:val="0"/>
        <w:autoSpaceDN w:val="0"/>
        <w:adjustRightInd w:val="0"/>
        <w:rPr>
          <w:rFonts w:ascii="Times New Roman" w:hAnsi="Times New Roman" w:cs="Times New Roman"/>
          <w:sz w:val="22"/>
          <w:szCs w:val="22"/>
        </w:rPr>
      </w:pPr>
      <w:r w:rsidRPr="00925B3C">
        <w:rPr>
          <w:rFonts w:ascii="Times New Roman" w:hAnsi="Times New Roman" w:cs="Times New Roman"/>
          <w:sz w:val="22"/>
          <w:szCs w:val="22"/>
        </w:rPr>
        <w:t xml:space="preserve">Het kabinet is het met de AIV eens dat het nationale parlement een brugfunctie </w:t>
      </w:r>
      <w:r w:rsidRPr="00925B3C" w:rsidR="00C24B70">
        <w:rPr>
          <w:rFonts w:ascii="Times New Roman" w:hAnsi="Times New Roman" w:cs="Times New Roman"/>
          <w:sz w:val="22"/>
          <w:szCs w:val="22"/>
        </w:rPr>
        <w:t xml:space="preserve">met </w:t>
      </w:r>
      <w:r w:rsidRPr="00925B3C" w:rsidR="003F6AF7">
        <w:rPr>
          <w:rFonts w:ascii="Times New Roman" w:hAnsi="Times New Roman" w:cs="Times New Roman"/>
          <w:sz w:val="22"/>
          <w:szCs w:val="22"/>
        </w:rPr>
        <w:t xml:space="preserve">de </w:t>
      </w:r>
      <w:r w:rsidRPr="00925B3C" w:rsidR="00C24B70">
        <w:rPr>
          <w:rFonts w:ascii="Times New Roman" w:hAnsi="Times New Roman" w:cs="Times New Roman"/>
          <w:sz w:val="22"/>
          <w:szCs w:val="22"/>
        </w:rPr>
        <w:t xml:space="preserve">burger en met </w:t>
      </w:r>
      <w:r w:rsidRPr="00925B3C" w:rsidR="00F94ABC">
        <w:rPr>
          <w:rFonts w:ascii="Times New Roman" w:hAnsi="Times New Roman" w:cs="Times New Roman"/>
          <w:sz w:val="22"/>
          <w:szCs w:val="22"/>
        </w:rPr>
        <w:t xml:space="preserve">het </w:t>
      </w:r>
      <w:r w:rsidRPr="00925B3C" w:rsidR="00C24B70">
        <w:rPr>
          <w:rFonts w:ascii="Times New Roman" w:hAnsi="Times New Roman" w:cs="Times New Roman"/>
          <w:sz w:val="22"/>
          <w:szCs w:val="22"/>
        </w:rPr>
        <w:t>E</w:t>
      </w:r>
      <w:r w:rsidRPr="00925B3C" w:rsidR="00F94ABC">
        <w:rPr>
          <w:rFonts w:ascii="Times New Roman" w:hAnsi="Times New Roman" w:cs="Times New Roman"/>
          <w:sz w:val="22"/>
          <w:szCs w:val="22"/>
        </w:rPr>
        <w:t xml:space="preserve">uropees </w:t>
      </w:r>
      <w:r w:rsidRPr="00925B3C" w:rsidR="00C24B70">
        <w:rPr>
          <w:rFonts w:ascii="Times New Roman" w:hAnsi="Times New Roman" w:cs="Times New Roman"/>
          <w:sz w:val="22"/>
          <w:szCs w:val="22"/>
        </w:rPr>
        <w:t>P</w:t>
      </w:r>
      <w:r w:rsidRPr="00925B3C" w:rsidR="00F94ABC">
        <w:rPr>
          <w:rFonts w:ascii="Times New Roman" w:hAnsi="Times New Roman" w:cs="Times New Roman"/>
          <w:sz w:val="22"/>
          <w:szCs w:val="22"/>
        </w:rPr>
        <w:t>arlement</w:t>
      </w:r>
      <w:r w:rsidRPr="00925B3C" w:rsidR="00C24B70">
        <w:rPr>
          <w:rFonts w:ascii="Times New Roman" w:hAnsi="Times New Roman" w:cs="Times New Roman"/>
          <w:sz w:val="22"/>
          <w:szCs w:val="22"/>
        </w:rPr>
        <w:t xml:space="preserve"> </w:t>
      </w:r>
      <w:r w:rsidRPr="00925B3C">
        <w:rPr>
          <w:rFonts w:ascii="Times New Roman" w:hAnsi="Times New Roman" w:cs="Times New Roman"/>
          <w:sz w:val="22"/>
          <w:szCs w:val="22"/>
        </w:rPr>
        <w:t xml:space="preserve">vervult en dat deze versterkt kan worden. </w:t>
      </w:r>
      <w:r w:rsidRPr="00925B3C" w:rsidR="006206B7">
        <w:rPr>
          <w:rFonts w:ascii="Times New Roman" w:hAnsi="Times New Roman" w:cs="Times New Roman"/>
          <w:sz w:val="22"/>
          <w:szCs w:val="22"/>
        </w:rPr>
        <w:t xml:space="preserve">Het kabinet merkt op dat </w:t>
      </w:r>
      <w:r w:rsidRPr="00925B3C" w:rsidR="00425D69">
        <w:rPr>
          <w:rFonts w:ascii="Times New Roman" w:hAnsi="Times New Roman" w:cs="Times New Roman"/>
          <w:sz w:val="22"/>
          <w:szCs w:val="22"/>
        </w:rPr>
        <w:t>uw</w:t>
      </w:r>
      <w:r w:rsidRPr="00925B3C" w:rsidR="006206B7">
        <w:rPr>
          <w:rFonts w:ascii="Times New Roman" w:hAnsi="Times New Roman" w:cs="Times New Roman"/>
          <w:sz w:val="22"/>
          <w:szCs w:val="22"/>
        </w:rPr>
        <w:t xml:space="preserve"> Kamer hierover </w:t>
      </w:r>
      <w:r w:rsidRPr="00925B3C" w:rsidR="00F94ABC">
        <w:rPr>
          <w:rFonts w:ascii="Times New Roman" w:hAnsi="Times New Roman" w:cs="Times New Roman"/>
          <w:sz w:val="22"/>
          <w:szCs w:val="22"/>
        </w:rPr>
        <w:t xml:space="preserve">inmiddels </w:t>
      </w:r>
      <w:r w:rsidRPr="00925B3C" w:rsidR="006206B7">
        <w:rPr>
          <w:rFonts w:ascii="Times New Roman" w:hAnsi="Times New Roman" w:cs="Times New Roman"/>
          <w:sz w:val="22"/>
          <w:szCs w:val="22"/>
        </w:rPr>
        <w:t>zelf interessante ideeën heeft ontwikkeld</w:t>
      </w:r>
      <w:r w:rsidRPr="00925B3C" w:rsidR="00F94ABC">
        <w:rPr>
          <w:rFonts w:ascii="Times New Roman" w:hAnsi="Times New Roman" w:cs="Times New Roman"/>
          <w:sz w:val="22"/>
          <w:szCs w:val="22"/>
        </w:rPr>
        <w:t>, zoals neergelegd</w:t>
      </w:r>
      <w:r w:rsidRPr="00925B3C" w:rsidR="00DC6FA8">
        <w:rPr>
          <w:rFonts w:ascii="Times New Roman" w:hAnsi="Times New Roman" w:cs="Times New Roman"/>
          <w:sz w:val="22"/>
          <w:szCs w:val="22"/>
        </w:rPr>
        <w:t xml:space="preserve"> in het recente rapport </w:t>
      </w:r>
      <w:r w:rsidRPr="00925B3C" w:rsidR="00A22138">
        <w:rPr>
          <w:rFonts w:ascii="Times New Roman" w:hAnsi="Times New Roman" w:cs="Times New Roman"/>
          <w:sz w:val="22"/>
          <w:szCs w:val="22"/>
        </w:rPr>
        <w:t>Leegte</w:t>
      </w:r>
      <w:r w:rsidRPr="00925B3C" w:rsidR="00DC6FA8">
        <w:rPr>
          <w:rFonts w:ascii="Times New Roman" w:hAnsi="Times New Roman" w:cs="Times New Roman"/>
          <w:sz w:val="22"/>
          <w:szCs w:val="22"/>
        </w:rPr>
        <w:t xml:space="preserve">. </w:t>
      </w:r>
      <w:r w:rsidRPr="00925B3C" w:rsidR="00425D69">
        <w:rPr>
          <w:rFonts w:ascii="Times New Roman" w:hAnsi="Times New Roman" w:cs="Times New Roman"/>
          <w:sz w:val="22"/>
          <w:szCs w:val="22"/>
        </w:rPr>
        <w:t xml:space="preserve">Het kabinet verwacht dat van de nauwere </w:t>
      </w:r>
      <w:r w:rsidR="00E24E03">
        <w:rPr>
          <w:rFonts w:ascii="Times New Roman" w:hAnsi="Times New Roman" w:cs="Times New Roman"/>
          <w:sz w:val="22"/>
          <w:szCs w:val="22"/>
        </w:rPr>
        <w:t xml:space="preserve">onderlinge </w:t>
      </w:r>
      <w:r w:rsidRPr="00925B3C" w:rsidR="00425D69">
        <w:rPr>
          <w:rFonts w:ascii="Times New Roman" w:hAnsi="Times New Roman" w:cs="Times New Roman"/>
          <w:sz w:val="22"/>
          <w:szCs w:val="22"/>
        </w:rPr>
        <w:t>samenwerking tussen nationale parlementen een sterke impuls kan uitgaan voor een aanvullende dynamiek in de Europese samenwerking.</w:t>
      </w:r>
      <w:r w:rsidRPr="00925B3C" w:rsidR="003F6AF7">
        <w:rPr>
          <w:rFonts w:ascii="Times New Roman" w:hAnsi="Times New Roman" w:cs="Times New Roman"/>
          <w:sz w:val="22"/>
          <w:szCs w:val="22"/>
        </w:rPr>
        <w:t xml:space="preserve"> In dit verband kan ook worden gewezen op de resolutie van het Europees Parlement van 16 april 2014 (n.a.v. rapport Casini) die onder meer voorstelt dat tussen nationale parlementen en het Europees Parlement een akkoord wordt uitgewerkt dat als basis zou kunnen dienen voor een doeltreffende samenwerking als bedoeld in artikel 9 van Protocol nr. 1 bij het Verdrag </w:t>
      </w:r>
      <w:r w:rsidR="00440C19">
        <w:rPr>
          <w:rFonts w:ascii="Times New Roman" w:hAnsi="Times New Roman" w:cs="Times New Roman"/>
          <w:sz w:val="22"/>
          <w:szCs w:val="22"/>
        </w:rPr>
        <w:t>betreffende de Europese Unie</w:t>
      </w:r>
      <w:r w:rsidRPr="00925B3C" w:rsidR="003F6AF7">
        <w:rPr>
          <w:rFonts w:ascii="Times New Roman" w:hAnsi="Times New Roman" w:cs="Times New Roman"/>
          <w:sz w:val="22"/>
          <w:szCs w:val="22"/>
        </w:rPr>
        <w:t xml:space="preserve">. </w:t>
      </w:r>
    </w:p>
    <w:p w:rsidRPr="00925B3C" w:rsidR="00925B3C" w:rsidP="0049253F" w:rsidRDefault="00925B3C" w14:paraId="03BEFE04" w14:textId="77777777">
      <w:pPr>
        <w:pStyle w:val="Lijstalinea"/>
        <w:ind w:left="0"/>
        <w:rPr>
          <w:rFonts w:ascii="Times New Roman" w:hAnsi="Times New Roman" w:cs="Times New Roman"/>
          <w:sz w:val="22"/>
          <w:szCs w:val="22"/>
        </w:rPr>
      </w:pPr>
    </w:p>
    <w:p w:rsidR="00402C77" w:rsidP="0049253F" w:rsidRDefault="00402C77" w14:paraId="5123860A" w14:textId="77777777">
      <w:pPr>
        <w:pStyle w:val="Lijstalinea"/>
        <w:ind w:left="0"/>
        <w:rPr>
          <w:rFonts w:ascii="Times New Roman" w:hAnsi="Times New Roman" w:cs="Times New Roman"/>
          <w:sz w:val="22"/>
          <w:szCs w:val="22"/>
        </w:rPr>
      </w:pPr>
      <w:r w:rsidRPr="00925B3C">
        <w:rPr>
          <w:rFonts w:ascii="Times New Roman" w:hAnsi="Times New Roman" w:cs="Times New Roman"/>
          <w:sz w:val="22"/>
          <w:szCs w:val="22"/>
        </w:rPr>
        <w:t>In aanvulling op datgene wat in</w:t>
      </w:r>
      <w:r w:rsidRPr="00925B3C" w:rsidR="00DC6FA8">
        <w:rPr>
          <w:rFonts w:ascii="Times New Roman" w:hAnsi="Times New Roman" w:cs="Times New Roman"/>
          <w:sz w:val="22"/>
          <w:szCs w:val="22"/>
        </w:rPr>
        <w:t xml:space="preserve"> de</w:t>
      </w:r>
      <w:r w:rsidRPr="00925B3C">
        <w:rPr>
          <w:rFonts w:ascii="Times New Roman" w:hAnsi="Times New Roman" w:cs="Times New Roman"/>
          <w:sz w:val="22"/>
          <w:szCs w:val="22"/>
        </w:rPr>
        <w:t xml:space="preserve"> Staat van de Unie 2013 en 2014 reeds </w:t>
      </w:r>
      <w:r w:rsidRPr="00925B3C" w:rsidR="00B0648B">
        <w:rPr>
          <w:rFonts w:ascii="Times New Roman" w:hAnsi="Times New Roman" w:cs="Times New Roman"/>
          <w:sz w:val="22"/>
          <w:szCs w:val="22"/>
        </w:rPr>
        <w:t>is neergelegd</w:t>
      </w:r>
      <w:r w:rsidRPr="00925B3C">
        <w:rPr>
          <w:rFonts w:ascii="Times New Roman" w:hAnsi="Times New Roman" w:cs="Times New Roman"/>
          <w:sz w:val="22"/>
          <w:szCs w:val="22"/>
        </w:rPr>
        <w:t xml:space="preserve"> </w:t>
      </w:r>
      <w:r w:rsidRPr="00925B3C" w:rsidR="00FC1CDE">
        <w:rPr>
          <w:rFonts w:ascii="Times New Roman" w:hAnsi="Times New Roman" w:cs="Times New Roman"/>
          <w:sz w:val="22"/>
          <w:szCs w:val="22"/>
        </w:rPr>
        <w:t>(</w:t>
      </w:r>
      <w:r w:rsidR="00440C19">
        <w:rPr>
          <w:rFonts w:ascii="Times New Roman" w:hAnsi="Times New Roman" w:cs="Times New Roman"/>
          <w:sz w:val="22"/>
          <w:szCs w:val="22"/>
        </w:rPr>
        <w:t xml:space="preserve">en </w:t>
      </w:r>
      <w:r w:rsidRPr="00925B3C" w:rsidR="00FC1CDE">
        <w:rPr>
          <w:rFonts w:ascii="Times New Roman" w:hAnsi="Times New Roman" w:cs="Times New Roman"/>
          <w:sz w:val="22"/>
          <w:szCs w:val="22"/>
        </w:rPr>
        <w:t>mede in antwoord op de hoofdvragen van uw Kamer over democratische legitimiteit</w:t>
      </w:r>
      <w:r w:rsidR="00440C19">
        <w:rPr>
          <w:rFonts w:ascii="Times New Roman" w:hAnsi="Times New Roman" w:cs="Times New Roman"/>
          <w:sz w:val="22"/>
          <w:szCs w:val="22"/>
        </w:rPr>
        <w:t xml:space="preserve"> gesteld in de brief van de Commissie van Europese Zaken van 9 oktober 2013</w:t>
      </w:r>
      <w:r w:rsidRPr="00925B3C" w:rsidR="00FC1CDE">
        <w:rPr>
          <w:rFonts w:ascii="Times New Roman" w:hAnsi="Times New Roman" w:cs="Times New Roman"/>
          <w:sz w:val="22"/>
          <w:szCs w:val="22"/>
        </w:rPr>
        <w:t xml:space="preserve">) </w:t>
      </w:r>
      <w:r w:rsidRPr="00925B3C">
        <w:rPr>
          <w:rFonts w:ascii="Times New Roman" w:hAnsi="Times New Roman" w:cs="Times New Roman"/>
          <w:sz w:val="22"/>
          <w:szCs w:val="22"/>
        </w:rPr>
        <w:t xml:space="preserve">over de rol van nationale parlementen </w:t>
      </w:r>
      <w:r w:rsidRPr="00925B3C" w:rsidR="00B0648B">
        <w:rPr>
          <w:rFonts w:ascii="Times New Roman" w:hAnsi="Times New Roman" w:cs="Times New Roman"/>
          <w:sz w:val="22"/>
          <w:szCs w:val="22"/>
        </w:rPr>
        <w:t>en de effectiviteit c</w:t>
      </w:r>
      <w:r w:rsidRPr="00925B3C" w:rsidR="004A4333">
        <w:rPr>
          <w:rFonts w:ascii="Times New Roman" w:hAnsi="Times New Roman" w:cs="Times New Roman"/>
          <w:sz w:val="22"/>
          <w:szCs w:val="22"/>
        </w:rPr>
        <w:t>.</w:t>
      </w:r>
      <w:r w:rsidRPr="00925B3C" w:rsidR="00B0648B">
        <w:rPr>
          <w:rFonts w:ascii="Times New Roman" w:hAnsi="Times New Roman" w:cs="Times New Roman"/>
          <w:sz w:val="22"/>
          <w:szCs w:val="22"/>
        </w:rPr>
        <w:t>q</w:t>
      </w:r>
      <w:r w:rsidRPr="00925B3C" w:rsidR="004A4333">
        <w:rPr>
          <w:rFonts w:ascii="Times New Roman" w:hAnsi="Times New Roman" w:cs="Times New Roman"/>
          <w:sz w:val="22"/>
          <w:szCs w:val="22"/>
        </w:rPr>
        <w:t>.</w:t>
      </w:r>
      <w:r w:rsidRPr="00925B3C" w:rsidR="00B0648B">
        <w:rPr>
          <w:rFonts w:ascii="Times New Roman" w:hAnsi="Times New Roman" w:cs="Times New Roman"/>
          <w:sz w:val="22"/>
          <w:szCs w:val="22"/>
        </w:rPr>
        <w:t xml:space="preserve"> uitbreiding van het huidig instrumentarium</w:t>
      </w:r>
      <w:r w:rsidRPr="00925B3C" w:rsidR="003F6AF7">
        <w:rPr>
          <w:rFonts w:ascii="Times New Roman" w:hAnsi="Times New Roman" w:cs="Times New Roman"/>
          <w:sz w:val="22"/>
          <w:szCs w:val="22"/>
        </w:rPr>
        <w:t>, in het bijzonder in de versterking van de werking van de gele- en oranjekaartprocedure,</w:t>
      </w:r>
      <w:r w:rsidRPr="00925B3C" w:rsidR="00B0648B">
        <w:rPr>
          <w:rFonts w:ascii="Times New Roman" w:hAnsi="Times New Roman" w:cs="Times New Roman"/>
          <w:sz w:val="22"/>
          <w:szCs w:val="22"/>
        </w:rPr>
        <w:t xml:space="preserve"> merkt het kabinet het volgende op</w:t>
      </w:r>
      <w:r w:rsidRPr="00925B3C" w:rsidR="00DC6FA8">
        <w:rPr>
          <w:rFonts w:ascii="Times New Roman" w:hAnsi="Times New Roman" w:cs="Times New Roman"/>
          <w:sz w:val="22"/>
          <w:szCs w:val="22"/>
        </w:rPr>
        <w:t>.</w:t>
      </w:r>
      <w:r w:rsidRPr="00925B3C" w:rsidR="00D15163">
        <w:rPr>
          <w:rFonts w:ascii="Times New Roman" w:hAnsi="Times New Roman" w:cs="Times New Roman"/>
          <w:sz w:val="22"/>
          <w:szCs w:val="22"/>
        </w:rPr>
        <w:t xml:space="preserve"> </w:t>
      </w:r>
      <w:r w:rsidRPr="00925B3C" w:rsidR="00DC6FA8">
        <w:rPr>
          <w:rFonts w:ascii="Times New Roman" w:hAnsi="Times New Roman" w:cs="Times New Roman"/>
          <w:sz w:val="22"/>
          <w:szCs w:val="22"/>
        </w:rPr>
        <w:t xml:space="preserve">In de ogen van het kabinet kunnen </w:t>
      </w:r>
      <w:r w:rsidRPr="00925B3C" w:rsidR="00D15163">
        <w:rPr>
          <w:rFonts w:ascii="Times New Roman" w:hAnsi="Times New Roman" w:cs="Times New Roman"/>
          <w:sz w:val="22"/>
          <w:szCs w:val="22"/>
        </w:rPr>
        <w:t xml:space="preserve">nationale parlementen in alle </w:t>
      </w:r>
      <w:r w:rsidRPr="00925B3C" w:rsidR="00D15163">
        <w:rPr>
          <w:rFonts w:ascii="Times New Roman" w:hAnsi="Times New Roman" w:cs="Times New Roman"/>
          <w:sz w:val="22"/>
          <w:szCs w:val="22"/>
        </w:rPr>
        <w:lastRenderedPageBreak/>
        <w:t>fasen van de beleidscyclus</w:t>
      </w:r>
      <w:r w:rsidRPr="00925B3C" w:rsidR="00F94ABC">
        <w:rPr>
          <w:rFonts w:ascii="Times New Roman" w:hAnsi="Times New Roman" w:cs="Times New Roman"/>
          <w:sz w:val="22"/>
          <w:szCs w:val="22"/>
        </w:rPr>
        <w:t xml:space="preserve"> een nuttige rol spelen, zowel in </w:t>
      </w:r>
      <w:r w:rsidRPr="00925B3C" w:rsidR="00DC6FA8">
        <w:rPr>
          <w:rFonts w:ascii="Times New Roman" w:hAnsi="Times New Roman" w:cs="Times New Roman"/>
          <w:sz w:val="22"/>
          <w:szCs w:val="22"/>
        </w:rPr>
        <w:t xml:space="preserve">de </w:t>
      </w:r>
      <w:r w:rsidRPr="00925B3C" w:rsidR="00F94ABC">
        <w:rPr>
          <w:rFonts w:ascii="Times New Roman" w:hAnsi="Times New Roman" w:cs="Times New Roman"/>
          <w:sz w:val="22"/>
          <w:szCs w:val="22"/>
        </w:rPr>
        <w:t>consultatiefase</w:t>
      </w:r>
      <w:r w:rsidRPr="00925B3C" w:rsidR="00DC6FA8">
        <w:rPr>
          <w:rFonts w:ascii="Times New Roman" w:hAnsi="Times New Roman" w:cs="Times New Roman"/>
          <w:sz w:val="22"/>
          <w:szCs w:val="22"/>
        </w:rPr>
        <w:t xml:space="preserve"> door het sturen van input aan de Commissie</w:t>
      </w:r>
      <w:r w:rsidRPr="00925B3C" w:rsidR="00F94ABC">
        <w:rPr>
          <w:rFonts w:ascii="Times New Roman" w:hAnsi="Times New Roman" w:cs="Times New Roman"/>
          <w:sz w:val="22"/>
          <w:szCs w:val="22"/>
        </w:rPr>
        <w:t xml:space="preserve">, </w:t>
      </w:r>
      <w:r w:rsidRPr="00925B3C" w:rsidR="00B0648B">
        <w:rPr>
          <w:rFonts w:ascii="Times New Roman" w:hAnsi="Times New Roman" w:cs="Times New Roman"/>
          <w:sz w:val="22"/>
          <w:szCs w:val="22"/>
        </w:rPr>
        <w:t xml:space="preserve">in </w:t>
      </w:r>
      <w:r w:rsidRPr="00925B3C" w:rsidR="00DC6FA8">
        <w:rPr>
          <w:rFonts w:ascii="Times New Roman" w:hAnsi="Times New Roman" w:cs="Times New Roman"/>
          <w:sz w:val="22"/>
          <w:szCs w:val="22"/>
        </w:rPr>
        <w:t xml:space="preserve">de </w:t>
      </w:r>
      <w:r w:rsidRPr="00925B3C" w:rsidR="00F94ABC">
        <w:rPr>
          <w:rFonts w:ascii="Times New Roman" w:hAnsi="Times New Roman" w:cs="Times New Roman"/>
          <w:sz w:val="22"/>
          <w:szCs w:val="22"/>
        </w:rPr>
        <w:t>onderhandeling</w:t>
      </w:r>
      <w:r w:rsidRPr="00925B3C" w:rsidR="00DC6FA8">
        <w:rPr>
          <w:rFonts w:ascii="Times New Roman" w:hAnsi="Times New Roman" w:cs="Times New Roman"/>
          <w:sz w:val="22"/>
          <w:szCs w:val="22"/>
        </w:rPr>
        <w:t>sfase direct via de subsidiariteits</w:t>
      </w:r>
      <w:r w:rsidR="0098683C">
        <w:rPr>
          <w:rFonts w:ascii="Times New Roman" w:hAnsi="Times New Roman" w:cs="Times New Roman"/>
          <w:sz w:val="22"/>
          <w:szCs w:val="22"/>
        </w:rPr>
        <w:t>- en proportionaliteits</w:t>
      </w:r>
      <w:r w:rsidRPr="00925B3C" w:rsidR="00DC6FA8">
        <w:rPr>
          <w:rFonts w:ascii="Times New Roman" w:hAnsi="Times New Roman" w:cs="Times New Roman"/>
          <w:sz w:val="22"/>
          <w:szCs w:val="22"/>
        </w:rPr>
        <w:t>toets en indirect via het kabinet</w:t>
      </w:r>
      <w:r w:rsidR="0090443B">
        <w:rPr>
          <w:rFonts w:ascii="Times New Roman" w:hAnsi="Times New Roman" w:cs="Times New Roman"/>
          <w:sz w:val="22"/>
          <w:szCs w:val="22"/>
        </w:rPr>
        <w:t xml:space="preserve"> of hun contacten met het Europees Parlement</w:t>
      </w:r>
      <w:r w:rsidRPr="00925B3C" w:rsidR="00DC6FA8">
        <w:rPr>
          <w:rFonts w:ascii="Times New Roman" w:hAnsi="Times New Roman" w:cs="Times New Roman"/>
          <w:sz w:val="22"/>
          <w:szCs w:val="22"/>
        </w:rPr>
        <w:t>,</w:t>
      </w:r>
      <w:r w:rsidRPr="00925B3C" w:rsidR="00F94ABC">
        <w:rPr>
          <w:rFonts w:ascii="Times New Roman" w:hAnsi="Times New Roman" w:cs="Times New Roman"/>
          <w:sz w:val="22"/>
          <w:szCs w:val="22"/>
        </w:rPr>
        <w:t xml:space="preserve"> </w:t>
      </w:r>
      <w:r w:rsidRPr="00925B3C" w:rsidR="00B0648B">
        <w:rPr>
          <w:rFonts w:ascii="Times New Roman" w:hAnsi="Times New Roman" w:cs="Times New Roman"/>
          <w:sz w:val="22"/>
          <w:szCs w:val="22"/>
        </w:rPr>
        <w:t xml:space="preserve">in </w:t>
      </w:r>
      <w:r w:rsidRPr="00925B3C" w:rsidR="00DC6FA8">
        <w:rPr>
          <w:rFonts w:ascii="Times New Roman" w:hAnsi="Times New Roman" w:cs="Times New Roman"/>
          <w:sz w:val="22"/>
          <w:szCs w:val="22"/>
        </w:rPr>
        <w:t xml:space="preserve">de </w:t>
      </w:r>
      <w:r w:rsidRPr="00925B3C" w:rsidR="00F94ABC">
        <w:rPr>
          <w:rFonts w:ascii="Times New Roman" w:hAnsi="Times New Roman" w:cs="Times New Roman"/>
          <w:sz w:val="22"/>
          <w:szCs w:val="22"/>
        </w:rPr>
        <w:t>implementatie</w:t>
      </w:r>
      <w:r w:rsidRPr="00925B3C" w:rsidR="00DC6FA8">
        <w:rPr>
          <w:rFonts w:ascii="Times New Roman" w:hAnsi="Times New Roman" w:cs="Times New Roman"/>
          <w:sz w:val="22"/>
          <w:szCs w:val="22"/>
        </w:rPr>
        <w:t xml:space="preserve">fase bij </w:t>
      </w:r>
      <w:r w:rsidRPr="00925B3C" w:rsidR="00B0648B">
        <w:rPr>
          <w:rFonts w:ascii="Times New Roman" w:hAnsi="Times New Roman" w:cs="Times New Roman"/>
          <w:sz w:val="22"/>
          <w:szCs w:val="22"/>
        </w:rPr>
        <w:t xml:space="preserve">de </w:t>
      </w:r>
      <w:r w:rsidRPr="00925B3C" w:rsidR="00DC6FA8">
        <w:rPr>
          <w:rFonts w:ascii="Times New Roman" w:hAnsi="Times New Roman" w:cs="Times New Roman"/>
          <w:sz w:val="22"/>
          <w:szCs w:val="22"/>
        </w:rPr>
        <w:t>omzetting van de regelgeving in nationale regelgeving</w:t>
      </w:r>
      <w:r w:rsidRPr="00925B3C" w:rsidR="00F94ABC">
        <w:rPr>
          <w:rFonts w:ascii="Times New Roman" w:hAnsi="Times New Roman" w:cs="Times New Roman"/>
          <w:sz w:val="22"/>
          <w:szCs w:val="22"/>
        </w:rPr>
        <w:t xml:space="preserve"> en </w:t>
      </w:r>
      <w:r w:rsidRPr="00925B3C" w:rsidR="00DC6FA8">
        <w:rPr>
          <w:rFonts w:ascii="Times New Roman" w:hAnsi="Times New Roman" w:cs="Times New Roman"/>
          <w:sz w:val="22"/>
          <w:szCs w:val="22"/>
        </w:rPr>
        <w:t xml:space="preserve">in de </w:t>
      </w:r>
      <w:r w:rsidRPr="00925B3C" w:rsidR="00F94ABC">
        <w:rPr>
          <w:rFonts w:ascii="Times New Roman" w:hAnsi="Times New Roman" w:cs="Times New Roman"/>
          <w:sz w:val="22"/>
          <w:szCs w:val="22"/>
        </w:rPr>
        <w:t>evaluatiefase</w:t>
      </w:r>
      <w:r w:rsidRPr="00925B3C" w:rsidR="00DC6FA8">
        <w:rPr>
          <w:rFonts w:ascii="Times New Roman" w:hAnsi="Times New Roman" w:cs="Times New Roman"/>
          <w:sz w:val="22"/>
          <w:szCs w:val="22"/>
        </w:rPr>
        <w:t xml:space="preserve"> door</w:t>
      </w:r>
      <w:r w:rsidRPr="00925B3C" w:rsidR="00B0648B">
        <w:rPr>
          <w:rFonts w:ascii="Times New Roman" w:hAnsi="Times New Roman" w:cs="Times New Roman"/>
          <w:sz w:val="22"/>
          <w:szCs w:val="22"/>
        </w:rPr>
        <w:t xml:space="preserve"> het leveren van input bij evaluaties</w:t>
      </w:r>
      <w:r w:rsidRPr="00925B3C" w:rsidR="00D15163">
        <w:rPr>
          <w:rFonts w:ascii="Times New Roman" w:hAnsi="Times New Roman" w:cs="Times New Roman"/>
          <w:sz w:val="22"/>
          <w:szCs w:val="22"/>
        </w:rPr>
        <w:t>.</w:t>
      </w:r>
      <w:r w:rsidRPr="00925B3C" w:rsidR="00B0648B">
        <w:rPr>
          <w:rFonts w:ascii="Times New Roman" w:hAnsi="Times New Roman" w:cs="Times New Roman"/>
          <w:sz w:val="22"/>
          <w:szCs w:val="22"/>
        </w:rPr>
        <w:t xml:space="preserve"> H</w:t>
      </w:r>
      <w:r w:rsidRPr="00925B3C" w:rsidR="00D15163">
        <w:rPr>
          <w:rFonts w:ascii="Times New Roman" w:hAnsi="Times New Roman" w:cs="Times New Roman"/>
          <w:sz w:val="22"/>
          <w:szCs w:val="22"/>
        </w:rPr>
        <w:t>et kabinet acht het aan uw Kamer zelf inhoud en vorm te geven aan het gebruik van de instrume</w:t>
      </w:r>
      <w:r w:rsidRPr="00925B3C" w:rsidR="00B0648B">
        <w:rPr>
          <w:rFonts w:ascii="Times New Roman" w:hAnsi="Times New Roman" w:cs="Times New Roman"/>
          <w:sz w:val="22"/>
          <w:szCs w:val="22"/>
        </w:rPr>
        <w:t xml:space="preserve">nten opgenomen in de verdragen en is van mening dat uw Kamer, mede in het licht van de toegang tot Extranet en de onlangs tijdens het AO Informatievoorziening gemaakte aanvullende afspraken, </w:t>
      </w:r>
      <w:r w:rsidR="00E24E03">
        <w:rPr>
          <w:rFonts w:ascii="Times New Roman" w:hAnsi="Times New Roman" w:cs="Times New Roman"/>
          <w:sz w:val="22"/>
          <w:szCs w:val="22"/>
        </w:rPr>
        <w:t>de</w:t>
      </w:r>
      <w:r w:rsidRPr="00925B3C" w:rsidR="00B0648B">
        <w:rPr>
          <w:rFonts w:ascii="Times New Roman" w:hAnsi="Times New Roman" w:cs="Times New Roman"/>
          <w:sz w:val="22"/>
          <w:szCs w:val="22"/>
        </w:rPr>
        <w:t xml:space="preserve"> benodigde informatie ter beschikking heeft om deze taken te vervullen. </w:t>
      </w:r>
      <w:r w:rsidRPr="00925B3C" w:rsidR="003F6AF7">
        <w:rPr>
          <w:rFonts w:ascii="Times New Roman" w:hAnsi="Times New Roman" w:cs="Times New Roman"/>
          <w:sz w:val="22"/>
          <w:szCs w:val="22"/>
        </w:rPr>
        <w:t>Daarbij zijn in het AIV-advies en het rapport Leegte ook nadere voorstellen gedaan voor de interne werkwijze van uw Kamer, die vanzelfsprekend aan uw Kamer ter beoordeling zijn.</w:t>
      </w:r>
      <w:r w:rsidR="001F537F">
        <w:rPr>
          <w:rFonts w:ascii="Times New Roman" w:hAnsi="Times New Roman" w:cs="Times New Roman"/>
          <w:sz w:val="22"/>
          <w:szCs w:val="22"/>
        </w:rPr>
        <w:t xml:space="preserve"> </w:t>
      </w:r>
    </w:p>
    <w:p w:rsidR="00735D42" w:rsidP="0049253F" w:rsidRDefault="00735D42" w14:paraId="5ADA1C60" w14:textId="77777777">
      <w:pPr>
        <w:pStyle w:val="Lijstalinea"/>
        <w:ind w:left="0"/>
        <w:rPr>
          <w:rFonts w:ascii="Times New Roman" w:hAnsi="Times New Roman" w:cs="Times New Roman"/>
          <w:sz w:val="22"/>
          <w:szCs w:val="22"/>
        </w:rPr>
      </w:pPr>
    </w:p>
    <w:p w:rsidR="00735D42" w:rsidP="0049253F" w:rsidRDefault="00735D42" w14:paraId="7C7F7A8B" w14:textId="77777777">
      <w:pPr>
        <w:pStyle w:val="Lijstalinea"/>
        <w:ind w:left="0"/>
        <w:rPr>
          <w:rFonts w:ascii="Times New Roman" w:hAnsi="Times New Roman" w:cs="Times New Roman"/>
          <w:sz w:val="22"/>
          <w:szCs w:val="22"/>
        </w:rPr>
      </w:pPr>
      <w:r>
        <w:rPr>
          <w:rFonts w:ascii="Times New Roman" w:hAnsi="Times New Roman" w:cs="Times New Roman"/>
          <w:sz w:val="22"/>
          <w:szCs w:val="22"/>
        </w:rPr>
        <w:t>In antwoord op</w:t>
      </w:r>
      <w:r w:rsidR="001F537F">
        <w:rPr>
          <w:rFonts w:ascii="Times New Roman" w:hAnsi="Times New Roman" w:cs="Times New Roman"/>
          <w:sz w:val="22"/>
          <w:szCs w:val="22"/>
        </w:rPr>
        <w:t xml:space="preserve"> de</w:t>
      </w:r>
      <w:r>
        <w:rPr>
          <w:rFonts w:ascii="Times New Roman" w:hAnsi="Times New Roman" w:cs="Times New Roman"/>
          <w:sz w:val="22"/>
          <w:szCs w:val="22"/>
        </w:rPr>
        <w:t xml:space="preserve"> motie Schouten/Dijkgraaf </w:t>
      </w:r>
      <w:r w:rsidR="00F77518">
        <w:rPr>
          <w:rFonts w:ascii="Times New Roman" w:hAnsi="Times New Roman" w:cs="Times New Roman"/>
          <w:sz w:val="22"/>
          <w:szCs w:val="22"/>
        </w:rPr>
        <w:t xml:space="preserve">die oproept </w:t>
      </w:r>
      <w:r>
        <w:rPr>
          <w:rFonts w:ascii="Times New Roman" w:hAnsi="Times New Roman" w:cs="Times New Roman"/>
          <w:sz w:val="22"/>
          <w:szCs w:val="22"/>
        </w:rPr>
        <w:t xml:space="preserve">de </w:t>
      </w:r>
      <w:r w:rsidR="006C6AD9">
        <w:rPr>
          <w:rFonts w:ascii="Times New Roman" w:hAnsi="Times New Roman" w:cs="Times New Roman"/>
          <w:sz w:val="22"/>
          <w:szCs w:val="22"/>
        </w:rPr>
        <w:t>vergaderplaats</w:t>
      </w:r>
      <w:r>
        <w:rPr>
          <w:rFonts w:ascii="Times New Roman" w:hAnsi="Times New Roman" w:cs="Times New Roman"/>
          <w:sz w:val="22"/>
          <w:szCs w:val="22"/>
        </w:rPr>
        <w:t xml:space="preserve"> van het Europees Parlement </w:t>
      </w:r>
      <w:r w:rsidR="00D3112E">
        <w:rPr>
          <w:rFonts w:ascii="Times New Roman" w:hAnsi="Times New Roman" w:cs="Times New Roman"/>
          <w:sz w:val="22"/>
          <w:szCs w:val="22"/>
        </w:rPr>
        <w:t>tot 1 locatie te beperken,</w:t>
      </w:r>
      <w:r>
        <w:rPr>
          <w:rFonts w:ascii="Times New Roman" w:hAnsi="Times New Roman" w:cs="Times New Roman"/>
          <w:sz w:val="22"/>
          <w:szCs w:val="22"/>
        </w:rPr>
        <w:t xml:space="preserve"> </w:t>
      </w:r>
      <w:r w:rsidR="006C6AD9">
        <w:rPr>
          <w:rFonts w:ascii="Times New Roman" w:hAnsi="Times New Roman" w:cs="Times New Roman"/>
          <w:sz w:val="22"/>
          <w:szCs w:val="22"/>
        </w:rPr>
        <w:t xml:space="preserve">benadrukt </w:t>
      </w:r>
      <w:r>
        <w:rPr>
          <w:rFonts w:ascii="Times New Roman" w:hAnsi="Times New Roman" w:cs="Times New Roman"/>
          <w:sz w:val="22"/>
          <w:szCs w:val="22"/>
        </w:rPr>
        <w:t>het kabinet dat</w:t>
      </w:r>
      <w:r w:rsidR="006C6AD9">
        <w:rPr>
          <w:rFonts w:ascii="Times New Roman" w:hAnsi="Times New Roman" w:cs="Times New Roman"/>
          <w:sz w:val="22"/>
          <w:szCs w:val="22"/>
        </w:rPr>
        <w:t xml:space="preserve"> het zich hier conform staand beleid reeds voor inzet, daar waar dit zinvol is en daartoe gelegenheid bestaat. Hiervoor is echter verdragswijziging en dus de instemming van 28 lidstaten nodig. Zolang hierover geen overeenstemming bestaat, is een </w:t>
      </w:r>
      <w:r w:rsidR="00D3112E">
        <w:rPr>
          <w:rFonts w:ascii="Times New Roman" w:hAnsi="Times New Roman" w:cs="Times New Roman"/>
          <w:sz w:val="22"/>
          <w:szCs w:val="22"/>
        </w:rPr>
        <w:t>beperking</w:t>
      </w:r>
      <w:r w:rsidR="006C6AD9">
        <w:rPr>
          <w:rFonts w:ascii="Times New Roman" w:hAnsi="Times New Roman" w:cs="Times New Roman"/>
          <w:sz w:val="22"/>
          <w:szCs w:val="22"/>
        </w:rPr>
        <w:t xml:space="preserve"> van de vergaderplaats</w:t>
      </w:r>
      <w:r w:rsidR="00D3112E">
        <w:rPr>
          <w:rFonts w:ascii="Times New Roman" w:hAnsi="Times New Roman" w:cs="Times New Roman"/>
          <w:sz w:val="22"/>
          <w:szCs w:val="22"/>
        </w:rPr>
        <w:t>en</w:t>
      </w:r>
      <w:r w:rsidR="006C6AD9">
        <w:rPr>
          <w:rFonts w:ascii="Times New Roman" w:hAnsi="Times New Roman" w:cs="Times New Roman"/>
          <w:sz w:val="22"/>
          <w:szCs w:val="22"/>
        </w:rPr>
        <w:t xml:space="preserve"> niet realistisch.  </w:t>
      </w:r>
    </w:p>
    <w:p w:rsidRPr="00925B3C" w:rsidR="006206B7" w:rsidP="0049253F" w:rsidRDefault="006206B7" w14:paraId="418D275F" w14:textId="77777777">
      <w:pPr>
        <w:pStyle w:val="Lijstalinea"/>
        <w:ind w:left="0"/>
        <w:rPr>
          <w:rFonts w:ascii="Times New Roman" w:hAnsi="Times New Roman" w:cs="Times New Roman"/>
          <w:sz w:val="22"/>
          <w:szCs w:val="22"/>
        </w:rPr>
      </w:pPr>
    </w:p>
    <w:p w:rsidRPr="00925B3C" w:rsidR="00FC1CDE" w:rsidP="0049253F" w:rsidRDefault="00FC1CDE" w14:paraId="5F2C5189" w14:textId="77777777">
      <w:pPr>
        <w:pStyle w:val="Lijstalinea"/>
        <w:numPr>
          <w:ilvl w:val="0"/>
          <w:numId w:val="3"/>
        </w:numPr>
        <w:rPr>
          <w:rFonts w:ascii="Times New Roman" w:hAnsi="Times New Roman" w:cs="Times New Roman"/>
          <w:i/>
          <w:sz w:val="22"/>
          <w:szCs w:val="22"/>
        </w:rPr>
      </w:pPr>
      <w:r w:rsidRPr="00925B3C">
        <w:rPr>
          <w:rFonts w:ascii="Times New Roman" w:hAnsi="Times New Roman" w:cs="Times New Roman"/>
          <w:i/>
          <w:sz w:val="22"/>
          <w:szCs w:val="22"/>
        </w:rPr>
        <w:t>Versterking nationale instituties</w:t>
      </w:r>
    </w:p>
    <w:p w:rsidR="00925B3C" w:rsidP="0049253F" w:rsidRDefault="00925B3C" w14:paraId="4240CF6F" w14:textId="77777777">
      <w:pPr>
        <w:pStyle w:val="Lijstalinea"/>
        <w:ind w:left="0"/>
        <w:rPr>
          <w:rFonts w:ascii="Times New Roman" w:hAnsi="Times New Roman" w:cs="Times New Roman"/>
          <w:sz w:val="22"/>
          <w:szCs w:val="22"/>
        </w:rPr>
      </w:pPr>
    </w:p>
    <w:p w:rsidRPr="004B0189" w:rsidR="00925B3C" w:rsidP="0049253F" w:rsidRDefault="00925B3C" w14:paraId="4B62A6EC" w14:textId="77777777">
      <w:pPr>
        <w:pStyle w:val="Lijstalinea"/>
        <w:ind w:left="0"/>
        <w:rPr>
          <w:rFonts w:ascii="Times New Roman" w:hAnsi="Times New Roman" w:cs="Times New Roman"/>
          <w:sz w:val="22"/>
          <w:szCs w:val="22"/>
        </w:rPr>
      </w:pPr>
      <w:r w:rsidRPr="004B0189">
        <w:rPr>
          <w:rFonts w:ascii="Times New Roman" w:hAnsi="Times New Roman" w:cs="Times New Roman"/>
          <w:sz w:val="22"/>
          <w:szCs w:val="22"/>
        </w:rPr>
        <w:t>Naast de versterking van de rol voor nationale parlementen in het bijzonder, pleit de AIV voor de versterking van de lidstaten en de nati</w:t>
      </w:r>
      <w:r w:rsidR="001F537F">
        <w:rPr>
          <w:rFonts w:ascii="Times New Roman" w:hAnsi="Times New Roman" w:cs="Times New Roman"/>
          <w:sz w:val="22"/>
          <w:szCs w:val="22"/>
        </w:rPr>
        <w:t>o</w:t>
      </w:r>
      <w:r w:rsidRPr="004B0189">
        <w:rPr>
          <w:rFonts w:ascii="Times New Roman" w:hAnsi="Times New Roman" w:cs="Times New Roman"/>
          <w:sz w:val="22"/>
          <w:szCs w:val="22"/>
        </w:rPr>
        <w:t xml:space="preserve">nale instellingen in den brede om het vertrouwen van de burger in de Unie te herstellen. Effectief Europees bestuur kan niet zonder sterke nationale instellingen, aldus de AIV, in het bijzonder op het terrein van financieel-economisch bestuur (waarop hierna zal worden ingegaan). De deskundigheid en onafhankelijkheid van publieke organen alsmede de uitvoerbaarheid van en effectiviteit van hun besluiten moet </w:t>
      </w:r>
      <w:r w:rsidR="005370A0">
        <w:rPr>
          <w:rFonts w:ascii="Times New Roman" w:hAnsi="Times New Roman" w:cs="Times New Roman"/>
          <w:sz w:val="22"/>
          <w:szCs w:val="22"/>
        </w:rPr>
        <w:t xml:space="preserve">daarom </w:t>
      </w:r>
      <w:r w:rsidR="00203A6F">
        <w:rPr>
          <w:rFonts w:ascii="Times New Roman" w:hAnsi="Times New Roman" w:cs="Times New Roman"/>
          <w:sz w:val="22"/>
          <w:szCs w:val="22"/>
        </w:rPr>
        <w:t xml:space="preserve">volgens de AIV </w:t>
      </w:r>
      <w:r w:rsidRPr="004B0189">
        <w:rPr>
          <w:rFonts w:ascii="Times New Roman" w:hAnsi="Times New Roman" w:cs="Times New Roman"/>
          <w:sz w:val="22"/>
          <w:szCs w:val="22"/>
        </w:rPr>
        <w:t xml:space="preserve">worden versterkt. </w:t>
      </w:r>
    </w:p>
    <w:p w:rsidRPr="004B0189" w:rsidR="00925B3C" w:rsidP="0049253F" w:rsidRDefault="00925B3C" w14:paraId="22AA7E28" w14:textId="77777777">
      <w:pPr>
        <w:rPr>
          <w:rFonts w:ascii="Times New Roman" w:hAnsi="Times New Roman" w:cs="Times New Roman"/>
          <w:sz w:val="22"/>
          <w:szCs w:val="22"/>
        </w:rPr>
      </w:pPr>
    </w:p>
    <w:p w:rsidRPr="00515861" w:rsidR="00FC1CDE" w:rsidP="0049253F" w:rsidRDefault="00925B3C" w14:paraId="01B696E2" w14:textId="63FE7E9F">
      <w:pPr>
        <w:rPr>
          <w:rFonts w:ascii="Times New Roman" w:hAnsi="Times New Roman"/>
          <w:color w:val="000000" w:themeColor="text1"/>
          <w:sz w:val="22"/>
        </w:rPr>
      </w:pPr>
      <w:r w:rsidRPr="00515861">
        <w:rPr>
          <w:rFonts w:ascii="Times New Roman" w:hAnsi="Times New Roman"/>
          <w:color w:val="000000" w:themeColor="text1"/>
          <w:sz w:val="22"/>
        </w:rPr>
        <w:t>Het kabinet deelt deze analyse van de AIV. Behoud en versterking van nationale expertise en onafhankelijke organen</w:t>
      </w:r>
      <w:r w:rsidRPr="00515861" w:rsidR="00C11441">
        <w:rPr>
          <w:rFonts w:ascii="Times New Roman" w:hAnsi="Times New Roman" w:cs="Times New Roman"/>
          <w:color w:val="000000" w:themeColor="text1"/>
          <w:sz w:val="22"/>
          <w:szCs w:val="22"/>
        </w:rPr>
        <w:t xml:space="preserve"> in lidstaten</w:t>
      </w:r>
      <w:r w:rsidRPr="00515861">
        <w:rPr>
          <w:rFonts w:ascii="Times New Roman" w:hAnsi="Times New Roman"/>
          <w:color w:val="000000" w:themeColor="text1"/>
          <w:sz w:val="22"/>
        </w:rPr>
        <w:t xml:space="preserve"> is essentieel om binnen de Unie effectief bestuur te voeren, waarin vertrouwen is in het functioneren van e</w:t>
      </w:r>
      <w:r w:rsidR="00A11BC8">
        <w:rPr>
          <w:rFonts w:ascii="Times New Roman" w:hAnsi="Times New Roman"/>
          <w:color w:val="000000" w:themeColor="text1"/>
          <w:sz w:val="22"/>
        </w:rPr>
        <w:t>lkaars bestuursapparaten. Enkel</w:t>
      </w:r>
      <w:r w:rsidRPr="00515861">
        <w:rPr>
          <w:rFonts w:ascii="Times New Roman" w:hAnsi="Times New Roman"/>
          <w:color w:val="000000" w:themeColor="text1"/>
          <w:sz w:val="22"/>
        </w:rPr>
        <w:t xml:space="preserve"> versterking van de Europese bestuurslaag, instellingen en controle is daarvoor niet afdoende. Juist in de nationale bestuurslag</w:t>
      </w:r>
      <w:r w:rsidR="00F77518">
        <w:rPr>
          <w:rFonts w:ascii="Times New Roman" w:hAnsi="Times New Roman"/>
          <w:color w:val="000000" w:themeColor="text1"/>
          <w:sz w:val="22"/>
        </w:rPr>
        <w:t>en van de EU lidstaten</w:t>
      </w:r>
      <w:r w:rsidRPr="00515861">
        <w:rPr>
          <w:rFonts w:ascii="Times New Roman" w:hAnsi="Times New Roman"/>
          <w:color w:val="000000" w:themeColor="text1"/>
          <w:sz w:val="22"/>
        </w:rPr>
        <w:t xml:space="preserve"> moet de onafhankelijkheid en kwaliteit van nationale systemen, autoriteiten en organen (op terrein </w:t>
      </w:r>
      <w:r w:rsidR="00A11BC8">
        <w:rPr>
          <w:rFonts w:ascii="Times New Roman" w:hAnsi="Times New Roman"/>
          <w:color w:val="000000" w:themeColor="text1"/>
          <w:sz w:val="22"/>
        </w:rPr>
        <w:t xml:space="preserve">van </w:t>
      </w:r>
      <w:r w:rsidRPr="00515861">
        <w:rPr>
          <w:rFonts w:ascii="Times New Roman" w:hAnsi="Times New Roman"/>
          <w:color w:val="000000" w:themeColor="text1"/>
          <w:sz w:val="22"/>
        </w:rPr>
        <w:t>economisch bestuur, maar ook daarbuiten) worden vergroot en verankerd, als onderdeel van Europese netwerken met regels, wetgeving en onafhankelijk toezicht, zoals dit bijvoorbeeld ook op het terrein van het mededingingsrecht is georganiseerd.</w:t>
      </w:r>
    </w:p>
    <w:p w:rsidRPr="004B0189" w:rsidR="00FC1CDE" w:rsidP="0049253F" w:rsidRDefault="00FC1CDE" w14:paraId="54C7011D" w14:textId="77777777">
      <w:pPr>
        <w:pStyle w:val="Lijstalinea"/>
        <w:rPr>
          <w:rFonts w:ascii="Times New Roman" w:hAnsi="Times New Roman" w:cs="Times New Roman"/>
          <w:sz w:val="22"/>
          <w:szCs w:val="22"/>
          <w:u w:val="single"/>
        </w:rPr>
      </w:pPr>
    </w:p>
    <w:p w:rsidRPr="004B0189" w:rsidR="00EC0268" w:rsidP="0049253F" w:rsidRDefault="00DA3ACB" w14:paraId="7182AB66" w14:textId="77777777">
      <w:pPr>
        <w:pStyle w:val="Lijstalinea"/>
        <w:numPr>
          <w:ilvl w:val="0"/>
          <w:numId w:val="3"/>
        </w:numPr>
        <w:rPr>
          <w:rFonts w:ascii="Times New Roman" w:hAnsi="Times New Roman" w:cs="Times New Roman"/>
          <w:i/>
          <w:sz w:val="22"/>
          <w:szCs w:val="22"/>
        </w:rPr>
      </w:pPr>
      <w:r w:rsidRPr="004B0189">
        <w:rPr>
          <w:rFonts w:ascii="Times New Roman" w:hAnsi="Times New Roman" w:cs="Times New Roman"/>
          <w:i/>
          <w:sz w:val="22"/>
          <w:szCs w:val="22"/>
        </w:rPr>
        <w:t>Vergroting t</w:t>
      </w:r>
      <w:r w:rsidRPr="004B0189" w:rsidR="00EC0268">
        <w:rPr>
          <w:rFonts w:ascii="Times New Roman" w:hAnsi="Times New Roman" w:cs="Times New Roman"/>
          <w:i/>
          <w:sz w:val="22"/>
          <w:szCs w:val="22"/>
        </w:rPr>
        <w:t>ransparantie</w:t>
      </w:r>
    </w:p>
    <w:p w:rsidRPr="004B0189" w:rsidR="00522566" w:rsidP="0049253F" w:rsidRDefault="00522566" w14:paraId="3CF64E2F" w14:textId="77777777">
      <w:pPr>
        <w:rPr>
          <w:rFonts w:ascii="Times New Roman" w:hAnsi="Times New Roman" w:cs="Times New Roman"/>
          <w:sz w:val="22"/>
          <w:szCs w:val="22"/>
        </w:rPr>
      </w:pPr>
    </w:p>
    <w:p w:rsidRPr="00925B3C" w:rsidR="00D46A78" w:rsidP="0049253F" w:rsidRDefault="00D46A78" w14:paraId="50222ABA" w14:textId="77777777">
      <w:pPr>
        <w:rPr>
          <w:rFonts w:ascii="Times New Roman" w:hAnsi="Times New Roman" w:cs="Times New Roman"/>
          <w:sz w:val="22"/>
          <w:szCs w:val="22"/>
          <w:u w:val="single"/>
        </w:rPr>
      </w:pPr>
      <w:r w:rsidRPr="004B0189">
        <w:rPr>
          <w:rFonts w:ascii="Times New Roman" w:hAnsi="Times New Roman" w:cs="Times New Roman"/>
          <w:sz w:val="22"/>
          <w:szCs w:val="22"/>
        </w:rPr>
        <w:t xml:space="preserve">Het kabinet </w:t>
      </w:r>
      <w:r w:rsidRPr="004B0189" w:rsidR="00E628ED">
        <w:rPr>
          <w:rFonts w:ascii="Times New Roman" w:hAnsi="Times New Roman" w:cs="Times New Roman"/>
          <w:sz w:val="22"/>
          <w:szCs w:val="22"/>
        </w:rPr>
        <w:t>is het met de AIV eens dat een grotere openheid zou kunnen</w:t>
      </w:r>
      <w:r w:rsidRPr="00925B3C" w:rsidR="00E628ED">
        <w:rPr>
          <w:rFonts w:ascii="Times New Roman" w:hAnsi="Times New Roman" w:cs="Times New Roman"/>
          <w:sz w:val="22"/>
          <w:szCs w:val="22"/>
        </w:rPr>
        <w:t xml:space="preserve"> bijdragen aan het vertrouwen van de burgers in EU-instellingen en </w:t>
      </w:r>
      <w:r w:rsidRPr="00925B3C">
        <w:rPr>
          <w:rFonts w:ascii="Times New Roman" w:hAnsi="Times New Roman" w:cs="Times New Roman"/>
          <w:sz w:val="22"/>
          <w:szCs w:val="22"/>
        </w:rPr>
        <w:t>blijft zich</w:t>
      </w:r>
      <w:r w:rsidRPr="00925B3C" w:rsidR="00DA3ACB">
        <w:rPr>
          <w:rFonts w:ascii="Times New Roman" w:hAnsi="Times New Roman" w:cs="Times New Roman"/>
          <w:sz w:val="22"/>
          <w:szCs w:val="22"/>
        </w:rPr>
        <w:t xml:space="preserve"> daarom</w:t>
      </w:r>
      <w:r w:rsidRPr="00925B3C" w:rsidR="00E628ED">
        <w:rPr>
          <w:rFonts w:ascii="Times New Roman" w:hAnsi="Times New Roman" w:cs="Times New Roman"/>
          <w:sz w:val="22"/>
          <w:szCs w:val="22"/>
        </w:rPr>
        <w:t>, zoals neergelegd in de Staat van de Unie,</w:t>
      </w:r>
      <w:r w:rsidRPr="00925B3C">
        <w:rPr>
          <w:rFonts w:ascii="Times New Roman" w:hAnsi="Times New Roman" w:cs="Times New Roman"/>
          <w:sz w:val="22"/>
          <w:szCs w:val="22"/>
        </w:rPr>
        <w:t xml:space="preserve"> </w:t>
      </w:r>
      <w:r w:rsidRPr="00925B3C" w:rsidR="00E628ED">
        <w:rPr>
          <w:rFonts w:ascii="Times New Roman" w:hAnsi="Times New Roman" w:cs="Times New Roman"/>
          <w:sz w:val="22"/>
          <w:szCs w:val="22"/>
        </w:rPr>
        <w:t xml:space="preserve">samen met gelijkgezinde lidstaten in de Raad </w:t>
      </w:r>
      <w:r w:rsidRPr="00925B3C">
        <w:rPr>
          <w:rFonts w:ascii="Times New Roman" w:hAnsi="Times New Roman" w:cs="Times New Roman"/>
          <w:sz w:val="22"/>
          <w:szCs w:val="22"/>
        </w:rPr>
        <w:t xml:space="preserve">inzetten </w:t>
      </w:r>
      <w:r w:rsidRPr="00925B3C" w:rsidR="005C769B">
        <w:rPr>
          <w:rFonts w:ascii="Times New Roman" w:hAnsi="Times New Roman" w:cs="Times New Roman"/>
          <w:sz w:val="22"/>
          <w:szCs w:val="22"/>
        </w:rPr>
        <w:t xml:space="preserve">en zoeken naar mogelijkheden </w:t>
      </w:r>
      <w:r w:rsidRPr="00925B3C">
        <w:rPr>
          <w:rFonts w:ascii="Times New Roman" w:hAnsi="Times New Roman" w:cs="Times New Roman"/>
          <w:sz w:val="22"/>
          <w:szCs w:val="22"/>
        </w:rPr>
        <w:t xml:space="preserve">om de transparantie in de Europese besluitvormingsprocessen te vergroten. </w:t>
      </w:r>
      <w:r w:rsidRPr="00925B3C" w:rsidR="003164C6">
        <w:rPr>
          <w:rFonts w:ascii="Times New Roman" w:hAnsi="Times New Roman" w:cs="Times New Roman"/>
          <w:sz w:val="22"/>
          <w:szCs w:val="22"/>
        </w:rPr>
        <w:t>Zodra</w:t>
      </w:r>
      <w:r w:rsidRPr="00925B3C" w:rsidR="00DA3ACB">
        <w:rPr>
          <w:rFonts w:ascii="Times New Roman" w:hAnsi="Times New Roman" w:cs="Times New Roman"/>
          <w:sz w:val="22"/>
          <w:szCs w:val="22"/>
        </w:rPr>
        <w:t xml:space="preserve"> het kabinet hiertoe gelegenheid ziet – na het aantreden van het nieuwe Europees Parlement</w:t>
      </w:r>
      <w:r w:rsidR="00607546">
        <w:rPr>
          <w:rFonts w:ascii="Times New Roman" w:hAnsi="Times New Roman" w:cs="Times New Roman"/>
          <w:sz w:val="22"/>
          <w:szCs w:val="22"/>
        </w:rPr>
        <w:t xml:space="preserve"> en Commissie</w:t>
      </w:r>
      <w:r w:rsidRPr="00925B3C" w:rsidR="00DA3ACB">
        <w:rPr>
          <w:rFonts w:ascii="Times New Roman" w:hAnsi="Times New Roman" w:cs="Times New Roman"/>
          <w:sz w:val="22"/>
          <w:szCs w:val="22"/>
        </w:rPr>
        <w:t xml:space="preserve"> – </w:t>
      </w:r>
      <w:r w:rsidRPr="00925B3C" w:rsidR="003164C6">
        <w:rPr>
          <w:rFonts w:ascii="Times New Roman" w:hAnsi="Times New Roman" w:cs="Times New Roman"/>
          <w:sz w:val="22"/>
          <w:szCs w:val="22"/>
        </w:rPr>
        <w:t xml:space="preserve">zal het </w:t>
      </w:r>
      <w:r w:rsidRPr="00925B3C" w:rsidR="00DA3ACB">
        <w:rPr>
          <w:rFonts w:ascii="Times New Roman" w:hAnsi="Times New Roman" w:cs="Times New Roman"/>
          <w:sz w:val="22"/>
          <w:szCs w:val="22"/>
        </w:rPr>
        <w:t xml:space="preserve">kabinet zich </w:t>
      </w:r>
      <w:r w:rsidRPr="00925B3C" w:rsidR="003164C6">
        <w:rPr>
          <w:rFonts w:ascii="Times New Roman" w:hAnsi="Times New Roman" w:cs="Times New Roman"/>
          <w:sz w:val="22"/>
          <w:szCs w:val="22"/>
        </w:rPr>
        <w:t xml:space="preserve">wederom </w:t>
      </w:r>
      <w:r w:rsidRPr="00925B3C" w:rsidR="00DA3ACB">
        <w:rPr>
          <w:rFonts w:ascii="Times New Roman" w:hAnsi="Times New Roman" w:cs="Times New Roman"/>
          <w:sz w:val="22"/>
          <w:szCs w:val="22"/>
        </w:rPr>
        <w:t xml:space="preserve">inzetten voor </w:t>
      </w:r>
      <w:r w:rsidRPr="00925B3C" w:rsidR="003164C6">
        <w:rPr>
          <w:rFonts w:ascii="Times New Roman" w:hAnsi="Times New Roman" w:cs="Times New Roman"/>
          <w:sz w:val="22"/>
          <w:szCs w:val="22"/>
        </w:rPr>
        <w:t>d</w:t>
      </w:r>
      <w:r w:rsidRPr="00925B3C" w:rsidR="00E628ED">
        <w:rPr>
          <w:rFonts w:ascii="Times New Roman" w:hAnsi="Times New Roman" w:cs="Times New Roman"/>
          <w:sz w:val="22"/>
          <w:szCs w:val="22"/>
        </w:rPr>
        <w:t>e aanpassing van de Eurowob</w:t>
      </w:r>
      <w:r w:rsidR="00607546">
        <w:rPr>
          <w:rStyle w:val="Voetnootmarkering"/>
          <w:rFonts w:ascii="Times New Roman" w:hAnsi="Times New Roman"/>
          <w:sz w:val="22"/>
          <w:szCs w:val="22"/>
        </w:rPr>
        <w:footnoteReference w:id="4"/>
      </w:r>
      <w:r w:rsidRPr="00925B3C" w:rsidR="00E628ED">
        <w:rPr>
          <w:rFonts w:ascii="Times New Roman" w:hAnsi="Times New Roman" w:cs="Times New Roman"/>
          <w:sz w:val="22"/>
          <w:szCs w:val="22"/>
        </w:rPr>
        <w:t xml:space="preserve"> </w:t>
      </w:r>
      <w:r w:rsidRPr="00925B3C" w:rsidR="003164C6">
        <w:rPr>
          <w:rFonts w:ascii="Times New Roman" w:hAnsi="Times New Roman" w:cs="Times New Roman"/>
          <w:sz w:val="22"/>
          <w:szCs w:val="22"/>
        </w:rPr>
        <w:t>aan het verdrag v</w:t>
      </w:r>
      <w:r w:rsidRPr="00925B3C" w:rsidR="00DA3ACB">
        <w:rPr>
          <w:rFonts w:ascii="Times New Roman" w:hAnsi="Times New Roman" w:cs="Times New Roman"/>
          <w:sz w:val="22"/>
          <w:szCs w:val="22"/>
        </w:rPr>
        <w:t>an Lissabon</w:t>
      </w:r>
      <w:r w:rsidR="00607546">
        <w:rPr>
          <w:rStyle w:val="Voetnootmarkering"/>
          <w:rFonts w:ascii="Times New Roman" w:hAnsi="Times New Roman"/>
          <w:sz w:val="22"/>
          <w:szCs w:val="22"/>
        </w:rPr>
        <w:footnoteReference w:id="5"/>
      </w:r>
      <w:r w:rsidRPr="00925B3C" w:rsidR="00DA3ACB">
        <w:rPr>
          <w:rFonts w:ascii="Times New Roman" w:hAnsi="Times New Roman" w:cs="Times New Roman"/>
          <w:sz w:val="22"/>
          <w:szCs w:val="22"/>
        </w:rPr>
        <w:t>, zodat hierover spoedig tussen beide wetgevers overeenstemming kan worden bereikt.</w:t>
      </w:r>
      <w:r w:rsidRPr="00925B3C" w:rsidR="003164C6">
        <w:rPr>
          <w:rFonts w:ascii="Times New Roman" w:hAnsi="Times New Roman" w:cs="Times New Roman"/>
          <w:sz w:val="22"/>
          <w:szCs w:val="22"/>
        </w:rPr>
        <w:t xml:space="preserve"> Daarnaast zet het kabinet zich in voor de vergroting </w:t>
      </w:r>
      <w:r w:rsidRPr="00925B3C" w:rsidR="003164C6">
        <w:rPr>
          <w:rFonts w:ascii="Times New Roman" w:hAnsi="Times New Roman" w:cs="Times New Roman"/>
          <w:sz w:val="22"/>
          <w:szCs w:val="22"/>
        </w:rPr>
        <w:lastRenderedPageBreak/>
        <w:t xml:space="preserve">van </w:t>
      </w:r>
      <w:r w:rsidRPr="00925B3C" w:rsidR="00E628ED">
        <w:rPr>
          <w:rFonts w:ascii="Times New Roman" w:hAnsi="Times New Roman" w:cs="Times New Roman"/>
          <w:sz w:val="22"/>
          <w:szCs w:val="22"/>
        </w:rPr>
        <w:t>de actieve transparantie van de zij</w:t>
      </w:r>
      <w:r w:rsidRPr="00925B3C" w:rsidR="00DA3ACB">
        <w:rPr>
          <w:rFonts w:ascii="Times New Roman" w:hAnsi="Times New Roman" w:cs="Times New Roman"/>
          <w:sz w:val="22"/>
          <w:szCs w:val="22"/>
        </w:rPr>
        <w:t>de van de EU-instellingen</w:t>
      </w:r>
      <w:r w:rsidRPr="00925B3C" w:rsidR="00506AB7">
        <w:rPr>
          <w:rFonts w:ascii="Times New Roman" w:hAnsi="Times New Roman" w:cs="Times New Roman"/>
          <w:sz w:val="22"/>
          <w:szCs w:val="22"/>
        </w:rPr>
        <w:t xml:space="preserve">, bijvoorbeeld middels toegankelijkheid en vindbaarheid van documenten op EU-websites, zoals </w:t>
      </w:r>
      <w:r w:rsidR="008D1DE8">
        <w:rPr>
          <w:rFonts w:ascii="Times New Roman" w:hAnsi="Times New Roman" w:cs="Times New Roman"/>
          <w:sz w:val="22"/>
          <w:szCs w:val="22"/>
        </w:rPr>
        <w:t>roadmaps, impact assessments, consultaties en evaluaties</w:t>
      </w:r>
      <w:r w:rsidR="00A11BC8">
        <w:rPr>
          <w:rFonts w:ascii="Times New Roman" w:hAnsi="Times New Roman" w:cs="Times New Roman"/>
          <w:sz w:val="22"/>
          <w:szCs w:val="22"/>
        </w:rPr>
        <w:t>, ook</w:t>
      </w:r>
      <w:r w:rsidRPr="00925B3C" w:rsidR="00506AB7">
        <w:rPr>
          <w:rFonts w:ascii="Times New Roman" w:hAnsi="Times New Roman" w:cs="Times New Roman"/>
          <w:sz w:val="22"/>
          <w:szCs w:val="22"/>
        </w:rPr>
        <w:t xml:space="preserve"> op het terrein van </w:t>
      </w:r>
      <w:r w:rsidR="00607546">
        <w:rPr>
          <w:rFonts w:ascii="Times New Roman" w:hAnsi="Times New Roman" w:cs="Times New Roman"/>
          <w:sz w:val="22"/>
          <w:szCs w:val="22"/>
        </w:rPr>
        <w:t xml:space="preserve">lagere regelgeving </w:t>
      </w:r>
      <w:r w:rsidRPr="00925B3C" w:rsidR="00506AB7">
        <w:rPr>
          <w:rFonts w:ascii="Times New Roman" w:hAnsi="Times New Roman" w:cs="Times New Roman"/>
          <w:sz w:val="22"/>
          <w:szCs w:val="22"/>
        </w:rPr>
        <w:t>(uitvoeringshandelingen en gedelegeerde handelingen).</w:t>
      </w:r>
      <w:r w:rsidRPr="00925B3C" w:rsidR="00E628ED">
        <w:rPr>
          <w:rFonts w:ascii="Times New Roman" w:hAnsi="Times New Roman" w:cs="Times New Roman"/>
          <w:sz w:val="22"/>
          <w:szCs w:val="22"/>
        </w:rPr>
        <w:t xml:space="preserve"> </w:t>
      </w:r>
      <w:r w:rsidRPr="00925B3C">
        <w:rPr>
          <w:rFonts w:ascii="Times New Roman" w:hAnsi="Times New Roman" w:cs="Times New Roman"/>
          <w:sz w:val="22"/>
          <w:szCs w:val="22"/>
        </w:rPr>
        <w:t xml:space="preserve">Ook zal het kabinet – waar mogelijk – de classificatie van Raadsdocumenten aan de orde blijven stellen. </w:t>
      </w:r>
      <w:r w:rsidRPr="001C3089" w:rsidR="00997876">
        <w:rPr>
          <w:rFonts w:ascii="Times New Roman" w:hAnsi="Times New Roman" w:cs="Times New Roman"/>
          <w:sz w:val="22"/>
          <w:szCs w:val="22"/>
        </w:rPr>
        <w:t xml:space="preserve">Tot slot wordt in het verband van het Open Government </w:t>
      </w:r>
      <w:r w:rsidRPr="00997876" w:rsidR="00997876">
        <w:rPr>
          <w:rFonts w:ascii="Times New Roman" w:hAnsi="Times New Roman" w:cs="Times New Roman"/>
          <w:sz w:val="22"/>
          <w:szCs w:val="22"/>
        </w:rPr>
        <w:t>Partnership</w:t>
      </w:r>
      <w:r w:rsidR="00A11BC8">
        <w:rPr>
          <w:rFonts w:ascii="Times New Roman" w:hAnsi="Times New Roman" w:cs="Times New Roman"/>
          <w:sz w:val="22"/>
          <w:szCs w:val="22"/>
        </w:rPr>
        <w:t xml:space="preserve"> </w:t>
      </w:r>
      <w:r w:rsidRPr="00997876" w:rsidR="00A11BC8">
        <w:rPr>
          <w:rFonts w:ascii="Times New Roman" w:hAnsi="Times New Roman" w:cs="Times New Roman"/>
          <w:sz w:val="22"/>
          <w:szCs w:val="22"/>
        </w:rPr>
        <w:t xml:space="preserve">(OGP) </w:t>
      </w:r>
      <w:r w:rsidRPr="00997876" w:rsidR="00997876">
        <w:rPr>
          <w:rFonts w:ascii="Times New Roman" w:hAnsi="Times New Roman" w:cs="Times New Roman"/>
          <w:sz w:val="22"/>
          <w:szCs w:val="22"/>
        </w:rPr>
        <w:t xml:space="preserve">verkend of en hoe de internationale beweging van Open </w:t>
      </w:r>
      <w:r w:rsidR="00E24E03">
        <w:rPr>
          <w:rFonts w:ascii="Times New Roman" w:hAnsi="Times New Roman" w:cs="Times New Roman"/>
          <w:sz w:val="22"/>
          <w:szCs w:val="22"/>
        </w:rPr>
        <w:t>O</w:t>
      </w:r>
      <w:r w:rsidRPr="00997876" w:rsidR="00997876">
        <w:rPr>
          <w:rFonts w:ascii="Times New Roman" w:hAnsi="Times New Roman" w:cs="Times New Roman"/>
          <w:sz w:val="22"/>
          <w:szCs w:val="22"/>
        </w:rPr>
        <w:t>verheid ook het bevorderen van transparantie van de EU kan versterken.</w:t>
      </w:r>
    </w:p>
    <w:p w:rsidRPr="00925B3C" w:rsidR="00D46A78" w:rsidP="0049253F" w:rsidRDefault="00D46A78" w14:paraId="49CE109D" w14:textId="77777777">
      <w:pPr>
        <w:rPr>
          <w:rFonts w:ascii="Times New Roman" w:hAnsi="Times New Roman" w:cs="Times New Roman"/>
          <w:sz w:val="22"/>
          <w:szCs w:val="22"/>
          <w:u w:val="single"/>
        </w:rPr>
      </w:pPr>
    </w:p>
    <w:p w:rsidRPr="00925B3C" w:rsidR="00A35129" w:rsidP="0049253F" w:rsidRDefault="00A35129" w14:paraId="01603839" w14:textId="77777777">
      <w:pPr>
        <w:pStyle w:val="Lijstalinea"/>
        <w:numPr>
          <w:ilvl w:val="0"/>
          <w:numId w:val="3"/>
        </w:numPr>
        <w:rPr>
          <w:rFonts w:ascii="Times New Roman" w:hAnsi="Times New Roman" w:cs="Times New Roman"/>
          <w:i/>
          <w:sz w:val="22"/>
          <w:szCs w:val="22"/>
        </w:rPr>
      </w:pPr>
      <w:r w:rsidRPr="00925B3C">
        <w:rPr>
          <w:rFonts w:ascii="Times New Roman" w:hAnsi="Times New Roman" w:cs="Times New Roman"/>
          <w:i/>
          <w:sz w:val="22"/>
          <w:szCs w:val="22"/>
        </w:rPr>
        <w:t xml:space="preserve">Europese </w:t>
      </w:r>
      <w:r w:rsidR="00386345">
        <w:rPr>
          <w:rFonts w:ascii="Times New Roman" w:hAnsi="Times New Roman" w:cs="Times New Roman"/>
          <w:i/>
          <w:sz w:val="22"/>
          <w:szCs w:val="22"/>
        </w:rPr>
        <w:t>Algemene Wet Bestuursrecht</w:t>
      </w:r>
      <w:r w:rsidR="00515861">
        <w:rPr>
          <w:rFonts w:ascii="Times New Roman" w:hAnsi="Times New Roman" w:cs="Times New Roman"/>
          <w:i/>
          <w:sz w:val="22"/>
          <w:szCs w:val="22"/>
        </w:rPr>
        <w:t xml:space="preserve"> (</w:t>
      </w:r>
      <w:r w:rsidRPr="00925B3C" w:rsidR="0020066B">
        <w:rPr>
          <w:rFonts w:ascii="Times New Roman" w:hAnsi="Times New Roman" w:cs="Times New Roman"/>
          <w:i/>
          <w:sz w:val="22"/>
          <w:szCs w:val="22"/>
        </w:rPr>
        <w:t>AWB</w:t>
      </w:r>
      <w:r w:rsidR="00515861">
        <w:rPr>
          <w:rFonts w:ascii="Times New Roman" w:hAnsi="Times New Roman" w:cs="Times New Roman"/>
          <w:i/>
          <w:sz w:val="22"/>
          <w:szCs w:val="22"/>
        </w:rPr>
        <w:t>)</w:t>
      </w:r>
      <w:r w:rsidRPr="00925B3C" w:rsidR="0020066B">
        <w:rPr>
          <w:rFonts w:ascii="Times New Roman" w:hAnsi="Times New Roman" w:cs="Times New Roman"/>
          <w:i/>
          <w:sz w:val="22"/>
          <w:szCs w:val="22"/>
        </w:rPr>
        <w:t xml:space="preserve"> </w:t>
      </w:r>
    </w:p>
    <w:p w:rsidRPr="00925B3C" w:rsidR="00522566" w:rsidP="0049253F" w:rsidRDefault="00522566" w14:paraId="6359865F" w14:textId="77777777">
      <w:pPr>
        <w:autoSpaceDE w:val="0"/>
        <w:autoSpaceDN w:val="0"/>
        <w:rPr>
          <w:rFonts w:ascii="Times New Roman" w:hAnsi="Times New Roman" w:cs="Times New Roman"/>
          <w:sz w:val="22"/>
          <w:szCs w:val="22"/>
        </w:rPr>
      </w:pPr>
    </w:p>
    <w:p w:rsidRPr="00925B3C" w:rsidR="00A35129" w:rsidP="0049253F" w:rsidRDefault="00A35129" w14:paraId="7C84D608" w14:textId="77777777">
      <w:pPr>
        <w:autoSpaceDE w:val="0"/>
        <w:autoSpaceDN w:val="0"/>
        <w:rPr>
          <w:rFonts w:ascii="Times New Roman" w:hAnsi="Times New Roman" w:cs="Times New Roman"/>
          <w:sz w:val="22"/>
          <w:szCs w:val="22"/>
        </w:rPr>
      </w:pPr>
      <w:r w:rsidRPr="00925B3C">
        <w:rPr>
          <w:rFonts w:ascii="Times New Roman" w:hAnsi="Times New Roman" w:cs="Times New Roman"/>
          <w:sz w:val="22"/>
          <w:szCs w:val="22"/>
        </w:rPr>
        <w:t xml:space="preserve">De AIV heeft in het kader van goed Europees bestuur opgemerkt de ontwikkeling van een voorstel voor een </w:t>
      </w:r>
      <w:r w:rsidRPr="00925B3C" w:rsidR="00822865">
        <w:rPr>
          <w:rFonts w:ascii="Times New Roman" w:hAnsi="Times New Roman" w:cs="Times New Roman"/>
          <w:sz w:val="22"/>
          <w:szCs w:val="22"/>
        </w:rPr>
        <w:t>‘</w:t>
      </w:r>
      <w:r w:rsidRPr="00925B3C">
        <w:rPr>
          <w:rFonts w:ascii="Times New Roman" w:hAnsi="Times New Roman" w:cs="Times New Roman"/>
          <w:sz w:val="22"/>
          <w:szCs w:val="22"/>
        </w:rPr>
        <w:t xml:space="preserve">European </w:t>
      </w:r>
      <w:r w:rsidRPr="00925B3C" w:rsidR="0020066B">
        <w:rPr>
          <w:rFonts w:ascii="Times New Roman" w:hAnsi="Times New Roman" w:cs="Times New Roman"/>
          <w:sz w:val="22"/>
          <w:szCs w:val="22"/>
        </w:rPr>
        <w:t xml:space="preserve">administratieve </w:t>
      </w:r>
      <w:r w:rsidRPr="00925B3C">
        <w:rPr>
          <w:rFonts w:ascii="Times New Roman" w:hAnsi="Times New Roman" w:cs="Times New Roman"/>
          <w:sz w:val="22"/>
          <w:szCs w:val="22"/>
        </w:rPr>
        <w:t>procedural law act</w:t>
      </w:r>
      <w:r w:rsidRPr="00925B3C" w:rsidR="00822865">
        <w:rPr>
          <w:rFonts w:ascii="Times New Roman" w:hAnsi="Times New Roman" w:cs="Times New Roman"/>
          <w:sz w:val="22"/>
          <w:szCs w:val="22"/>
        </w:rPr>
        <w:t>’</w:t>
      </w:r>
      <w:r w:rsidRPr="00925B3C">
        <w:rPr>
          <w:rFonts w:ascii="Times New Roman" w:hAnsi="Times New Roman" w:cs="Times New Roman"/>
          <w:sz w:val="22"/>
          <w:szCs w:val="22"/>
        </w:rPr>
        <w:t xml:space="preserve"> te steunen, waartoe ook het Europees Parlement bij resolutie heeft opgeroepen.</w:t>
      </w:r>
      <w:r w:rsidRPr="00925B3C" w:rsidR="00DA3ACB">
        <w:rPr>
          <w:rFonts w:ascii="Times New Roman" w:hAnsi="Times New Roman" w:cs="Times New Roman"/>
          <w:sz w:val="22"/>
          <w:szCs w:val="22"/>
        </w:rPr>
        <w:t xml:space="preserve"> </w:t>
      </w:r>
      <w:r w:rsidRPr="00925B3C">
        <w:rPr>
          <w:rFonts w:ascii="Times New Roman" w:hAnsi="Times New Roman" w:cs="Times New Roman"/>
          <w:sz w:val="22"/>
          <w:szCs w:val="22"/>
        </w:rPr>
        <w:t>Mocht de Europese Commissie met een voorstel komen, dan zal het kabinet dit voorstel op zijn merites beoordelen. Daarbij zal ook moeten worden bezien of een wetgevingshandeling het meest geëigende instrument is voor het samenbrengen van (bestaande) bestuursrechtelijke regels voor de handelingen van de EU-instellingen.</w:t>
      </w:r>
    </w:p>
    <w:p w:rsidRPr="00925B3C" w:rsidR="00557D3E" w:rsidP="0049253F" w:rsidRDefault="00557D3E" w14:paraId="0F13EF50" w14:textId="77777777">
      <w:pPr>
        <w:rPr>
          <w:rFonts w:ascii="Times New Roman" w:hAnsi="Times New Roman" w:cs="Times New Roman"/>
          <w:sz w:val="22"/>
          <w:szCs w:val="22"/>
        </w:rPr>
      </w:pPr>
    </w:p>
    <w:p w:rsidRPr="00925B3C" w:rsidR="009D66CA" w:rsidP="0049253F" w:rsidRDefault="009D66CA" w14:paraId="0AD09407" w14:textId="77777777">
      <w:pPr>
        <w:rPr>
          <w:rFonts w:ascii="Times New Roman" w:hAnsi="Times New Roman" w:cs="Times New Roman"/>
          <w:b/>
          <w:sz w:val="22"/>
          <w:szCs w:val="22"/>
        </w:rPr>
      </w:pPr>
      <w:r w:rsidRPr="00925B3C">
        <w:rPr>
          <w:rFonts w:ascii="Times New Roman" w:hAnsi="Times New Roman" w:cs="Times New Roman"/>
          <w:b/>
          <w:sz w:val="22"/>
          <w:szCs w:val="22"/>
        </w:rPr>
        <w:t xml:space="preserve">B. </w:t>
      </w:r>
      <w:r w:rsidRPr="00925B3C" w:rsidR="00870E42">
        <w:rPr>
          <w:rFonts w:ascii="Times New Roman" w:hAnsi="Times New Roman" w:cs="Times New Roman"/>
          <w:b/>
          <w:sz w:val="22"/>
          <w:szCs w:val="22"/>
        </w:rPr>
        <w:t>N</w:t>
      </w:r>
      <w:r w:rsidRPr="00925B3C">
        <w:rPr>
          <w:rFonts w:ascii="Times New Roman" w:hAnsi="Times New Roman" w:cs="Times New Roman"/>
          <w:b/>
          <w:sz w:val="22"/>
          <w:szCs w:val="22"/>
        </w:rPr>
        <w:t xml:space="preserve">ieuwe instrumenten </w:t>
      </w:r>
    </w:p>
    <w:p w:rsidRPr="00925B3C" w:rsidR="0033379C" w:rsidP="0049253F" w:rsidRDefault="0033379C" w14:paraId="7ECB7A59" w14:textId="77777777">
      <w:pPr>
        <w:rPr>
          <w:rFonts w:ascii="Times New Roman" w:hAnsi="Times New Roman" w:cs="Times New Roman"/>
          <w:b/>
          <w:sz w:val="22"/>
          <w:szCs w:val="22"/>
        </w:rPr>
      </w:pPr>
    </w:p>
    <w:p w:rsidRPr="00925B3C" w:rsidR="00A35129" w:rsidP="0049253F" w:rsidRDefault="00A35129" w14:paraId="5F21B62B" w14:textId="77777777">
      <w:pPr>
        <w:pStyle w:val="Lijstalinea"/>
        <w:numPr>
          <w:ilvl w:val="0"/>
          <w:numId w:val="3"/>
        </w:numPr>
        <w:rPr>
          <w:rFonts w:ascii="Times New Roman" w:hAnsi="Times New Roman" w:cs="Times New Roman"/>
          <w:i/>
          <w:sz w:val="22"/>
          <w:szCs w:val="22"/>
        </w:rPr>
      </w:pPr>
      <w:r w:rsidRPr="00925B3C">
        <w:rPr>
          <w:rFonts w:ascii="Times New Roman" w:hAnsi="Times New Roman" w:cs="Times New Roman"/>
          <w:i/>
          <w:sz w:val="22"/>
          <w:szCs w:val="22"/>
        </w:rPr>
        <w:t>Constitutionele toetsing</w:t>
      </w:r>
    </w:p>
    <w:p w:rsidRPr="00925B3C" w:rsidR="00522566" w:rsidP="0049253F" w:rsidRDefault="00522566" w14:paraId="2B5689FB" w14:textId="77777777">
      <w:pPr>
        <w:rPr>
          <w:rFonts w:ascii="Times New Roman" w:hAnsi="Times New Roman" w:cs="Times New Roman"/>
          <w:sz w:val="22"/>
          <w:szCs w:val="22"/>
        </w:rPr>
      </w:pPr>
    </w:p>
    <w:p w:rsidR="00902981" w:rsidP="0049253F" w:rsidRDefault="00A35129" w14:paraId="31F82D6A" w14:textId="77777777">
      <w:pPr>
        <w:rPr>
          <w:rFonts w:ascii="Times New Roman" w:hAnsi="Times New Roman" w:cs="Times New Roman"/>
          <w:sz w:val="22"/>
          <w:szCs w:val="22"/>
        </w:rPr>
      </w:pPr>
      <w:r w:rsidRPr="00925B3C">
        <w:rPr>
          <w:rFonts w:ascii="Times New Roman" w:hAnsi="Times New Roman" w:cs="Times New Roman"/>
          <w:sz w:val="22"/>
          <w:szCs w:val="22"/>
        </w:rPr>
        <w:t>De AIV acht het zinvol nader te onderzoeken of constitutionele toetsing, zoals die in verscheidene andere lidstaten gebruikelijk is, nuttig en wenselijk is in Nederland.</w:t>
      </w:r>
      <w:r w:rsidRPr="00925B3C" w:rsidR="00DA3ACB">
        <w:rPr>
          <w:rFonts w:ascii="Times New Roman" w:hAnsi="Times New Roman" w:cs="Times New Roman"/>
          <w:sz w:val="22"/>
          <w:szCs w:val="22"/>
        </w:rPr>
        <w:t xml:space="preserve"> </w:t>
      </w:r>
      <w:r w:rsidRPr="00515861" w:rsidR="00C11441">
        <w:rPr>
          <w:rFonts w:ascii="Times New Roman" w:hAnsi="Times New Roman" w:cs="Times New Roman"/>
          <w:sz w:val="22"/>
          <w:szCs w:val="22"/>
        </w:rPr>
        <w:t xml:space="preserve">In de Nederlandse </w:t>
      </w:r>
      <w:r w:rsidR="00766ED7">
        <w:rPr>
          <w:rFonts w:ascii="Times New Roman" w:hAnsi="Times New Roman" w:cs="Times New Roman"/>
          <w:sz w:val="22"/>
          <w:szCs w:val="22"/>
        </w:rPr>
        <w:t>G</w:t>
      </w:r>
      <w:r w:rsidRPr="00515861" w:rsidR="00C11441">
        <w:rPr>
          <w:rFonts w:ascii="Times New Roman" w:hAnsi="Times New Roman" w:cs="Times New Roman"/>
          <w:sz w:val="22"/>
          <w:szCs w:val="22"/>
        </w:rPr>
        <w:t>rondwet is bepaald dat toetsing van formele wetten aan de grondwet alleen kan geschieden door de formele wetgever.</w:t>
      </w:r>
    </w:p>
    <w:p w:rsidR="00902981" w:rsidP="0049253F" w:rsidRDefault="00902981" w14:paraId="18F2FD13" w14:textId="77777777">
      <w:pPr>
        <w:rPr>
          <w:rFonts w:ascii="Times New Roman" w:hAnsi="Times New Roman" w:cs="Times New Roman"/>
          <w:sz w:val="22"/>
          <w:szCs w:val="22"/>
        </w:rPr>
      </w:pPr>
    </w:p>
    <w:p w:rsidRPr="00925B3C" w:rsidR="00A35129" w:rsidP="0049253F" w:rsidRDefault="00A35129" w14:paraId="3CE372E8" w14:textId="77777777">
      <w:pPr>
        <w:rPr>
          <w:rFonts w:ascii="Times New Roman" w:hAnsi="Times New Roman" w:cs="Times New Roman"/>
          <w:sz w:val="22"/>
          <w:szCs w:val="22"/>
        </w:rPr>
      </w:pPr>
      <w:r w:rsidRPr="00925B3C">
        <w:rPr>
          <w:rFonts w:ascii="Times New Roman" w:hAnsi="Times New Roman" w:cs="Times New Roman"/>
          <w:sz w:val="22"/>
          <w:szCs w:val="22"/>
        </w:rPr>
        <w:t xml:space="preserve">Over constitutionele toetsing heeft in het afgelopen decennium verscheidene malen een debat plaatsgevonden. Dit in het kader van het wetsvoorstel van het lid Van Tongeren (GroenLinks), voorheen van het lid Halsema, tot wijziging van de Grondwet dat momenteel in tweede lezing aanhangig is. Dit voorstel opent </w:t>
      </w:r>
      <w:r w:rsidRPr="00925B3C" w:rsidR="00FC1CDE">
        <w:rPr>
          <w:rFonts w:ascii="Times New Roman" w:hAnsi="Times New Roman" w:cs="Times New Roman"/>
          <w:sz w:val="22"/>
          <w:szCs w:val="22"/>
        </w:rPr>
        <w:t xml:space="preserve">bij aanname </w:t>
      </w:r>
      <w:r w:rsidRPr="00925B3C">
        <w:rPr>
          <w:rFonts w:ascii="Times New Roman" w:hAnsi="Times New Roman" w:cs="Times New Roman"/>
          <w:sz w:val="22"/>
          <w:szCs w:val="22"/>
        </w:rPr>
        <w:t xml:space="preserve">de mogelijkheid voor rechterlijke toetsing van wetten aan een beperkt aantal grondwetsbepalingen. </w:t>
      </w:r>
      <w:r w:rsidR="00DF64DA">
        <w:rPr>
          <w:rFonts w:ascii="Times New Roman" w:hAnsi="Times New Roman" w:cs="Times New Roman"/>
          <w:sz w:val="22"/>
          <w:szCs w:val="22"/>
        </w:rPr>
        <w:t xml:space="preserve">Het voorstel </w:t>
      </w:r>
      <w:r w:rsidR="0098683C">
        <w:rPr>
          <w:rFonts w:ascii="Times New Roman" w:hAnsi="Times New Roman" w:cs="Times New Roman"/>
          <w:sz w:val="22"/>
          <w:szCs w:val="22"/>
        </w:rPr>
        <w:t>zou daarmee een beperkte invulling geven aan het advies van de AIV</w:t>
      </w:r>
      <w:r w:rsidRPr="00925B3C">
        <w:rPr>
          <w:rFonts w:ascii="Times New Roman" w:hAnsi="Times New Roman" w:cs="Times New Roman"/>
          <w:sz w:val="22"/>
          <w:szCs w:val="22"/>
        </w:rPr>
        <w:t>.</w:t>
      </w:r>
      <w:r w:rsidR="0098683C">
        <w:rPr>
          <w:rFonts w:ascii="Times New Roman" w:hAnsi="Times New Roman" w:cs="Times New Roman"/>
          <w:sz w:val="22"/>
          <w:szCs w:val="22"/>
        </w:rPr>
        <w:t xml:space="preserve"> </w:t>
      </w:r>
      <w:r w:rsidRPr="00925B3C">
        <w:rPr>
          <w:rFonts w:ascii="Times New Roman" w:hAnsi="Times New Roman" w:cs="Times New Roman"/>
          <w:sz w:val="22"/>
          <w:szCs w:val="22"/>
        </w:rPr>
        <w:t>Bij gelegenheid van de eventuele verdere behandeling van dit voorstel zal het kabinet een standpunt innemen over de wenselijkheid van constitutionele toetsing</w:t>
      </w:r>
      <w:r w:rsidRPr="00925B3C" w:rsidR="00F94ABC">
        <w:rPr>
          <w:rFonts w:ascii="Times New Roman" w:hAnsi="Times New Roman" w:cs="Times New Roman"/>
          <w:sz w:val="22"/>
          <w:szCs w:val="22"/>
        </w:rPr>
        <w:t xml:space="preserve"> en een afweging maken tussen de voor- en nadelen</w:t>
      </w:r>
      <w:r w:rsidRPr="00925B3C">
        <w:rPr>
          <w:rFonts w:ascii="Times New Roman" w:hAnsi="Times New Roman" w:cs="Times New Roman"/>
          <w:sz w:val="22"/>
          <w:szCs w:val="22"/>
        </w:rPr>
        <w:t>.</w:t>
      </w:r>
      <w:r w:rsidR="0098683C">
        <w:rPr>
          <w:rFonts w:ascii="Times New Roman" w:hAnsi="Times New Roman" w:cs="Times New Roman"/>
          <w:sz w:val="22"/>
          <w:szCs w:val="22"/>
        </w:rPr>
        <w:t xml:space="preserve"> </w:t>
      </w:r>
    </w:p>
    <w:p w:rsidRPr="00925B3C" w:rsidR="00A35129" w:rsidP="0049253F" w:rsidRDefault="00A35129" w14:paraId="7CBC002D" w14:textId="77777777">
      <w:pPr>
        <w:pStyle w:val="Lijstalinea"/>
        <w:rPr>
          <w:rFonts w:ascii="Times New Roman" w:hAnsi="Times New Roman" w:cs="Times New Roman"/>
          <w:sz w:val="22"/>
          <w:szCs w:val="22"/>
        </w:rPr>
      </w:pPr>
    </w:p>
    <w:p w:rsidRPr="00925B3C" w:rsidR="00A21654" w:rsidP="0049253F" w:rsidRDefault="006206B7" w14:paraId="535FACA4" w14:textId="77777777">
      <w:pPr>
        <w:pStyle w:val="Lijstalinea"/>
        <w:numPr>
          <w:ilvl w:val="0"/>
          <w:numId w:val="3"/>
        </w:numPr>
        <w:rPr>
          <w:rFonts w:ascii="Times New Roman" w:hAnsi="Times New Roman" w:cs="Times New Roman"/>
          <w:i/>
          <w:sz w:val="22"/>
          <w:szCs w:val="22"/>
        </w:rPr>
      </w:pPr>
      <w:r w:rsidRPr="00925B3C">
        <w:rPr>
          <w:rFonts w:ascii="Times New Roman" w:hAnsi="Times New Roman" w:cs="Times New Roman"/>
          <w:i/>
          <w:sz w:val="22"/>
          <w:szCs w:val="22"/>
        </w:rPr>
        <w:t>Stroomlijning</w:t>
      </w:r>
      <w:r w:rsidRPr="00925B3C" w:rsidR="00A21654">
        <w:rPr>
          <w:rFonts w:ascii="Times New Roman" w:hAnsi="Times New Roman" w:cs="Times New Roman"/>
          <w:i/>
          <w:sz w:val="22"/>
          <w:szCs w:val="22"/>
        </w:rPr>
        <w:t xml:space="preserve"> Commissie</w:t>
      </w:r>
    </w:p>
    <w:p w:rsidR="00E24E03" w:rsidP="0049253F" w:rsidRDefault="00093254" w14:paraId="186EF7CE" w14:textId="77777777">
      <w:pPr>
        <w:pStyle w:val="Normaalweb"/>
        <w:rPr>
          <w:sz w:val="22"/>
          <w:szCs w:val="22"/>
        </w:rPr>
      </w:pPr>
      <w:r w:rsidRPr="00925B3C">
        <w:rPr>
          <w:sz w:val="22"/>
          <w:szCs w:val="22"/>
        </w:rPr>
        <w:t>Met de AIV is het kabinet</w:t>
      </w:r>
      <w:r w:rsidRPr="00925B3C" w:rsidR="00F25A75">
        <w:rPr>
          <w:sz w:val="22"/>
          <w:szCs w:val="22"/>
        </w:rPr>
        <w:t>, zoals neergelegd in de Staat van de Unie,</w:t>
      </w:r>
      <w:r w:rsidRPr="00925B3C">
        <w:rPr>
          <w:sz w:val="22"/>
          <w:szCs w:val="22"/>
        </w:rPr>
        <w:t xml:space="preserve"> voorstander van verkleining van de Commissie zodra hiertoe gelegenheid bestaat</w:t>
      </w:r>
      <w:r w:rsidR="00E92336">
        <w:rPr>
          <w:sz w:val="22"/>
          <w:szCs w:val="22"/>
        </w:rPr>
        <w:t>,</w:t>
      </w:r>
      <w:r w:rsidRPr="00925B3C">
        <w:rPr>
          <w:sz w:val="22"/>
          <w:szCs w:val="22"/>
        </w:rPr>
        <w:t xml:space="preserve"> teneinde haa</w:t>
      </w:r>
      <w:r w:rsidRPr="00925B3C" w:rsidR="0020066B">
        <w:rPr>
          <w:sz w:val="22"/>
          <w:szCs w:val="22"/>
        </w:rPr>
        <w:t>r effectiviteit en slagvaardig</w:t>
      </w:r>
      <w:r w:rsidRPr="00925B3C">
        <w:rPr>
          <w:sz w:val="22"/>
          <w:szCs w:val="22"/>
        </w:rPr>
        <w:t xml:space="preserve">heid te vergroten. </w:t>
      </w:r>
      <w:r w:rsidRPr="00925B3C" w:rsidR="00F25A75">
        <w:rPr>
          <w:sz w:val="22"/>
          <w:szCs w:val="22"/>
        </w:rPr>
        <w:t>Voor een effectieve en optimaal functionerende Europese Commissie zijn interne hervormingen nodig</w:t>
      </w:r>
      <w:r w:rsidR="00E92336">
        <w:rPr>
          <w:sz w:val="22"/>
          <w:szCs w:val="22"/>
        </w:rPr>
        <w:t>,</w:t>
      </w:r>
      <w:r w:rsidRPr="00925B3C" w:rsidR="00F25A75">
        <w:rPr>
          <w:sz w:val="22"/>
          <w:szCs w:val="22"/>
        </w:rPr>
        <w:t xml:space="preserve"> teneinde slagkracht en focus te winnen. </w:t>
      </w:r>
      <w:r w:rsidRPr="00925B3C">
        <w:rPr>
          <w:sz w:val="22"/>
          <w:szCs w:val="22"/>
        </w:rPr>
        <w:t xml:space="preserve">Vooralsnog is </w:t>
      </w:r>
      <w:r w:rsidRPr="00925B3C" w:rsidR="00F25A75">
        <w:rPr>
          <w:sz w:val="22"/>
          <w:szCs w:val="22"/>
        </w:rPr>
        <w:t>voor verkleining van de Commissie</w:t>
      </w:r>
      <w:r w:rsidRPr="00925B3C">
        <w:rPr>
          <w:sz w:val="22"/>
          <w:szCs w:val="22"/>
        </w:rPr>
        <w:t xml:space="preserve"> echter geen draagvlak</w:t>
      </w:r>
      <w:r w:rsidR="00E92336">
        <w:rPr>
          <w:sz w:val="22"/>
          <w:szCs w:val="22"/>
        </w:rPr>
        <w:t>,</w:t>
      </w:r>
      <w:r w:rsidRPr="00925B3C" w:rsidR="00B00373">
        <w:rPr>
          <w:sz w:val="22"/>
          <w:szCs w:val="22"/>
        </w:rPr>
        <w:t xml:space="preserve"> omdat kleinere lidstaten bang zijn gemarginaliseerd te worden en niet vertegenwoordigd te zijn</w:t>
      </w:r>
      <w:r w:rsidRPr="00925B3C">
        <w:rPr>
          <w:sz w:val="22"/>
          <w:szCs w:val="22"/>
        </w:rPr>
        <w:t>.</w:t>
      </w:r>
      <w:r w:rsidRPr="00925B3C" w:rsidR="005C769B">
        <w:rPr>
          <w:sz w:val="22"/>
          <w:szCs w:val="22"/>
        </w:rPr>
        <w:t xml:space="preserve"> Op 22 mei 2013 heeft de Europese Raad</w:t>
      </w:r>
      <w:r w:rsidR="00597E54">
        <w:rPr>
          <w:sz w:val="22"/>
          <w:szCs w:val="22"/>
        </w:rPr>
        <w:t>, als gevolg van de Europese Raadsconclusies van december 2008,</w:t>
      </w:r>
      <w:r w:rsidRPr="00925B3C" w:rsidR="005C769B">
        <w:rPr>
          <w:sz w:val="22"/>
          <w:szCs w:val="22"/>
        </w:rPr>
        <w:t xml:space="preserve"> formeel bevestigd dat vanaf 1 november 2014</w:t>
      </w:r>
      <w:r w:rsidR="00607546">
        <w:rPr>
          <w:sz w:val="22"/>
          <w:szCs w:val="22"/>
        </w:rPr>
        <w:t xml:space="preserve"> de Commissie bestaat uit één onderdaan van iedere lidstaat</w:t>
      </w:r>
      <w:r w:rsidRPr="00925B3C" w:rsidR="005C769B">
        <w:rPr>
          <w:sz w:val="22"/>
          <w:szCs w:val="22"/>
        </w:rPr>
        <w:t>. De Europese Raad heeft wel afgesproken deze beslissing te heroverwegen</w:t>
      </w:r>
      <w:r w:rsidR="00E92336">
        <w:rPr>
          <w:sz w:val="22"/>
          <w:szCs w:val="22"/>
        </w:rPr>
        <w:t>,</w:t>
      </w:r>
      <w:r w:rsidRPr="00925B3C" w:rsidR="005C769B">
        <w:rPr>
          <w:sz w:val="22"/>
          <w:szCs w:val="22"/>
        </w:rPr>
        <w:t xml:space="preserve"> ruim voor de benoeming van een Commissie na de toetreding van de 30</w:t>
      </w:r>
      <w:r w:rsidRPr="00925B3C" w:rsidR="005C769B">
        <w:rPr>
          <w:sz w:val="22"/>
          <w:szCs w:val="22"/>
          <w:vertAlign w:val="superscript"/>
        </w:rPr>
        <w:t>e</w:t>
      </w:r>
      <w:r w:rsidRPr="00925B3C" w:rsidR="005C769B">
        <w:rPr>
          <w:sz w:val="22"/>
          <w:szCs w:val="22"/>
        </w:rPr>
        <w:t xml:space="preserve"> lidstaat of voorafgaand aan de benoeming van de eerstvolgende Commissie (2019).</w:t>
      </w:r>
      <w:r w:rsidR="00E24E03">
        <w:rPr>
          <w:sz w:val="22"/>
          <w:szCs w:val="22"/>
        </w:rPr>
        <w:t xml:space="preserve"> Een besluit tot verkleining van de Commissie vergt derhalve geen verdragswijziging (zie ook par. 3.2. i).</w:t>
      </w:r>
    </w:p>
    <w:p w:rsidRPr="00925B3C" w:rsidR="00D46A78" w:rsidP="0049253F" w:rsidRDefault="00093254" w14:paraId="742566B6" w14:textId="55319C1E">
      <w:pPr>
        <w:pStyle w:val="Normaalweb"/>
        <w:rPr>
          <w:sz w:val="22"/>
          <w:szCs w:val="22"/>
        </w:rPr>
      </w:pPr>
      <w:r w:rsidRPr="00925B3C">
        <w:rPr>
          <w:sz w:val="22"/>
          <w:szCs w:val="22"/>
        </w:rPr>
        <w:t xml:space="preserve">In de tussentijd kan de Commissie zich naar mening van het kabinet al reorganiseren rond thematische clusters, teneinde aan slagkracht en focus te winnen. </w:t>
      </w:r>
      <w:r w:rsidRPr="00925B3C" w:rsidR="00D46A78">
        <w:rPr>
          <w:sz w:val="22"/>
          <w:szCs w:val="22"/>
        </w:rPr>
        <w:t>Deze c</w:t>
      </w:r>
      <w:r w:rsidRPr="00925B3C">
        <w:rPr>
          <w:sz w:val="22"/>
          <w:szCs w:val="22"/>
        </w:rPr>
        <w:t xml:space="preserve">lusters </w:t>
      </w:r>
      <w:r w:rsidRPr="00925B3C" w:rsidR="00B00373">
        <w:rPr>
          <w:sz w:val="22"/>
          <w:szCs w:val="22"/>
        </w:rPr>
        <w:t xml:space="preserve">zouden dan </w:t>
      </w:r>
      <w:r w:rsidRPr="00925B3C" w:rsidR="00B00373">
        <w:rPr>
          <w:sz w:val="22"/>
          <w:szCs w:val="22"/>
        </w:rPr>
        <w:lastRenderedPageBreak/>
        <w:t>kunnen worden</w:t>
      </w:r>
      <w:r w:rsidRPr="00925B3C">
        <w:rPr>
          <w:sz w:val="22"/>
          <w:szCs w:val="22"/>
        </w:rPr>
        <w:t xml:space="preserve"> geleid door vicevoorzitters, die verantwoordelijk zijn voor de strateg</w:t>
      </w:r>
      <w:r w:rsidRPr="00925B3C" w:rsidR="00D46A78">
        <w:rPr>
          <w:sz w:val="22"/>
          <w:szCs w:val="22"/>
        </w:rPr>
        <w:t xml:space="preserve">ische richting van hun cluster, </w:t>
      </w:r>
      <w:r w:rsidRPr="00925B3C">
        <w:rPr>
          <w:sz w:val="22"/>
          <w:szCs w:val="22"/>
        </w:rPr>
        <w:t xml:space="preserve">toezicht </w:t>
      </w:r>
      <w:r w:rsidRPr="00925B3C" w:rsidR="00D46A78">
        <w:rPr>
          <w:sz w:val="22"/>
          <w:szCs w:val="22"/>
        </w:rPr>
        <w:t xml:space="preserve">houden </w:t>
      </w:r>
      <w:r w:rsidRPr="00925B3C">
        <w:rPr>
          <w:sz w:val="22"/>
          <w:szCs w:val="22"/>
        </w:rPr>
        <w:t>op wetgevende initiatieven binnen hun cluster</w:t>
      </w:r>
      <w:r w:rsidRPr="00925B3C" w:rsidR="00D46A78">
        <w:rPr>
          <w:sz w:val="22"/>
          <w:szCs w:val="22"/>
        </w:rPr>
        <w:t xml:space="preserve"> </w:t>
      </w:r>
      <w:r w:rsidRPr="00925B3C">
        <w:rPr>
          <w:sz w:val="22"/>
          <w:szCs w:val="22"/>
        </w:rPr>
        <w:t xml:space="preserve">en deze doorsturen naar </w:t>
      </w:r>
      <w:r w:rsidRPr="00925B3C" w:rsidR="00D46A78">
        <w:rPr>
          <w:sz w:val="22"/>
          <w:szCs w:val="22"/>
        </w:rPr>
        <w:t xml:space="preserve">het </w:t>
      </w:r>
      <w:r w:rsidRPr="00925B3C">
        <w:rPr>
          <w:sz w:val="22"/>
          <w:szCs w:val="22"/>
        </w:rPr>
        <w:t>college</w:t>
      </w:r>
      <w:r w:rsidR="008B26E7">
        <w:rPr>
          <w:sz w:val="22"/>
          <w:szCs w:val="22"/>
        </w:rPr>
        <w:t xml:space="preserve"> en de horizontale afstemming </w:t>
      </w:r>
      <w:r w:rsidR="00640194">
        <w:rPr>
          <w:sz w:val="22"/>
          <w:szCs w:val="22"/>
        </w:rPr>
        <w:t xml:space="preserve">en coherentie </w:t>
      </w:r>
      <w:r w:rsidR="008B26E7">
        <w:rPr>
          <w:sz w:val="22"/>
          <w:szCs w:val="22"/>
        </w:rPr>
        <w:t>tussen de clusters bewaken</w:t>
      </w:r>
      <w:r w:rsidRPr="00925B3C">
        <w:rPr>
          <w:sz w:val="22"/>
          <w:szCs w:val="22"/>
        </w:rPr>
        <w:t xml:space="preserve">. </w:t>
      </w:r>
      <w:r w:rsidRPr="00925B3C" w:rsidR="00D46A78">
        <w:rPr>
          <w:sz w:val="22"/>
          <w:szCs w:val="22"/>
        </w:rPr>
        <w:t>Daarbij moeten de beginselen van collegialiteit en gelijkheid gewaarborgd blijven, zodat tweederangs Commissariaten voorkomen worden: alle Commissarissen hebben gelijk stemrecht en er kan een rotatiesysteem voor vicevoorzitters komen.</w:t>
      </w:r>
      <w:r w:rsidRPr="00925B3C">
        <w:rPr>
          <w:sz w:val="22"/>
          <w:szCs w:val="22"/>
        </w:rPr>
        <w:t xml:space="preserve"> </w:t>
      </w:r>
      <w:r w:rsidR="00E24E03">
        <w:rPr>
          <w:sz w:val="22"/>
          <w:szCs w:val="22"/>
        </w:rPr>
        <w:t>Het kabinet benadrukt overigens dat de (interne) organisatie van de Commissie voorbehouden is aan de Commissi</w:t>
      </w:r>
      <w:r w:rsidR="000F7B4C">
        <w:rPr>
          <w:sz w:val="22"/>
          <w:szCs w:val="22"/>
        </w:rPr>
        <w:t>e zelf (middels aanpassing van reglement van o</w:t>
      </w:r>
      <w:r w:rsidR="00E24E03">
        <w:rPr>
          <w:sz w:val="22"/>
          <w:szCs w:val="22"/>
        </w:rPr>
        <w:t>rde van de Commissie, zie par. 3.2.i)</w:t>
      </w:r>
    </w:p>
    <w:p w:rsidRPr="00925B3C" w:rsidR="00522566" w:rsidP="0049253F" w:rsidRDefault="006206B7" w14:paraId="59E23BE4" w14:textId="77777777">
      <w:pPr>
        <w:pStyle w:val="Lijstalinea"/>
        <w:numPr>
          <w:ilvl w:val="0"/>
          <w:numId w:val="3"/>
        </w:numPr>
        <w:rPr>
          <w:rFonts w:ascii="Times New Roman" w:hAnsi="Times New Roman" w:cs="Times New Roman"/>
          <w:i/>
          <w:sz w:val="22"/>
          <w:szCs w:val="22"/>
        </w:rPr>
      </w:pPr>
      <w:r w:rsidRPr="00925B3C">
        <w:rPr>
          <w:rFonts w:ascii="Times New Roman" w:hAnsi="Times New Roman" w:cs="Times New Roman"/>
          <w:i/>
          <w:sz w:val="22"/>
          <w:szCs w:val="22"/>
        </w:rPr>
        <w:t>Versterking i</w:t>
      </w:r>
      <w:r w:rsidRPr="00925B3C" w:rsidR="00A21654">
        <w:rPr>
          <w:rFonts w:ascii="Times New Roman" w:hAnsi="Times New Roman" w:cs="Times New Roman"/>
          <w:i/>
          <w:sz w:val="22"/>
          <w:szCs w:val="22"/>
        </w:rPr>
        <w:t>mpact assessment</w:t>
      </w:r>
    </w:p>
    <w:p w:rsidRPr="00925B3C" w:rsidR="009452E0" w:rsidP="0049253F" w:rsidRDefault="009452E0" w14:paraId="572089B2" w14:textId="77777777">
      <w:pPr>
        <w:rPr>
          <w:rFonts w:ascii="Times New Roman" w:hAnsi="Times New Roman" w:cs="Times New Roman"/>
          <w:sz w:val="22"/>
          <w:szCs w:val="22"/>
        </w:rPr>
      </w:pPr>
    </w:p>
    <w:p w:rsidR="00E92336" w:rsidP="0049253F" w:rsidRDefault="006A05CA" w14:paraId="164F52C6" w14:textId="77777777">
      <w:pPr>
        <w:rPr>
          <w:rFonts w:ascii="Times New Roman" w:hAnsi="Times New Roman" w:cs="Times New Roman"/>
          <w:sz w:val="22"/>
          <w:szCs w:val="22"/>
        </w:rPr>
      </w:pPr>
      <w:r w:rsidRPr="00925B3C">
        <w:rPr>
          <w:rFonts w:ascii="Times New Roman" w:hAnsi="Times New Roman" w:cs="Times New Roman"/>
          <w:sz w:val="22"/>
          <w:szCs w:val="22"/>
        </w:rPr>
        <w:t xml:space="preserve">De AIV beveelt aan het impact assessmentbeleid van de EU nader uit te werken, onder meer door de ontwikkeling van een </w:t>
      </w:r>
      <w:r w:rsidRPr="00925B3C" w:rsidR="004A4333">
        <w:rPr>
          <w:rFonts w:ascii="Times New Roman" w:hAnsi="Times New Roman" w:cs="Times New Roman"/>
          <w:sz w:val="22"/>
          <w:szCs w:val="22"/>
        </w:rPr>
        <w:t xml:space="preserve">gecoördineerde </w:t>
      </w:r>
      <w:r w:rsidRPr="00925B3C" w:rsidR="004F1DC5">
        <w:rPr>
          <w:rFonts w:ascii="Times New Roman" w:hAnsi="Times New Roman" w:cs="Times New Roman"/>
          <w:sz w:val="22"/>
          <w:szCs w:val="22"/>
        </w:rPr>
        <w:t>interinstitutionele aanpak van impact assessments (IA’s)</w:t>
      </w:r>
      <w:r w:rsidRPr="00925B3C">
        <w:rPr>
          <w:rFonts w:ascii="Times New Roman" w:hAnsi="Times New Roman" w:cs="Times New Roman"/>
          <w:sz w:val="22"/>
          <w:szCs w:val="22"/>
        </w:rPr>
        <w:t xml:space="preserve"> en het uitvoeren van IA’s op Raadsniveau waar het amendementen van de Raad betreft. Het kabinet zet</w:t>
      </w:r>
      <w:r w:rsidRPr="00925B3C" w:rsidR="004F1DC5">
        <w:rPr>
          <w:rFonts w:ascii="Times New Roman" w:hAnsi="Times New Roman" w:cs="Times New Roman"/>
          <w:sz w:val="22"/>
          <w:szCs w:val="22"/>
        </w:rPr>
        <w:t xml:space="preserve"> zich</w:t>
      </w:r>
      <w:r w:rsidRPr="00925B3C" w:rsidR="00F25A75">
        <w:rPr>
          <w:rFonts w:ascii="Times New Roman" w:hAnsi="Times New Roman" w:cs="Times New Roman"/>
          <w:sz w:val="22"/>
          <w:szCs w:val="22"/>
        </w:rPr>
        <w:t>,</w:t>
      </w:r>
      <w:r w:rsidRPr="00925B3C">
        <w:rPr>
          <w:rFonts w:ascii="Times New Roman" w:hAnsi="Times New Roman" w:cs="Times New Roman"/>
          <w:sz w:val="22"/>
          <w:szCs w:val="22"/>
        </w:rPr>
        <w:t xml:space="preserve"> </w:t>
      </w:r>
      <w:r w:rsidRPr="00925B3C" w:rsidR="00F25A75">
        <w:rPr>
          <w:rFonts w:ascii="Times New Roman" w:hAnsi="Times New Roman" w:cs="Times New Roman"/>
          <w:sz w:val="22"/>
          <w:szCs w:val="22"/>
        </w:rPr>
        <w:t xml:space="preserve">samen met gelijkgezinde lidstaten, </w:t>
      </w:r>
      <w:r w:rsidRPr="00925B3C">
        <w:rPr>
          <w:rFonts w:ascii="Times New Roman" w:hAnsi="Times New Roman" w:cs="Times New Roman"/>
          <w:sz w:val="22"/>
          <w:szCs w:val="22"/>
        </w:rPr>
        <w:t xml:space="preserve">reeds actief in voor </w:t>
      </w:r>
      <w:r w:rsidRPr="00925B3C" w:rsidR="00F25A75">
        <w:rPr>
          <w:rFonts w:ascii="Times New Roman" w:hAnsi="Times New Roman" w:cs="Times New Roman"/>
          <w:sz w:val="22"/>
          <w:szCs w:val="22"/>
        </w:rPr>
        <w:t xml:space="preserve">betere </w:t>
      </w:r>
      <w:r w:rsidRPr="00925B3C" w:rsidR="007C79C1">
        <w:rPr>
          <w:rFonts w:ascii="Times New Roman" w:hAnsi="Times New Roman" w:cs="Times New Roman"/>
          <w:sz w:val="22"/>
          <w:szCs w:val="22"/>
        </w:rPr>
        <w:t xml:space="preserve">en transparante </w:t>
      </w:r>
      <w:r w:rsidRPr="00925B3C" w:rsidR="00F25A75">
        <w:rPr>
          <w:rFonts w:ascii="Times New Roman" w:hAnsi="Times New Roman" w:cs="Times New Roman"/>
          <w:sz w:val="22"/>
          <w:szCs w:val="22"/>
        </w:rPr>
        <w:t>IA’s en een</w:t>
      </w:r>
      <w:r w:rsidRPr="00925B3C">
        <w:rPr>
          <w:rFonts w:ascii="Times New Roman" w:hAnsi="Times New Roman" w:cs="Times New Roman"/>
          <w:sz w:val="22"/>
          <w:szCs w:val="22"/>
        </w:rPr>
        <w:t xml:space="preserve"> beter</w:t>
      </w:r>
      <w:r w:rsidRPr="00925B3C" w:rsidR="007C79C1">
        <w:rPr>
          <w:rFonts w:ascii="Times New Roman" w:hAnsi="Times New Roman" w:cs="Times New Roman"/>
          <w:sz w:val="22"/>
          <w:szCs w:val="22"/>
        </w:rPr>
        <w:t xml:space="preserve"> </w:t>
      </w:r>
      <w:r w:rsidRPr="00925B3C">
        <w:rPr>
          <w:rFonts w:ascii="Times New Roman" w:hAnsi="Times New Roman" w:cs="Times New Roman"/>
          <w:sz w:val="22"/>
          <w:szCs w:val="22"/>
        </w:rPr>
        <w:t xml:space="preserve">gebruik </w:t>
      </w:r>
      <w:r w:rsidRPr="00925B3C" w:rsidR="00F25A75">
        <w:rPr>
          <w:rFonts w:ascii="Times New Roman" w:hAnsi="Times New Roman" w:cs="Times New Roman"/>
          <w:sz w:val="22"/>
          <w:szCs w:val="22"/>
        </w:rPr>
        <w:t>hiervan</w:t>
      </w:r>
      <w:r w:rsidRPr="00925B3C">
        <w:rPr>
          <w:rFonts w:ascii="Times New Roman" w:hAnsi="Times New Roman" w:cs="Times New Roman"/>
          <w:sz w:val="22"/>
          <w:szCs w:val="22"/>
        </w:rPr>
        <w:t xml:space="preserve">, </w:t>
      </w:r>
      <w:r w:rsidRPr="00925B3C" w:rsidR="004F1DC5">
        <w:rPr>
          <w:rFonts w:ascii="Times New Roman" w:hAnsi="Times New Roman" w:cs="Times New Roman"/>
          <w:sz w:val="22"/>
          <w:szCs w:val="22"/>
        </w:rPr>
        <w:t xml:space="preserve">teneinde de keuze voor bepaalde regelgeving beter te kunnen beoordelen. </w:t>
      </w:r>
      <w:r w:rsidRPr="00925B3C">
        <w:rPr>
          <w:rFonts w:ascii="Times New Roman" w:hAnsi="Times New Roman" w:cs="Times New Roman"/>
          <w:sz w:val="22"/>
          <w:szCs w:val="22"/>
        </w:rPr>
        <w:t xml:space="preserve">Vorig jaar </w:t>
      </w:r>
      <w:r w:rsidRPr="00925B3C" w:rsidR="009452E0">
        <w:rPr>
          <w:rFonts w:ascii="Times New Roman" w:hAnsi="Times New Roman" w:cs="Times New Roman"/>
          <w:sz w:val="22"/>
          <w:szCs w:val="22"/>
        </w:rPr>
        <w:t>zijn</w:t>
      </w:r>
      <w:r w:rsidRPr="00925B3C">
        <w:rPr>
          <w:rFonts w:ascii="Times New Roman" w:hAnsi="Times New Roman" w:cs="Times New Roman"/>
          <w:sz w:val="22"/>
          <w:szCs w:val="22"/>
        </w:rPr>
        <w:t xml:space="preserve"> hier</w:t>
      </w:r>
      <w:r w:rsidRPr="00925B3C" w:rsidR="009452E0">
        <w:rPr>
          <w:rFonts w:ascii="Times New Roman" w:hAnsi="Times New Roman" w:cs="Times New Roman"/>
          <w:sz w:val="22"/>
          <w:szCs w:val="22"/>
        </w:rPr>
        <w:t>o</w:t>
      </w:r>
      <w:r w:rsidRPr="00925B3C">
        <w:rPr>
          <w:rFonts w:ascii="Times New Roman" w:hAnsi="Times New Roman" w:cs="Times New Roman"/>
          <w:sz w:val="22"/>
          <w:szCs w:val="22"/>
        </w:rPr>
        <w:t>v</w:t>
      </w:r>
      <w:r w:rsidRPr="00925B3C" w:rsidR="009452E0">
        <w:rPr>
          <w:rFonts w:ascii="Times New Roman" w:hAnsi="Times New Roman" w:cs="Times New Roman"/>
          <w:sz w:val="22"/>
          <w:szCs w:val="22"/>
        </w:rPr>
        <w:t>er</w:t>
      </w:r>
      <w:r w:rsidRPr="00925B3C">
        <w:rPr>
          <w:rFonts w:ascii="Times New Roman" w:hAnsi="Times New Roman" w:cs="Times New Roman"/>
          <w:sz w:val="22"/>
          <w:szCs w:val="22"/>
        </w:rPr>
        <w:t xml:space="preserve"> binnen de Raad </w:t>
      </w:r>
      <w:r w:rsidRPr="00925B3C" w:rsidR="009452E0">
        <w:rPr>
          <w:rFonts w:ascii="Times New Roman" w:hAnsi="Times New Roman" w:cs="Times New Roman"/>
          <w:sz w:val="22"/>
          <w:szCs w:val="22"/>
        </w:rPr>
        <w:t>reeds afspraken gemaakt</w:t>
      </w:r>
      <w:r w:rsidRPr="00925B3C">
        <w:rPr>
          <w:rFonts w:ascii="Times New Roman" w:hAnsi="Times New Roman" w:cs="Times New Roman"/>
          <w:sz w:val="22"/>
          <w:szCs w:val="22"/>
        </w:rPr>
        <w:t>, in het kader waarvan inmiddels een aantal pilotprojecten word</w:t>
      </w:r>
      <w:r w:rsidRPr="00925B3C" w:rsidR="0037666A">
        <w:rPr>
          <w:rFonts w:ascii="Times New Roman" w:hAnsi="Times New Roman" w:cs="Times New Roman"/>
          <w:sz w:val="22"/>
          <w:szCs w:val="22"/>
        </w:rPr>
        <w:t>t</w:t>
      </w:r>
      <w:r w:rsidRPr="00925B3C">
        <w:rPr>
          <w:rFonts w:ascii="Times New Roman" w:hAnsi="Times New Roman" w:cs="Times New Roman"/>
          <w:sz w:val="22"/>
          <w:szCs w:val="22"/>
        </w:rPr>
        <w:t xml:space="preserve"> uitgevoerd</w:t>
      </w:r>
      <w:r w:rsidRPr="00925B3C" w:rsidR="004F1DC5">
        <w:rPr>
          <w:rFonts w:ascii="Times New Roman" w:hAnsi="Times New Roman" w:cs="Times New Roman"/>
          <w:sz w:val="22"/>
          <w:szCs w:val="22"/>
        </w:rPr>
        <w:t xml:space="preserve"> </w:t>
      </w:r>
      <w:r w:rsidRPr="00925B3C" w:rsidR="004F1DC5">
        <w:rPr>
          <w:rFonts w:ascii="Times New Roman" w:hAnsi="Times New Roman" w:cs="Times New Roman"/>
          <w:color w:val="000000"/>
          <w:sz w:val="22"/>
          <w:szCs w:val="22"/>
        </w:rPr>
        <w:t>ter bespreking van de IA’s van de Europese Commissie.</w:t>
      </w:r>
      <w:r w:rsidRPr="00925B3C">
        <w:rPr>
          <w:rFonts w:ascii="Times New Roman" w:hAnsi="Times New Roman" w:cs="Times New Roman"/>
          <w:sz w:val="22"/>
          <w:szCs w:val="22"/>
        </w:rPr>
        <w:t xml:space="preserve"> </w:t>
      </w:r>
      <w:r w:rsidRPr="00925B3C" w:rsidR="009452E0">
        <w:rPr>
          <w:rFonts w:ascii="Times New Roman" w:hAnsi="Times New Roman" w:cs="Times New Roman"/>
          <w:sz w:val="22"/>
          <w:szCs w:val="22"/>
        </w:rPr>
        <w:t xml:space="preserve">De resultaten daarvan worden binnenkort verwacht. </w:t>
      </w:r>
      <w:r w:rsidRPr="00925B3C">
        <w:rPr>
          <w:rFonts w:ascii="Times New Roman" w:hAnsi="Times New Roman" w:cs="Times New Roman"/>
          <w:sz w:val="22"/>
          <w:szCs w:val="22"/>
        </w:rPr>
        <w:t xml:space="preserve">Ook zullen de richtsnoeren voor het opstellen van IA’s </w:t>
      </w:r>
      <w:r w:rsidR="00597E54">
        <w:rPr>
          <w:rFonts w:ascii="Times New Roman" w:hAnsi="Times New Roman" w:cs="Times New Roman"/>
          <w:sz w:val="22"/>
          <w:szCs w:val="22"/>
        </w:rPr>
        <w:t>door de Commissie</w:t>
      </w:r>
      <w:r w:rsidR="00212B88">
        <w:rPr>
          <w:rFonts w:ascii="Times New Roman" w:hAnsi="Times New Roman" w:cs="Times New Roman"/>
          <w:sz w:val="22"/>
          <w:szCs w:val="22"/>
        </w:rPr>
        <w:t xml:space="preserve"> </w:t>
      </w:r>
      <w:r w:rsidRPr="00925B3C">
        <w:rPr>
          <w:rFonts w:ascii="Times New Roman" w:hAnsi="Times New Roman" w:cs="Times New Roman"/>
          <w:sz w:val="22"/>
          <w:szCs w:val="22"/>
        </w:rPr>
        <w:t>dit jaar worden herzien</w:t>
      </w:r>
      <w:r w:rsidR="00E92336">
        <w:rPr>
          <w:rFonts w:ascii="Times New Roman" w:hAnsi="Times New Roman" w:cs="Times New Roman"/>
          <w:sz w:val="22"/>
          <w:szCs w:val="22"/>
        </w:rPr>
        <w:t>; de Commissie zal hiertoe een openbare consultatie starten</w:t>
      </w:r>
      <w:r w:rsidRPr="00925B3C">
        <w:rPr>
          <w:rFonts w:ascii="Times New Roman" w:hAnsi="Times New Roman" w:cs="Times New Roman"/>
          <w:sz w:val="22"/>
          <w:szCs w:val="22"/>
        </w:rPr>
        <w:t xml:space="preserve">. </w:t>
      </w:r>
    </w:p>
    <w:p w:rsidR="00203A6F" w:rsidP="0049253F" w:rsidRDefault="00203A6F" w14:paraId="7C2738FD" w14:textId="77777777">
      <w:pPr>
        <w:rPr>
          <w:rFonts w:ascii="Times New Roman" w:hAnsi="Times New Roman" w:cs="Times New Roman"/>
          <w:sz w:val="22"/>
          <w:szCs w:val="22"/>
        </w:rPr>
      </w:pPr>
    </w:p>
    <w:p w:rsidRPr="00925B3C" w:rsidR="000C0940" w:rsidP="0049253F" w:rsidRDefault="004F1DC5" w14:paraId="07C2318F" w14:textId="77777777">
      <w:pPr>
        <w:rPr>
          <w:rFonts w:ascii="Times New Roman" w:hAnsi="Times New Roman" w:cs="Times New Roman"/>
          <w:sz w:val="22"/>
          <w:szCs w:val="22"/>
        </w:rPr>
      </w:pPr>
      <w:r w:rsidRPr="00925B3C">
        <w:rPr>
          <w:rFonts w:ascii="Times New Roman" w:hAnsi="Times New Roman" w:cs="Times New Roman"/>
          <w:color w:val="000000"/>
          <w:sz w:val="22"/>
          <w:szCs w:val="22"/>
        </w:rPr>
        <w:t>Het kabinet zal zich in dit kader inzetten voor het opnemen in de IA’s van de nalevingskosten</w:t>
      </w:r>
      <w:r w:rsidR="00997876">
        <w:rPr>
          <w:rFonts w:ascii="Times New Roman" w:hAnsi="Times New Roman" w:cs="Times New Roman"/>
          <w:color w:val="000000"/>
          <w:sz w:val="22"/>
          <w:szCs w:val="22"/>
        </w:rPr>
        <w:t xml:space="preserve">, </w:t>
      </w:r>
      <w:r w:rsidRPr="00925B3C" w:rsidR="00997876">
        <w:rPr>
          <w:rFonts w:ascii="Times New Roman" w:hAnsi="Times New Roman" w:cs="Times New Roman"/>
          <w:color w:val="000000"/>
          <w:sz w:val="22"/>
          <w:szCs w:val="22"/>
        </w:rPr>
        <w:t>van vaste toetsing op effecten van betreffende maatregelen op de concurrentiekracht van de Unie</w:t>
      </w:r>
      <w:r w:rsidR="00DF64DA">
        <w:rPr>
          <w:rFonts w:ascii="Times New Roman" w:hAnsi="Times New Roman" w:cs="Times New Roman"/>
          <w:color w:val="000000"/>
          <w:sz w:val="22"/>
          <w:szCs w:val="22"/>
        </w:rPr>
        <w:t xml:space="preserve"> en op werkgelegenheid</w:t>
      </w:r>
      <w:r w:rsidRPr="00925B3C" w:rsidR="00997876">
        <w:rPr>
          <w:rFonts w:ascii="Times New Roman" w:hAnsi="Times New Roman" w:cs="Times New Roman"/>
          <w:color w:val="000000"/>
          <w:sz w:val="22"/>
          <w:szCs w:val="22"/>
        </w:rPr>
        <w:t>, en voor het in kaart brengen van de</w:t>
      </w:r>
      <w:r w:rsidR="00997876">
        <w:rPr>
          <w:rFonts w:ascii="Times New Roman" w:hAnsi="Times New Roman" w:cs="Times New Roman"/>
          <w:color w:val="000000"/>
          <w:sz w:val="22"/>
          <w:szCs w:val="22"/>
        </w:rPr>
        <w:t xml:space="preserve"> administratieve en financiële</w:t>
      </w:r>
      <w:r w:rsidRPr="00925B3C" w:rsidR="00997876">
        <w:rPr>
          <w:rFonts w:ascii="Times New Roman" w:hAnsi="Times New Roman" w:cs="Times New Roman"/>
          <w:color w:val="000000"/>
          <w:sz w:val="22"/>
          <w:szCs w:val="22"/>
        </w:rPr>
        <w:t xml:space="preserve"> gevolgen van regelgeving op</w:t>
      </w:r>
      <w:r w:rsidR="00997876">
        <w:rPr>
          <w:rFonts w:ascii="Times New Roman" w:hAnsi="Times New Roman" w:cs="Times New Roman"/>
          <w:color w:val="000000"/>
          <w:sz w:val="22"/>
          <w:szCs w:val="22"/>
        </w:rPr>
        <w:t xml:space="preserve"> </w:t>
      </w:r>
      <w:r w:rsidR="00E92336">
        <w:rPr>
          <w:rFonts w:ascii="Times New Roman" w:hAnsi="Times New Roman" w:cs="Times New Roman"/>
          <w:color w:val="000000"/>
          <w:sz w:val="22"/>
          <w:szCs w:val="22"/>
        </w:rPr>
        <w:t xml:space="preserve">nationaal, </w:t>
      </w:r>
      <w:r w:rsidR="00997876">
        <w:rPr>
          <w:rFonts w:ascii="Times New Roman" w:hAnsi="Times New Roman" w:cs="Times New Roman"/>
          <w:color w:val="000000"/>
          <w:sz w:val="22"/>
          <w:szCs w:val="22"/>
        </w:rPr>
        <w:t>regionaal en</w:t>
      </w:r>
      <w:r w:rsidRPr="00925B3C" w:rsidR="00997876">
        <w:rPr>
          <w:rFonts w:ascii="Times New Roman" w:hAnsi="Times New Roman" w:cs="Times New Roman"/>
          <w:color w:val="000000"/>
          <w:sz w:val="22"/>
          <w:szCs w:val="22"/>
        </w:rPr>
        <w:t xml:space="preserve"> lokaal niveau</w:t>
      </w:r>
      <w:r w:rsidR="00212B88">
        <w:rPr>
          <w:rFonts w:ascii="Times New Roman" w:hAnsi="Times New Roman" w:cs="Times New Roman"/>
          <w:color w:val="000000"/>
          <w:sz w:val="22"/>
          <w:szCs w:val="22"/>
        </w:rPr>
        <w:t>,</w:t>
      </w:r>
      <w:r w:rsidR="00597E54">
        <w:rPr>
          <w:rFonts w:ascii="Times New Roman" w:hAnsi="Times New Roman" w:cs="Times New Roman"/>
          <w:color w:val="000000"/>
          <w:sz w:val="22"/>
          <w:szCs w:val="22"/>
        </w:rPr>
        <w:t xml:space="preserve"> en de naleving van het Handvest </w:t>
      </w:r>
      <w:r w:rsidR="00002C2F">
        <w:rPr>
          <w:rFonts w:ascii="Times New Roman" w:hAnsi="Times New Roman" w:cs="Times New Roman"/>
          <w:color w:val="000000"/>
          <w:sz w:val="22"/>
          <w:szCs w:val="22"/>
        </w:rPr>
        <w:t xml:space="preserve">van de </w:t>
      </w:r>
      <w:r w:rsidR="00597E54">
        <w:rPr>
          <w:rFonts w:ascii="Times New Roman" w:hAnsi="Times New Roman" w:cs="Times New Roman"/>
          <w:color w:val="000000"/>
          <w:sz w:val="22"/>
          <w:szCs w:val="22"/>
        </w:rPr>
        <w:t>Grondrechten van de Europese Unie</w:t>
      </w:r>
      <w:r w:rsidRPr="00925B3C">
        <w:rPr>
          <w:rFonts w:ascii="Times New Roman" w:hAnsi="Times New Roman" w:cs="Times New Roman"/>
          <w:color w:val="000000"/>
          <w:sz w:val="22"/>
          <w:szCs w:val="22"/>
        </w:rPr>
        <w:t>. Indien het IIA uit 2003 over Beter Wetgeven wordt aangepast, hetgeen Nederland voorstaat, zal het kabinet ook in dat kader aandacht voor versterking van de IA’s bepleiten.</w:t>
      </w:r>
      <w:r w:rsidR="00597E54">
        <w:rPr>
          <w:rFonts w:ascii="Times New Roman" w:hAnsi="Times New Roman" w:cs="Times New Roman"/>
          <w:color w:val="000000"/>
          <w:sz w:val="22"/>
          <w:szCs w:val="22"/>
        </w:rPr>
        <w:t xml:space="preserve"> Daarbij zal ook aandacht moeten worden besteed aan </w:t>
      </w:r>
      <w:r w:rsidR="0038628A">
        <w:rPr>
          <w:rFonts w:ascii="Times New Roman" w:hAnsi="Times New Roman" w:cs="Times New Roman"/>
          <w:color w:val="000000"/>
          <w:sz w:val="22"/>
          <w:szCs w:val="22"/>
        </w:rPr>
        <w:t xml:space="preserve">de wijze waarop </w:t>
      </w:r>
      <w:r w:rsidR="00E24E03">
        <w:rPr>
          <w:rFonts w:ascii="Times New Roman" w:hAnsi="Times New Roman" w:cs="Times New Roman"/>
          <w:color w:val="000000"/>
          <w:sz w:val="22"/>
          <w:szCs w:val="22"/>
        </w:rPr>
        <w:t xml:space="preserve">IA’s </w:t>
      </w:r>
      <w:r w:rsidR="0038628A">
        <w:rPr>
          <w:rFonts w:ascii="Times New Roman" w:hAnsi="Times New Roman" w:cs="Times New Roman"/>
          <w:color w:val="000000"/>
          <w:sz w:val="22"/>
          <w:szCs w:val="22"/>
        </w:rPr>
        <w:t>worden toegepast in het wetgevingsproces van het Europees Parlement en de Raad.</w:t>
      </w:r>
    </w:p>
    <w:p w:rsidRPr="00925B3C" w:rsidR="00093254" w:rsidP="0049253F" w:rsidRDefault="00093254" w14:paraId="3FF3E0CA" w14:textId="77777777">
      <w:pPr>
        <w:rPr>
          <w:rFonts w:ascii="Times New Roman" w:hAnsi="Times New Roman" w:cs="Times New Roman"/>
          <w:sz w:val="22"/>
          <w:szCs w:val="22"/>
        </w:rPr>
      </w:pPr>
    </w:p>
    <w:p w:rsidR="00557D3E" w:rsidP="0049253F" w:rsidRDefault="00557D3E" w14:paraId="0A0374CF" w14:textId="77777777">
      <w:pPr>
        <w:pStyle w:val="Lijstalinea"/>
        <w:numPr>
          <w:ilvl w:val="0"/>
          <w:numId w:val="13"/>
        </w:numPr>
        <w:rPr>
          <w:rFonts w:ascii="Times New Roman" w:hAnsi="Times New Roman" w:cs="Times New Roman"/>
          <w:b/>
          <w:sz w:val="22"/>
          <w:szCs w:val="22"/>
        </w:rPr>
      </w:pPr>
      <w:r w:rsidRPr="0049253F">
        <w:rPr>
          <w:rFonts w:ascii="Times New Roman" w:hAnsi="Times New Roman" w:cs="Times New Roman"/>
          <w:b/>
          <w:sz w:val="22"/>
          <w:szCs w:val="22"/>
        </w:rPr>
        <w:t>Economic governance</w:t>
      </w:r>
    </w:p>
    <w:p w:rsidRPr="0049253F" w:rsidR="00440C19" w:rsidP="00440C19" w:rsidRDefault="00440C19" w14:paraId="41A4F15B" w14:textId="77777777">
      <w:pPr>
        <w:pStyle w:val="Lijstalinea"/>
        <w:ind w:left="360"/>
        <w:rPr>
          <w:rFonts w:ascii="Times New Roman" w:hAnsi="Times New Roman" w:cs="Times New Roman"/>
          <w:b/>
          <w:sz w:val="22"/>
          <w:szCs w:val="22"/>
        </w:rPr>
      </w:pPr>
    </w:p>
    <w:p w:rsidR="0049253F" w:rsidP="0049253F" w:rsidRDefault="0049253F" w14:paraId="6FCC06D3" w14:textId="77777777">
      <w:pPr>
        <w:rPr>
          <w:rFonts w:ascii="Times New Roman" w:hAnsi="Times New Roman" w:cs="Times New Roman"/>
          <w:sz w:val="22"/>
          <w:szCs w:val="22"/>
        </w:rPr>
      </w:pPr>
      <w:r w:rsidRPr="0049253F">
        <w:rPr>
          <w:rFonts w:ascii="Times New Roman" w:hAnsi="Times New Roman" w:cs="Times New Roman"/>
          <w:sz w:val="22"/>
          <w:szCs w:val="22"/>
        </w:rPr>
        <w:t>De AIV doet een aantal waardevolle aanbevelingen op het terrein van Economic Governance, die grotendeels aansluiten op de maatregelen die in EU verband reeds zijn getroffen. Een structureel houdbare Eurozone vereist voor het kabinet dat de hiertoe noodzakelijke beleidsmaatregelen democratisch gelegitimeerd zijn, zowel bij de totstandkoming als bij de uitvoering, en voldoende ‘checks and balances’ bevatten om adequate verantwoording te waarborgen (Kamerstuk 21 501 -20, nr. 704). Het is de inzet van het kabinet de mogelijkheden binnen de huidige verdragen hiertoe maximaal te benutten. Verschillende initiatieven zijn al uitgebreid toegelicht in de Staat van de Unie 2013</w:t>
      </w:r>
      <w:r w:rsidR="000008F3">
        <w:rPr>
          <w:rFonts w:ascii="Times New Roman" w:hAnsi="Times New Roman" w:cs="Times New Roman"/>
          <w:sz w:val="22"/>
          <w:szCs w:val="22"/>
        </w:rPr>
        <w:t xml:space="preserve"> en in de Staat van de Unie 2014.</w:t>
      </w:r>
    </w:p>
    <w:p w:rsidR="00585811" w:rsidP="00585811" w:rsidRDefault="00585811" w14:paraId="012EB388" w14:textId="77777777">
      <w:pPr>
        <w:rPr>
          <w:rFonts w:ascii="Times New Roman" w:hAnsi="Times New Roman" w:cs="Times New Roman"/>
          <w:sz w:val="22"/>
          <w:szCs w:val="22"/>
        </w:rPr>
      </w:pPr>
    </w:p>
    <w:p w:rsidRPr="00925B3C" w:rsidR="00585811" w:rsidP="00585811" w:rsidRDefault="00585811" w14:paraId="77AA2B04" w14:textId="77777777">
      <w:pPr>
        <w:rPr>
          <w:rFonts w:ascii="Times New Roman" w:hAnsi="Times New Roman" w:cs="Times New Roman"/>
          <w:sz w:val="22"/>
          <w:szCs w:val="22"/>
        </w:rPr>
      </w:pPr>
      <w:r>
        <w:rPr>
          <w:rFonts w:ascii="Times New Roman" w:hAnsi="Times New Roman" w:cs="Times New Roman"/>
          <w:sz w:val="22"/>
          <w:szCs w:val="22"/>
        </w:rPr>
        <w:t xml:space="preserve">In reactie op de opmerkingen van de AIV over de versterking van de democratische en parlementaire dimensie op het terrein van de economic governance, in het bijzonder over een eventueel afzonderlijk Eurozoneparlement, verwijst het kabinet naar de Staat van de Unie in 2013 en 2014. Duidelijk is dat verdere verdieping van de eurozone-samenwerking  vragen opwerpt over de verhouding tussen de EU-28 en eurozone-18 en over de interne coherentie binnen de EU. </w:t>
      </w:r>
    </w:p>
    <w:p w:rsidR="00585811" w:rsidP="0049253F" w:rsidRDefault="00585811" w14:paraId="564124A6" w14:textId="77777777">
      <w:pPr>
        <w:rPr>
          <w:rFonts w:ascii="Times New Roman" w:hAnsi="Times New Roman" w:cs="Times New Roman"/>
          <w:sz w:val="22"/>
          <w:szCs w:val="22"/>
        </w:rPr>
      </w:pPr>
    </w:p>
    <w:p w:rsidRPr="0049253F" w:rsidR="0049253F" w:rsidP="0049253F" w:rsidRDefault="0049253F" w14:paraId="1C27E4C6" w14:textId="77777777">
      <w:pPr>
        <w:rPr>
          <w:rFonts w:ascii="Times New Roman" w:hAnsi="Times New Roman" w:cs="Times New Roman"/>
          <w:sz w:val="22"/>
          <w:szCs w:val="22"/>
        </w:rPr>
      </w:pPr>
    </w:p>
    <w:p w:rsidRPr="005370A0" w:rsidR="002B57D1" w:rsidP="005370A0" w:rsidRDefault="002B57D1" w14:paraId="41804C0F" w14:textId="77777777">
      <w:pPr>
        <w:pStyle w:val="Lijstalinea"/>
        <w:numPr>
          <w:ilvl w:val="0"/>
          <w:numId w:val="3"/>
        </w:numPr>
        <w:rPr>
          <w:rFonts w:ascii="Times New Roman" w:hAnsi="Times New Roman" w:cs="Times New Roman"/>
          <w:i/>
          <w:sz w:val="22"/>
          <w:szCs w:val="22"/>
        </w:rPr>
      </w:pPr>
      <w:r w:rsidRPr="005370A0">
        <w:rPr>
          <w:rFonts w:ascii="Times New Roman" w:hAnsi="Times New Roman" w:cs="Times New Roman"/>
          <w:i/>
          <w:sz w:val="22"/>
          <w:szCs w:val="22"/>
        </w:rPr>
        <w:lastRenderedPageBreak/>
        <w:t>Betrokkenheid nationale parlement</w:t>
      </w:r>
      <w:r w:rsidRPr="005370A0" w:rsidR="00E97BF4">
        <w:rPr>
          <w:rFonts w:ascii="Times New Roman" w:hAnsi="Times New Roman" w:cs="Times New Roman"/>
          <w:i/>
          <w:sz w:val="22"/>
          <w:szCs w:val="22"/>
        </w:rPr>
        <w:t xml:space="preserve"> en E</w:t>
      </w:r>
      <w:r w:rsidR="00440C19">
        <w:rPr>
          <w:rFonts w:ascii="Times New Roman" w:hAnsi="Times New Roman" w:cs="Times New Roman"/>
          <w:i/>
          <w:sz w:val="22"/>
          <w:szCs w:val="22"/>
        </w:rPr>
        <w:t xml:space="preserve">uropees </w:t>
      </w:r>
      <w:r w:rsidRPr="005370A0" w:rsidR="00E97BF4">
        <w:rPr>
          <w:rFonts w:ascii="Times New Roman" w:hAnsi="Times New Roman" w:cs="Times New Roman"/>
          <w:i/>
          <w:sz w:val="22"/>
          <w:szCs w:val="22"/>
        </w:rPr>
        <w:t>P</w:t>
      </w:r>
      <w:r w:rsidR="00440C19">
        <w:rPr>
          <w:rFonts w:ascii="Times New Roman" w:hAnsi="Times New Roman" w:cs="Times New Roman"/>
          <w:i/>
          <w:sz w:val="22"/>
          <w:szCs w:val="22"/>
        </w:rPr>
        <w:t>arlement</w:t>
      </w:r>
      <w:r w:rsidRPr="005370A0" w:rsidR="00E97BF4">
        <w:rPr>
          <w:rFonts w:ascii="Times New Roman" w:hAnsi="Times New Roman" w:cs="Times New Roman"/>
          <w:i/>
          <w:sz w:val="22"/>
          <w:szCs w:val="22"/>
        </w:rPr>
        <w:t xml:space="preserve"> bij Europees </w:t>
      </w:r>
      <w:r w:rsidR="00440C19">
        <w:rPr>
          <w:rFonts w:ascii="Times New Roman" w:hAnsi="Times New Roman" w:cs="Times New Roman"/>
          <w:i/>
          <w:sz w:val="22"/>
          <w:szCs w:val="22"/>
        </w:rPr>
        <w:t>S</w:t>
      </w:r>
      <w:r w:rsidRPr="005370A0" w:rsidR="00E97BF4">
        <w:rPr>
          <w:rFonts w:ascii="Times New Roman" w:hAnsi="Times New Roman" w:cs="Times New Roman"/>
          <w:i/>
          <w:sz w:val="22"/>
          <w:szCs w:val="22"/>
        </w:rPr>
        <w:t>emester</w:t>
      </w:r>
    </w:p>
    <w:p w:rsidR="00865653" w:rsidP="0049253F" w:rsidRDefault="00865653" w14:paraId="71F2A3E7" w14:textId="77777777">
      <w:pPr>
        <w:rPr>
          <w:rFonts w:ascii="Times New Roman" w:hAnsi="Times New Roman" w:cs="Times New Roman"/>
          <w:sz w:val="22"/>
          <w:szCs w:val="22"/>
        </w:rPr>
      </w:pPr>
    </w:p>
    <w:p w:rsidR="00367E4E" w:rsidP="00367E4E" w:rsidRDefault="00E97BF4" w14:paraId="0486C790" w14:textId="77777777">
      <w:pPr>
        <w:rPr>
          <w:rFonts w:ascii="Times New Roman" w:hAnsi="Times New Roman"/>
          <w:sz w:val="22"/>
          <w:szCs w:val="22"/>
        </w:rPr>
      </w:pPr>
      <w:r>
        <w:rPr>
          <w:rFonts w:ascii="Times New Roman" w:hAnsi="Times New Roman" w:cs="Times New Roman"/>
          <w:sz w:val="22"/>
          <w:szCs w:val="22"/>
        </w:rPr>
        <w:t>De AIV is voorstander van nauwere betrokkenheid van het nationale parlement en het E</w:t>
      </w:r>
      <w:r w:rsidR="00440C19">
        <w:rPr>
          <w:rFonts w:ascii="Times New Roman" w:hAnsi="Times New Roman" w:cs="Times New Roman"/>
          <w:sz w:val="22"/>
          <w:szCs w:val="22"/>
        </w:rPr>
        <w:t xml:space="preserve">uropees </w:t>
      </w:r>
      <w:r>
        <w:rPr>
          <w:rFonts w:ascii="Times New Roman" w:hAnsi="Times New Roman" w:cs="Times New Roman"/>
          <w:sz w:val="22"/>
          <w:szCs w:val="22"/>
        </w:rPr>
        <w:t>P</w:t>
      </w:r>
      <w:r w:rsidR="00440C19">
        <w:rPr>
          <w:rFonts w:ascii="Times New Roman" w:hAnsi="Times New Roman" w:cs="Times New Roman"/>
          <w:sz w:val="22"/>
          <w:szCs w:val="22"/>
        </w:rPr>
        <w:t>arlement</w:t>
      </w:r>
      <w:r>
        <w:rPr>
          <w:rFonts w:ascii="Times New Roman" w:hAnsi="Times New Roman" w:cs="Times New Roman"/>
          <w:sz w:val="22"/>
          <w:szCs w:val="22"/>
        </w:rPr>
        <w:t xml:space="preserve"> bij het Europees </w:t>
      </w:r>
      <w:r w:rsidR="00440C19">
        <w:rPr>
          <w:rFonts w:ascii="Times New Roman" w:hAnsi="Times New Roman" w:cs="Times New Roman"/>
          <w:sz w:val="22"/>
          <w:szCs w:val="22"/>
        </w:rPr>
        <w:t>S</w:t>
      </w:r>
      <w:r>
        <w:rPr>
          <w:rFonts w:ascii="Times New Roman" w:hAnsi="Times New Roman" w:cs="Times New Roman"/>
          <w:sz w:val="22"/>
          <w:szCs w:val="22"/>
        </w:rPr>
        <w:t xml:space="preserve">emester. Het </w:t>
      </w:r>
      <w:r w:rsidR="00912669">
        <w:rPr>
          <w:rFonts w:ascii="Times New Roman" w:hAnsi="Times New Roman" w:cs="Times New Roman"/>
          <w:sz w:val="22"/>
          <w:szCs w:val="22"/>
        </w:rPr>
        <w:t>k</w:t>
      </w:r>
      <w:r>
        <w:rPr>
          <w:rFonts w:ascii="Times New Roman" w:hAnsi="Times New Roman" w:cs="Times New Roman"/>
          <w:sz w:val="22"/>
          <w:szCs w:val="22"/>
        </w:rPr>
        <w:t xml:space="preserve">abinet is van mening dat </w:t>
      </w:r>
      <w:r w:rsidRPr="0049253F" w:rsidR="0049253F">
        <w:rPr>
          <w:rFonts w:ascii="Times New Roman" w:hAnsi="Times New Roman" w:cs="Times New Roman"/>
          <w:sz w:val="22"/>
          <w:szCs w:val="22"/>
        </w:rPr>
        <w:t xml:space="preserve">binnen het Europees Semester, waar de afspraken over begrotings- en economisch beleid van de lidstaten samenkomen en inzicht wordt geboden in de voortgang op EU-brede beleidsdoelen, </w:t>
      </w:r>
      <w:r>
        <w:rPr>
          <w:rFonts w:ascii="Times New Roman" w:hAnsi="Times New Roman" w:cs="Times New Roman"/>
          <w:sz w:val="22"/>
          <w:szCs w:val="22"/>
        </w:rPr>
        <w:t xml:space="preserve">al </w:t>
      </w:r>
      <w:r w:rsidRPr="0049253F" w:rsidR="0049253F">
        <w:rPr>
          <w:rFonts w:ascii="Times New Roman" w:hAnsi="Times New Roman" w:cs="Times New Roman"/>
          <w:sz w:val="22"/>
          <w:szCs w:val="22"/>
        </w:rPr>
        <w:t xml:space="preserve">belangrijke stappen </w:t>
      </w:r>
      <w:r>
        <w:rPr>
          <w:rFonts w:ascii="Times New Roman" w:hAnsi="Times New Roman" w:cs="Times New Roman"/>
          <w:sz w:val="22"/>
          <w:szCs w:val="22"/>
        </w:rPr>
        <w:t xml:space="preserve">zijn </w:t>
      </w:r>
      <w:r w:rsidRPr="0049253F" w:rsidR="0049253F">
        <w:rPr>
          <w:rFonts w:ascii="Times New Roman" w:hAnsi="Times New Roman" w:cs="Times New Roman"/>
          <w:sz w:val="22"/>
          <w:szCs w:val="22"/>
        </w:rPr>
        <w:t>gezet. Dit proces is van groot belang voor het waarborgen van een verantwoord beleid van de lidstaten op financieel-economisch gebied</w:t>
      </w:r>
      <w:r w:rsidRPr="00E87C42" w:rsidR="00367E4E">
        <w:rPr>
          <w:rFonts w:ascii="Times New Roman" w:hAnsi="Times New Roman"/>
          <w:sz w:val="22"/>
          <w:szCs w:val="22"/>
        </w:rPr>
        <w:t>, bevordering van structurele hervormingen en versterking van het concurrentievermogen</w:t>
      </w:r>
      <w:r w:rsidRPr="0049253F" w:rsidR="00367E4E">
        <w:rPr>
          <w:rFonts w:ascii="Times New Roman" w:hAnsi="Times New Roman"/>
          <w:sz w:val="22"/>
          <w:szCs w:val="22"/>
        </w:rPr>
        <w:t xml:space="preserve">. </w:t>
      </w:r>
    </w:p>
    <w:p w:rsidR="0049253F" w:rsidP="0049253F" w:rsidRDefault="0049253F" w14:paraId="41A28F57" w14:textId="77777777">
      <w:pPr>
        <w:rPr>
          <w:rFonts w:ascii="Times New Roman" w:hAnsi="Times New Roman" w:cs="Times New Roman"/>
          <w:sz w:val="22"/>
          <w:szCs w:val="22"/>
        </w:rPr>
      </w:pPr>
    </w:p>
    <w:p w:rsidRPr="0049253F" w:rsidR="00440C19" w:rsidP="0049253F" w:rsidRDefault="00440C19" w14:paraId="1461E702" w14:textId="77777777">
      <w:pPr>
        <w:rPr>
          <w:rFonts w:ascii="Times New Roman" w:hAnsi="Times New Roman" w:cs="Times New Roman"/>
          <w:sz w:val="22"/>
          <w:szCs w:val="22"/>
        </w:rPr>
      </w:pPr>
    </w:p>
    <w:p w:rsidRPr="0049253F" w:rsidR="0049253F" w:rsidP="0049253F" w:rsidRDefault="0049253F" w14:paraId="0AE7E882" w14:textId="77777777">
      <w:pPr>
        <w:rPr>
          <w:rFonts w:ascii="Times New Roman" w:hAnsi="Times New Roman" w:cs="Times New Roman"/>
          <w:sz w:val="22"/>
          <w:szCs w:val="22"/>
        </w:rPr>
      </w:pPr>
      <w:r w:rsidRPr="0049253F">
        <w:rPr>
          <w:rFonts w:ascii="Times New Roman" w:hAnsi="Times New Roman" w:cs="Times New Roman"/>
          <w:sz w:val="22"/>
          <w:szCs w:val="22"/>
        </w:rPr>
        <w:t>Het Nederlandse parlement is al nauw betrokken bij het Europees Semester, en vervult hierop zelfs een voortrekkersrol binnen de EU, zoals het kabinet eerder constateerde</w:t>
      </w:r>
      <w:r w:rsidRPr="0049253F">
        <w:rPr>
          <w:rFonts w:ascii="Times New Roman" w:hAnsi="Times New Roman" w:cs="Times New Roman"/>
          <w:sz w:val="22"/>
          <w:szCs w:val="22"/>
          <w:vertAlign w:val="superscript"/>
        </w:rPr>
        <w:footnoteReference w:id="6"/>
      </w:r>
      <w:r w:rsidRPr="0049253F">
        <w:rPr>
          <w:rFonts w:ascii="Times New Roman" w:hAnsi="Times New Roman" w:cs="Times New Roman"/>
          <w:sz w:val="22"/>
          <w:szCs w:val="22"/>
        </w:rPr>
        <w:t>. Er is een rapporteur voor het Europees Semester aangesteld en het afgelopen jaar hebben diverse Kamerleden deelgenomen aan de interparlementaire week in het kader van het Europees Semester en de ‘artikel 13’ conferentie uit het Stabiliteitsverdrag, met deelname van de begrotingscommissies van de nationale parlementen en het Europees Parlement. Het kabinet hoopt dat deze interparlementaire samenwerking zal uitgroeien tot een robuust interparlementair forum waarin men adequaat kan reageren op Europese ontwikkelingen</w:t>
      </w:r>
      <w:r w:rsidRPr="0049253F">
        <w:rPr>
          <w:rFonts w:ascii="Times New Roman" w:hAnsi="Times New Roman" w:cs="Times New Roman"/>
          <w:sz w:val="22"/>
          <w:szCs w:val="22"/>
          <w:vertAlign w:val="superscript"/>
        </w:rPr>
        <w:footnoteReference w:id="7"/>
      </w:r>
      <w:r w:rsidRPr="0049253F">
        <w:rPr>
          <w:rFonts w:ascii="Times New Roman" w:hAnsi="Times New Roman" w:cs="Times New Roman"/>
          <w:sz w:val="22"/>
          <w:szCs w:val="22"/>
        </w:rPr>
        <w:t xml:space="preserve">. </w:t>
      </w:r>
    </w:p>
    <w:p w:rsidR="0049253F" w:rsidP="0049253F" w:rsidRDefault="0049253F" w14:paraId="7DCF8037" w14:textId="77777777">
      <w:pPr>
        <w:rPr>
          <w:rFonts w:ascii="Times New Roman" w:hAnsi="Times New Roman" w:cs="Times New Roman"/>
          <w:sz w:val="22"/>
          <w:szCs w:val="22"/>
        </w:rPr>
      </w:pPr>
    </w:p>
    <w:p w:rsidR="0049253F" w:rsidP="0049253F" w:rsidRDefault="0049253F" w14:paraId="1C76B8A4" w14:textId="77777777">
      <w:pPr>
        <w:rPr>
          <w:rFonts w:ascii="Times New Roman" w:hAnsi="Times New Roman" w:cs="Times New Roman"/>
          <w:sz w:val="22"/>
          <w:szCs w:val="22"/>
        </w:rPr>
      </w:pPr>
      <w:r w:rsidRPr="0049253F">
        <w:rPr>
          <w:rFonts w:ascii="Times New Roman" w:hAnsi="Times New Roman" w:cs="Times New Roman"/>
          <w:sz w:val="22"/>
          <w:szCs w:val="22"/>
        </w:rPr>
        <w:t xml:space="preserve">Naar het oordeel van het kabinet is ook de controlerende taak van het Europees Parlement in de afgelopen periode verbeterd. Het Europees Parlement kan op elk moment in het Europees Semester </w:t>
      </w:r>
      <w:r w:rsidRPr="004B0189">
        <w:rPr>
          <w:rFonts w:ascii="Times New Roman" w:hAnsi="Times New Roman" w:cs="Times New Roman"/>
          <w:sz w:val="22"/>
          <w:szCs w:val="22"/>
        </w:rPr>
        <w:t>de Europese Commissie, de voorzitter van de Europese Raad en de Eurogroepvoorzitter</w:t>
      </w:r>
      <w:r w:rsidRPr="0049253F">
        <w:rPr>
          <w:rFonts w:ascii="Times New Roman" w:hAnsi="Times New Roman" w:cs="Times New Roman"/>
          <w:sz w:val="22"/>
          <w:szCs w:val="22"/>
        </w:rPr>
        <w:t xml:space="preserve"> oproepen voor een ondervraging over voorstellen en besluiten via een ‘economische dialoog’. In 2014 hebben verschillende economische dialogen plaatsgevonden, o.a. over de jaarlijkse groeiprioriteiten, de implementatie van aanbevelingen en de cyclus van het Europees Semester. Daarnaast neemt het Europees Parlement twee keer per jaar een opinie aan over het functioneren van het Europees Semester. </w:t>
      </w:r>
    </w:p>
    <w:p w:rsidR="006820F0" w:rsidP="0049253F" w:rsidRDefault="006820F0" w14:paraId="11962C65" w14:textId="77777777">
      <w:pPr>
        <w:rPr>
          <w:rFonts w:ascii="Times New Roman" w:hAnsi="Times New Roman" w:cs="Times New Roman"/>
          <w:sz w:val="22"/>
          <w:szCs w:val="22"/>
        </w:rPr>
      </w:pPr>
    </w:p>
    <w:p w:rsidR="006820F0" w:rsidP="0049253F" w:rsidRDefault="006820F0" w14:paraId="4931D6BD" w14:textId="77777777">
      <w:pPr>
        <w:rPr>
          <w:rFonts w:ascii="Times New Roman" w:hAnsi="Times New Roman" w:cs="Times New Roman"/>
          <w:sz w:val="22"/>
          <w:szCs w:val="22"/>
        </w:rPr>
      </w:pPr>
    </w:p>
    <w:p w:rsidRPr="005370A0" w:rsidR="002B57D1" w:rsidP="005370A0" w:rsidRDefault="002B57D1" w14:paraId="1807E568" w14:textId="77777777">
      <w:pPr>
        <w:pStyle w:val="Lijstalinea"/>
        <w:numPr>
          <w:ilvl w:val="0"/>
          <w:numId w:val="3"/>
        </w:numPr>
        <w:rPr>
          <w:rFonts w:ascii="Times New Roman" w:hAnsi="Times New Roman" w:cs="Times New Roman"/>
          <w:i/>
          <w:sz w:val="22"/>
          <w:szCs w:val="22"/>
        </w:rPr>
      </w:pPr>
      <w:r w:rsidRPr="005370A0">
        <w:rPr>
          <w:rFonts w:ascii="Times New Roman" w:hAnsi="Times New Roman" w:cs="Times New Roman"/>
          <w:i/>
          <w:sz w:val="22"/>
          <w:szCs w:val="22"/>
        </w:rPr>
        <w:t xml:space="preserve">Versterking bestuurlijke legitimiteit </w:t>
      </w:r>
    </w:p>
    <w:p w:rsidR="00865653" w:rsidP="0049253F" w:rsidRDefault="00865653" w14:paraId="01F88AF8" w14:textId="77777777">
      <w:pPr>
        <w:rPr>
          <w:rFonts w:ascii="Times New Roman" w:hAnsi="Times New Roman" w:cs="Times New Roman"/>
          <w:sz w:val="22"/>
          <w:szCs w:val="22"/>
        </w:rPr>
      </w:pPr>
    </w:p>
    <w:p w:rsidR="0049253F" w:rsidP="0049253F" w:rsidRDefault="0049253F" w14:paraId="36F80ACF" w14:textId="77777777">
      <w:pPr>
        <w:rPr>
          <w:rFonts w:ascii="Times New Roman" w:hAnsi="Times New Roman" w:cs="Times New Roman"/>
          <w:sz w:val="22"/>
          <w:szCs w:val="22"/>
        </w:rPr>
      </w:pPr>
      <w:r w:rsidRPr="0049253F">
        <w:rPr>
          <w:rFonts w:ascii="Times New Roman" w:hAnsi="Times New Roman" w:cs="Times New Roman"/>
          <w:sz w:val="22"/>
          <w:szCs w:val="22"/>
        </w:rPr>
        <w:t xml:space="preserve">Het kabinet is het met de AIV eens dat het Europees Semester ondersteund moet worden door onafhankelijke en nationale instituties voor statistische informatie, economische ramingen en beleidsevaluatie, zoals het CBS, het CPB en de </w:t>
      </w:r>
      <w:r w:rsidR="00E36474">
        <w:rPr>
          <w:rFonts w:ascii="Times New Roman" w:hAnsi="Times New Roman" w:cs="Times New Roman"/>
          <w:sz w:val="22"/>
          <w:szCs w:val="22"/>
        </w:rPr>
        <w:t>Algemene</w:t>
      </w:r>
      <w:r w:rsidR="00A54B36">
        <w:rPr>
          <w:rFonts w:ascii="Times New Roman" w:hAnsi="Times New Roman" w:cs="Times New Roman"/>
          <w:sz w:val="22"/>
          <w:szCs w:val="22"/>
        </w:rPr>
        <w:t xml:space="preserve"> </w:t>
      </w:r>
      <w:r w:rsidRPr="0049253F">
        <w:rPr>
          <w:rFonts w:ascii="Times New Roman" w:hAnsi="Times New Roman" w:cs="Times New Roman"/>
          <w:sz w:val="22"/>
          <w:szCs w:val="22"/>
        </w:rPr>
        <w:t>Rekenkamer in Nederland. Sinds het uitbreken van de crisis zijn hierop reeds diverse stappen gezet, zoals de introductie van minimumeisen ten aanzien van statistische onafhankelijkheid</w:t>
      </w:r>
      <w:r w:rsidRPr="0049253F">
        <w:rPr>
          <w:rFonts w:ascii="Times New Roman" w:hAnsi="Times New Roman" w:cs="Times New Roman"/>
          <w:sz w:val="22"/>
          <w:szCs w:val="22"/>
          <w:vertAlign w:val="superscript"/>
        </w:rPr>
        <w:footnoteReference w:id="8"/>
      </w:r>
      <w:r w:rsidRPr="0049253F">
        <w:rPr>
          <w:rFonts w:ascii="Times New Roman" w:hAnsi="Times New Roman" w:cs="Times New Roman"/>
          <w:sz w:val="22"/>
          <w:szCs w:val="22"/>
        </w:rPr>
        <w:t xml:space="preserve"> en ten aanzien van nationale begrotingskaders, waaronder voor prudentieel ramen en het frequenter aanleveren van begrotingsgegevens bij Eurostat.</w:t>
      </w:r>
      <w:r w:rsidRPr="0049253F">
        <w:rPr>
          <w:rFonts w:ascii="Times New Roman" w:hAnsi="Times New Roman" w:cs="Times New Roman"/>
          <w:sz w:val="22"/>
          <w:szCs w:val="22"/>
          <w:vertAlign w:val="superscript"/>
        </w:rPr>
        <w:footnoteReference w:id="9"/>
      </w:r>
      <w:r w:rsidRPr="0049253F">
        <w:rPr>
          <w:rFonts w:ascii="Times New Roman" w:hAnsi="Times New Roman" w:cs="Times New Roman"/>
          <w:sz w:val="22"/>
          <w:szCs w:val="22"/>
        </w:rPr>
        <w:t xml:space="preserve"> Daarnaast </w:t>
      </w:r>
      <w:r w:rsidR="000008F3">
        <w:rPr>
          <w:rFonts w:ascii="Times New Roman" w:hAnsi="Times New Roman" w:cs="Times New Roman"/>
          <w:sz w:val="22"/>
          <w:szCs w:val="22"/>
        </w:rPr>
        <w:t>heeft</w:t>
      </w:r>
      <w:r w:rsidRPr="0049253F">
        <w:rPr>
          <w:rFonts w:ascii="Times New Roman" w:hAnsi="Times New Roman" w:cs="Times New Roman"/>
          <w:sz w:val="22"/>
          <w:szCs w:val="22"/>
        </w:rPr>
        <w:t xml:space="preserve"> de Commissie </w:t>
      </w:r>
      <w:r w:rsidR="000008F3">
        <w:rPr>
          <w:rFonts w:ascii="Times New Roman" w:hAnsi="Times New Roman" w:cs="Times New Roman"/>
          <w:sz w:val="22"/>
          <w:szCs w:val="22"/>
        </w:rPr>
        <w:t xml:space="preserve">in 2012 voorgesteld </w:t>
      </w:r>
      <w:r w:rsidRPr="0049253F">
        <w:rPr>
          <w:rFonts w:ascii="Times New Roman" w:hAnsi="Times New Roman" w:cs="Times New Roman"/>
          <w:sz w:val="22"/>
          <w:szCs w:val="22"/>
        </w:rPr>
        <w:t>om de governance van het Europees Statistisch Systeem te versterken</w:t>
      </w:r>
      <w:r w:rsidRPr="0049253F">
        <w:rPr>
          <w:rFonts w:ascii="Times New Roman" w:hAnsi="Times New Roman" w:cs="Times New Roman"/>
          <w:sz w:val="22"/>
          <w:szCs w:val="22"/>
          <w:vertAlign w:val="superscript"/>
        </w:rPr>
        <w:footnoteReference w:id="10"/>
      </w:r>
      <w:r w:rsidRPr="0049253F">
        <w:rPr>
          <w:rFonts w:ascii="Times New Roman" w:hAnsi="Times New Roman" w:cs="Times New Roman"/>
          <w:sz w:val="22"/>
          <w:szCs w:val="22"/>
        </w:rPr>
        <w:t xml:space="preserve">. Het kabinet ondersteunt het idee voor een meer onafhankelijke Europese dienst voor de statistiek en pleit dan ook voor versterking van de onafhankelijkheid van Eurostat. Naar het oordeel van het kabinet dienen voor Eurostat dezelfde bepalingen te gelden als voor de Nationale Statistische Instituten. </w:t>
      </w:r>
    </w:p>
    <w:p w:rsidRPr="0049253F" w:rsidR="00607546" w:rsidP="0049253F" w:rsidRDefault="00607546" w14:paraId="64C38250" w14:textId="77777777">
      <w:pPr>
        <w:rPr>
          <w:rFonts w:ascii="Times New Roman" w:hAnsi="Times New Roman" w:cs="Times New Roman"/>
          <w:sz w:val="22"/>
          <w:szCs w:val="22"/>
        </w:rPr>
      </w:pPr>
    </w:p>
    <w:p w:rsidRPr="005370A0" w:rsidR="002B57D1" w:rsidP="005370A0" w:rsidRDefault="002B57D1" w14:paraId="3B6B231C" w14:textId="77777777">
      <w:pPr>
        <w:pStyle w:val="Lijstalinea"/>
        <w:numPr>
          <w:ilvl w:val="0"/>
          <w:numId w:val="3"/>
        </w:numPr>
        <w:rPr>
          <w:rFonts w:ascii="Times New Roman" w:hAnsi="Times New Roman" w:cs="Times New Roman"/>
          <w:i/>
          <w:sz w:val="22"/>
          <w:szCs w:val="22"/>
        </w:rPr>
      </w:pPr>
      <w:r w:rsidRPr="005370A0">
        <w:rPr>
          <w:rFonts w:ascii="Times New Roman" w:hAnsi="Times New Roman" w:cs="Times New Roman"/>
          <w:i/>
          <w:sz w:val="22"/>
          <w:szCs w:val="22"/>
        </w:rPr>
        <w:t xml:space="preserve"> </w:t>
      </w:r>
      <w:r w:rsidRPr="005370A0" w:rsidR="00865653">
        <w:rPr>
          <w:rFonts w:ascii="Times New Roman" w:hAnsi="Times New Roman" w:cs="Times New Roman"/>
          <w:i/>
          <w:sz w:val="22"/>
          <w:szCs w:val="22"/>
        </w:rPr>
        <w:t xml:space="preserve">Positie </w:t>
      </w:r>
      <w:r w:rsidR="00766ED7">
        <w:rPr>
          <w:rFonts w:ascii="Times New Roman" w:hAnsi="Times New Roman" w:cs="Times New Roman"/>
          <w:i/>
          <w:sz w:val="22"/>
          <w:szCs w:val="22"/>
        </w:rPr>
        <w:t>E</w:t>
      </w:r>
      <w:r w:rsidRPr="005370A0" w:rsidR="00865653">
        <w:rPr>
          <w:rFonts w:ascii="Times New Roman" w:hAnsi="Times New Roman" w:cs="Times New Roman"/>
          <w:i/>
          <w:sz w:val="22"/>
          <w:szCs w:val="22"/>
        </w:rPr>
        <w:t>urocommissaris</w:t>
      </w:r>
    </w:p>
    <w:p w:rsidR="00865653" w:rsidP="0049253F" w:rsidRDefault="00865653" w14:paraId="182EC02B" w14:textId="77777777">
      <w:pPr>
        <w:rPr>
          <w:rFonts w:ascii="Times New Roman" w:hAnsi="Times New Roman" w:cs="Times New Roman"/>
          <w:sz w:val="22"/>
          <w:szCs w:val="22"/>
        </w:rPr>
      </w:pPr>
    </w:p>
    <w:p w:rsidR="00215E35" w:rsidP="0049253F" w:rsidRDefault="0049253F" w14:paraId="548EE0AD" w14:textId="77777777">
      <w:pPr>
        <w:rPr>
          <w:rFonts w:ascii="Times New Roman" w:hAnsi="Times New Roman" w:cs="Times New Roman"/>
          <w:sz w:val="22"/>
          <w:szCs w:val="22"/>
        </w:rPr>
      </w:pPr>
      <w:r w:rsidRPr="0049253F">
        <w:rPr>
          <w:rFonts w:ascii="Times New Roman" w:hAnsi="Times New Roman" w:cs="Times New Roman"/>
          <w:sz w:val="22"/>
          <w:szCs w:val="22"/>
        </w:rPr>
        <w:t>Het kabinet onderschrijft het advies van de AIV binnen de Europese Commissie de analytische functies enerzijds, en de handhaving van de afspraken anderzijds strikter te scheiden. Deze maatregel kan de handhavende rol van de Commissaris voor Economische en Monetaire Zaken verder versterken</w:t>
      </w:r>
      <w:r w:rsidR="000008F3">
        <w:rPr>
          <w:rFonts w:ascii="Times New Roman" w:hAnsi="Times New Roman" w:cs="Times New Roman"/>
          <w:sz w:val="22"/>
          <w:szCs w:val="22"/>
        </w:rPr>
        <w:t>,</w:t>
      </w:r>
      <w:r w:rsidRPr="0049253F">
        <w:rPr>
          <w:rFonts w:ascii="Times New Roman" w:hAnsi="Times New Roman" w:cs="Times New Roman"/>
          <w:sz w:val="22"/>
          <w:szCs w:val="22"/>
        </w:rPr>
        <w:t xml:space="preserve"> waar</w:t>
      </w:r>
      <w:r w:rsidR="000008F3">
        <w:rPr>
          <w:rFonts w:ascii="Times New Roman" w:hAnsi="Times New Roman" w:cs="Times New Roman"/>
          <w:sz w:val="22"/>
          <w:szCs w:val="22"/>
        </w:rPr>
        <w:t>op</w:t>
      </w:r>
      <w:r w:rsidRPr="0049253F">
        <w:rPr>
          <w:rFonts w:ascii="Times New Roman" w:hAnsi="Times New Roman" w:cs="Times New Roman"/>
          <w:sz w:val="22"/>
          <w:szCs w:val="22"/>
        </w:rPr>
        <w:t xml:space="preserve"> het kabinet in de kabinetsvisie op de toekomst van EMU (Kamerstuk 21 501 -20, nr. 704) ook inzet. </w:t>
      </w:r>
    </w:p>
    <w:p w:rsidR="00912669" w:rsidP="0049253F" w:rsidRDefault="00912669" w14:paraId="084E2963" w14:textId="77777777">
      <w:pPr>
        <w:rPr>
          <w:rFonts w:ascii="Times New Roman" w:hAnsi="Times New Roman" w:cs="Times New Roman"/>
          <w:sz w:val="22"/>
          <w:szCs w:val="22"/>
        </w:rPr>
      </w:pPr>
    </w:p>
    <w:p w:rsidRPr="003702AE" w:rsidR="003702AE" w:rsidP="003702AE" w:rsidRDefault="003702AE" w14:paraId="39967AF4" w14:textId="6B3F1FC9">
      <w:pPr>
        <w:rPr>
          <w:rFonts w:ascii="Times New Roman" w:hAnsi="Times New Roman" w:cs="Times New Roman"/>
          <w:sz w:val="22"/>
          <w:szCs w:val="22"/>
        </w:rPr>
      </w:pPr>
      <w:r w:rsidRPr="003702AE">
        <w:rPr>
          <w:rFonts w:ascii="Times New Roman" w:hAnsi="Times New Roman" w:cs="Times New Roman"/>
          <w:sz w:val="22"/>
          <w:szCs w:val="22"/>
        </w:rPr>
        <w:t>N</w:t>
      </w:r>
      <w:r w:rsidR="000008F3">
        <w:rPr>
          <w:rFonts w:ascii="Times New Roman" w:hAnsi="Times New Roman" w:cs="Times New Roman"/>
          <w:sz w:val="22"/>
          <w:szCs w:val="22"/>
        </w:rPr>
        <w:t>ederland</w:t>
      </w:r>
      <w:r w:rsidRPr="003702AE">
        <w:rPr>
          <w:rFonts w:ascii="Times New Roman" w:hAnsi="Times New Roman" w:cs="Times New Roman"/>
          <w:sz w:val="22"/>
          <w:szCs w:val="22"/>
        </w:rPr>
        <w:t xml:space="preserve"> pleit al langere tijd voor versterking van de rol van de Eurocommissaris teneinde diens onafhankelijke positie met doorzettingsmacht te vergroten. Op dat punt zijn er ook stappen gezet, zo is de huidige </w:t>
      </w:r>
      <w:r>
        <w:rPr>
          <w:rFonts w:ascii="Times New Roman" w:hAnsi="Times New Roman" w:cs="Times New Roman"/>
          <w:sz w:val="22"/>
          <w:szCs w:val="22"/>
        </w:rPr>
        <w:t>E</w:t>
      </w:r>
      <w:r w:rsidRPr="003702AE">
        <w:rPr>
          <w:rFonts w:ascii="Times New Roman" w:hAnsi="Times New Roman" w:cs="Times New Roman"/>
          <w:sz w:val="22"/>
          <w:szCs w:val="22"/>
        </w:rPr>
        <w:t xml:space="preserve">urocommissaris bijvoorbeeld </w:t>
      </w:r>
      <w:r w:rsidR="003C41C5">
        <w:rPr>
          <w:rFonts w:ascii="Times New Roman" w:hAnsi="Times New Roman" w:cs="Times New Roman"/>
          <w:sz w:val="22"/>
          <w:szCs w:val="22"/>
        </w:rPr>
        <w:t xml:space="preserve">vicevoorzitter </w:t>
      </w:r>
      <w:r w:rsidRPr="003702AE">
        <w:rPr>
          <w:rFonts w:ascii="Times New Roman" w:hAnsi="Times New Roman" w:cs="Times New Roman"/>
          <w:sz w:val="22"/>
          <w:szCs w:val="22"/>
        </w:rPr>
        <w:t>van de Commissie. Nederland onderschrijft het pleidooi van de AIV om deze rol verder te versterken.</w:t>
      </w:r>
    </w:p>
    <w:p w:rsidRPr="004B0189" w:rsidR="004B0189" w:rsidP="004B0189" w:rsidRDefault="00367E4E" w14:paraId="5CF7C120" w14:textId="4C1D20DF">
      <w:pPr>
        <w:spacing w:before="100" w:beforeAutospacing="1"/>
        <w:rPr>
          <w:rFonts w:ascii="Times New Roman" w:hAnsi="Times New Roman" w:cs="Times New Roman"/>
          <w:sz w:val="22"/>
          <w:szCs w:val="22"/>
        </w:rPr>
      </w:pPr>
      <w:r>
        <w:rPr>
          <w:rFonts w:ascii="Times New Roman" w:hAnsi="Times New Roman"/>
          <w:sz w:val="22"/>
          <w:szCs w:val="22"/>
        </w:rPr>
        <w:t>Overigens merkt h</w:t>
      </w:r>
      <w:r w:rsidRPr="004B0189">
        <w:rPr>
          <w:rFonts w:ascii="Times New Roman" w:hAnsi="Times New Roman"/>
          <w:sz w:val="22"/>
          <w:szCs w:val="22"/>
        </w:rPr>
        <w:t xml:space="preserve">et kabinet </w:t>
      </w:r>
      <w:r>
        <w:rPr>
          <w:rFonts w:ascii="Times New Roman" w:hAnsi="Times New Roman"/>
          <w:sz w:val="22"/>
          <w:szCs w:val="22"/>
        </w:rPr>
        <w:t xml:space="preserve">op dat het van mening verschilt met de </w:t>
      </w:r>
      <w:r w:rsidRPr="004B0189">
        <w:rPr>
          <w:rFonts w:ascii="Times New Roman" w:hAnsi="Times New Roman"/>
          <w:sz w:val="22"/>
          <w:szCs w:val="22"/>
        </w:rPr>
        <w:t xml:space="preserve">AIV </w:t>
      </w:r>
      <w:r>
        <w:rPr>
          <w:rFonts w:ascii="Times New Roman" w:hAnsi="Times New Roman"/>
          <w:sz w:val="22"/>
          <w:szCs w:val="22"/>
        </w:rPr>
        <w:t xml:space="preserve">over de constatering </w:t>
      </w:r>
      <w:r w:rsidRPr="004B0189">
        <w:rPr>
          <w:rFonts w:ascii="Times New Roman" w:hAnsi="Times New Roman"/>
          <w:sz w:val="22"/>
          <w:szCs w:val="22"/>
        </w:rPr>
        <w:t xml:space="preserve">dat </w:t>
      </w:r>
      <w:r>
        <w:rPr>
          <w:rFonts w:ascii="Times New Roman" w:hAnsi="Times New Roman"/>
          <w:sz w:val="22"/>
          <w:szCs w:val="22"/>
        </w:rPr>
        <w:t>het</w:t>
      </w:r>
      <w:r w:rsidRPr="004B0189">
        <w:rPr>
          <w:rFonts w:ascii="Times New Roman" w:hAnsi="Times New Roman"/>
          <w:sz w:val="22"/>
          <w:szCs w:val="22"/>
        </w:rPr>
        <w:t xml:space="preserve"> nationale begrotingsproces </w:t>
      </w:r>
      <w:r>
        <w:rPr>
          <w:rFonts w:ascii="Times New Roman" w:hAnsi="Times New Roman"/>
          <w:sz w:val="22"/>
          <w:szCs w:val="22"/>
        </w:rPr>
        <w:t xml:space="preserve">door het Europese proces de facto naar voren </w:t>
      </w:r>
      <w:r w:rsidR="00585811">
        <w:rPr>
          <w:rFonts w:ascii="Times New Roman" w:hAnsi="Times New Roman"/>
          <w:sz w:val="22"/>
          <w:szCs w:val="22"/>
        </w:rPr>
        <w:t>is</w:t>
      </w:r>
      <w:r>
        <w:rPr>
          <w:rFonts w:ascii="Times New Roman" w:hAnsi="Times New Roman"/>
          <w:sz w:val="22"/>
          <w:szCs w:val="22"/>
        </w:rPr>
        <w:t xml:space="preserve"> gehaald </w:t>
      </w:r>
      <w:r w:rsidR="005F34AD">
        <w:rPr>
          <w:rFonts w:ascii="Times New Roman" w:hAnsi="Times New Roman" w:cs="Times New Roman"/>
          <w:sz w:val="22"/>
          <w:szCs w:val="22"/>
        </w:rPr>
        <w:t xml:space="preserve">en dat de politieke besluitvorming over de ontwerpbegroting vervroegd is </w:t>
      </w:r>
      <w:r w:rsidRPr="004B0189" w:rsidR="0049253F">
        <w:rPr>
          <w:rFonts w:ascii="Times New Roman" w:hAnsi="Times New Roman" w:cs="Times New Roman"/>
          <w:sz w:val="22"/>
          <w:szCs w:val="22"/>
        </w:rPr>
        <w:t xml:space="preserve">naar het voorjaar. In het voorjaar rapporteert het kabinet </w:t>
      </w:r>
      <w:r w:rsidR="005F34AD">
        <w:rPr>
          <w:rFonts w:ascii="Times New Roman" w:hAnsi="Times New Roman" w:cs="Times New Roman"/>
          <w:sz w:val="22"/>
          <w:szCs w:val="22"/>
        </w:rPr>
        <w:t>in</w:t>
      </w:r>
      <w:r w:rsidRPr="004B0189" w:rsidR="0049253F">
        <w:rPr>
          <w:rFonts w:ascii="Times New Roman" w:hAnsi="Times New Roman" w:cs="Times New Roman"/>
          <w:sz w:val="22"/>
          <w:szCs w:val="22"/>
        </w:rPr>
        <w:t xml:space="preserve"> het </w:t>
      </w:r>
      <w:r w:rsidR="005F34AD">
        <w:rPr>
          <w:rFonts w:ascii="Times New Roman" w:hAnsi="Times New Roman" w:cs="Times New Roman"/>
          <w:sz w:val="22"/>
          <w:szCs w:val="22"/>
        </w:rPr>
        <w:t>jaarlijkse</w:t>
      </w:r>
      <w:r w:rsidRPr="004B0189" w:rsidR="0049253F">
        <w:rPr>
          <w:rFonts w:ascii="Times New Roman" w:hAnsi="Times New Roman" w:cs="Times New Roman"/>
          <w:sz w:val="22"/>
          <w:szCs w:val="22"/>
        </w:rPr>
        <w:t xml:space="preserve"> stabiliteitsprogramma aan de Commissie over het begrotingsbeleid</w:t>
      </w:r>
      <w:r w:rsidRPr="004B0189" w:rsidR="0049253F">
        <w:rPr>
          <w:rFonts w:ascii="Times New Roman" w:hAnsi="Times New Roman" w:cs="Times New Roman"/>
          <w:sz w:val="22"/>
          <w:szCs w:val="22"/>
          <w:lang w:eastAsia="nl-NL"/>
        </w:rPr>
        <w:t xml:space="preserve"> en de </w:t>
      </w:r>
      <w:r w:rsidR="003C41C5">
        <w:rPr>
          <w:rFonts w:ascii="Times New Roman" w:hAnsi="Times New Roman" w:cs="Times New Roman"/>
          <w:sz w:val="22"/>
          <w:szCs w:val="22"/>
          <w:lang w:eastAsia="nl-NL"/>
        </w:rPr>
        <w:t xml:space="preserve">macro-economische </w:t>
      </w:r>
      <w:r w:rsidRPr="004B0189" w:rsidR="0049253F">
        <w:rPr>
          <w:rFonts w:ascii="Times New Roman" w:hAnsi="Times New Roman" w:cs="Times New Roman"/>
          <w:sz w:val="22"/>
          <w:szCs w:val="22"/>
          <w:lang w:eastAsia="nl-NL"/>
        </w:rPr>
        <w:t>vooruitzichten</w:t>
      </w:r>
      <w:r w:rsidRPr="004B0189" w:rsidR="0049253F">
        <w:rPr>
          <w:rFonts w:ascii="Times New Roman" w:hAnsi="Times New Roman" w:cs="Times New Roman"/>
          <w:sz w:val="22"/>
          <w:szCs w:val="22"/>
        </w:rPr>
        <w:t xml:space="preserve">. Dit </w:t>
      </w:r>
      <w:r w:rsidRPr="004B0189" w:rsidR="0049253F">
        <w:rPr>
          <w:rFonts w:ascii="Times New Roman" w:hAnsi="Times New Roman" w:cs="Times New Roman"/>
          <w:sz w:val="22"/>
          <w:szCs w:val="22"/>
          <w:lang w:eastAsia="nl-NL"/>
        </w:rPr>
        <w:t xml:space="preserve">stabiliteitsprogramma bevat echter geen nieuw beleid. </w:t>
      </w:r>
      <w:r w:rsidRPr="004B0189" w:rsidR="0049253F">
        <w:rPr>
          <w:rFonts w:ascii="Times New Roman" w:hAnsi="Times New Roman" w:cs="Times New Roman"/>
          <w:sz w:val="22"/>
          <w:szCs w:val="22"/>
        </w:rPr>
        <w:t xml:space="preserve">In het voorjaar kan de Raad op voorstel van de Commissie aanbevelingen opstellen voor bijvoorbeeld extra bezuinigingsmaatregelen </w:t>
      </w:r>
      <w:r w:rsidR="005F34AD">
        <w:rPr>
          <w:rFonts w:ascii="Times New Roman" w:hAnsi="Times New Roman" w:cs="Times New Roman"/>
          <w:sz w:val="22"/>
          <w:szCs w:val="22"/>
        </w:rPr>
        <w:t xml:space="preserve">waarover het kabinet in het kader van de begrotingsvoorbereiding besluit en </w:t>
      </w:r>
      <w:r w:rsidRPr="004B0189" w:rsidR="0049253F">
        <w:rPr>
          <w:rFonts w:ascii="Times New Roman" w:hAnsi="Times New Roman" w:cs="Times New Roman"/>
          <w:sz w:val="22"/>
          <w:szCs w:val="22"/>
        </w:rPr>
        <w:t xml:space="preserve">die worden </w:t>
      </w:r>
      <w:r w:rsidR="00865653">
        <w:rPr>
          <w:rFonts w:ascii="Times New Roman" w:hAnsi="Times New Roman" w:cs="Times New Roman"/>
          <w:sz w:val="22"/>
          <w:szCs w:val="22"/>
        </w:rPr>
        <w:t>op</w:t>
      </w:r>
      <w:r w:rsidRPr="004B0189" w:rsidR="0049253F">
        <w:rPr>
          <w:rFonts w:ascii="Times New Roman" w:hAnsi="Times New Roman" w:cs="Times New Roman"/>
          <w:sz w:val="22"/>
          <w:szCs w:val="22"/>
        </w:rPr>
        <w:t>genomen in de Miljoenennota in september, waaraan de Kamer goedkeuring dient te verlenen.</w:t>
      </w:r>
      <w:r w:rsidRPr="004B0189" w:rsidR="004B0189">
        <w:rPr>
          <w:rFonts w:ascii="Times New Roman" w:hAnsi="Times New Roman" w:cs="Times New Roman"/>
          <w:sz w:val="22"/>
          <w:szCs w:val="22"/>
        </w:rPr>
        <w:t xml:space="preserve"> Het kabinet legt hierover verantwoording af tijdens de algemene beschouwingen en begrotingsbehandelingen.</w:t>
      </w:r>
    </w:p>
    <w:p w:rsidR="004B0189" w:rsidP="004B0189" w:rsidRDefault="004B0189" w14:paraId="27B8C457" w14:textId="77777777">
      <w:pPr>
        <w:rPr>
          <w:rFonts w:ascii="Times New Roman" w:hAnsi="Times New Roman" w:cs="Times New Roman"/>
          <w:sz w:val="22"/>
          <w:szCs w:val="22"/>
        </w:rPr>
      </w:pPr>
    </w:p>
    <w:p w:rsidRPr="00766ED7" w:rsidR="00865653" w:rsidP="00766ED7" w:rsidRDefault="00865653" w14:paraId="7650FDAB" w14:textId="77777777">
      <w:pPr>
        <w:pStyle w:val="Lijstalinea"/>
        <w:numPr>
          <w:ilvl w:val="0"/>
          <w:numId w:val="3"/>
        </w:numPr>
        <w:rPr>
          <w:rFonts w:ascii="Times New Roman" w:hAnsi="Times New Roman" w:cs="Times New Roman"/>
          <w:i/>
          <w:sz w:val="22"/>
          <w:szCs w:val="22"/>
        </w:rPr>
      </w:pPr>
      <w:r w:rsidRPr="00766ED7">
        <w:rPr>
          <w:rFonts w:ascii="Times New Roman" w:hAnsi="Times New Roman" w:cs="Times New Roman"/>
          <w:i/>
          <w:sz w:val="22"/>
          <w:szCs w:val="22"/>
        </w:rPr>
        <w:t xml:space="preserve"> Rol Raad van State </w:t>
      </w:r>
      <w:r w:rsidR="00F77518">
        <w:rPr>
          <w:rFonts w:ascii="Times New Roman" w:hAnsi="Times New Roman" w:cs="Times New Roman"/>
          <w:i/>
          <w:sz w:val="22"/>
          <w:szCs w:val="22"/>
        </w:rPr>
        <w:t>en CPB</w:t>
      </w:r>
    </w:p>
    <w:p w:rsidR="00865653" w:rsidP="004B0189" w:rsidRDefault="00865653" w14:paraId="1C206E94" w14:textId="77777777">
      <w:pPr>
        <w:rPr>
          <w:rFonts w:ascii="Times New Roman" w:hAnsi="Times New Roman" w:cs="Times New Roman"/>
          <w:sz w:val="22"/>
          <w:szCs w:val="22"/>
        </w:rPr>
      </w:pPr>
    </w:p>
    <w:p w:rsidRPr="004B0189" w:rsidR="004B0189" w:rsidP="004B0189" w:rsidRDefault="004B0189" w14:paraId="233ED4FF" w14:textId="77777777">
      <w:pPr>
        <w:rPr>
          <w:rFonts w:ascii="Times New Roman" w:hAnsi="Times New Roman" w:cs="Times New Roman"/>
          <w:sz w:val="22"/>
          <w:szCs w:val="22"/>
        </w:rPr>
      </w:pPr>
      <w:r w:rsidRPr="004B0189">
        <w:rPr>
          <w:rFonts w:ascii="Times New Roman" w:hAnsi="Times New Roman" w:cs="Times New Roman"/>
          <w:sz w:val="22"/>
          <w:szCs w:val="22"/>
        </w:rPr>
        <w:t>De AIV geeft aan dat de adviserende rol van de Raad van State over de begroting in het kader van de Europese begrotingsregels een te zware wissel zou trekken op de deskundigheid van de Raad van State. De Wet Houdbare Overheidsfinanciën wijst de afdeling advisering van de Raad van State aan een oordeel te geven over de Miljoenennota. Dit sluit aan bij de bestaande praktijk. De Raad van State brengt immers jaarlijks een advies uit over de Miljoenennota. De taak die daarbij komt, is dat de Raad van State in het jaarlijkse advies over de Miljoenennota toetst of het gevoerde begrotingsbeleid de Europese begrotingsafspraken respecteert. Het CPB treedt hierbij op als onafhankelijk ramingsinstituut. Op basis van de onafhankelijke ramingen van het CPB, kan de Raad van State de toets uitvoeren of het gevoerde en/of geplande budgettaire beleid in lijn is met de Europese begrotingsafspraken</w:t>
      </w:r>
      <w:r w:rsidRPr="004B0189">
        <w:rPr>
          <w:rFonts w:ascii="Times New Roman" w:hAnsi="Times New Roman" w:cs="Times New Roman"/>
          <w:i/>
          <w:sz w:val="22"/>
          <w:szCs w:val="22"/>
        </w:rPr>
        <w:t xml:space="preserve">. </w:t>
      </w:r>
      <w:r w:rsidRPr="004B0189">
        <w:rPr>
          <w:rFonts w:ascii="Times New Roman" w:hAnsi="Times New Roman" w:cs="Times New Roman"/>
          <w:sz w:val="22"/>
          <w:szCs w:val="22"/>
        </w:rPr>
        <w:t>Met deze toedeling, het scheiden van de rollen van onafhankelijk ramingsinstituut (CPB) en een onafhankelijk advies (Raad van State) over het gevoerde begrotingsbeleid door het kabinet, waarborgt Nederland de status van het CPB als onafhankelijk ramingsinstituut en wordt voorkomen dat de rol van het CPB wordt vermengd met het inhoudelijk beoordelen en adviseren over kabinetsbeleid.</w:t>
      </w:r>
      <w:r w:rsidR="0038628A">
        <w:rPr>
          <w:rFonts w:ascii="Times New Roman" w:hAnsi="Times New Roman" w:cs="Times New Roman"/>
          <w:sz w:val="22"/>
          <w:szCs w:val="22"/>
        </w:rPr>
        <w:t xml:space="preserve"> Daarbij wijst het kabinet voor wat betreft de onafhankelijke oordeelsvorming van het CPB ook op de Aanwijzingen van de minister-president van 21 februari 2012 inzake de planbureaus (in het bijzonder aanwijzing 4 en 5).</w:t>
      </w:r>
      <w:r w:rsidR="0038628A">
        <w:rPr>
          <w:rStyle w:val="Voetnootmarkering"/>
          <w:rFonts w:ascii="Times New Roman" w:hAnsi="Times New Roman"/>
          <w:sz w:val="22"/>
          <w:szCs w:val="22"/>
        </w:rPr>
        <w:footnoteReference w:id="11"/>
      </w:r>
    </w:p>
    <w:p w:rsidR="004B0189" w:rsidP="004B0189" w:rsidRDefault="004B0189" w14:paraId="3C7DFB13" w14:textId="77777777">
      <w:pPr>
        <w:rPr>
          <w:rFonts w:ascii="Times New Roman" w:hAnsi="Times New Roman" w:cs="Times New Roman"/>
          <w:sz w:val="22"/>
          <w:szCs w:val="22"/>
        </w:rPr>
      </w:pPr>
    </w:p>
    <w:p w:rsidRPr="00766ED7" w:rsidR="00865653" w:rsidP="00766ED7" w:rsidRDefault="00865653" w14:paraId="4815E9D5" w14:textId="77777777">
      <w:pPr>
        <w:pStyle w:val="Lijstalinea"/>
        <w:numPr>
          <w:ilvl w:val="0"/>
          <w:numId w:val="3"/>
        </w:numPr>
        <w:rPr>
          <w:rFonts w:ascii="Times New Roman" w:hAnsi="Times New Roman" w:cs="Times New Roman"/>
          <w:i/>
          <w:sz w:val="22"/>
          <w:szCs w:val="22"/>
        </w:rPr>
      </w:pPr>
      <w:r w:rsidRPr="00766ED7">
        <w:rPr>
          <w:rFonts w:ascii="Times New Roman" w:hAnsi="Times New Roman" w:cs="Times New Roman"/>
          <w:i/>
          <w:sz w:val="22"/>
          <w:szCs w:val="22"/>
        </w:rPr>
        <w:t xml:space="preserve"> Democratische verantwoording </w:t>
      </w:r>
      <w:r w:rsidR="00766ED7">
        <w:rPr>
          <w:rFonts w:ascii="Times New Roman" w:hAnsi="Times New Roman" w:cs="Times New Roman"/>
          <w:i/>
          <w:sz w:val="22"/>
          <w:szCs w:val="22"/>
        </w:rPr>
        <w:t>T</w:t>
      </w:r>
      <w:r w:rsidRPr="00766ED7">
        <w:rPr>
          <w:rFonts w:ascii="Times New Roman" w:hAnsi="Times New Roman" w:cs="Times New Roman"/>
          <w:i/>
          <w:sz w:val="22"/>
          <w:szCs w:val="22"/>
        </w:rPr>
        <w:t>rojka</w:t>
      </w:r>
    </w:p>
    <w:p w:rsidR="00865653" w:rsidP="004B0189" w:rsidRDefault="00865653" w14:paraId="0BB879BB" w14:textId="77777777">
      <w:pPr>
        <w:rPr>
          <w:rFonts w:ascii="Times New Roman" w:hAnsi="Times New Roman" w:cs="Times New Roman"/>
          <w:sz w:val="22"/>
          <w:szCs w:val="22"/>
        </w:rPr>
      </w:pPr>
    </w:p>
    <w:p w:rsidRPr="004B0189" w:rsidR="004B0189" w:rsidP="004B0189" w:rsidRDefault="00865653" w14:paraId="3F22BD3F" w14:textId="1482F470">
      <w:pPr>
        <w:rPr>
          <w:rFonts w:ascii="Times New Roman" w:hAnsi="Times New Roman" w:cs="Times New Roman"/>
          <w:sz w:val="22"/>
          <w:szCs w:val="22"/>
        </w:rPr>
      </w:pPr>
      <w:r>
        <w:rPr>
          <w:rFonts w:ascii="Times New Roman" w:hAnsi="Times New Roman" w:cs="Times New Roman"/>
          <w:sz w:val="22"/>
          <w:szCs w:val="22"/>
        </w:rPr>
        <w:t>H</w:t>
      </w:r>
      <w:r w:rsidRPr="004B0189" w:rsidR="004B0189">
        <w:rPr>
          <w:rFonts w:ascii="Times New Roman" w:hAnsi="Times New Roman" w:cs="Times New Roman"/>
          <w:sz w:val="22"/>
          <w:szCs w:val="22"/>
        </w:rPr>
        <w:t xml:space="preserve">et kabinet </w:t>
      </w:r>
      <w:r>
        <w:rPr>
          <w:rFonts w:ascii="Times New Roman" w:hAnsi="Times New Roman" w:cs="Times New Roman"/>
          <w:sz w:val="22"/>
          <w:szCs w:val="22"/>
        </w:rPr>
        <w:t>is</w:t>
      </w:r>
      <w:r w:rsidRPr="004B0189" w:rsidR="004B0189">
        <w:rPr>
          <w:rFonts w:ascii="Times New Roman" w:hAnsi="Times New Roman" w:cs="Times New Roman"/>
          <w:sz w:val="22"/>
          <w:szCs w:val="22"/>
        </w:rPr>
        <w:t xml:space="preserve"> het niet eens met de constatering van de AIV dat de democratische verantwoording van de Trojka (Europese Commissie, ECB en IMF) </w:t>
      </w:r>
      <w:r w:rsidR="00D14E7D">
        <w:rPr>
          <w:rFonts w:ascii="Times New Roman" w:hAnsi="Times New Roman" w:cs="Times New Roman"/>
          <w:sz w:val="22"/>
          <w:szCs w:val="22"/>
        </w:rPr>
        <w:t xml:space="preserve">over programmalanden </w:t>
      </w:r>
      <w:r w:rsidRPr="004B0189" w:rsidR="004B0189">
        <w:rPr>
          <w:rFonts w:ascii="Times New Roman" w:hAnsi="Times New Roman" w:cs="Times New Roman"/>
          <w:sz w:val="22"/>
          <w:szCs w:val="22"/>
        </w:rPr>
        <w:t>ernstig tekort schiet.</w:t>
      </w:r>
      <w:r>
        <w:rPr>
          <w:rFonts w:ascii="Times New Roman" w:hAnsi="Times New Roman" w:cs="Times New Roman"/>
          <w:sz w:val="22"/>
          <w:szCs w:val="22"/>
        </w:rPr>
        <w:t xml:space="preserve"> </w:t>
      </w:r>
      <w:r w:rsidRPr="00367413" w:rsidR="00367413">
        <w:rPr>
          <w:rFonts w:ascii="Times New Roman" w:hAnsi="Times New Roman" w:cs="Times New Roman"/>
          <w:sz w:val="22"/>
          <w:szCs w:val="22"/>
        </w:rPr>
        <w:t>De democratische legitimiteit is gewaarborgd door nationale parlementen en doordat democratisch ge</w:t>
      </w:r>
      <w:r w:rsidR="00F77518">
        <w:rPr>
          <w:rFonts w:ascii="Times New Roman" w:hAnsi="Times New Roman" w:cs="Times New Roman"/>
          <w:sz w:val="22"/>
          <w:szCs w:val="22"/>
        </w:rPr>
        <w:t>legitimeerde</w:t>
      </w:r>
      <w:r w:rsidRPr="00367413" w:rsidR="00367413">
        <w:rPr>
          <w:rFonts w:ascii="Times New Roman" w:hAnsi="Times New Roman" w:cs="Times New Roman"/>
          <w:sz w:val="22"/>
          <w:szCs w:val="22"/>
        </w:rPr>
        <w:t xml:space="preserve"> regeringen zelfstandig hebben </w:t>
      </w:r>
      <w:r w:rsidRPr="00367413" w:rsidR="00367413">
        <w:rPr>
          <w:rFonts w:ascii="Times New Roman" w:hAnsi="Times New Roman" w:cs="Times New Roman"/>
          <w:sz w:val="22"/>
          <w:szCs w:val="22"/>
        </w:rPr>
        <w:lastRenderedPageBreak/>
        <w:t xml:space="preserve">ingestemd met een pakket aan beleidsmaatregelen in ruil voor financiële steun. De conditionaliteit die verbonden is aan een steunprogramma is daarbij een product van gezamenlijke onderhandeling en instemming van alle betrokken partijen. De beleidsmaatregelen waaraan </w:t>
      </w:r>
      <w:r w:rsidR="00367413">
        <w:rPr>
          <w:rFonts w:ascii="Times New Roman" w:hAnsi="Times New Roman" w:cs="Times New Roman"/>
          <w:sz w:val="22"/>
          <w:szCs w:val="22"/>
        </w:rPr>
        <w:t>een</w:t>
      </w:r>
      <w:r w:rsidRPr="00367413" w:rsidR="00367413">
        <w:rPr>
          <w:rFonts w:ascii="Times New Roman" w:hAnsi="Times New Roman" w:cs="Times New Roman"/>
          <w:sz w:val="22"/>
          <w:szCs w:val="22"/>
        </w:rPr>
        <w:t xml:space="preserve"> programmaland zich committeer</w:t>
      </w:r>
      <w:r w:rsidR="00367413">
        <w:rPr>
          <w:rFonts w:ascii="Times New Roman" w:hAnsi="Times New Roman" w:cs="Times New Roman"/>
          <w:sz w:val="22"/>
          <w:szCs w:val="22"/>
        </w:rPr>
        <w:t>t</w:t>
      </w:r>
      <w:r w:rsidRPr="00367413" w:rsidR="00367413">
        <w:rPr>
          <w:rFonts w:ascii="Times New Roman" w:hAnsi="Times New Roman" w:cs="Times New Roman"/>
          <w:sz w:val="22"/>
          <w:szCs w:val="22"/>
        </w:rPr>
        <w:t xml:space="preserve"> </w:t>
      </w:r>
      <w:r w:rsidR="00DF64DA">
        <w:rPr>
          <w:rFonts w:ascii="Times New Roman" w:hAnsi="Times New Roman" w:cs="Times New Roman"/>
          <w:sz w:val="22"/>
          <w:szCs w:val="22"/>
        </w:rPr>
        <w:t>zijn</w:t>
      </w:r>
      <w:r w:rsidRPr="00367413" w:rsidR="00367413">
        <w:rPr>
          <w:rFonts w:ascii="Times New Roman" w:hAnsi="Times New Roman" w:cs="Times New Roman"/>
          <w:sz w:val="22"/>
          <w:szCs w:val="22"/>
        </w:rPr>
        <w:t xml:space="preserve"> vervolgens door de nationale parlementen van alle lidstaten onder de loep genomen en goedgekeurd.</w:t>
      </w:r>
      <w:r w:rsidR="00367413">
        <w:rPr>
          <w:rFonts w:ascii="Times New Roman" w:hAnsi="Times New Roman" w:cs="Times New Roman"/>
          <w:sz w:val="22"/>
          <w:szCs w:val="22"/>
        </w:rPr>
        <w:t xml:space="preserve"> </w:t>
      </w:r>
      <w:r>
        <w:rPr>
          <w:rFonts w:ascii="Times New Roman" w:hAnsi="Times New Roman" w:cs="Times New Roman"/>
          <w:sz w:val="22"/>
          <w:szCs w:val="22"/>
        </w:rPr>
        <w:t>Het kabinet wijst er op dat r</w:t>
      </w:r>
      <w:r w:rsidRPr="004B0189" w:rsidR="004B0189">
        <w:rPr>
          <w:rFonts w:ascii="Times New Roman" w:hAnsi="Times New Roman" w:cs="Times New Roman"/>
          <w:sz w:val="22"/>
          <w:szCs w:val="22"/>
        </w:rPr>
        <w:t>egelmatig intensieve uitwisselingen plaats</w:t>
      </w:r>
      <w:r>
        <w:rPr>
          <w:rFonts w:ascii="Times New Roman" w:hAnsi="Times New Roman" w:cs="Times New Roman"/>
          <w:sz w:val="22"/>
          <w:szCs w:val="22"/>
        </w:rPr>
        <w:t>vinden</w:t>
      </w:r>
      <w:r w:rsidRPr="004B0189" w:rsidR="004B0189">
        <w:rPr>
          <w:rFonts w:ascii="Times New Roman" w:hAnsi="Times New Roman" w:cs="Times New Roman"/>
          <w:sz w:val="22"/>
          <w:szCs w:val="22"/>
        </w:rPr>
        <w:t xml:space="preserve"> tussen de Europese Commissie en het Europees Parlement en tussen de ECB en het Europees Parlement. </w:t>
      </w:r>
      <w:r w:rsidR="00367413">
        <w:rPr>
          <w:rFonts w:ascii="Times New Roman" w:hAnsi="Times New Roman" w:cs="Times New Roman"/>
          <w:sz w:val="22"/>
          <w:szCs w:val="22"/>
        </w:rPr>
        <w:t>H</w:t>
      </w:r>
      <w:r w:rsidRPr="004B0189" w:rsidR="004B0189">
        <w:rPr>
          <w:rFonts w:ascii="Times New Roman" w:hAnsi="Times New Roman" w:cs="Times New Roman"/>
          <w:sz w:val="22"/>
          <w:szCs w:val="22"/>
        </w:rPr>
        <w:t xml:space="preserve">et Nederlands parlement </w:t>
      </w:r>
      <w:r w:rsidR="00367413">
        <w:rPr>
          <w:rFonts w:ascii="Times New Roman" w:hAnsi="Times New Roman" w:cs="Times New Roman"/>
          <w:sz w:val="22"/>
          <w:szCs w:val="22"/>
        </w:rPr>
        <w:t>wordt</w:t>
      </w:r>
      <w:r w:rsidRPr="004B0189" w:rsidR="004B0189">
        <w:rPr>
          <w:rFonts w:ascii="Times New Roman" w:hAnsi="Times New Roman" w:cs="Times New Roman"/>
          <w:sz w:val="22"/>
          <w:szCs w:val="22"/>
        </w:rPr>
        <w:t xml:space="preserve"> door de minister van Financiën geïnformeerd over steunprogramma’s, in het bijzonder over de voortgangsrapportages </w:t>
      </w:r>
      <w:r>
        <w:rPr>
          <w:rFonts w:ascii="Times New Roman" w:hAnsi="Times New Roman" w:cs="Times New Roman"/>
          <w:sz w:val="22"/>
          <w:szCs w:val="22"/>
        </w:rPr>
        <w:t>van</w:t>
      </w:r>
      <w:r w:rsidRPr="004B0189" w:rsidR="004B0189">
        <w:rPr>
          <w:rFonts w:ascii="Times New Roman" w:hAnsi="Times New Roman" w:cs="Times New Roman"/>
          <w:sz w:val="22"/>
          <w:szCs w:val="22"/>
        </w:rPr>
        <w:t xml:space="preserve"> de Trojka en de inzet van het kabinet met betrekking tot de uitkering van leningen. </w:t>
      </w:r>
    </w:p>
    <w:p w:rsidRPr="004B0189" w:rsidR="0049253F" w:rsidP="0049253F" w:rsidRDefault="0049253F" w14:paraId="32C2EA36" w14:textId="77777777">
      <w:pPr>
        <w:rPr>
          <w:rFonts w:ascii="Times New Roman" w:hAnsi="Times New Roman" w:cs="Times New Roman"/>
          <w:sz w:val="22"/>
          <w:szCs w:val="22"/>
        </w:rPr>
      </w:pPr>
    </w:p>
    <w:p w:rsidRPr="004B0189" w:rsidR="00557D3E" w:rsidP="0049253F" w:rsidRDefault="00A21654" w14:paraId="7A9FE8AA" w14:textId="77777777">
      <w:pPr>
        <w:pStyle w:val="Lijstalinea"/>
        <w:numPr>
          <w:ilvl w:val="0"/>
          <w:numId w:val="13"/>
        </w:numPr>
        <w:rPr>
          <w:rFonts w:ascii="Times New Roman" w:hAnsi="Times New Roman" w:cs="Times New Roman"/>
          <w:b/>
          <w:sz w:val="22"/>
          <w:szCs w:val="22"/>
        </w:rPr>
      </w:pPr>
      <w:r w:rsidRPr="004B0189">
        <w:rPr>
          <w:rFonts w:ascii="Times New Roman" w:hAnsi="Times New Roman" w:cs="Times New Roman"/>
          <w:b/>
          <w:sz w:val="22"/>
          <w:szCs w:val="22"/>
        </w:rPr>
        <w:t xml:space="preserve">Politisering en burgerparticipatie </w:t>
      </w:r>
    </w:p>
    <w:p w:rsidRPr="004B0189" w:rsidR="007F194C" w:rsidP="0049253F" w:rsidRDefault="007F194C" w14:paraId="63ADB3CC" w14:textId="77777777">
      <w:pPr>
        <w:pStyle w:val="Lijstalinea"/>
        <w:ind w:left="360"/>
        <w:rPr>
          <w:rFonts w:ascii="Times New Roman" w:hAnsi="Times New Roman" w:cs="Times New Roman"/>
          <w:b/>
          <w:sz w:val="22"/>
          <w:szCs w:val="22"/>
        </w:rPr>
      </w:pPr>
    </w:p>
    <w:p w:rsidRPr="00BB0C3A" w:rsidR="006206B7" w:rsidP="00BB0C3A" w:rsidRDefault="006206B7" w14:paraId="19D7847C" w14:textId="77777777">
      <w:pPr>
        <w:pStyle w:val="Lijstalinea"/>
        <w:numPr>
          <w:ilvl w:val="0"/>
          <w:numId w:val="3"/>
        </w:numPr>
        <w:rPr>
          <w:rFonts w:ascii="Times New Roman" w:hAnsi="Times New Roman" w:cs="Times New Roman"/>
          <w:i/>
          <w:sz w:val="22"/>
          <w:szCs w:val="22"/>
        </w:rPr>
      </w:pPr>
      <w:r w:rsidRPr="00BB0C3A">
        <w:rPr>
          <w:rFonts w:ascii="Times New Roman" w:hAnsi="Times New Roman" w:cs="Times New Roman"/>
          <w:i/>
          <w:sz w:val="22"/>
          <w:szCs w:val="22"/>
        </w:rPr>
        <w:t>‘Eigenaarschap’ nationale politici</w:t>
      </w:r>
    </w:p>
    <w:p w:rsidRPr="00925B3C" w:rsidR="00522566" w:rsidP="0049253F" w:rsidRDefault="00522566" w14:paraId="7C0247AF" w14:textId="77777777">
      <w:pPr>
        <w:rPr>
          <w:rFonts w:ascii="Times New Roman" w:hAnsi="Times New Roman" w:cs="Times New Roman"/>
          <w:sz w:val="22"/>
          <w:szCs w:val="22"/>
        </w:rPr>
      </w:pPr>
    </w:p>
    <w:p w:rsidRPr="00925B3C" w:rsidR="00346A6C" w:rsidP="0049253F" w:rsidRDefault="006206B7" w14:paraId="7E84FF14" w14:textId="77777777">
      <w:pPr>
        <w:rPr>
          <w:rFonts w:ascii="Times New Roman" w:hAnsi="Times New Roman" w:cs="Times New Roman"/>
          <w:sz w:val="22"/>
          <w:szCs w:val="22"/>
        </w:rPr>
      </w:pPr>
      <w:r w:rsidRPr="00925B3C">
        <w:rPr>
          <w:rFonts w:ascii="Times New Roman" w:hAnsi="Times New Roman" w:cs="Times New Roman"/>
          <w:sz w:val="22"/>
          <w:szCs w:val="22"/>
        </w:rPr>
        <w:t>De AIV</w:t>
      </w:r>
      <w:r w:rsidRPr="00925B3C" w:rsidR="00331A74">
        <w:rPr>
          <w:rFonts w:ascii="Times New Roman" w:hAnsi="Times New Roman" w:cs="Times New Roman"/>
          <w:sz w:val="22"/>
          <w:szCs w:val="22"/>
        </w:rPr>
        <w:t xml:space="preserve"> beveelt opnieuw</w:t>
      </w:r>
      <w:r w:rsidRPr="00925B3C" w:rsidR="00E91459">
        <w:rPr>
          <w:rFonts w:ascii="Times New Roman" w:hAnsi="Times New Roman" w:cs="Times New Roman"/>
          <w:sz w:val="22"/>
          <w:szCs w:val="22"/>
        </w:rPr>
        <w:t xml:space="preserve">, net als </w:t>
      </w:r>
      <w:r w:rsidRPr="00925B3C" w:rsidR="00331A74">
        <w:rPr>
          <w:rFonts w:ascii="Times New Roman" w:hAnsi="Times New Roman" w:cs="Times New Roman"/>
          <w:sz w:val="22"/>
          <w:szCs w:val="22"/>
        </w:rPr>
        <w:t xml:space="preserve">in haar advies over de relaties met het Europees Parlement en </w:t>
      </w:r>
      <w:r w:rsidRPr="00925B3C" w:rsidR="00E91459">
        <w:rPr>
          <w:rFonts w:ascii="Times New Roman" w:hAnsi="Times New Roman" w:cs="Times New Roman"/>
          <w:sz w:val="22"/>
          <w:szCs w:val="22"/>
        </w:rPr>
        <w:t>de Raad van State</w:t>
      </w:r>
      <w:r w:rsidRPr="00925B3C">
        <w:rPr>
          <w:rFonts w:ascii="Times New Roman" w:hAnsi="Times New Roman" w:cs="Times New Roman"/>
          <w:sz w:val="22"/>
          <w:szCs w:val="22"/>
        </w:rPr>
        <w:t xml:space="preserve"> </w:t>
      </w:r>
      <w:r w:rsidRPr="00925B3C" w:rsidR="00331A74">
        <w:rPr>
          <w:rFonts w:ascii="Times New Roman" w:hAnsi="Times New Roman" w:cs="Times New Roman"/>
          <w:sz w:val="22"/>
          <w:szCs w:val="22"/>
        </w:rPr>
        <w:t xml:space="preserve">eerder, </w:t>
      </w:r>
      <w:r w:rsidRPr="00925B3C">
        <w:rPr>
          <w:rFonts w:ascii="Times New Roman" w:hAnsi="Times New Roman" w:cs="Times New Roman"/>
          <w:sz w:val="22"/>
          <w:szCs w:val="22"/>
        </w:rPr>
        <w:t xml:space="preserve">aan dat nationale gezagsdragers </w:t>
      </w:r>
      <w:r w:rsidRPr="00925B3C" w:rsidR="00506AB7">
        <w:rPr>
          <w:rFonts w:ascii="Times New Roman" w:hAnsi="Times New Roman" w:cs="Times New Roman"/>
          <w:sz w:val="22"/>
          <w:szCs w:val="22"/>
        </w:rPr>
        <w:t>meer verantwoordelijkheid nemen voor hun optreden</w:t>
      </w:r>
      <w:r w:rsidRPr="00925B3C" w:rsidR="005766DD">
        <w:rPr>
          <w:rFonts w:ascii="Times New Roman" w:hAnsi="Times New Roman" w:cs="Times New Roman"/>
          <w:sz w:val="22"/>
          <w:szCs w:val="22"/>
        </w:rPr>
        <w:t xml:space="preserve"> in de EU</w:t>
      </w:r>
      <w:r w:rsidRPr="00925B3C" w:rsidR="00506AB7">
        <w:rPr>
          <w:rFonts w:ascii="Times New Roman" w:hAnsi="Times New Roman" w:cs="Times New Roman"/>
          <w:sz w:val="22"/>
          <w:szCs w:val="22"/>
        </w:rPr>
        <w:t xml:space="preserve">. </w:t>
      </w:r>
      <w:r w:rsidRPr="00925B3C" w:rsidR="00331A74">
        <w:rPr>
          <w:rFonts w:ascii="Times New Roman" w:hAnsi="Times New Roman" w:cs="Times New Roman"/>
          <w:sz w:val="22"/>
          <w:szCs w:val="22"/>
        </w:rPr>
        <w:t xml:space="preserve">De AIV stelt dat bewindslieden zich nu vaak tegenover de instellingen opstellen, terwijl zij duidelijk zouden moeten maken dat ze zelf deelnemers aan het Europees besluitvormingsproces zijn en dus medeverantwoordelijkheid dragen voor de genomen besluiten. </w:t>
      </w:r>
      <w:r w:rsidRPr="00925B3C" w:rsidR="009D66CA">
        <w:rPr>
          <w:rFonts w:ascii="Times New Roman" w:hAnsi="Times New Roman" w:cs="Times New Roman"/>
          <w:sz w:val="22"/>
          <w:szCs w:val="22"/>
        </w:rPr>
        <w:t>Het kabinet</w:t>
      </w:r>
      <w:r w:rsidRPr="00925B3C" w:rsidR="00331A74">
        <w:rPr>
          <w:rFonts w:ascii="Times New Roman" w:hAnsi="Times New Roman" w:cs="Times New Roman"/>
          <w:sz w:val="22"/>
          <w:szCs w:val="22"/>
        </w:rPr>
        <w:t xml:space="preserve"> herkent dit beeld niet. Integendeel, het kabinet ziet het als een opdracht de burgers zoveel mogelijk mee te nemen in het Europese besluitvormingsproces en duidelijk te maken dat voorgestelde maatregelen zichtbare meerwaarde hebben voor Nederland. </w:t>
      </w:r>
      <w:r w:rsidRPr="00925B3C" w:rsidR="002E644D">
        <w:rPr>
          <w:rFonts w:ascii="Times New Roman" w:hAnsi="Times New Roman" w:cs="Times New Roman"/>
          <w:sz w:val="22"/>
          <w:szCs w:val="22"/>
        </w:rPr>
        <w:t>Het kabinet</w:t>
      </w:r>
      <w:r w:rsidRPr="00925B3C" w:rsidR="005766DD">
        <w:rPr>
          <w:rFonts w:ascii="Times New Roman" w:hAnsi="Times New Roman" w:cs="Times New Roman"/>
          <w:sz w:val="22"/>
          <w:szCs w:val="22"/>
        </w:rPr>
        <w:t xml:space="preserve"> onderkent het ondermijningsrisico van uiteenlopende boodschappen in de nationale en Europese context. </w:t>
      </w:r>
      <w:r w:rsidRPr="00925B3C" w:rsidR="002E644D">
        <w:rPr>
          <w:rFonts w:ascii="Times New Roman" w:hAnsi="Times New Roman" w:cs="Times New Roman"/>
          <w:sz w:val="22"/>
          <w:szCs w:val="22"/>
        </w:rPr>
        <w:t xml:space="preserve">De toonzetting over de EU is daarom </w:t>
      </w:r>
      <w:r w:rsidRPr="00925B3C" w:rsidR="00F07568">
        <w:rPr>
          <w:rFonts w:ascii="Times New Roman" w:hAnsi="Times New Roman" w:cs="Times New Roman"/>
          <w:sz w:val="22"/>
          <w:szCs w:val="22"/>
        </w:rPr>
        <w:t xml:space="preserve">steeds </w:t>
      </w:r>
      <w:r w:rsidRPr="00925B3C" w:rsidR="002E644D">
        <w:rPr>
          <w:rFonts w:ascii="Times New Roman" w:hAnsi="Times New Roman" w:cs="Times New Roman"/>
          <w:sz w:val="22"/>
          <w:szCs w:val="22"/>
        </w:rPr>
        <w:t xml:space="preserve">een belangrijk aandachtspunt in het kabinet. </w:t>
      </w:r>
      <w:r w:rsidRPr="00925B3C" w:rsidR="005766DD">
        <w:rPr>
          <w:rFonts w:ascii="Times New Roman" w:hAnsi="Times New Roman" w:cs="Times New Roman"/>
          <w:sz w:val="22"/>
          <w:szCs w:val="22"/>
        </w:rPr>
        <w:t xml:space="preserve">Het kabinet </w:t>
      </w:r>
      <w:r w:rsidRPr="00925B3C" w:rsidR="009D66CA">
        <w:rPr>
          <w:rFonts w:ascii="Times New Roman" w:hAnsi="Times New Roman" w:cs="Times New Roman"/>
          <w:sz w:val="22"/>
          <w:szCs w:val="22"/>
        </w:rPr>
        <w:t xml:space="preserve">hecht in dit verband aan de </w:t>
      </w:r>
      <w:r w:rsidRPr="00925B3C" w:rsidR="002E644D">
        <w:rPr>
          <w:rFonts w:ascii="Times New Roman" w:hAnsi="Times New Roman" w:cs="Times New Roman"/>
          <w:sz w:val="22"/>
          <w:szCs w:val="22"/>
        </w:rPr>
        <w:t xml:space="preserve">zeer frequente </w:t>
      </w:r>
      <w:r w:rsidRPr="00925B3C" w:rsidR="009D66CA">
        <w:rPr>
          <w:rFonts w:ascii="Times New Roman" w:hAnsi="Times New Roman" w:cs="Times New Roman"/>
          <w:sz w:val="22"/>
          <w:szCs w:val="22"/>
        </w:rPr>
        <w:t xml:space="preserve">debatten </w:t>
      </w:r>
      <w:r w:rsidRPr="00925B3C" w:rsidR="002E644D">
        <w:rPr>
          <w:rFonts w:ascii="Times New Roman" w:hAnsi="Times New Roman" w:cs="Times New Roman"/>
          <w:sz w:val="22"/>
          <w:szCs w:val="22"/>
        </w:rPr>
        <w:t>over Europese samenwerking in</w:t>
      </w:r>
      <w:r w:rsidRPr="00925B3C" w:rsidR="007C79C1">
        <w:rPr>
          <w:rFonts w:ascii="Times New Roman" w:hAnsi="Times New Roman" w:cs="Times New Roman"/>
          <w:sz w:val="22"/>
          <w:szCs w:val="22"/>
        </w:rPr>
        <w:t xml:space="preserve"> de</w:t>
      </w:r>
      <w:r w:rsidRPr="00925B3C" w:rsidR="002E644D">
        <w:rPr>
          <w:rFonts w:ascii="Times New Roman" w:hAnsi="Times New Roman" w:cs="Times New Roman"/>
          <w:sz w:val="22"/>
          <w:szCs w:val="22"/>
        </w:rPr>
        <w:t xml:space="preserve"> Eerste en Tweede Kamer, </w:t>
      </w:r>
      <w:r w:rsidR="003E3470">
        <w:rPr>
          <w:rFonts w:ascii="Times New Roman" w:hAnsi="Times New Roman" w:cs="Times New Roman"/>
          <w:sz w:val="22"/>
          <w:szCs w:val="22"/>
        </w:rPr>
        <w:t xml:space="preserve">in </w:t>
      </w:r>
      <w:r w:rsidRPr="00925B3C" w:rsidR="00E91459">
        <w:rPr>
          <w:rFonts w:ascii="Times New Roman" w:hAnsi="Times New Roman" w:cs="Times New Roman"/>
          <w:sz w:val="22"/>
          <w:szCs w:val="22"/>
        </w:rPr>
        <w:t xml:space="preserve">de media </w:t>
      </w:r>
      <w:r w:rsidR="00A11BC8">
        <w:rPr>
          <w:rFonts w:ascii="Times New Roman" w:hAnsi="Times New Roman" w:cs="Times New Roman"/>
          <w:sz w:val="22"/>
          <w:szCs w:val="22"/>
        </w:rPr>
        <w:t>en</w:t>
      </w:r>
      <w:r w:rsidRPr="00925B3C" w:rsidR="00E91459">
        <w:rPr>
          <w:rFonts w:ascii="Times New Roman" w:hAnsi="Times New Roman" w:cs="Times New Roman"/>
          <w:sz w:val="22"/>
          <w:szCs w:val="22"/>
        </w:rPr>
        <w:t xml:space="preserve"> </w:t>
      </w:r>
      <w:r w:rsidR="003E3470">
        <w:rPr>
          <w:rFonts w:ascii="Times New Roman" w:hAnsi="Times New Roman" w:cs="Times New Roman"/>
          <w:sz w:val="22"/>
          <w:szCs w:val="22"/>
        </w:rPr>
        <w:t>in</w:t>
      </w:r>
      <w:r w:rsidRPr="00925B3C" w:rsidR="00E91459">
        <w:rPr>
          <w:rFonts w:ascii="Times New Roman" w:hAnsi="Times New Roman" w:cs="Times New Roman"/>
          <w:sz w:val="22"/>
          <w:szCs w:val="22"/>
        </w:rPr>
        <w:t xml:space="preserve"> de samenleving. </w:t>
      </w:r>
      <w:r w:rsidRPr="00925B3C" w:rsidR="00F07568">
        <w:rPr>
          <w:rFonts w:ascii="Times New Roman" w:hAnsi="Times New Roman" w:cs="Times New Roman"/>
          <w:sz w:val="22"/>
          <w:szCs w:val="22"/>
        </w:rPr>
        <w:t xml:space="preserve">Het kabinet merkt op dat de toon over de EU </w:t>
      </w:r>
      <w:r w:rsidR="008A6D07">
        <w:rPr>
          <w:rFonts w:ascii="Times New Roman" w:hAnsi="Times New Roman" w:cs="Times New Roman"/>
          <w:sz w:val="22"/>
          <w:szCs w:val="22"/>
        </w:rPr>
        <w:t>een resultante is van alle actoren in dit proces</w:t>
      </w:r>
      <w:r w:rsidRPr="00925B3C" w:rsidR="00F07568">
        <w:rPr>
          <w:rFonts w:ascii="Times New Roman" w:hAnsi="Times New Roman" w:cs="Times New Roman"/>
          <w:sz w:val="22"/>
          <w:szCs w:val="22"/>
        </w:rPr>
        <w:t>.</w:t>
      </w:r>
    </w:p>
    <w:p w:rsidRPr="00925B3C" w:rsidR="00346A6C" w:rsidP="0049253F" w:rsidRDefault="00346A6C" w14:paraId="4F3AA1DE" w14:textId="77777777">
      <w:pPr>
        <w:rPr>
          <w:rFonts w:ascii="Times New Roman" w:hAnsi="Times New Roman" w:cs="Times New Roman"/>
          <w:sz w:val="22"/>
          <w:szCs w:val="22"/>
        </w:rPr>
      </w:pPr>
    </w:p>
    <w:p w:rsidRPr="00925B3C" w:rsidR="006206B7" w:rsidP="0049253F" w:rsidRDefault="00B961AF" w14:paraId="1760A861" w14:textId="77777777">
      <w:pPr>
        <w:rPr>
          <w:rFonts w:ascii="Times New Roman" w:hAnsi="Times New Roman" w:cs="Times New Roman"/>
          <w:sz w:val="22"/>
          <w:szCs w:val="22"/>
        </w:rPr>
      </w:pPr>
      <w:r>
        <w:rPr>
          <w:rFonts w:ascii="Times New Roman" w:hAnsi="Times New Roman" w:cs="Times New Roman"/>
          <w:sz w:val="22"/>
          <w:szCs w:val="22"/>
        </w:rPr>
        <w:t>H</w:t>
      </w:r>
      <w:r w:rsidRPr="00925B3C" w:rsidR="005766DD">
        <w:rPr>
          <w:rFonts w:ascii="Times New Roman" w:hAnsi="Times New Roman" w:cs="Times New Roman"/>
          <w:sz w:val="22"/>
          <w:szCs w:val="22"/>
        </w:rPr>
        <w:t xml:space="preserve">et kabinet </w:t>
      </w:r>
      <w:r>
        <w:rPr>
          <w:rFonts w:ascii="Times New Roman" w:hAnsi="Times New Roman" w:cs="Times New Roman"/>
          <w:sz w:val="22"/>
          <w:szCs w:val="22"/>
        </w:rPr>
        <w:t>deelt</w:t>
      </w:r>
      <w:r w:rsidRPr="00925B3C" w:rsidR="005766DD">
        <w:rPr>
          <w:rFonts w:ascii="Times New Roman" w:hAnsi="Times New Roman" w:cs="Times New Roman"/>
          <w:sz w:val="22"/>
          <w:szCs w:val="22"/>
        </w:rPr>
        <w:t xml:space="preserve"> de mening van de AI</w:t>
      </w:r>
      <w:r w:rsidRPr="00925B3C" w:rsidR="002E644D">
        <w:rPr>
          <w:rFonts w:ascii="Times New Roman" w:hAnsi="Times New Roman" w:cs="Times New Roman"/>
          <w:sz w:val="22"/>
          <w:szCs w:val="22"/>
        </w:rPr>
        <w:t xml:space="preserve">V dat </w:t>
      </w:r>
      <w:r w:rsidRPr="00925B3C" w:rsidR="00970556">
        <w:rPr>
          <w:rFonts w:ascii="Times New Roman" w:hAnsi="Times New Roman" w:cs="Times New Roman"/>
          <w:sz w:val="22"/>
          <w:szCs w:val="22"/>
        </w:rPr>
        <w:t xml:space="preserve">ook </w:t>
      </w:r>
      <w:r w:rsidRPr="00925B3C" w:rsidR="002E644D">
        <w:rPr>
          <w:rFonts w:ascii="Times New Roman" w:hAnsi="Times New Roman" w:cs="Times New Roman"/>
          <w:sz w:val="22"/>
          <w:szCs w:val="22"/>
        </w:rPr>
        <w:t xml:space="preserve">over de </w:t>
      </w:r>
      <w:r w:rsidRPr="00925B3C" w:rsidR="00970556">
        <w:rPr>
          <w:rFonts w:ascii="Times New Roman" w:hAnsi="Times New Roman" w:cs="Times New Roman"/>
          <w:sz w:val="22"/>
          <w:szCs w:val="22"/>
        </w:rPr>
        <w:t>ontwikkeling</w:t>
      </w:r>
      <w:r w:rsidRPr="00925B3C" w:rsidR="002E644D">
        <w:rPr>
          <w:rFonts w:ascii="Times New Roman" w:hAnsi="Times New Roman" w:cs="Times New Roman"/>
          <w:sz w:val="22"/>
          <w:szCs w:val="22"/>
        </w:rPr>
        <w:t xml:space="preserve"> en spill-</w:t>
      </w:r>
      <w:r w:rsidRPr="00925B3C" w:rsidR="005766DD">
        <w:rPr>
          <w:rFonts w:ascii="Times New Roman" w:hAnsi="Times New Roman" w:cs="Times New Roman"/>
          <w:sz w:val="22"/>
          <w:szCs w:val="22"/>
        </w:rPr>
        <w:t>over effecten van genomen beslissingen</w:t>
      </w:r>
      <w:r w:rsidRPr="00925B3C" w:rsidR="00346A6C">
        <w:rPr>
          <w:rFonts w:ascii="Times New Roman" w:hAnsi="Times New Roman" w:cs="Times New Roman"/>
          <w:sz w:val="22"/>
          <w:szCs w:val="22"/>
        </w:rPr>
        <w:t xml:space="preserve"> met het nationale parlement de discussie </w:t>
      </w:r>
      <w:r w:rsidRPr="00925B3C" w:rsidR="00970556">
        <w:rPr>
          <w:rFonts w:ascii="Times New Roman" w:hAnsi="Times New Roman" w:cs="Times New Roman"/>
          <w:sz w:val="22"/>
          <w:szCs w:val="22"/>
        </w:rPr>
        <w:t xml:space="preserve">moet worden </w:t>
      </w:r>
      <w:r w:rsidRPr="00925B3C" w:rsidR="00346A6C">
        <w:rPr>
          <w:rFonts w:ascii="Times New Roman" w:hAnsi="Times New Roman" w:cs="Times New Roman"/>
          <w:sz w:val="22"/>
          <w:szCs w:val="22"/>
        </w:rPr>
        <w:t>aan</w:t>
      </w:r>
      <w:r w:rsidRPr="00925B3C" w:rsidR="00970556">
        <w:rPr>
          <w:rFonts w:ascii="Times New Roman" w:hAnsi="Times New Roman" w:cs="Times New Roman"/>
          <w:sz w:val="22"/>
          <w:szCs w:val="22"/>
        </w:rPr>
        <w:t>ge</w:t>
      </w:r>
      <w:r w:rsidRPr="00925B3C" w:rsidR="00346A6C">
        <w:rPr>
          <w:rFonts w:ascii="Times New Roman" w:hAnsi="Times New Roman" w:cs="Times New Roman"/>
          <w:sz w:val="22"/>
          <w:szCs w:val="22"/>
        </w:rPr>
        <w:t>gaan</w:t>
      </w:r>
      <w:r w:rsidRPr="00925B3C" w:rsidR="005766DD">
        <w:rPr>
          <w:rFonts w:ascii="Times New Roman" w:hAnsi="Times New Roman" w:cs="Times New Roman"/>
          <w:sz w:val="22"/>
          <w:szCs w:val="22"/>
        </w:rPr>
        <w:t xml:space="preserve">. Daarbij tekent het kabinet aan zich niet te willen verliezen in </w:t>
      </w:r>
      <w:r w:rsidRPr="00925B3C" w:rsidR="00F07568">
        <w:rPr>
          <w:rFonts w:ascii="Times New Roman" w:hAnsi="Times New Roman" w:cs="Times New Roman"/>
          <w:sz w:val="22"/>
          <w:szCs w:val="22"/>
        </w:rPr>
        <w:t xml:space="preserve">abstracte </w:t>
      </w:r>
      <w:r w:rsidRPr="00925B3C" w:rsidR="00970556">
        <w:rPr>
          <w:rFonts w:ascii="Times New Roman" w:hAnsi="Times New Roman" w:cs="Times New Roman"/>
          <w:sz w:val="22"/>
          <w:szCs w:val="22"/>
        </w:rPr>
        <w:t>debatten over de politieke eindvorm van de Europese samenwerking</w:t>
      </w:r>
      <w:r w:rsidRPr="00925B3C" w:rsidR="005766DD">
        <w:rPr>
          <w:rFonts w:ascii="Times New Roman" w:hAnsi="Times New Roman" w:cs="Times New Roman"/>
          <w:sz w:val="22"/>
          <w:szCs w:val="22"/>
        </w:rPr>
        <w:t xml:space="preserve">, maar </w:t>
      </w:r>
      <w:r w:rsidRPr="00925B3C" w:rsidR="00970556">
        <w:rPr>
          <w:rFonts w:ascii="Times New Roman" w:hAnsi="Times New Roman" w:cs="Times New Roman"/>
          <w:sz w:val="22"/>
          <w:szCs w:val="22"/>
        </w:rPr>
        <w:t xml:space="preserve">zich </w:t>
      </w:r>
      <w:r w:rsidR="008A6D07">
        <w:rPr>
          <w:rFonts w:ascii="Times New Roman" w:hAnsi="Times New Roman" w:cs="Times New Roman"/>
          <w:sz w:val="22"/>
          <w:szCs w:val="22"/>
        </w:rPr>
        <w:t>te willen</w:t>
      </w:r>
      <w:r w:rsidRPr="00925B3C" w:rsidR="00970556">
        <w:rPr>
          <w:rFonts w:ascii="Times New Roman" w:hAnsi="Times New Roman" w:cs="Times New Roman"/>
          <w:sz w:val="22"/>
          <w:szCs w:val="22"/>
        </w:rPr>
        <w:t xml:space="preserve"> richten op</w:t>
      </w:r>
      <w:r w:rsidRPr="00925B3C" w:rsidR="005766DD">
        <w:rPr>
          <w:rFonts w:ascii="Times New Roman" w:hAnsi="Times New Roman" w:cs="Times New Roman"/>
          <w:sz w:val="22"/>
          <w:szCs w:val="22"/>
        </w:rPr>
        <w:t xml:space="preserve"> de middellange termijn</w:t>
      </w:r>
      <w:r w:rsidRPr="00925B3C" w:rsidR="00970556">
        <w:rPr>
          <w:rFonts w:ascii="Times New Roman" w:hAnsi="Times New Roman" w:cs="Times New Roman"/>
          <w:sz w:val="22"/>
          <w:szCs w:val="22"/>
        </w:rPr>
        <w:t xml:space="preserve"> en wat er</w:t>
      </w:r>
      <w:r w:rsidRPr="00925B3C" w:rsidR="00F07568">
        <w:rPr>
          <w:rFonts w:ascii="Times New Roman" w:hAnsi="Times New Roman" w:cs="Times New Roman"/>
          <w:sz w:val="22"/>
          <w:szCs w:val="22"/>
        </w:rPr>
        <w:t xml:space="preserve"> concreet</w:t>
      </w:r>
      <w:r w:rsidRPr="00925B3C" w:rsidR="00970556">
        <w:rPr>
          <w:rFonts w:ascii="Times New Roman" w:hAnsi="Times New Roman" w:cs="Times New Roman"/>
          <w:sz w:val="22"/>
          <w:szCs w:val="22"/>
        </w:rPr>
        <w:t xml:space="preserve"> de eerstkomende jaren te doen staat. </w:t>
      </w:r>
      <w:r w:rsidRPr="00925B3C" w:rsidR="00346A6C">
        <w:rPr>
          <w:rFonts w:ascii="Times New Roman" w:hAnsi="Times New Roman" w:cs="Times New Roman"/>
          <w:sz w:val="22"/>
          <w:szCs w:val="22"/>
        </w:rPr>
        <w:t>H</w:t>
      </w:r>
      <w:r w:rsidRPr="00925B3C" w:rsidR="009D66CA">
        <w:rPr>
          <w:rFonts w:ascii="Times New Roman" w:hAnsi="Times New Roman" w:cs="Times New Roman"/>
          <w:sz w:val="22"/>
          <w:szCs w:val="22"/>
        </w:rPr>
        <w:t>et jaarlijkse debat over de Staat van de Unie, het debat over het werkprogramma van de Commissie</w:t>
      </w:r>
      <w:r w:rsidRPr="00925B3C" w:rsidR="00970556">
        <w:rPr>
          <w:rFonts w:ascii="Times New Roman" w:hAnsi="Times New Roman" w:cs="Times New Roman"/>
          <w:sz w:val="22"/>
          <w:szCs w:val="22"/>
        </w:rPr>
        <w:t xml:space="preserve"> en o</w:t>
      </w:r>
      <w:r w:rsidRPr="00925B3C" w:rsidR="009D66CA">
        <w:rPr>
          <w:rFonts w:ascii="Times New Roman" w:hAnsi="Times New Roman" w:cs="Times New Roman"/>
          <w:sz w:val="22"/>
          <w:szCs w:val="22"/>
        </w:rPr>
        <w:t>ok het aanstaande meerjaren</w:t>
      </w:r>
      <w:r w:rsidRPr="00925B3C" w:rsidR="00346A6C">
        <w:rPr>
          <w:rFonts w:ascii="Times New Roman" w:hAnsi="Times New Roman" w:cs="Times New Roman"/>
          <w:sz w:val="22"/>
          <w:szCs w:val="22"/>
        </w:rPr>
        <w:t xml:space="preserve"> </w:t>
      </w:r>
      <w:r w:rsidRPr="00925B3C" w:rsidR="009D66CA">
        <w:rPr>
          <w:rFonts w:ascii="Times New Roman" w:hAnsi="Times New Roman" w:cs="Times New Roman"/>
          <w:sz w:val="22"/>
          <w:szCs w:val="22"/>
        </w:rPr>
        <w:t xml:space="preserve">werkprogramma van de Commissie </w:t>
      </w:r>
      <w:r w:rsidRPr="00925B3C" w:rsidR="00346A6C">
        <w:rPr>
          <w:rFonts w:ascii="Times New Roman" w:hAnsi="Times New Roman" w:cs="Times New Roman"/>
          <w:sz w:val="22"/>
          <w:szCs w:val="22"/>
        </w:rPr>
        <w:t>bieden hiervoor uit</w:t>
      </w:r>
      <w:r w:rsidRPr="00925B3C" w:rsidR="00970556">
        <w:rPr>
          <w:rFonts w:ascii="Times New Roman" w:hAnsi="Times New Roman" w:cs="Times New Roman"/>
          <w:sz w:val="22"/>
          <w:szCs w:val="22"/>
        </w:rPr>
        <w:t>stekende aanknopingspunten.</w:t>
      </w:r>
    </w:p>
    <w:p w:rsidRPr="00925B3C" w:rsidR="006206B7" w:rsidP="0049253F" w:rsidRDefault="006206B7" w14:paraId="722845D6" w14:textId="77777777">
      <w:pPr>
        <w:rPr>
          <w:rFonts w:ascii="Times New Roman" w:hAnsi="Times New Roman" w:cs="Times New Roman"/>
          <w:sz w:val="22"/>
          <w:szCs w:val="22"/>
        </w:rPr>
      </w:pPr>
    </w:p>
    <w:p w:rsidRPr="00BB0C3A" w:rsidR="00557D3E" w:rsidP="00BB0C3A" w:rsidRDefault="007A5E73" w14:paraId="0E0C1037" w14:textId="77777777">
      <w:pPr>
        <w:pStyle w:val="Lijstalinea"/>
        <w:numPr>
          <w:ilvl w:val="0"/>
          <w:numId w:val="3"/>
        </w:numPr>
        <w:rPr>
          <w:rFonts w:ascii="Times New Roman" w:hAnsi="Times New Roman" w:cs="Times New Roman"/>
          <w:i/>
          <w:sz w:val="22"/>
          <w:szCs w:val="22"/>
        </w:rPr>
      </w:pPr>
      <w:r w:rsidRPr="00BB0C3A">
        <w:rPr>
          <w:rFonts w:ascii="Times New Roman" w:hAnsi="Times New Roman" w:cs="Times New Roman"/>
          <w:i/>
          <w:sz w:val="22"/>
          <w:szCs w:val="22"/>
        </w:rPr>
        <w:t>R</w:t>
      </w:r>
      <w:r w:rsidRPr="00BB0C3A" w:rsidR="00557D3E">
        <w:rPr>
          <w:rFonts w:ascii="Times New Roman" w:hAnsi="Times New Roman" w:cs="Times New Roman"/>
          <w:i/>
          <w:sz w:val="22"/>
          <w:szCs w:val="22"/>
        </w:rPr>
        <w:t>eferenda</w:t>
      </w:r>
    </w:p>
    <w:p w:rsidRPr="00925B3C" w:rsidR="00522566" w:rsidP="0049253F" w:rsidRDefault="00522566" w14:paraId="7FD6CFFD" w14:textId="77777777">
      <w:pPr>
        <w:pStyle w:val="Lijstalinea"/>
        <w:ind w:left="1080"/>
        <w:rPr>
          <w:rFonts w:ascii="Times New Roman" w:hAnsi="Times New Roman" w:cs="Times New Roman"/>
          <w:i/>
          <w:sz w:val="22"/>
          <w:szCs w:val="22"/>
        </w:rPr>
      </w:pPr>
    </w:p>
    <w:p w:rsidRPr="00925B3C" w:rsidR="00A35129" w:rsidP="0049253F" w:rsidRDefault="00A35129" w14:paraId="6EF61E16" w14:textId="77777777">
      <w:pPr>
        <w:autoSpaceDE w:val="0"/>
        <w:autoSpaceDN w:val="0"/>
        <w:rPr>
          <w:rFonts w:ascii="Times New Roman" w:hAnsi="Times New Roman" w:cs="Times New Roman"/>
          <w:sz w:val="22"/>
          <w:szCs w:val="22"/>
        </w:rPr>
      </w:pPr>
      <w:r w:rsidRPr="00925B3C">
        <w:rPr>
          <w:rFonts w:ascii="Times New Roman" w:hAnsi="Times New Roman" w:cs="Times New Roman"/>
          <w:sz w:val="22"/>
          <w:szCs w:val="22"/>
        </w:rPr>
        <w:t xml:space="preserve">De AIV betoont zich geen voorstander van referenda. Het kabinet wijst er daarbij op dat onlangs de Eerste Kamer het wetsvoorstel raadgevend referendum (niet-bindend, correctief, raadgevend – d.w.z. op verzoek van een vooraf bepaald aantal burgers) heeft aanvaard, evenals een grondwetswijziging in eerste lezing tot de invoering van een bindend, correctief, raadgevend referendum. Daarbij zijn ook de argumenten gewogen die door de AIV naar voren worden gebracht. </w:t>
      </w:r>
    </w:p>
    <w:p w:rsidRPr="00925B3C" w:rsidR="00A35129" w:rsidP="0049253F" w:rsidRDefault="00A35129" w14:paraId="72ED1186" w14:textId="77777777">
      <w:pPr>
        <w:rPr>
          <w:rFonts w:ascii="Times New Roman" w:hAnsi="Times New Roman" w:cs="Times New Roman"/>
          <w:sz w:val="22"/>
          <w:szCs w:val="22"/>
        </w:rPr>
      </w:pPr>
    </w:p>
    <w:p w:rsidRPr="00925B3C" w:rsidR="00A35129" w:rsidP="0049253F" w:rsidRDefault="00A35129" w14:paraId="0BC6324D" w14:textId="77777777">
      <w:pPr>
        <w:rPr>
          <w:rFonts w:ascii="Times New Roman" w:hAnsi="Times New Roman" w:cs="Times New Roman"/>
          <w:sz w:val="22"/>
          <w:szCs w:val="22"/>
        </w:rPr>
      </w:pPr>
      <w:r w:rsidRPr="00925B3C">
        <w:rPr>
          <w:rFonts w:ascii="Times New Roman" w:hAnsi="Times New Roman" w:cs="Times New Roman"/>
          <w:sz w:val="22"/>
          <w:szCs w:val="22"/>
        </w:rPr>
        <w:t>Het wetsvoorstel raadgevend referendum maakt het na inwerkingtreding mogelijk niet-bindende referenda te houden over bekrachtigde, maar nog niet in werking getreden wetten. Daaronder vallen ook de uitdrukkelijke of stilzwijgende goedkeuring van (wijzigingen van) verdragen die voor het Koninkrijk alleen in Nederland gelden. In de praktijk zal het dus mogelijk kunnen zijn dat ook over Europese verdragen een niet-bindend raadgevend referendum wordt gehouden</w:t>
      </w:r>
      <w:r w:rsidR="001825FF">
        <w:rPr>
          <w:rFonts w:ascii="Times New Roman" w:hAnsi="Times New Roman" w:cs="Times New Roman"/>
          <w:sz w:val="22"/>
          <w:szCs w:val="22"/>
        </w:rPr>
        <w:t>, op verzoek van een groep burgers</w:t>
      </w:r>
      <w:r w:rsidRPr="00925B3C">
        <w:rPr>
          <w:rFonts w:ascii="Times New Roman" w:hAnsi="Times New Roman" w:cs="Times New Roman"/>
          <w:sz w:val="22"/>
          <w:szCs w:val="22"/>
        </w:rPr>
        <w:t xml:space="preserve">. De opmerkingen van de AIV over een zorgvuldige vraagstelling en goede informatievoorziening zijn daarbij uiteraard </w:t>
      </w:r>
      <w:r w:rsidRPr="00925B3C">
        <w:rPr>
          <w:rFonts w:ascii="Times New Roman" w:hAnsi="Times New Roman" w:cs="Times New Roman"/>
          <w:sz w:val="22"/>
          <w:szCs w:val="22"/>
        </w:rPr>
        <w:lastRenderedPageBreak/>
        <w:t xml:space="preserve">relevant. Overigens </w:t>
      </w:r>
      <w:r w:rsidR="001825FF">
        <w:rPr>
          <w:rFonts w:ascii="Times New Roman" w:hAnsi="Times New Roman" w:cs="Times New Roman"/>
          <w:sz w:val="22"/>
          <w:szCs w:val="22"/>
        </w:rPr>
        <w:t>vallen</w:t>
      </w:r>
      <w:r w:rsidRPr="00925B3C">
        <w:rPr>
          <w:rFonts w:ascii="Times New Roman" w:hAnsi="Times New Roman" w:cs="Times New Roman"/>
          <w:sz w:val="22"/>
          <w:szCs w:val="22"/>
        </w:rPr>
        <w:t xml:space="preserve"> raadplegende – d.w.z. op initiatief van de wetgever -  referenda, zoals het referendum over de Europese Grondwet in 2005, niet </w:t>
      </w:r>
      <w:r w:rsidR="001825FF">
        <w:rPr>
          <w:rFonts w:ascii="Times New Roman" w:hAnsi="Times New Roman" w:cs="Times New Roman"/>
          <w:sz w:val="22"/>
          <w:szCs w:val="22"/>
        </w:rPr>
        <w:t>onder deze</w:t>
      </w:r>
      <w:r w:rsidRPr="00925B3C">
        <w:rPr>
          <w:rFonts w:ascii="Times New Roman" w:hAnsi="Times New Roman" w:cs="Times New Roman"/>
          <w:sz w:val="22"/>
          <w:szCs w:val="22"/>
        </w:rPr>
        <w:t xml:space="preserve"> aanvaarde wetsvoorstellen.</w:t>
      </w:r>
    </w:p>
    <w:p w:rsidRPr="00925B3C" w:rsidR="00A35129" w:rsidP="0049253F" w:rsidRDefault="00A35129" w14:paraId="4D8467BF" w14:textId="77777777">
      <w:pPr>
        <w:pStyle w:val="Lijstalinea"/>
        <w:rPr>
          <w:rFonts w:ascii="Times New Roman" w:hAnsi="Times New Roman" w:cs="Times New Roman"/>
          <w:sz w:val="22"/>
          <w:szCs w:val="22"/>
        </w:rPr>
      </w:pPr>
    </w:p>
    <w:p w:rsidRPr="00BB0C3A" w:rsidR="00A35129" w:rsidP="00BB0C3A" w:rsidRDefault="00A35129" w14:paraId="6B8CF7EE" w14:textId="77777777">
      <w:pPr>
        <w:pStyle w:val="Lijstalinea"/>
        <w:numPr>
          <w:ilvl w:val="0"/>
          <w:numId w:val="3"/>
        </w:numPr>
        <w:rPr>
          <w:rFonts w:ascii="Times New Roman" w:hAnsi="Times New Roman" w:cs="Times New Roman"/>
          <w:i/>
          <w:sz w:val="22"/>
          <w:szCs w:val="22"/>
        </w:rPr>
      </w:pPr>
      <w:r w:rsidRPr="00BB0C3A">
        <w:rPr>
          <w:rFonts w:ascii="Times New Roman" w:hAnsi="Times New Roman" w:cs="Times New Roman"/>
          <w:i/>
          <w:sz w:val="22"/>
          <w:szCs w:val="22"/>
        </w:rPr>
        <w:t>Europees Burgerinitiatief</w:t>
      </w:r>
    </w:p>
    <w:p w:rsidRPr="00925B3C" w:rsidR="00522566" w:rsidP="0049253F" w:rsidRDefault="00522566" w14:paraId="1A1054BB" w14:textId="77777777">
      <w:pPr>
        <w:autoSpaceDN w:val="0"/>
        <w:rPr>
          <w:rFonts w:ascii="Times New Roman" w:hAnsi="Times New Roman" w:cs="Times New Roman"/>
          <w:sz w:val="22"/>
          <w:szCs w:val="22"/>
        </w:rPr>
      </w:pPr>
    </w:p>
    <w:p w:rsidRPr="00925B3C" w:rsidR="00822865" w:rsidP="0049253F" w:rsidRDefault="00A35129" w14:paraId="7F8F59BB" w14:textId="77777777">
      <w:pPr>
        <w:autoSpaceDN w:val="0"/>
        <w:rPr>
          <w:rFonts w:ascii="Times New Roman" w:hAnsi="Times New Roman" w:cs="Times New Roman"/>
          <w:sz w:val="22"/>
          <w:szCs w:val="22"/>
        </w:rPr>
      </w:pPr>
      <w:r w:rsidRPr="00925B3C">
        <w:rPr>
          <w:rFonts w:ascii="Times New Roman" w:hAnsi="Times New Roman" w:cs="Times New Roman"/>
          <w:sz w:val="22"/>
          <w:szCs w:val="22"/>
        </w:rPr>
        <w:t xml:space="preserve">Met het Europees burgerinitiatief is voor het eerst een vorm van directe (of: participerende) democratie ingevoerd op Europees niveau. </w:t>
      </w:r>
    </w:p>
    <w:p w:rsidRPr="00925B3C" w:rsidR="00822865" w:rsidP="0049253F" w:rsidRDefault="00822865" w14:paraId="397245EF" w14:textId="77777777">
      <w:pPr>
        <w:autoSpaceDN w:val="0"/>
        <w:rPr>
          <w:rFonts w:ascii="Times New Roman" w:hAnsi="Times New Roman" w:cs="Times New Roman"/>
          <w:sz w:val="22"/>
          <w:szCs w:val="22"/>
        </w:rPr>
      </w:pPr>
    </w:p>
    <w:p w:rsidRPr="00925B3C" w:rsidR="00A35129" w:rsidP="0049253F" w:rsidRDefault="00A35129" w14:paraId="6FF1A3FC" w14:textId="77777777">
      <w:pPr>
        <w:autoSpaceDN w:val="0"/>
        <w:rPr>
          <w:rFonts w:ascii="Times New Roman" w:hAnsi="Times New Roman" w:cs="Times New Roman"/>
          <w:sz w:val="22"/>
          <w:szCs w:val="22"/>
        </w:rPr>
      </w:pPr>
      <w:r w:rsidRPr="00925B3C">
        <w:rPr>
          <w:rFonts w:ascii="Times New Roman" w:hAnsi="Times New Roman" w:cs="Times New Roman"/>
          <w:sz w:val="22"/>
          <w:szCs w:val="22"/>
        </w:rPr>
        <w:t>Met het Europees Burgerinitiatief zijn</w:t>
      </w:r>
      <w:r w:rsidRPr="00925B3C" w:rsidR="00822865">
        <w:rPr>
          <w:rFonts w:ascii="Times New Roman" w:hAnsi="Times New Roman" w:cs="Times New Roman"/>
          <w:sz w:val="22"/>
          <w:szCs w:val="22"/>
        </w:rPr>
        <w:t xml:space="preserve"> inmiddels </w:t>
      </w:r>
      <w:r w:rsidRPr="00925B3C">
        <w:rPr>
          <w:rFonts w:ascii="Times New Roman" w:hAnsi="Times New Roman" w:cs="Times New Roman"/>
          <w:sz w:val="22"/>
          <w:szCs w:val="22"/>
        </w:rPr>
        <w:t xml:space="preserve">de eerste ervaringen opgedaan. Ruim 20 initiatieven zijn gestart met het verzamelen van ondersteuningsverklaringen van burgers in verschillende lidstaten. Tot nu toe zijn er drie initiatieven die de benodigde miljoen steunbetuigingen hebben binnengehaald. Door de Europese Commissie wordt een brede evaluatie voorbereid om de ervaringen en leerpunten tot nu toe in kaart te brengen, zowel voor initiatiefnemers als voor de lidstaten die de handtekeningen moeten verifiëren en certificeren. Daarmee wordt voldaan aan de door de AIV gesignaleerde behoefte aan een beoordeling op merites en toepassingsvoorwaarden. </w:t>
      </w:r>
    </w:p>
    <w:p w:rsidRPr="00925B3C" w:rsidR="00A35129" w:rsidP="0049253F" w:rsidRDefault="00A35129" w14:paraId="242CE34C" w14:textId="77777777">
      <w:pPr>
        <w:pStyle w:val="Lijstalinea"/>
        <w:autoSpaceDE w:val="0"/>
        <w:autoSpaceDN w:val="0"/>
        <w:rPr>
          <w:rFonts w:ascii="Times New Roman" w:hAnsi="Times New Roman" w:cs="Times New Roman"/>
          <w:sz w:val="22"/>
          <w:szCs w:val="22"/>
        </w:rPr>
      </w:pPr>
    </w:p>
    <w:p w:rsidRPr="00925B3C" w:rsidR="00A35129" w:rsidP="0049253F" w:rsidRDefault="00A35129" w14:paraId="6918B1E6" w14:textId="77777777">
      <w:pPr>
        <w:autoSpaceDE w:val="0"/>
        <w:autoSpaceDN w:val="0"/>
        <w:rPr>
          <w:rFonts w:ascii="Times New Roman" w:hAnsi="Times New Roman" w:cs="Times New Roman"/>
          <w:sz w:val="22"/>
          <w:szCs w:val="22"/>
        </w:rPr>
      </w:pPr>
      <w:r w:rsidRPr="00925B3C">
        <w:rPr>
          <w:rFonts w:ascii="Times New Roman" w:hAnsi="Times New Roman" w:cs="Times New Roman"/>
          <w:sz w:val="22"/>
          <w:szCs w:val="22"/>
        </w:rPr>
        <w:t>De AIV weegt de reactie van de Commissie</w:t>
      </w:r>
      <w:r w:rsidRPr="00925B3C" w:rsidR="00522286">
        <w:rPr>
          <w:rFonts w:ascii="Times New Roman" w:hAnsi="Times New Roman" w:cs="Times New Roman"/>
          <w:sz w:val="22"/>
          <w:szCs w:val="22"/>
        </w:rPr>
        <w:t xml:space="preserve"> op het burgerinitiatief Right2Water als teleurstellend</w:t>
      </w:r>
      <w:r w:rsidRPr="00925B3C">
        <w:rPr>
          <w:rFonts w:ascii="Times New Roman" w:hAnsi="Times New Roman" w:cs="Times New Roman"/>
          <w:sz w:val="22"/>
          <w:szCs w:val="22"/>
        </w:rPr>
        <w:t xml:space="preserve"> ten opzichte van de lange duur van de procedure en de kosten voor de noodzakelijke processen voor de verificatie van alle handtekeningen in 25 lidstaten. Het </w:t>
      </w:r>
      <w:r w:rsidRPr="00925B3C" w:rsidR="00AF413D">
        <w:rPr>
          <w:rFonts w:ascii="Times New Roman" w:hAnsi="Times New Roman" w:cs="Times New Roman"/>
          <w:sz w:val="22"/>
          <w:szCs w:val="22"/>
        </w:rPr>
        <w:t>k</w:t>
      </w:r>
      <w:r w:rsidRPr="00925B3C">
        <w:rPr>
          <w:rFonts w:ascii="Times New Roman" w:hAnsi="Times New Roman" w:cs="Times New Roman"/>
          <w:sz w:val="22"/>
          <w:szCs w:val="22"/>
        </w:rPr>
        <w:t xml:space="preserve">abinet </w:t>
      </w:r>
      <w:r w:rsidR="00872AC6">
        <w:rPr>
          <w:rFonts w:ascii="Times New Roman" w:hAnsi="Times New Roman" w:cs="Times New Roman"/>
          <w:sz w:val="22"/>
          <w:szCs w:val="22"/>
        </w:rPr>
        <w:t xml:space="preserve">begrijpt de positie van de AIV en </w:t>
      </w:r>
      <w:r w:rsidRPr="00925B3C">
        <w:rPr>
          <w:rFonts w:ascii="Times New Roman" w:hAnsi="Times New Roman" w:cs="Times New Roman"/>
          <w:sz w:val="22"/>
          <w:szCs w:val="22"/>
        </w:rPr>
        <w:t xml:space="preserve">verwacht dat </w:t>
      </w:r>
      <w:r w:rsidRPr="00925B3C" w:rsidR="00522286">
        <w:rPr>
          <w:rFonts w:ascii="Times New Roman" w:hAnsi="Times New Roman" w:cs="Times New Roman"/>
          <w:sz w:val="22"/>
          <w:szCs w:val="22"/>
        </w:rPr>
        <w:t>het burgerinitiatief</w:t>
      </w:r>
      <w:r w:rsidRPr="00925B3C">
        <w:rPr>
          <w:rFonts w:ascii="Times New Roman" w:hAnsi="Times New Roman" w:cs="Times New Roman"/>
          <w:sz w:val="22"/>
          <w:szCs w:val="22"/>
        </w:rPr>
        <w:t>, dat niet alleen voor burgers</w:t>
      </w:r>
      <w:r w:rsidR="00872AC6">
        <w:rPr>
          <w:rFonts w:ascii="Times New Roman" w:hAnsi="Times New Roman" w:cs="Times New Roman"/>
          <w:sz w:val="22"/>
          <w:szCs w:val="22"/>
        </w:rPr>
        <w:t>,</w:t>
      </w:r>
      <w:r w:rsidRPr="00925B3C">
        <w:rPr>
          <w:rFonts w:ascii="Times New Roman" w:hAnsi="Times New Roman" w:cs="Times New Roman"/>
          <w:sz w:val="22"/>
          <w:szCs w:val="22"/>
        </w:rPr>
        <w:t xml:space="preserve"> maar ook voor de lidstaten de nodige inspanning vergt, alleen zal worden ingezet door burgers wanneer zij merken dat de gepleegde in</w:t>
      </w:r>
      <w:r w:rsidRPr="00925B3C" w:rsidR="00AF413D">
        <w:rPr>
          <w:rFonts w:ascii="Times New Roman" w:hAnsi="Times New Roman" w:cs="Times New Roman"/>
          <w:sz w:val="22"/>
          <w:szCs w:val="22"/>
        </w:rPr>
        <w:t>zet voldoende resultaat oplevert</w:t>
      </w:r>
      <w:r w:rsidRPr="00925B3C">
        <w:rPr>
          <w:rFonts w:ascii="Times New Roman" w:hAnsi="Times New Roman" w:cs="Times New Roman"/>
          <w:sz w:val="22"/>
          <w:szCs w:val="22"/>
        </w:rPr>
        <w:t xml:space="preserve">. </w:t>
      </w:r>
      <w:r w:rsidR="00A54B36">
        <w:rPr>
          <w:rFonts w:ascii="Times New Roman" w:hAnsi="Times New Roman" w:cs="Times New Roman"/>
          <w:sz w:val="22"/>
          <w:szCs w:val="22"/>
        </w:rPr>
        <w:t xml:space="preserve">Vervolgens mogen die burgers dan ook een serieuze inhoudelijke behandeling van hun voorstel door de Europese instanties verwachten. </w:t>
      </w:r>
      <w:r w:rsidRPr="00925B3C" w:rsidR="00522286">
        <w:rPr>
          <w:rFonts w:ascii="Times New Roman" w:hAnsi="Times New Roman" w:cs="Times New Roman"/>
          <w:sz w:val="22"/>
          <w:szCs w:val="22"/>
        </w:rPr>
        <w:t xml:space="preserve">In de beoordeling </w:t>
      </w:r>
      <w:r w:rsidR="00A54B36">
        <w:rPr>
          <w:rFonts w:ascii="Times New Roman" w:hAnsi="Times New Roman" w:cs="Times New Roman"/>
          <w:sz w:val="22"/>
          <w:szCs w:val="22"/>
        </w:rPr>
        <w:t>ervan blijven natuurlijk wel</w:t>
      </w:r>
      <w:r w:rsidRPr="00925B3C">
        <w:rPr>
          <w:rFonts w:ascii="Times New Roman" w:hAnsi="Times New Roman" w:cs="Times New Roman"/>
          <w:sz w:val="22"/>
          <w:szCs w:val="22"/>
        </w:rPr>
        <w:t xml:space="preserve"> bestaande uitgangspunten, bijvoorbeeld op het terrein van subsidiariteit</w:t>
      </w:r>
      <w:r w:rsidR="00A54B36">
        <w:rPr>
          <w:rFonts w:ascii="Times New Roman" w:hAnsi="Times New Roman" w:cs="Times New Roman"/>
          <w:sz w:val="22"/>
          <w:szCs w:val="22"/>
        </w:rPr>
        <w:t>, gelden</w:t>
      </w:r>
      <w:r w:rsidRPr="00925B3C">
        <w:rPr>
          <w:rFonts w:ascii="Times New Roman" w:hAnsi="Times New Roman" w:cs="Times New Roman"/>
          <w:sz w:val="22"/>
          <w:szCs w:val="22"/>
        </w:rPr>
        <w:t xml:space="preserve">. </w:t>
      </w:r>
    </w:p>
    <w:p w:rsidRPr="00925B3C" w:rsidR="00A972C6" w:rsidP="0049253F" w:rsidRDefault="00A972C6" w14:paraId="736DB5D8" w14:textId="77777777">
      <w:pPr>
        <w:rPr>
          <w:rFonts w:ascii="Times New Roman" w:hAnsi="Times New Roman" w:cs="Times New Roman"/>
          <w:sz w:val="22"/>
          <w:szCs w:val="22"/>
        </w:rPr>
      </w:pPr>
    </w:p>
    <w:p w:rsidRPr="00925B3C" w:rsidR="00C22E9F" w:rsidP="0049253F" w:rsidRDefault="00C22E9F" w14:paraId="52E611E2" w14:textId="77777777">
      <w:pPr>
        <w:pStyle w:val="Lijstalinea"/>
        <w:numPr>
          <w:ilvl w:val="1"/>
          <w:numId w:val="16"/>
        </w:numPr>
        <w:rPr>
          <w:rFonts w:ascii="Times New Roman" w:hAnsi="Times New Roman" w:cs="Times New Roman"/>
          <w:b/>
          <w:i/>
          <w:sz w:val="22"/>
          <w:szCs w:val="22"/>
        </w:rPr>
      </w:pPr>
      <w:r w:rsidRPr="00925B3C">
        <w:rPr>
          <w:rFonts w:ascii="Times New Roman" w:hAnsi="Times New Roman" w:cs="Times New Roman"/>
          <w:b/>
          <w:i/>
          <w:sz w:val="22"/>
          <w:szCs w:val="22"/>
        </w:rPr>
        <w:t xml:space="preserve">Slagvaardigheid en controle </w:t>
      </w:r>
    </w:p>
    <w:p w:rsidRPr="00925B3C" w:rsidR="00C22E9F" w:rsidP="0049253F" w:rsidRDefault="00C22E9F" w14:paraId="5F48F307" w14:textId="77777777">
      <w:pPr>
        <w:rPr>
          <w:rFonts w:ascii="Times New Roman" w:hAnsi="Times New Roman" w:cs="Times New Roman"/>
          <w:b/>
          <w:sz w:val="22"/>
          <w:szCs w:val="22"/>
        </w:rPr>
      </w:pPr>
    </w:p>
    <w:p w:rsidRPr="00925B3C" w:rsidR="00F427A5" w:rsidP="0049253F" w:rsidRDefault="00AF413D" w14:paraId="0CA02AEA" w14:textId="77777777">
      <w:pPr>
        <w:rPr>
          <w:rFonts w:ascii="Times New Roman" w:hAnsi="Times New Roman" w:cs="Times New Roman"/>
          <w:sz w:val="22"/>
          <w:szCs w:val="22"/>
        </w:rPr>
      </w:pPr>
      <w:r w:rsidRPr="00925B3C">
        <w:rPr>
          <w:rFonts w:ascii="Times New Roman" w:hAnsi="Times New Roman" w:cs="Times New Roman"/>
          <w:sz w:val="22"/>
          <w:szCs w:val="22"/>
        </w:rPr>
        <w:t>De AIV erkent de</w:t>
      </w:r>
      <w:r w:rsidRPr="00925B3C" w:rsidR="00B00373">
        <w:rPr>
          <w:rFonts w:ascii="Times New Roman" w:hAnsi="Times New Roman" w:cs="Times New Roman"/>
          <w:sz w:val="22"/>
          <w:szCs w:val="22"/>
        </w:rPr>
        <w:t xml:space="preserve"> door het kabinet in de adviesaanvraag geschetste</w:t>
      </w:r>
      <w:r w:rsidRPr="00925B3C">
        <w:rPr>
          <w:rFonts w:ascii="Times New Roman" w:hAnsi="Times New Roman" w:cs="Times New Roman"/>
          <w:sz w:val="22"/>
          <w:szCs w:val="22"/>
        </w:rPr>
        <w:t xml:space="preserve"> spanning tussen </w:t>
      </w:r>
      <w:r w:rsidRPr="00925B3C" w:rsidR="003D663A">
        <w:rPr>
          <w:rFonts w:ascii="Times New Roman" w:hAnsi="Times New Roman" w:cs="Times New Roman"/>
          <w:sz w:val="22"/>
          <w:szCs w:val="22"/>
        </w:rPr>
        <w:t xml:space="preserve">de roep om </w:t>
      </w:r>
      <w:r w:rsidRPr="00925B3C">
        <w:rPr>
          <w:rFonts w:ascii="Times New Roman" w:hAnsi="Times New Roman" w:cs="Times New Roman"/>
          <w:sz w:val="22"/>
          <w:szCs w:val="22"/>
        </w:rPr>
        <w:t xml:space="preserve">slagkracht </w:t>
      </w:r>
      <w:r w:rsidRPr="00925B3C" w:rsidR="00B00373">
        <w:rPr>
          <w:rFonts w:ascii="Times New Roman" w:hAnsi="Times New Roman" w:cs="Times New Roman"/>
          <w:sz w:val="22"/>
          <w:szCs w:val="22"/>
        </w:rPr>
        <w:t xml:space="preserve">enerzijds </w:t>
      </w:r>
      <w:r w:rsidRPr="00925B3C">
        <w:rPr>
          <w:rFonts w:ascii="Times New Roman" w:hAnsi="Times New Roman" w:cs="Times New Roman"/>
          <w:sz w:val="22"/>
          <w:szCs w:val="22"/>
        </w:rPr>
        <w:t xml:space="preserve">en </w:t>
      </w:r>
      <w:r w:rsidRPr="00925B3C" w:rsidR="003D663A">
        <w:rPr>
          <w:rFonts w:ascii="Times New Roman" w:hAnsi="Times New Roman" w:cs="Times New Roman"/>
          <w:sz w:val="22"/>
          <w:szCs w:val="22"/>
        </w:rPr>
        <w:t xml:space="preserve">de noodzaak van </w:t>
      </w:r>
      <w:r w:rsidRPr="00925B3C">
        <w:rPr>
          <w:rFonts w:ascii="Times New Roman" w:hAnsi="Times New Roman" w:cs="Times New Roman"/>
          <w:sz w:val="22"/>
          <w:szCs w:val="22"/>
        </w:rPr>
        <w:t xml:space="preserve">politieke controle </w:t>
      </w:r>
      <w:r w:rsidRPr="00925B3C" w:rsidR="00AC1E74">
        <w:rPr>
          <w:rFonts w:ascii="Times New Roman" w:hAnsi="Times New Roman" w:cs="Times New Roman"/>
          <w:sz w:val="22"/>
          <w:szCs w:val="22"/>
        </w:rPr>
        <w:t>in de EU</w:t>
      </w:r>
      <w:r w:rsidRPr="00925B3C" w:rsidR="00B00373">
        <w:rPr>
          <w:rFonts w:ascii="Times New Roman" w:hAnsi="Times New Roman" w:cs="Times New Roman"/>
          <w:sz w:val="22"/>
          <w:szCs w:val="22"/>
        </w:rPr>
        <w:t xml:space="preserve"> anderzijds</w:t>
      </w:r>
      <w:r w:rsidRPr="00925B3C" w:rsidR="00AC1E74">
        <w:rPr>
          <w:rFonts w:ascii="Times New Roman" w:hAnsi="Times New Roman" w:cs="Times New Roman"/>
          <w:sz w:val="22"/>
          <w:szCs w:val="22"/>
        </w:rPr>
        <w:t xml:space="preserve"> </w:t>
      </w:r>
      <w:r w:rsidRPr="00925B3C">
        <w:rPr>
          <w:rFonts w:ascii="Times New Roman" w:hAnsi="Times New Roman" w:cs="Times New Roman"/>
          <w:sz w:val="22"/>
          <w:szCs w:val="22"/>
        </w:rPr>
        <w:t xml:space="preserve">en wijst </w:t>
      </w:r>
      <w:r w:rsidRPr="00925B3C" w:rsidR="00B00373">
        <w:rPr>
          <w:rFonts w:ascii="Times New Roman" w:hAnsi="Times New Roman" w:cs="Times New Roman"/>
          <w:sz w:val="22"/>
          <w:szCs w:val="22"/>
        </w:rPr>
        <w:t xml:space="preserve">net als het kabinet in de Staat van de Unie </w:t>
      </w:r>
      <w:r w:rsidRPr="00925B3C">
        <w:rPr>
          <w:rFonts w:ascii="Times New Roman" w:hAnsi="Times New Roman" w:cs="Times New Roman"/>
          <w:sz w:val="22"/>
          <w:szCs w:val="22"/>
        </w:rPr>
        <w:t xml:space="preserve">op het belang van een goed evenwicht tussen beide. </w:t>
      </w:r>
    </w:p>
    <w:p w:rsidRPr="00925B3C" w:rsidR="00CD4656" w:rsidP="0049253F" w:rsidRDefault="002A5A7C" w14:paraId="779AFE8A" w14:textId="7EE835F7">
      <w:pPr>
        <w:pStyle w:val="mtop"/>
        <w:rPr>
          <w:sz w:val="22"/>
          <w:szCs w:val="22"/>
        </w:rPr>
      </w:pPr>
      <w:r w:rsidRPr="00925B3C">
        <w:rPr>
          <w:sz w:val="22"/>
          <w:szCs w:val="22"/>
        </w:rPr>
        <w:t xml:space="preserve">Vooropgesteld, het kabinet onderstreept het </w:t>
      </w:r>
      <w:r w:rsidRPr="00925B3C" w:rsidR="0020066B">
        <w:rPr>
          <w:sz w:val="22"/>
          <w:szCs w:val="22"/>
        </w:rPr>
        <w:t xml:space="preserve">essentiële </w:t>
      </w:r>
      <w:r w:rsidRPr="00925B3C" w:rsidR="005766DD">
        <w:rPr>
          <w:sz w:val="22"/>
          <w:szCs w:val="22"/>
        </w:rPr>
        <w:t xml:space="preserve">belang van </w:t>
      </w:r>
      <w:r w:rsidRPr="00925B3C">
        <w:rPr>
          <w:sz w:val="22"/>
          <w:szCs w:val="22"/>
        </w:rPr>
        <w:t xml:space="preserve">de controlerende rol van de nationale parlementen en </w:t>
      </w:r>
      <w:r w:rsidRPr="00925B3C" w:rsidR="003D663A">
        <w:rPr>
          <w:sz w:val="22"/>
          <w:szCs w:val="22"/>
        </w:rPr>
        <w:t xml:space="preserve">stimuleert hen juist daarom </w:t>
      </w:r>
      <w:r w:rsidR="00A54B36">
        <w:rPr>
          <w:sz w:val="22"/>
          <w:szCs w:val="22"/>
        </w:rPr>
        <w:t xml:space="preserve">hun uit het nationale staatsrecht voortvloeiende bevoegdheden en </w:t>
      </w:r>
      <w:r w:rsidRPr="00925B3C" w:rsidR="003D663A">
        <w:rPr>
          <w:sz w:val="22"/>
          <w:szCs w:val="22"/>
        </w:rPr>
        <w:t>de mogelijkheden die de verdragen bieden ten volle te benutten teneinde</w:t>
      </w:r>
      <w:r w:rsidRPr="00925B3C">
        <w:rPr>
          <w:sz w:val="22"/>
          <w:szCs w:val="22"/>
        </w:rPr>
        <w:t xml:space="preserve"> deze rol </w:t>
      </w:r>
      <w:r w:rsidRPr="00925B3C" w:rsidR="003D663A">
        <w:rPr>
          <w:sz w:val="22"/>
          <w:szCs w:val="22"/>
        </w:rPr>
        <w:t xml:space="preserve">en daarmee het draagvlak voor de EU </w:t>
      </w:r>
      <w:r w:rsidRPr="00925B3C">
        <w:rPr>
          <w:sz w:val="22"/>
          <w:szCs w:val="22"/>
        </w:rPr>
        <w:t xml:space="preserve">te versterken. </w:t>
      </w:r>
      <w:r w:rsidRPr="00925B3C" w:rsidR="00AF413D">
        <w:rPr>
          <w:sz w:val="22"/>
          <w:szCs w:val="22"/>
        </w:rPr>
        <w:t>Met de AIV i</w:t>
      </w:r>
      <w:r w:rsidRPr="00925B3C" w:rsidR="00422261">
        <w:rPr>
          <w:sz w:val="22"/>
          <w:szCs w:val="22"/>
        </w:rPr>
        <w:t xml:space="preserve">s het kabinet van mening dat </w:t>
      </w:r>
      <w:r w:rsidRPr="00925B3C">
        <w:rPr>
          <w:sz w:val="22"/>
          <w:szCs w:val="22"/>
        </w:rPr>
        <w:t>het</w:t>
      </w:r>
      <w:r w:rsidRPr="00925B3C" w:rsidR="00422261">
        <w:rPr>
          <w:sz w:val="22"/>
          <w:szCs w:val="22"/>
        </w:rPr>
        <w:t xml:space="preserve"> evenwicht </w:t>
      </w:r>
      <w:r w:rsidRPr="00925B3C">
        <w:rPr>
          <w:sz w:val="22"/>
          <w:szCs w:val="22"/>
        </w:rPr>
        <w:t xml:space="preserve">tussen slagvaardigheid en controle </w:t>
      </w:r>
      <w:r w:rsidRPr="00925B3C" w:rsidR="00422261">
        <w:rPr>
          <w:sz w:val="22"/>
          <w:szCs w:val="22"/>
        </w:rPr>
        <w:t xml:space="preserve">sterk door de situatie </w:t>
      </w:r>
      <w:r w:rsidRPr="00925B3C" w:rsidR="00AC1E74">
        <w:rPr>
          <w:sz w:val="22"/>
          <w:szCs w:val="22"/>
        </w:rPr>
        <w:t xml:space="preserve">en het specifieke beleidsterrein </w:t>
      </w:r>
      <w:r w:rsidRPr="00925B3C" w:rsidR="00422261">
        <w:rPr>
          <w:sz w:val="22"/>
          <w:szCs w:val="22"/>
        </w:rPr>
        <w:t>bepaald wordt: in crisissituaties zal de controle soms noodzakelijkerwijs achteraf moeten plaatsvin</w:t>
      </w:r>
      <w:r w:rsidRPr="00925B3C">
        <w:rPr>
          <w:sz w:val="22"/>
          <w:szCs w:val="22"/>
        </w:rPr>
        <w:t xml:space="preserve">den, daar waar in </w:t>
      </w:r>
      <w:r w:rsidRPr="00925B3C" w:rsidR="003D663A">
        <w:rPr>
          <w:sz w:val="22"/>
          <w:szCs w:val="22"/>
        </w:rPr>
        <w:t>reguliere</w:t>
      </w:r>
      <w:r w:rsidRPr="00925B3C">
        <w:rPr>
          <w:sz w:val="22"/>
          <w:szCs w:val="22"/>
        </w:rPr>
        <w:t xml:space="preserve"> situatie</w:t>
      </w:r>
      <w:r w:rsidRPr="00925B3C" w:rsidR="003D663A">
        <w:rPr>
          <w:sz w:val="22"/>
          <w:szCs w:val="22"/>
        </w:rPr>
        <w:t>s</w:t>
      </w:r>
      <w:r w:rsidRPr="00925B3C">
        <w:rPr>
          <w:sz w:val="22"/>
          <w:szCs w:val="22"/>
        </w:rPr>
        <w:t xml:space="preserve"> alle daarvoor ingestelde procedures </w:t>
      </w:r>
      <w:r w:rsidRPr="00925B3C" w:rsidR="00B00373">
        <w:rPr>
          <w:sz w:val="22"/>
          <w:szCs w:val="22"/>
        </w:rPr>
        <w:t xml:space="preserve">vanzelfsprekend </w:t>
      </w:r>
      <w:r w:rsidRPr="00925B3C">
        <w:rPr>
          <w:sz w:val="22"/>
          <w:szCs w:val="22"/>
        </w:rPr>
        <w:t xml:space="preserve">moeten worden doorlopen. </w:t>
      </w:r>
      <w:r w:rsidR="00F77518">
        <w:rPr>
          <w:sz w:val="22"/>
          <w:szCs w:val="22"/>
        </w:rPr>
        <w:t>Uitgangspunt van het kabinet is dat</w:t>
      </w:r>
      <w:r w:rsidRPr="00925B3C" w:rsidR="00B00373">
        <w:rPr>
          <w:sz w:val="22"/>
          <w:szCs w:val="22"/>
        </w:rPr>
        <w:t xml:space="preserve"> de uitkomsten van het Europees besluitvormingsproces op de lange termijn voldoende </w:t>
      </w:r>
      <w:r w:rsidR="00F77518">
        <w:rPr>
          <w:sz w:val="22"/>
          <w:szCs w:val="22"/>
        </w:rPr>
        <w:t xml:space="preserve">worden </w:t>
      </w:r>
      <w:r w:rsidRPr="00925B3C" w:rsidR="00B00373">
        <w:rPr>
          <w:sz w:val="22"/>
          <w:szCs w:val="22"/>
        </w:rPr>
        <w:t xml:space="preserve">gedragen. </w:t>
      </w:r>
      <w:r w:rsidRPr="00925B3C" w:rsidR="00AC1E74">
        <w:rPr>
          <w:sz w:val="22"/>
          <w:szCs w:val="22"/>
        </w:rPr>
        <w:t>Het kabinet deelt de mening van de AIV dat d</w:t>
      </w:r>
      <w:r w:rsidRPr="00925B3C" w:rsidR="00AF413D">
        <w:rPr>
          <w:sz w:val="22"/>
          <w:szCs w:val="22"/>
        </w:rPr>
        <w:t xml:space="preserve">e grens </w:t>
      </w:r>
      <w:r w:rsidRPr="00925B3C" w:rsidR="00B00373">
        <w:rPr>
          <w:sz w:val="22"/>
          <w:szCs w:val="22"/>
        </w:rPr>
        <w:t xml:space="preserve">van de legitimiteit van de </w:t>
      </w:r>
      <w:r w:rsidRPr="00925B3C" w:rsidR="00AC1E74">
        <w:rPr>
          <w:sz w:val="22"/>
          <w:szCs w:val="22"/>
        </w:rPr>
        <w:t xml:space="preserve">controle </w:t>
      </w:r>
      <w:r w:rsidRPr="00925B3C" w:rsidR="00AF413D">
        <w:rPr>
          <w:sz w:val="22"/>
          <w:szCs w:val="22"/>
        </w:rPr>
        <w:t>ligt in oneigenlijk</w:t>
      </w:r>
      <w:r w:rsidRPr="00925B3C">
        <w:rPr>
          <w:sz w:val="22"/>
          <w:szCs w:val="22"/>
        </w:rPr>
        <w:t xml:space="preserve"> gebruik</w:t>
      </w:r>
      <w:r w:rsidRPr="00925B3C" w:rsidR="00AF413D">
        <w:rPr>
          <w:sz w:val="22"/>
          <w:szCs w:val="22"/>
        </w:rPr>
        <w:t xml:space="preserve"> van de gele- en oranje kaart procedure, indien obstructie de voornaamste invalshoek is</w:t>
      </w:r>
      <w:r w:rsidRPr="00925B3C" w:rsidR="00AC1E74">
        <w:rPr>
          <w:sz w:val="22"/>
          <w:szCs w:val="22"/>
        </w:rPr>
        <w:t xml:space="preserve">. </w:t>
      </w:r>
      <w:r w:rsidRPr="00925B3C" w:rsidR="00C45014">
        <w:rPr>
          <w:sz w:val="22"/>
          <w:szCs w:val="22"/>
        </w:rPr>
        <w:t xml:space="preserve">Dit zou immers het functioneren van de Europese bestuurslaag blokkeren (‘zand in de machine’). Voor het kabinet is dit het geval wanneer de kaartprocedure zou </w:t>
      </w:r>
      <w:r w:rsidR="00C45014">
        <w:rPr>
          <w:sz w:val="22"/>
          <w:szCs w:val="22"/>
        </w:rPr>
        <w:t>worden ingezet om andere redenen dan waarvoor zij in het leven is geroepen</w:t>
      </w:r>
      <w:r w:rsidRPr="00925B3C" w:rsidR="00C45014">
        <w:rPr>
          <w:sz w:val="22"/>
          <w:szCs w:val="22"/>
        </w:rPr>
        <w:t>.</w:t>
      </w:r>
      <w:r w:rsidR="00872AC6">
        <w:rPr>
          <w:sz w:val="22"/>
          <w:szCs w:val="22"/>
        </w:rPr>
        <w:t xml:space="preserve"> Overigens heeft het kabinet geen enkele aanwijzing dat dit gevaar thans op de loer ligt. Immers</w:t>
      </w:r>
      <w:r w:rsidR="00A23FD3">
        <w:rPr>
          <w:sz w:val="22"/>
          <w:szCs w:val="22"/>
        </w:rPr>
        <w:t>,</w:t>
      </w:r>
      <w:r w:rsidR="00872AC6">
        <w:rPr>
          <w:sz w:val="22"/>
          <w:szCs w:val="22"/>
        </w:rPr>
        <w:t xml:space="preserve"> nationale parlementen hebben tot nog toe slechts spaarzaam gebruik gemaakt van de procedure.</w:t>
      </w:r>
    </w:p>
    <w:p w:rsidRPr="00B7270A" w:rsidR="00DD0B4E" w:rsidP="00DD0B4E" w:rsidRDefault="00DD0B4E" w14:paraId="1023E26E" w14:textId="2222B142">
      <w:pPr>
        <w:rPr>
          <w:rFonts w:ascii="Times New Roman" w:hAnsi="Times New Roman"/>
        </w:rPr>
      </w:pPr>
      <w:r w:rsidRPr="00B7270A">
        <w:rPr>
          <w:rFonts w:ascii="Times New Roman" w:hAnsi="Times New Roman"/>
        </w:rPr>
        <w:lastRenderedPageBreak/>
        <w:t xml:space="preserve">Het kabinet blijft nadrukkelijk op zoek naar nadere ideeën over de verhouding tussen slagvaardigheid en controle en de legitimiteit van effectief bestuur. Een element hiervan betreft bijvoorbeeld ook de legitimiteit van de Commissie, temeer nu haar bevoegdheden en taken in het kader van de crisis uitgebreid zijn. </w:t>
      </w:r>
      <w:r>
        <w:rPr>
          <w:rFonts w:ascii="Times New Roman" w:hAnsi="Times New Roman" w:cs="Times New Roman"/>
        </w:rPr>
        <w:t>Het kabinet markeert – getuige ook</w:t>
      </w:r>
      <w:r w:rsidRPr="00B7270A">
        <w:rPr>
          <w:rFonts w:ascii="Times New Roman" w:hAnsi="Times New Roman"/>
        </w:rPr>
        <w:t xml:space="preserve"> de </w:t>
      </w:r>
      <w:r>
        <w:rPr>
          <w:rFonts w:ascii="Times New Roman" w:hAnsi="Times New Roman" w:cs="Times New Roman"/>
        </w:rPr>
        <w:t>gedachten</w:t>
      </w:r>
      <w:r w:rsidRPr="00B7270A">
        <w:rPr>
          <w:rFonts w:ascii="Times New Roman" w:hAnsi="Times New Roman"/>
        </w:rPr>
        <w:t xml:space="preserve"> van de AIV ten aanzien van de rechtstreeks gekozen Commissievoorzitter </w:t>
      </w:r>
      <w:r>
        <w:rPr>
          <w:rFonts w:ascii="Times New Roman" w:hAnsi="Times New Roman" w:cs="Times New Roman"/>
        </w:rPr>
        <w:t>– het belang van dit vraagstuk en ziet dit als</w:t>
      </w:r>
      <w:r w:rsidRPr="00B7270A">
        <w:rPr>
          <w:rFonts w:ascii="Times New Roman" w:hAnsi="Times New Roman"/>
        </w:rPr>
        <w:t xml:space="preserve"> discussiepunt in de bredere agenda van de versterking van de democratische legitimiteit.</w:t>
      </w:r>
      <w:r>
        <w:rPr>
          <w:rFonts w:ascii="Times New Roman" w:hAnsi="Times New Roman" w:cs="Times New Roman"/>
        </w:rPr>
        <w:t xml:space="preserve"> </w:t>
      </w:r>
      <w:r w:rsidRPr="00DD0B4E">
        <w:rPr>
          <w:rFonts w:ascii="Times New Roman" w:hAnsi="Times New Roman" w:cs="Times New Roman"/>
        </w:rPr>
        <w:t xml:space="preserve">Tegelijkertijd dienen daar echter kanttekeningen bij te worden geplaatst gezien het feit dat de Commissie verschillende rollen vervult. </w:t>
      </w:r>
    </w:p>
    <w:p w:rsidRPr="00B7270A" w:rsidR="00DD0B4E" w:rsidP="00DD0B4E" w:rsidRDefault="00DD0B4E" w14:paraId="4BB257D3" w14:textId="77777777">
      <w:pPr>
        <w:rPr>
          <w:rFonts w:ascii="Calibri" w:hAnsi="Calibri"/>
        </w:rPr>
      </w:pPr>
    </w:p>
    <w:p w:rsidRPr="00925B3C" w:rsidR="00C22E9F" w:rsidP="0049253F" w:rsidRDefault="00A11BC8" w14:paraId="13E00688" w14:textId="77777777">
      <w:pPr>
        <w:pStyle w:val="Lijstalinea"/>
        <w:numPr>
          <w:ilvl w:val="1"/>
          <w:numId w:val="16"/>
        </w:numPr>
        <w:rPr>
          <w:rFonts w:ascii="Times New Roman" w:hAnsi="Times New Roman" w:cs="Times New Roman"/>
          <w:b/>
          <w:i/>
          <w:sz w:val="22"/>
          <w:szCs w:val="22"/>
        </w:rPr>
      </w:pPr>
      <w:r>
        <w:rPr>
          <w:rFonts w:ascii="Times New Roman" w:hAnsi="Times New Roman" w:cs="Times New Roman"/>
          <w:b/>
          <w:i/>
          <w:sz w:val="22"/>
          <w:szCs w:val="22"/>
        </w:rPr>
        <w:t>Intergouvernemente</w:t>
      </w:r>
      <w:r w:rsidRPr="00925B3C" w:rsidR="00C22E9F">
        <w:rPr>
          <w:rFonts w:ascii="Times New Roman" w:hAnsi="Times New Roman" w:cs="Times New Roman"/>
          <w:b/>
          <w:i/>
          <w:sz w:val="22"/>
          <w:szCs w:val="22"/>
        </w:rPr>
        <w:t>l</w:t>
      </w:r>
      <w:r>
        <w:rPr>
          <w:rFonts w:ascii="Times New Roman" w:hAnsi="Times New Roman" w:cs="Times New Roman"/>
          <w:b/>
          <w:i/>
          <w:sz w:val="22"/>
          <w:szCs w:val="22"/>
        </w:rPr>
        <w:t>e en supranationa</w:t>
      </w:r>
      <w:r w:rsidRPr="00925B3C" w:rsidR="00C22E9F">
        <w:rPr>
          <w:rFonts w:ascii="Times New Roman" w:hAnsi="Times New Roman" w:cs="Times New Roman"/>
          <w:b/>
          <w:i/>
          <w:sz w:val="22"/>
          <w:szCs w:val="22"/>
        </w:rPr>
        <w:t>l</w:t>
      </w:r>
      <w:r>
        <w:rPr>
          <w:rFonts w:ascii="Times New Roman" w:hAnsi="Times New Roman" w:cs="Times New Roman"/>
          <w:b/>
          <w:i/>
          <w:sz w:val="22"/>
          <w:szCs w:val="22"/>
        </w:rPr>
        <w:t>e methode</w:t>
      </w:r>
    </w:p>
    <w:p w:rsidRPr="00925B3C" w:rsidR="00532976" w:rsidP="0049253F" w:rsidRDefault="00532976" w14:paraId="146750D2" w14:textId="77777777">
      <w:pPr>
        <w:rPr>
          <w:rFonts w:ascii="Times New Roman" w:hAnsi="Times New Roman" w:cs="Times New Roman"/>
          <w:sz w:val="22"/>
          <w:szCs w:val="22"/>
        </w:rPr>
      </w:pPr>
    </w:p>
    <w:p w:rsidRPr="00925B3C" w:rsidR="0065060D" w:rsidP="0049253F" w:rsidRDefault="0065060D" w14:paraId="5A9451B8" w14:textId="77777777">
      <w:pPr>
        <w:rPr>
          <w:rFonts w:ascii="Times New Roman" w:hAnsi="Times New Roman" w:cs="Times New Roman"/>
          <w:sz w:val="22"/>
          <w:szCs w:val="22"/>
        </w:rPr>
      </w:pPr>
      <w:r w:rsidRPr="00925B3C">
        <w:rPr>
          <w:rFonts w:ascii="Times New Roman" w:hAnsi="Times New Roman" w:cs="Times New Roman"/>
          <w:sz w:val="22"/>
          <w:szCs w:val="22"/>
        </w:rPr>
        <w:t xml:space="preserve">De AIV is van mening dat de verdieping van de grondslagen van de EMU zou dienen plaats te vinden binnen het institutionele kader van de EU en adviseert communautarisering bij een volgende verdragswijziging. </w:t>
      </w:r>
      <w:r w:rsidRPr="00925B3C" w:rsidR="00194A5D">
        <w:rPr>
          <w:rFonts w:ascii="Times New Roman" w:hAnsi="Times New Roman" w:cs="Times New Roman"/>
          <w:sz w:val="22"/>
          <w:szCs w:val="22"/>
        </w:rPr>
        <w:t xml:space="preserve">Hiermee wordt de </w:t>
      </w:r>
      <w:r w:rsidRPr="00925B3C">
        <w:rPr>
          <w:rFonts w:ascii="Times New Roman" w:hAnsi="Times New Roman" w:cs="Times New Roman"/>
          <w:sz w:val="22"/>
          <w:szCs w:val="22"/>
        </w:rPr>
        <w:t xml:space="preserve">democratische legitimering op een goede basis </w:t>
      </w:r>
      <w:r w:rsidRPr="00925B3C" w:rsidR="00194A5D">
        <w:rPr>
          <w:rFonts w:ascii="Times New Roman" w:hAnsi="Times New Roman" w:cs="Times New Roman"/>
          <w:sz w:val="22"/>
          <w:szCs w:val="22"/>
        </w:rPr>
        <w:t>ges</w:t>
      </w:r>
      <w:r w:rsidRPr="00925B3C">
        <w:rPr>
          <w:rFonts w:ascii="Times New Roman" w:hAnsi="Times New Roman" w:cs="Times New Roman"/>
          <w:sz w:val="22"/>
          <w:szCs w:val="22"/>
        </w:rPr>
        <w:t>choei</w:t>
      </w:r>
      <w:r w:rsidRPr="00925B3C" w:rsidR="00194A5D">
        <w:rPr>
          <w:rFonts w:ascii="Times New Roman" w:hAnsi="Times New Roman" w:cs="Times New Roman"/>
          <w:sz w:val="22"/>
          <w:szCs w:val="22"/>
        </w:rPr>
        <w:t>d, aldus de AIV</w:t>
      </w:r>
      <w:r w:rsidRPr="00925B3C">
        <w:rPr>
          <w:rFonts w:ascii="Times New Roman" w:hAnsi="Times New Roman" w:cs="Times New Roman"/>
          <w:sz w:val="22"/>
          <w:szCs w:val="22"/>
        </w:rPr>
        <w:t xml:space="preserve">. Het AIV-advies gaat ook in op waar de grenzen van de communautaire methode liggen daar waar lidstaten wensen vast te houden aan hun nationale voorrechten, m.n. op financieel gebied. </w:t>
      </w:r>
    </w:p>
    <w:p w:rsidRPr="00925B3C" w:rsidR="0065060D" w:rsidP="0049253F" w:rsidRDefault="0065060D" w14:paraId="070FD9FC" w14:textId="77777777">
      <w:pPr>
        <w:rPr>
          <w:rFonts w:ascii="Times New Roman" w:hAnsi="Times New Roman" w:cs="Times New Roman"/>
          <w:sz w:val="22"/>
          <w:szCs w:val="22"/>
        </w:rPr>
      </w:pPr>
    </w:p>
    <w:p w:rsidRPr="00925B3C" w:rsidR="0065060D" w:rsidP="0049253F" w:rsidRDefault="00194A5D" w14:paraId="062A5FBC" w14:textId="77777777">
      <w:pPr>
        <w:rPr>
          <w:rFonts w:ascii="Times New Roman" w:hAnsi="Times New Roman" w:cs="Times New Roman"/>
          <w:sz w:val="22"/>
          <w:szCs w:val="22"/>
        </w:rPr>
      </w:pPr>
      <w:r w:rsidRPr="00925B3C">
        <w:rPr>
          <w:rFonts w:ascii="Times New Roman" w:hAnsi="Times New Roman" w:cs="Times New Roman"/>
          <w:sz w:val="22"/>
          <w:szCs w:val="22"/>
        </w:rPr>
        <w:t>Mede bij wijze van opvolging van de toezegging van het kabinet in het debat over de Staat van de Unie over de verhouding tussen intergouvernementele en communautaire arrangementen op het terrein van de economische governance (ingetrokken motie Pechtold), merkt het kabinet op dat het u</w:t>
      </w:r>
      <w:r w:rsidRPr="00925B3C" w:rsidR="0065060D">
        <w:rPr>
          <w:rFonts w:ascii="Times New Roman" w:hAnsi="Times New Roman" w:cs="Times New Roman"/>
          <w:sz w:val="22"/>
          <w:szCs w:val="22"/>
        </w:rPr>
        <w:t>itgangpunt</w:t>
      </w:r>
      <w:r w:rsidRPr="00925B3C">
        <w:rPr>
          <w:rFonts w:ascii="Times New Roman" w:hAnsi="Times New Roman" w:cs="Times New Roman"/>
          <w:sz w:val="22"/>
          <w:szCs w:val="22"/>
        </w:rPr>
        <w:t xml:space="preserve"> van het kabinet </w:t>
      </w:r>
      <w:r w:rsidRPr="00925B3C" w:rsidR="0065060D">
        <w:rPr>
          <w:rFonts w:ascii="Times New Roman" w:hAnsi="Times New Roman" w:cs="Times New Roman"/>
          <w:sz w:val="22"/>
          <w:szCs w:val="22"/>
        </w:rPr>
        <w:t xml:space="preserve">is het Europese </w:t>
      </w:r>
      <w:r w:rsidRPr="00925B3C" w:rsidR="00505430">
        <w:rPr>
          <w:rFonts w:ascii="Times New Roman" w:hAnsi="Times New Roman" w:cs="Times New Roman"/>
          <w:sz w:val="22"/>
          <w:szCs w:val="22"/>
        </w:rPr>
        <w:t xml:space="preserve">beleid </w:t>
      </w:r>
      <w:r w:rsidRPr="00925B3C">
        <w:rPr>
          <w:rFonts w:ascii="Times New Roman" w:hAnsi="Times New Roman" w:cs="Times New Roman"/>
          <w:sz w:val="22"/>
          <w:szCs w:val="22"/>
        </w:rPr>
        <w:t>in EU-verdragskader</w:t>
      </w:r>
      <w:r w:rsidRPr="00925B3C" w:rsidR="0065060D">
        <w:rPr>
          <w:rFonts w:ascii="Times New Roman" w:hAnsi="Times New Roman" w:cs="Times New Roman"/>
          <w:sz w:val="22"/>
          <w:szCs w:val="22"/>
        </w:rPr>
        <w:t xml:space="preserve"> te regelen. In de afgelopen jaren bleek dat dit uitgangspunt niet in alle gevallen gehandhaafd kon worden</w:t>
      </w:r>
      <w:r w:rsidR="00C67C41">
        <w:rPr>
          <w:rFonts w:ascii="Times New Roman" w:hAnsi="Times New Roman" w:cs="Times New Roman"/>
          <w:sz w:val="22"/>
          <w:szCs w:val="22"/>
        </w:rPr>
        <w:t>,</w:t>
      </w:r>
      <w:r w:rsidRPr="00925B3C" w:rsidR="0065060D">
        <w:rPr>
          <w:rFonts w:ascii="Times New Roman" w:hAnsi="Times New Roman" w:cs="Times New Roman"/>
          <w:sz w:val="22"/>
          <w:szCs w:val="22"/>
        </w:rPr>
        <w:t xml:space="preserve"> om een effectieve aanpak tot stand te brengen in de eurocrisis. Het Stabiliteitsverdrag voorziet er in d</w:t>
      </w:r>
      <w:r w:rsidR="00367413">
        <w:rPr>
          <w:rFonts w:ascii="Times New Roman" w:hAnsi="Times New Roman" w:cs="Times New Roman"/>
          <w:sz w:val="22"/>
          <w:szCs w:val="22"/>
        </w:rPr>
        <w:t xml:space="preserve">at het op termijn wordt geïntegreerd in het reguliere kader van de EU. Hiervoor is </w:t>
      </w:r>
      <w:r w:rsidRPr="00925B3C" w:rsidR="0065060D">
        <w:rPr>
          <w:rFonts w:ascii="Times New Roman" w:hAnsi="Times New Roman" w:cs="Times New Roman"/>
          <w:sz w:val="22"/>
          <w:szCs w:val="22"/>
        </w:rPr>
        <w:t xml:space="preserve">een verdragswijziging </w:t>
      </w:r>
      <w:r w:rsidR="00367413">
        <w:rPr>
          <w:rFonts w:ascii="Times New Roman" w:hAnsi="Times New Roman" w:cs="Times New Roman"/>
          <w:sz w:val="22"/>
          <w:szCs w:val="22"/>
        </w:rPr>
        <w:t>noodzakelijk, die momenteel niet voorzien is</w:t>
      </w:r>
      <w:r w:rsidRPr="00925B3C" w:rsidR="0065060D">
        <w:rPr>
          <w:rFonts w:ascii="Times New Roman" w:hAnsi="Times New Roman" w:cs="Times New Roman"/>
          <w:sz w:val="22"/>
          <w:szCs w:val="22"/>
        </w:rPr>
        <w:t xml:space="preserve">. Mocht een verdragswijziging wel opportuun worden geacht binnen de Unie, dan zal de inzet van het kabinet er o.a. op gericht zijn het </w:t>
      </w:r>
      <w:r w:rsidRPr="009E0B7E" w:rsidR="00C11441">
        <w:rPr>
          <w:rFonts w:ascii="Times New Roman" w:hAnsi="Times New Roman" w:cs="Times New Roman"/>
          <w:sz w:val="22"/>
          <w:szCs w:val="22"/>
        </w:rPr>
        <w:t>Stabiliteits</w:t>
      </w:r>
      <w:r w:rsidRPr="00A42B46" w:rsidR="009E0B7E">
        <w:rPr>
          <w:rFonts w:ascii="Times New Roman" w:hAnsi="Times New Roman" w:cs="Times New Roman"/>
          <w:sz w:val="22"/>
          <w:szCs w:val="22"/>
        </w:rPr>
        <w:t>verdrag</w:t>
      </w:r>
      <w:r w:rsidRPr="00925B3C" w:rsidR="0065060D">
        <w:rPr>
          <w:rFonts w:ascii="Times New Roman" w:hAnsi="Times New Roman" w:cs="Times New Roman"/>
          <w:sz w:val="22"/>
          <w:szCs w:val="22"/>
        </w:rPr>
        <w:t xml:space="preserve"> binnen EU-verdragskaders te brengen. </w:t>
      </w:r>
      <w:r w:rsidRPr="00925B3C" w:rsidR="00505430">
        <w:rPr>
          <w:rFonts w:ascii="Times New Roman" w:hAnsi="Times New Roman" w:cs="Times New Roman"/>
          <w:sz w:val="22"/>
          <w:szCs w:val="22"/>
        </w:rPr>
        <w:t>Het</w:t>
      </w:r>
      <w:r w:rsidRPr="00925B3C" w:rsidR="0065060D">
        <w:rPr>
          <w:rFonts w:ascii="Times New Roman" w:hAnsi="Times New Roman" w:cs="Times New Roman"/>
          <w:sz w:val="22"/>
          <w:szCs w:val="22"/>
        </w:rPr>
        <w:t xml:space="preserve"> </w:t>
      </w:r>
      <w:r w:rsidRPr="00925B3C" w:rsidR="00505430">
        <w:rPr>
          <w:rFonts w:ascii="Times New Roman" w:hAnsi="Times New Roman" w:cs="Times New Roman"/>
          <w:sz w:val="22"/>
          <w:szCs w:val="22"/>
        </w:rPr>
        <w:t>kabinet</w:t>
      </w:r>
      <w:r w:rsidRPr="00925B3C" w:rsidR="0065060D">
        <w:rPr>
          <w:rFonts w:ascii="Times New Roman" w:hAnsi="Times New Roman" w:cs="Times New Roman"/>
          <w:sz w:val="22"/>
          <w:szCs w:val="22"/>
        </w:rPr>
        <w:t xml:space="preserve"> deelt met het AIV de opinie dat er ook grenzen aan de communautaire methode kunnen liggen waar het gaat om nationale bevoegdheden op financieel gebied. Wat de democratische controle betreft, heeft uw Kamer op deze gebieden een essentiële controlerende functie. Dit geldt in het bijzonder voor het Europees stabiliteitsmechanisme, dat een zeer specifieke taak kent die niet per definitie in geïntegreerd EU verband vervuld dient te worden. Wel is het denkbaar dat op basis van ervaringen met het ESM op termijn wordt bezien of (verdere) integratie in EU-rechtskader wenselijk is. </w:t>
      </w:r>
    </w:p>
    <w:p w:rsidRPr="00925B3C" w:rsidR="00F427A5" w:rsidP="0049253F" w:rsidRDefault="00F427A5" w14:paraId="22A751D7" w14:textId="77777777">
      <w:pPr>
        <w:rPr>
          <w:rFonts w:ascii="Times New Roman" w:hAnsi="Times New Roman" w:cs="Times New Roman"/>
          <w:sz w:val="22"/>
          <w:szCs w:val="22"/>
        </w:rPr>
      </w:pPr>
    </w:p>
    <w:p w:rsidRPr="00925B3C" w:rsidR="00F427A5" w:rsidP="0049253F" w:rsidRDefault="00F427A5" w14:paraId="07FB74D5" w14:textId="77777777">
      <w:pPr>
        <w:rPr>
          <w:rFonts w:ascii="Times New Roman" w:hAnsi="Times New Roman" w:cs="Times New Roman"/>
          <w:iCs/>
          <w:sz w:val="22"/>
          <w:szCs w:val="22"/>
        </w:rPr>
      </w:pPr>
      <w:r w:rsidRPr="00925B3C">
        <w:rPr>
          <w:rFonts w:ascii="Times New Roman" w:hAnsi="Times New Roman" w:cs="Times New Roman"/>
          <w:iCs/>
          <w:sz w:val="22"/>
          <w:szCs w:val="22"/>
        </w:rPr>
        <w:t xml:space="preserve">De AIV is van mening dat intergouvernementele oplossingen niet voldoende waarborgen bieden voor parlementaire </w:t>
      </w:r>
      <w:r w:rsidRPr="00925B3C" w:rsidR="00522566">
        <w:rPr>
          <w:rFonts w:ascii="Times New Roman" w:hAnsi="Times New Roman" w:cs="Times New Roman"/>
          <w:iCs/>
          <w:sz w:val="22"/>
          <w:szCs w:val="22"/>
        </w:rPr>
        <w:t>beïnvloeding</w:t>
      </w:r>
      <w:r w:rsidRPr="00925B3C">
        <w:rPr>
          <w:rFonts w:ascii="Times New Roman" w:hAnsi="Times New Roman" w:cs="Times New Roman"/>
          <w:iCs/>
          <w:sz w:val="22"/>
          <w:szCs w:val="22"/>
        </w:rPr>
        <w:t xml:space="preserve"> en verantwoording als belangrijkste dimensies van democratische legitimiteit. Het kabinet </w:t>
      </w:r>
      <w:r w:rsidR="00872AC6">
        <w:rPr>
          <w:rFonts w:ascii="Times New Roman" w:hAnsi="Times New Roman" w:cs="Times New Roman"/>
          <w:iCs/>
          <w:sz w:val="22"/>
          <w:szCs w:val="22"/>
        </w:rPr>
        <w:t>onderschrijft</w:t>
      </w:r>
      <w:r w:rsidR="00E36474">
        <w:rPr>
          <w:rFonts w:ascii="Times New Roman" w:hAnsi="Times New Roman" w:cs="Times New Roman"/>
          <w:iCs/>
          <w:sz w:val="22"/>
          <w:szCs w:val="22"/>
        </w:rPr>
        <w:t xml:space="preserve"> het belang dat de AIV hecht aan de parlementaire beïnvloeding en verantwoording ten aanzien van de economic governance en heeft zich er daarom ook voor ingespannen</w:t>
      </w:r>
      <w:r w:rsidRPr="00925B3C">
        <w:rPr>
          <w:rFonts w:ascii="Times New Roman" w:hAnsi="Times New Roman" w:cs="Times New Roman"/>
          <w:iCs/>
          <w:sz w:val="22"/>
          <w:szCs w:val="22"/>
        </w:rPr>
        <w:t xml:space="preserve"> dat de Tweede Kamer intensief betrokken is geweest bij zowel de totstandkoming van communautaire als intergouvernementele afspraken ter bevordering van de economic governance. Dit geldt zowel ten aanzien van de totstandkoming van de onderhandelingsmandaten als ten aanzien van de verantwoording over de uitkomsten van onderhandelingen. Daarbij worden verdragen (ESM-verdrag, Intergouvernementeel Akkoord</w:t>
      </w:r>
      <w:r w:rsidR="00367413">
        <w:rPr>
          <w:rFonts w:ascii="Times New Roman" w:hAnsi="Times New Roman" w:cs="Times New Roman"/>
          <w:iCs/>
          <w:sz w:val="22"/>
          <w:szCs w:val="22"/>
        </w:rPr>
        <w:t xml:space="preserve"> inzake een bank resolutiefonds</w:t>
      </w:r>
      <w:r w:rsidRPr="00925B3C">
        <w:rPr>
          <w:rFonts w:ascii="Times New Roman" w:hAnsi="Times New Roman" w:cs="Times New Roman"/>
          <w:iCs/>
          <w:sz w:val="22"/>
          <w:szCs w:val="22"/>
        </w:rPr>
        <w:t xml:space="preserve">) via de gebruikelijke procedures ter advies en goedkeuring voorgelegd aan de Raad van State en de Staten-Generaal. </w:t>
      </w:r>
      <w:r w:rsidR="00640194">
        <w:rPr>
          <w:rFonts w:ascii="Times New Roman" w:hAnsi="Times New Roman" w:cs="Times New Roman"/>
          <w:iCs/>
          <w:sz w:val="22"/>
          <w:szCs w:val="22"/>
        </w:rPr>
        <w:t>De keuze voor de intergouvernementele methode betekent voor het kabinet dan ook niet dat er onvoldoende waarborgen voor parlementaire be</w:t>
      </w:r>
      <w:r w:rsidR="000008F3">
        <w:rPr>
          <w:rFonts w:ascii="Times New Roman" w:hAnsi="Times New Roman" w:cs="Times New Roman"/>
          <w:iCs/>
          <w:sz w:val="22"/>
          <w:szCs w:val="22"/>
        </w:rPr>
        <w:t>ï</w:t>
      </w:r>
      <w:r w:rsidR="00640194">
        <w:rPr>
          <w:rFonts w:ascii="Times New Roman" w:hAnsi="Times New Roman" w:cs="Times New Roman"/>
          <w:iCs/>
          <w:sz w:val="22"/>
          <w:szCs w:val="22"/>
        </w:rPr>
        <w:t>nvloeding en verantwoording zijn.</w:t>
      </w:r>
    </w:p>
    <w:p w:rsidRPr="00925B3C" w:rsidR="00F427A5" w:rsidP="0049253F" w:rsidRDefault="00F427A5" w14:paraId="54BDCD0B" w14:textId="77777777">
      <w:pPr>
        <w:rPr>
          <w:rFonts w:ascii="Times New Roman" w:hAnsi="Times New Roman" w:cs="Times New Roman"/>
          <w:sz w:val="22"/>
          <w:szCs w:val="22"/>
        </w:rPr>
      </w:pPr>
    </w:p>
    <w:p w:rsidR="000C1912" w:rsidP="0049253F" w:rsidRDefault="0065060D" w14:paraId="10700BA5" w14:textId="77777777">
      <w:pPr>
        <w:rPr>
          <w:rFonts w:ascii="Times New Roman" w:hAnsi="Times New Roman" w:cs="Times New Roman"/>
          <w:sz w:val="22"/>
          <w:szCs w:val="22"/>
        </w:rPr>
      </w:pPr>
      <w:r w:rsidRPr="00925B3C">
        <w:rPr>
          <w:rFonts w:ascii="Times New Roman" w:hAnsi="Times New Roman" w:cs="Times New Roman"/>
          <w:sz w:val="22"/>
          <w:szCs w:val="22"/>
        </w:rPr>
        <w:t xml:space="preserve">Het AIV vermeldt ook in haar advies geen voorstander te zijn van hybride vormen van intergouvernementele en communautaire methodes, omdat deze afbreuk doen aan de gewenste duidelijkheid in de beslisprocedures. Voor Nederland is de communautaire methode </w:t>
      </w:r>
      <w:r w:rsidRPr="00925B3C">
        <w:rPr>
          <w:rFonts w:ascii="Times New Roman" w:hAnsi="Times New Roman" w:cs="Times New Roman"/>
          <w:sz w:val="22"/>
          <w:szCs w:val="22"/>
        </w:rPr>
        <w:lastRenderedPageBreak/>
        <w:t>nog altijd de methode die het beste de belangen van kleine en middelgrote lidstaten beschermt en dominantie van grote lidstaten verhindert.</w:t>
      </w:r>
      <w:r w:rsidR="00F77518">
        <w:rPr>
          <w:rFonts w:ascii="Times New Roman" w:hAnsi="Times New Roman" w:cs="Times New Roman"/>
          <w:sz w:val="22"/>
          <w:szCs w:val="22"/>
        </w:rPr>
        <w:t xml:space="preserve"> Het kabinet erkent dat differentiatie in de Unie nodig is en zal blijven om de diversiteit binnen de Unie te weerspiegelen, maar wil er voor waken dat dit, gekoppeld aan de roep om opt-outs, leidt tot versnippering.</w:t>
      </w:r>
      <w:r w:rsidRPr="00925B3C">
        <w:rPr>
          <w:rFonts w:ascii="Times New Roman" w:hAnsi="Times New Roman" w:cs="Times New Roman"/>
          <w:sz w:val="22"/>
          <w:szCs w:val="22"/>
        </w:rPr>
        <w:t xml:space="preserve"> In dat opzicht acht </w:t>
      </w:r>
      <w:r w:rsidRPr="00925B3C" w:rsidR="00505430">
        <w:rPr>
          <w:rFonts w:ascii="Times New Roman" w:hAnsi="Times New Roman" w:cs="Times New Roman"/>
          <w:sz w:val="22"/>
          <w:szCs w:val="22"/>
        </w:rPr>
        <w:t>het kabinet</w:t>
      </w:r>
      <w:r w:rsidRPr="00925B3C">
        <w:rPr>
          <w:rFonts w:ascii="Times New Roman" w:hAnsi="Times New Roman" w:cs="Times New Roman"/>
          <w:sz w:val="22"/>
          <w:szCs w:val="22"/>
        </w:rPr>
        <w:t xml:space="preserve"> het van belang dat </w:t>
      </w:r>
      <w:r w:rsidRPr="009E0B7E" w:rsidR="00C11441">
        <w:rPr>
          <w:rFonts w:ascii="Times New Roman" w:hAnsi="Times New Roman" w:cs="Times New Roman"/>
          <w:sz w:val="22"/>
          <w:szCs w:val="22"/>
        </w:rPr>
        <w:t>in</w:t>
      </w:r>
      <w:r w:rsidRPr="009E0B7E" w:rsidR="00C11441">
        <w:rPr>
          <w:rFonts w:ascii="Times New Roman" w:hAnsi="Times New Roman" w:cs="Times New Roman"/>
          <w:iCs/>
          <w:sz w:val="22"/>
          <w:szCs w:val="22"/>
        </w:rPr>
        <w:t xml:space="preserve"> het intergouvernementeel akkoord inzake het bank resolutiefonds is opgenomen dat de inhoud hiervan binnen 10 jaar binnen het communautaire raamwerk kan worden gebracht.</w:t>
      </w:r>
      <w:r w:rsidR="009E0B7E">
        <w:rPr>
          <w:rFonts w:ascii="Times New Roman" w:hAnsi="Times New Roman" w:cs="Times New Roman"/>
          <w:iCs/>
          <w:sz w:val="22"/>
          <w:szCs w:val="22"/>
        </w:rPr>
        <w:t xml:space="preserve"> </w:t>
      </w:r>
      <w:r w:rsidR="009E0B7E">
        <w:rPr>
          <w:rFonts w:ascii="Times New Roman" w:hAnsi="Times New Roman" w:cs="Times New Roman"/>
          <w:sz w:val="22"/>
          <w:szCs w:val="22"/>
        </w:rPr>
        <w:t xml:space="preserve">Hiervoor is </w:t>
      </w:r>
      <w:r w:rsidRPr="00925B3C" w:rsidR="009E0B7E">
        <w:rPr>
          <w:rFonts w:ascii="Times New Roman" w:hAnsi="Times New Roman" w:cs="Times New Roman"/>
          <w:sz w:val="22"/>
          <w:szCs w:val="22"/>
        </w:rPr>
        <w:t xml:space="preserve">een verdragswijziging </w:t>
      </w:r>
      <w:r w:rsidR="009E0B7E">
        <w:rPr>
          <w:rFonts w:ascii="Times New Roman" w:hAnsi="Times New Roman" w:cs="Times New Roman"/>
          <w:sz w:val="22"/>
          <w:szCs w:val="22"/>
        </w:rPr>
        <w:t>noodzakelijk, die momenteel niet voorzien is.</w:t>
      </w:r>
    </w:p>
    <w:p w:rsidR="00997876" w:rsidP="0049253F" w:rsidRDefault="00997876" w14:paraId="357B7AF4" w14:textId="77777777">
      <w:pPr>
        <w:rPr>
          <w:rFonts w:ascii="Times New Roman" w:hAnsi="Times New Roman" w:cs="Times New Roman"/>
          <w:sz w:val="22"/>
          <w:szCs w:val="22"/>
        </w:rPr>
      </w:pPr>
    </w:p>
    <w:p w:rsidRPr="00925B3C" w:rsidR="0065060D" w:rsidP="0049253F" w:rsidRDefault="0065060D" w14:paraId="5D28BD74" w14:textId="77777777">
      <w:pPr>
        <w:rPr>
          <w:rFonts w:ascii="Times New Roman" w:hAnsi="Times New Roman" w:cs="Times New Roman"/>
          <w:sz w:val="22"/>
          <w:szCs w:val="22"/>
        </w:rPr>
      </w:pPr>
    </w:p>
    <w:p w:rsidRPr="00925B3C" w:rsidR="000C1912" w:rsidP="0049253F" w:rsidRDefault="000C1912" w14:paraId="7EF8EAAC" w14:textId="77777777">
      <w:pPr>
        <w:pStyle w:val="Lijstalinea"/>
        <w:numPr>
          <w:ilvl w:val="0"/>
          <w:numId w:val="6"/>
        </w:numPr>
        <w:rPr>
          <w:rFonts w:ascii="Times New Roman" w:hAnsi="Times New Roman" w:cs="Times New Roman"/>
          <w:b/>
          <w:sz w:val="22"/>
          <w:szCs w:val="22"/>
        </w:rPr>
      </w:pPr>
      <w:r w:rsidRPr="00925B3C">
        <w:rPr>
          <w:rFonts w:ascii="Times New Roman" w:hAnsi="Times New Roman" w:cs="Times New Roman"/>
          <w:b/>
          <w:sz w:val="22"/>
          <w:szCs w:val="22"/>
        </w:rPr>
        <w:t>Institutionele hervormingen binnen verdragen</w:t>
      </w:r>
    </w:p>
    <w:p w:rsidR="00F07568" w:rsidP="0049253F" w:rsidRDefault="00F07568" w14:paraId="2E4FB907" w14:textId="77777777">
      <w:pPr>
        <w:pStyle w:val="Normaalweb"/>
        <w:rPr>
          <w:sz w:val="22"/>
          <w:szCs w:val="22"/>
        </w:rPr>
      </w:pPr>
      <w:r w:rsidRPr="00925B3C">
        <w:rPr>
          <w:sz w:val="22"/>
          <w:szCs w:val="22"/>
        </w:rPr>
        <w:t xml:space="preserve">In </w:t>
      </w:r>
      <w:r w:rsidR="00C45014">
        <w:rPr>
          <w:sz w:val="22"/>
          <w:szCs w:val="22"/>
        </w:rPr>
        <w:t xml:space="preserve">de </w:t>
      </w:r>
      <w:r w:rsidRPr="00925B3C">
        <w:rPr>
          <w:sz w:val="22"/>
          <w:szCs w:val="22"/>
        </w:rPr>
        <w:t>motie d.d. 31 maart 2014 van het lid Pechtold</w:t>
      </w:r>
      <w:r w:rsidRPr="00925B3C">
        <w:rPr>
          <w:rStyle w:val="Voetnootmarkering"/>
          <w:sz w:val="22"/>
          <w:szCs w:val="22"/>
        </w:rPr>
        <w:footnoteReference w:id="12"/>
      </w:r>
      <w:r w:rsidRPr="00925B3C">
        <w:rPr>
          <w:sz w:val="22"/>
          <w:szCs w:val="22"/>
        </w:rPr>
        <w:t xml:space="preserve"> wordt het kabinet verzocht in kaart te brengen welke hervormingen in de Europese Unie zonder verdragswijziging kunnen worden gerealiseerd. </w:t>
      </w:r>
      <w:r w:rsidRPr="00925B3C" w:rsidR="00FE5D72">
        <w:rPr>
          <w:sz w:val="22"/>
          <w:szCs w:val="22"/>
        </w:rPr>
        <w:t xml:space="preserve">Hieronder zal worden uiteengezet </w:t>
      </w:r>
      <w:r w:rsidRPr="00925B3C">
        <w:rPr>
          <w:sz w:val="22"/>
          <w:szCs w:val="22"/>
        </w:rPr>
        <w:t xml:space="preserve">welke </w:t>
      </w:r>
      <w:r w:rsidRPr="00925B3C" w:rsidR="0065060D">
        <w:rPr>
          <w:sz w:val="22"/>
          <w:szCs w:val="22"/>
        </w:rPr>
        <w:t>methoden</w:t>
      </w:r>
      <w:r w:rsidRPr="00925B3C">
        <w:rPr>
          <w:sz w:val="22"/>
          <w:szCs w:val="22"/>
        </w:rPr>
        <w:t xml:space="preserve"> benut kunnen worden voor het bewerkstelligen van hervormingen, zonder dat een verdragswijziging vereist is. Vervolgens zal het kabinet in kaart brengen welke institutionele hervormingen </w:t>
      </w:r>
      <w:r w:rsidRPr="00925B3C" w:rsidR="00FE5D72">
        <w:rPr>
          <w:sz w:val="22"/>
          <w:szCs w:val="22"/>
        </w:rPr>
        <w:t>het</w:t>
      </w:r>
      <w:r w:rsidRPr="00925B3C">
        <w:rPr>
          <w:sz w:val="22"/>
          <w:szCs w:val="22"/>
        </w:rPr>
        <w:t xml:space="preserve"> voor ogen heeft. </w:t>
      </w:r>
    </w:p>
    <w:p w:rsidRPr="00925B3C" w:rsidR="00F07568" w:rsidP="0049253F" w:rsidRDefault="00F07568" w14:paraId="437A14A3" w14:textId="77777777">
      <w:pPr>
        <w:pStyle w:val="Normaalweb"/>
        <w:rPr>
          <w:b/>
          <w:i/>
          <w:sz w:val="22"/>
          <w:szCs w:val="22"/>
        </w:rPr>
      </w:pPr>
      <w:r w:rsidRPr="00925B3C">
        <w:rPr>
          <w:b/>
          <w:i/>
          <w:sz w:val="22"/>
          <w:szCs w:val="22"/>
        </w:rPr>
        <w:t>3.1 Mogelijkheden tot hervorming binnen de huidige verdragen</w:t>
      </w:r>
    </w:p>
    <w:p w:rsidRPr="00925B3C" w:rsidR="00F07568" w:rsidP="0049253F" w:rsidRDefault="00F07568" w14:paraId="3D769BEA" w14:textId="47A990AA">
      <w:pPr>
        <w:pStyle w:val="Normaalweb"/>
        <w:rPr>
          <w:sz w:val="22"/>
          <w:szCs w:val="22"/>
        </w:rPr>
      </w:pPr>
      <w:r w:rsidRPr="00925B3C">
        <w:rPr>
          <w:sz w:val="22"/>
          <w:szCs w:val="22"/>
        </w:rPr>
        <w:t xml:space="preserve">Art. 48 </w:t>
      </w:r>
      <w:r w:rsidR="000F7B4C">
        <w:rPr>
          <w:sz w:val="22"/>
          <w:szCs w:val="22"/>
        </w:rPr>
        <w:t>van het Unieverdrag (VEU-</w:t>
      </w:r>
      <w:r w:rsidRPr="00925B3C" w:rsidR="00FE5D72">
        <w:rPr>
          <w:sz w:val="22"/>
          <w:szCs w:val="22"/>
        </w:rPr>
        <w:t>V</w:t>
      </w:r>
      <w:r w:rsidR="000F7B4C">
        <w:rPr>
          <w:sz w:val="22"/>
          <w:szCs w:val="22"/>
        </w:rPr>
        <w:t xml:space="preserve">erdrag betreffende de </w:t>
      </w:r>
      <w:r w:rsidRPr="00925B3C" w:rsidR="00FE5D72">
        <w:rPr>
          <w:sz w:val="22"/>
          <w:szCs w:val="22"/>
        </w:rPr>
        <w:t>EU</w:t>
      </w:r>
      <w:r w:rsidR="000F7B4C">
        <w:rPr>
          <w:sz w:val="22"/>
          <w:szCs w:val="22"/>
        </w:rPr>
        <w:t>)</w:t>
      </w:r>
      <w:r w:rsidRPr="00925B3C">
        <w:rPr>
          <w:sz w:val="22"/>
          <w:szCs w:val="22"/>
        </w:rPr>
        <w:t xml:space="preserve"> voorziet in de mogelijkheid tot wijziging van de verdragen, via de </w:t>
      </w:r>
      <w:r w:rsidRPr="00925B3C" w:rsidR="00FE5D72">
        <w:rPr>
          <w:sz w:val="22"/>
          <w:szCs w:val="22"/>
        </w:rPr>
        <w:t>gewone herzieningsprocedure,</w:t>
      </w:r>
      <w:r w:rsidRPr="00925B3C">
        <w:rPr>
          <w:sz w:val="22"/>
          <w:szCs w:val="22"/>
        </w:rPr>
        <w:t xml:space="preserve"> teneinde de aan de Unie toegedeelde bevoegdheden uit te breiden of te beperken. De verdragen bieden echter </w:t>
      </w:r>
      <w:r w:rsidRPr="00925B3C" w:rsidR="00FE5D72">
        <w:rPr>
          <w:sz w:val="22"/>
          <w:szCs w:val="22"/>
        </w:rPr>
        <w:t xml:space="preserve">daarnaast </w:t>
      </w:r>
      <w:r w:rsidRPr="00925B3C">
        <w:rPr>
          <w:sz w:val="22"/>
          <w:szCs w:val="22"/>
        </w:rPr>
        <w:t>diverse mogelijkheden voor hervorming, zonder dat een gewone verdragswijziging vereist is. Deze mogelijkheden zullen achtereenvolgens worden besproken.</w:t>
      </w:r>
    </w:p>
    <w:p w:rsidRPr="00925B3C" w:rsidR="00532976" w:rsidP="0049253F" w:rsidRDefault="00F07568" w14:paraId="0A482CAA" w14:textId="77777777">
      <w:pPr>
        <w:pStyle w:val="Normaalweb"/>
        <w:numPr>
          <w:ilvl w:val="0"/>
          <w:numId w:val="23"/>
        </w:numPr>
        <w:rPr>
          <w:rStyle w:val="Nadruk"/>
          <w:sz w:val="22"/>
          <w:szCs w:val="22"/>
        </w:rPr>
      </w:pPr>
      <w:r w:rsidRPr="00925B3C">
        <w:rPr>
          <w:rStyle w:val="Nadruk"/>
          <w:rFonts w:eastAsia="Calibri"/>
          <w:sz w:val="22"/>
          <w:szCs w:val="22"/>
        </w:rPr>
        <w:t>Vereenvoudigde her</w:t>
      </w:r>
      <w:r w:rsidRPr="00925B3C" w:rsidR="00532976">
        <w:rPr>
          <w:rStyle w:val="Nadruk"/>
          <w:rFonts w:eastAsia="Calibri"/>
          <w:sz w:val="22"/>
          <w:szCs w:val="22"/>
        </w:rPr>
        <w:t>zieningsprocedure intern beleid</w:t>
      </w:r>
    </w:p>
    <w:p w:rsidRPr="00925B3C" w:rsidR="00F07568" w:rsidP="0049253F" w:rsidRDefault="00532976" w14:paraId="0DE62245" w14:textId="070B6CA7">
      <w:pPr>
        <w:pStyle w:val="Normaalweb"/>
        <w:rPr>
          <w:i/>
          <w:iCs/>
          <w:sz w:val="22"/>
          <w:szCs w:val="22"/>
        </w:rPr>
      </w:pPr>
      <w:r w:rsidRPr="00925B3C">
        <w:rPr>
          <w:sz w:val="22"/>
          <w:szCs w:val="22"/>
        </w:rPr>
        <w:t>A</w:t>
      </w:r>
      <w:r w:rsidRPr="00925B3C" w:rsidR="00F07568">
        <w:rPr>
          <w:sz w:val="22"/>
          <w:szCs w:val="22"/>
        </w:rPr>
        <w:t xml:space="preserve">rtikel 48 lid 6 </w:t>
      </w:r>
      <w:r w:rsidRPr="00925B3C" w:rsidR="00FE5D72">
        <w:rPr>
          <w:sz w:val="22"/>
          <w:szCs w:val="22"/>
        </w:rPr>
        <w:t xml:space="preserve">VEU </w:t>
      </w:r>
      <w:r w:rsidRPr="00925B3C" w:rsidR="00F07568">
        <w:rPr>
          <w:sz w:val="22"/>
          <w:szCs w:val="22"/>
        </w:rPr>
        <w:t xml:space="preserve">voorziet in de mogelijkheid het interne beleid en optreden van de Unie, zoals geregeld in het derde deel van het </w:t>
      </w:r>
      <w:r w:rsidRPr="00925B3C" w:rsidR="00FE5D72">
        <w:rPr>
          <w:sz w:val="22"/>
          <w:szCs w:val="22"/>
        </w:rPr>
        <w:t>Werkingsverdrag (VWEU - V</w:t>
      </w:r>
      <w:r w:rsidRPr="00925B3C" w:rsidR="00F07568">
        <w:rPr>
          <w:sz w:val="22"/>
          <w:szCs w:val="22"/>
        </w:rPr>
        <w:t>erdrag betreffende de werking v</w:t>
      </w:r>
      <w:r w:rsidRPr="00925B3C" w:rsidR="00FE5D72">
        <w:rPr>
          <w:sz w:val="22"/>
          <w:szCs w:val="22"/>
        </w:rPr>
        <w:t>an de EU)</w:t>
      </w:r>
      <w:r w:rsidRPr="00925B3C" w:rsidR="00F07568">
        <w:rPr>
          <w:sz w:val="22"/>
          <w:szCs w:val="22"/>
        </w:rPr>
        <w:t xml:space="preserve">, </w:t>
      </w:r>
      <w:r w:rsidR="002A3B77">
        <w:rPr>
          <w:sz w:val="22"/>
          <w:szCs w:val="22"/>
        </w:rPr>
        <w:t xml:space="preserve">te wijzigen, zonder de gewone verdragswijzigingsprocedure te doorlopen. Het moet dan gaan om een beperkte verdragswijzigingen, die </w:t>
      </w:r>
      <w:r w:rsidRPr="00925B3C" w:rsidR="002A3B77">
        <w:rPr>
          <w:sz w:val="22"/>
          <w:szCs w:val="22"/>
        </w:rPr>
        <w:t>niet leiden tot een uitbreiding van de bevoegdheden van de Unie</w:t>
      </w:r>
      <w:r w:rsidRPr="00925B3C" w:rsidR="00F07568">
        <w:rPr>
          <w:sz w:val="22"/>
          <w:szCs w:val="22"/>
        </w:rPr>
        <w:t xml:space="preserve">. Hierbij kan het onder andere gaan om het beleid inzake de interne markt, het economisch en monetair beleid, en de ruimte van vrijheid, veiligheid en recht. </w:t>
      </w:r>
      <w:r w:rsidR="002A3B77">
        <w:rPr>
          <w:sz w:val="22"/>
          <w:szCs w:val="22"/>
        </w:rPr>
        <w:t xml:space="preserve">In de vereenvoudigde herzieningsprocedure </w:t>
      </w:r>
      <w:r w:rsidRPr="00925B3C" w:rsidR="00F07568">
        <w:rPr>
          <w:sz w:val="22"/>
          <w:szCs w:val="22"/>
        </w:rPr>
        <w:t>i</w:t>
      </w:r>
      <w:r w:rsidRPr="00925B3C" w:rsidR="00FE5D72">
        <w:rPr>
          <w:sz w:val="22"/>
          <w:szCs w:val="22"/>
        </w:rPr>
        <w:t>s het, in tegenstelling tot de gewone herzieningsprocedure</w:t>
      </w:r>
      <w:r w:rsidRPr="00925B3C" w:rsidR="00F07568">
        <w:rPr>
          <w:sz w:val="22"/>
          <w:szCs w:val="22"/>
        </w:rPr>
        <w:t>, niet nodig een Intergouvernementele Conferentie (IGC) bijeen te roepen. De regering van een lidstaat, het Europees Parlement of de Commissie kunnen een herzieningsvoorstel voorleggen aan de Europese Raad. Deze besluit vervolgens met unanimiteit, na raadpleging van het Europees Parlement en de Commissie (alsmede de ECB in geval van institutionele wijzigingen op monetair gebied). Het besluit treedt pas in werking nadat het door alle lidstaten is goedgekeurd conform hun nationaal grondwettelijke procedures.</w:t>
      </w:r>
    </w:p>
    <w:p w:rsidRPr="00925B3C" w:rsidR="00F07568" w:rsidP="0049253F" w:rsidRDefault="00F07568" w14:paraId="50BD607F" w14:textId="77777777">
      <w:pPr>
        <w:pStyle w:val="Normaalweb"/>
        <w:numPr>
          <w:ilvl w:val="0"/>
          <w:numId w:val="23"/>
        </w:numPr>
        <w:spacing w:before="0" w:beforeAutospacing="0" w:after="0"/>
        <w:rPr>
          <w:rStyle w:val="Nadruk"/>
          <w:rFonts w:eastAsia="Calibri"/>
          <w:sz w:val="22"/>
          <w:szCs w:val="22"/>
        </w:rPr>
      </w:pPr>
      <w:r w:rsidRPr="00925B3C">
        <w:rPr>
          <w:rStyle w:val="Nadruk"/>
          <w:rFonts w:eastAsia="Calibri"/>
          <w:sz w:val="22"/>
          <w:szCs w:val="22"/>
        </w:rPr>
        <w:t>Vereenvoudigde herzieningsprocedures besluitvorming - Algemene en specifieke passerelles</w:t>
      </w:r>
    </w:p>
    <w:p w:rsidRPr="00925B3C" w:rsidR="00522566" w:rsidP="0049253F" w:rsidRDefault="00522566" w14:paraId="0C2BC128" w14:textId="77777777">
      <w:pPr>
        <w:pStyle w:val="Normaalweb"/>
        <w:spacing w:before="0" w:beforeAutospacing="0" w:after="0"/>
        <w:ind w:left="720"/>
        <w:rPr>
          <w:rStyle w:val="Nadruk"/>
          <w:rFonts w:eastAsia="Calibri"/>
          <w:i w:val="0"/>
          <w:sz w:val="22"/>
          <w:szCs w:val="22"/>
        </w:rPr>
      </w:pPr>
    </w:p>
    <w:p w:rsidRPr="00925B3C" w:rsidR="00F07568" w:rsidP="0049253F" w:rsidRDefault="00F07568" w14:paraId="059DC6EB" w14:textId="77777777">
      <w:pPr>
        <w:pStyle w:val="Normaalweb"/>
        <w:spacing w:before="0" w:beforeAutospacing="0" w:after="0"/>
        <w:rPr>
          <w:rStyle w:val="Nadruk"/>
          <w:rFonts w:eastAsia="Calibri"/>
          <w:i w:val="0"/>
          <w:sz w:val="22"/>
          <w:szCs w:val="22"/>
        </w:rPr>
      </w:pPr>
      <w:r w:rsidRPr="00925B3C">
        <w:rPr>
          <w:rStyle w:val="Nadruk"/>
          <w:rFonts w:eastAsia="Calibri"/>
          <w:i w:val="0"/>
          <w:sz w:val="22"/>
          <w:szCs w:val="22"/>
        </w:rPr>
        <w:lastRenderedPageBreak/>
        <w:t>De verd</w:t>
      </w:r>
      <w:r w:rsidR="00C45014">
        <w:rPr>
          <w:rStyle w:val="Nadruk"/>
          <w:rFonts w:eastAsia="Calibri"/>
          <w:i w:val="0"/>
          <w:sz w:val="22"/>
          <w:szCs w:val="22"/>
        </w:rPr>
        <w:t>r</w:t>
      </w:r>
      <w:r w:rsidRPr="00925B3C">
        <w:rPr>
          <w:rStyle w:val="Nadruk"/>
          <w:rFonts w:eastAsia="Calibri"/>
          <w:i w:val="0"/>
          <w:sz w:val="22"/>
          <w:szCs w:val="22"/>
        </w:rPr>
        <w:t xml:space="preserve">agen voorzien ook in vereenvoudigde herzieningsprocedures </w:t>
      </w:r>
      <w:r w:rsidR="00872AC6">
        <w:rPr>
          <w:rStyle w:val="Nadruk"/>
          <w:rFonts w:eastAsia="Calibri"/>
          <w:i w:val="0"/>
          <w:sz w:val="22"/>
          <w:szCs w:val="22"/>
        </w:rPr>
        <w:t xml:space="preserve">teneinde </w:t>
      </w:r>
      <w:r w:rsidRPr="00925B3C">
        <w:rPr>
          <w:rStyle w:val="Nadruk"/>
          <w:rFonts w:eastAsia="Calibri"/>
          <w:i w:val="0"/>
          <w:sz w:val="22"/>
          <w:szCs w:val="22"/>
        </w:rPr>
        <w:t>besluitvorming op bepaalde terreinen te vereenvoudigen. Art.</w:t>
      </w:r>
      <w:r w:rsidRPr="00925B3C" w:rsidR="00FE5D72">
        <w:rPr>
          <w:rStyle w:val="Nadruk"/>
          <w:rFonts w:eastAsia="Calibri"/>
          <w:i w:val="0"/>
          <w:sz w:val="22"/>
          <w:szCs w:val="22"/>
        </w:rPr>
        <w:t xml:space="preserve"> 48 lid 7 VEU voorziet in twee algemene passerelles</w:t>
      </w:r>
      <w:r w:rsidRPr="00925B3C">
        <w:rPr>
          <w:rStyle w:val="Nadruk"/>
          <w:rFonts w:eastAsia="Calibri"/>
          <w:i w:val="0"/>
          <w:sz w:val="22"/>
          <w:szCs w:val="22"/>
        </w:rPr>
        <w:t>. De eerste algemene passerelle betreft overgang van besluitvorming met unanimiteit (binnen de Raad) naar gekwalificeerde meerderheid en is beperkt tot het VWEU en titel V van het VEU. De tweede algemene passerelle betreft overgang van een bijzondere wetgevingsprocedure naar de gewone wetgevingsprocedure (medebeslissingsprocedure).</w:t>
      </w:r>
    </w:p>
    <w:p w:rsidRPr="00925B3C" w:rsidR="00F07568" w:rsidP="0049253F" w:rsidRDefault="00C45014" w14:paraId="10E4DF5E" w14:textId="77777777">
      <w:pPr>
        <w:pStyle w:val="Normaalweb"/>
        <w:spacing w:before="0" w:beforeAutospacing="0" w:after="0"/>
        <w:rPr>
          <w:rStyle w:val="Nadruk"/>
          <w:rFonts w:eastAsia="Calibri"/>
          <w:i w:val="0"/>
          <w:sz w:val="22"/>
          <w:szCs w:val="22"/>
        </w:rPr>
      </w:pPr>
      <w:r w:rsidRPr="006E02FC">
        <w:rPr>
          <w:rFonts w:eastAsiaTheme="minorEastAsia"/>
          <w:sz w:val="22"/>
          <w:szCs w:val="22"/>
          <w:lang w:eastAsia="en-US"/>
        </w:rPr>
        <w:t xml:space="preserve">Ieder initiatief van de Europese Raad voor een dergelijke passerelle wordt aan de nationale parlementen toegezonden. Indien binnen een termijn van zes maanden na die toezending door een nationaal parlement bezwaar wordt aangetekend, is het bedoelde besluit niet vastgesteld. </w:t>
      </w:r>
      <w:r w:rsidRPr="00925B3C" w:rsidR="00F07568">
        <w:rPr>
          <w:rStyle w:val="Nadruk"/>
          <w:rFonts w:eastAsia="Calibri"/>
          <w:i w:val="0"/>
          <w:sz w:val="22"/>
          <w:szCs w:val="22"/>
        </w:rPr>
        <w:t>Overigens is het van belang dat artikel 353 VWEU enkele specifieke grondslagen opsomt waarbij geen gebruik gemaakt kan worden van de algemene passerelles.</w:t>
      </w:r>
      <w:r w:rsidRPr="00925B3C" w:rsidR="00FE5D72">
        <w:rPr>
          <w:rStyle w:val="Voetnootmarkering"/>
          <w:rFonts w:eastAsia="Calibri"/>
          <w:iCs/>
          <w:sz w:val="22"/>
          <w:szCs w:val="22"/>
        </w:rPr>
        <w:footnoteReference w:id="13"/>
      </w:r>
      <w:r w:rsidRPr="00925B3C" w:rsidR="00F07568">
        <w:rPr>
          <w:rStyle w:val="Nadruk"/>
          <w:rFonts w:eastAsia="Calibri"/>
          <w:i w:val="0"/>
          <w:sz w:val="22"/>
          <w:szCs w:val="22"/>
        </w:rPr>
        <w:t xml:space="preserve"> </w:t>
      </w:r>
    </w:p>
    <w:p w:rsidRPr="00925B3C" w:rsidR="00FE5D72" w:rsidP="0049253F" w:rsidRDefault="00FE5D72" w14:paraId="3759E341" w14:textId="77777777">
      <w:pPr>
        <w:pStyle w:val="Normaalweb"/>
        <w:spacing w:before="0" w:beforeAutospacing="0" w:after="0"/>
        <w:rPr>
          <w:rStyle w:val="Nadruk"/>
          <w:rFonts w:eastAsia="Calibri"/>
          <w:i w:val="0"/>
          <w:sz w:val="22"/>
          <w:szCs w:val="22"/>
        </w:rPr>
      </w:pPr>
    </w:p>
    <w:p w:rsidRPr="00925B3C" w:rsidR="00F07568" w:rsidP="0049253F" w:rsidRDefault="00F07568" w14:paraId="0E7000BE" w14:textId="77777777">
      <w:pPr>
        <w:pStyle w:val="Normaalweb"/>
        <w:spacing w:before="0" w:beforeAutospacing="0" w:after="0"/>
        <w:rPr>
          <w:rStyle w:val="Nadruk"/>
          <w:rFonts w:eastAsia="Calibri"/>
          <w:i w:val="0"/>
          <w:sz w:val="22"/>
          <w:szCs w:val="22"/>
        </w:rPr>
      </w:pPr>
      <w:r w:rsidRPr="00925B3C">
        <w:rPr>
          <w:rStyle w:val="Nadruk"/>
          <w:rFonts w:eastAsia="Calibri"/>
          <w:i w:val="0"/>
          <w:sz w:val="22"/>
          <w:szCs w:val="22"/>
        </w:rPr>
        <w:t>Elders in de verdragen zijn ook specifieke passerellebepalingen opgenomen die overgangen van besluitvorming met unanimiteit naar gekwalificeerde meerderheid mogelijk maken.</w:t>
      </w:r>
      <w:r w:rsidRPr="00925B3C" w:rsidR="00FE5D72">
        <w:rPr>
          <w:rStyle w:val="Voetnootmarkering"/>
          <w:rFonts w:eastAsia="Calibri"/>
          <w:iCs/>
          <w:sz w:val="22"/>
          <w:szCs w:val="22"/>
        </w:rPr>
        <w:footnoteReference w:id="14"/>
      </w:r>
      <w:r w:rsidRPr="00925B3C">
        <w:rPr>
          <w:rStyle w:val="Nadruk"/>
          <w:rFonts w:eastAsia="Calibri"/>
          <w:i w:val="0"/>
          <w:sz w:val="22"/>
          <w:szCs w:val="22"/>
        </w:rPr>
        <w:t xml:space="preserve"> </w:t>
      </w:r>
    </w:p>
    <w:p w:rsidRPr="00925B3C" w:rsidR="00F07568" w:rsidP="0049253F" w:rsidRDefault="00F07568" w14:paraId="79D9417A" w14:textId="77777777">
      <w:pPr>
        <w:pStyle w:val="Normaalweb"/>
        <w:spacing w:before="0" w:beforeAutospacing="0" w:after="0"/>
        <w:rPr>
          <w:rStyle w:val="Nadruk"/>
          <w:rFonts w:eastAsia="Calibri"/>
          <w:i w:val="0"/>
          <w:sz w:val="22"/>
          <w:szCs w:val="22"/>
        </w:rPr>
      </w:pPr>
    </w:p>
    <w:p w:rsidRPr="00925B3C" w:rsidR="00F07568" w:rsidP="0049253F" w:rsidRDefault="00F07568" w14:paraId="1EB1D7F7" w14:textId="77777777">
      <w:pPr>
        <w:pStyle w:val="Normaalweb"/>
        <w:numPr>
          <w:ilvl w:val="0"/>
          <w:numId w:val="23"/>
        </w:numPr>
        <w:spacing w:before="0" w:beforeAutospacing="0" w:after="0"/>
        <w:rPr>
          <w:rStyle w:val="Nadruk"/>
          <w:rFonts w:eastAsia="Calibri"/>
          <w:sz w:val="22"/>
          <w:szCs w:val="22"/>
        </w:rPr>
      </w:pPr>
      <w:r w:rsidRPr="00925B3C">
        <w:rPr>
          <w:rStyle w:val="Nadruk"/>
          <w:rFonts w:eastAsia="Calibri"/>
          <w:sz w:val="22"/>
          <w:szCs w:val="22"/>
        </w:rPr>
        <w:t>Interinstitutionele akkoorden</w:t>
      </w:r>
      <w:r w:rsidRPr="00925B3C" w:rsidR="00522566">
        <w:rPr>
          <w:rStyle w:val="Nadruk"/>
          <w:rFonts w:eastAsia="Calibri"/>
          <w:sz w:val="22"/>
          <w:szCs w:val="22"/>
        </w:rPr>
        <w:t xml:space="preserve"> (IIA’s), politieke akkoorden, reglementen van o</w:t>
      </w:r>
      <w:r w:rsidRPr="00925B3C">
        <w:rPr>
          <w:rStyle w:val="Nadruk"/>
          <w:rFonts w:eastAsia="Calibri"/>
          <w:sz w:val="22"/>
          <w:szCs w:val="22"/>
        </w:rPr>
        <w:t>rde</w:t>
      </w:r>
    </w:p>
    <w:p w:rsidRPr="00925B3C" w:rsidR="00522566" w:rsidP="0049253F" w:rsidRDefault="00522566" w14:paraId="27B6CEC3" w14:textId="77777777">
      <w:pPr>
        <w:pStyle w:val="Normaalweb"/>
        <w:spacing w:before="0" w:beforeAutospacing="0" w:after="0"/>
        <w:ind w:left="720"/>
        <w:rPr>
          <w:rStyle w:val="Nadruk"/>
          <w:rFonts w:eastAsia="Calibri"/>
          <w:i w:val="0"/>
          <w:sz w:val="22"/>
          <w:szCs w:val="22"/>
        </w:rPr>
      </w:pPr>
    </w:p>
    <w:p w:rsidRPr="00925B3C" w:rsidR="00F07568" w:rsidP="0049253F" w:rsidRDefault="00F07568" w14:paraId="2B26D2E0" w14:textId="5C53F338">
      <w:pPr>
        <w:pStyle w:val="Normaalweb"/>
        <w:spacing w:before="0" w:beforeAutospacing="0" w:after="0"/>
        <w:rPr>
          <w:rStyle w:val="Nadruk"/>
          <w:rFonts w:eastAsia="Calibri"/>
          <w:i w:val="0"/>
          <w:sz w:val="22"/>
          <w:szCs w:val="22"/>
        </w:rPr>
      </w:pPr>
      <w:r w:rsidRPr="00925B3C">
        <w:rPr>
          <w:rStyle w:val="Nadruk"/>
          <w:rFonts w:eastAsia="Calibri"/>
          <w:i w:val="0"/>
          <w:sz w:val="22"/>
          <w:szCs w:val="22"/>
        </w:rPr>
        <w:t xml:space="preserve">Art. 295 VWEU voorziet in de mogelijkheid voor het Europees Parlement, de Raad en de Commissie interinstitutionele akkoorden te sluiten over de wijze waarop zij samenwerken. </w:t>
      </w:r>
      <w:r w:rsidR="00872AC6">
        <w:rPr>
          <w:rStyle w:val="Nadruk"/>
          <w:rFonts w:eastAsia="Calibri"/>
          <w:i w:val="0"/>
          <w:sz w:val="22"/>
          <w:szCs w:val="22"/>
        </w:rPr>
        <w:t>In interinstitutionele akkoorden kunnen bijvoorbeeld afspraken worden gemaakt</w:t>
      </w:r>
      <w:r w:rsidRPr="00925B3C" w:rsidR="00872AC6">
        <w:rPr>
          <w:rStyle w:val="Nadruk"/>
          <w:rFonts w:eastAsia="Calibri"/>
          <w:i w:val="0"/>
          <w:sz w:val="22"/>
          <w:szCs w:val="22"/>
        </w:rPr>
        <w:t xml:space="preserve"> </w:t>
      </w:r>
      <w:r w:rsidR="00CB289A">
        <w:rPr>
          <w:rStyle w:val="Nadruk"/>
          <w:rFonts w:eastAsia="Calibri"/>
          <w:i w:val="0"/>
          <w:sz w:val="22"/>
          <w:szCs w:val="22"/>
        </w:rPr>
        <w:t xml:space="preserve">op het terrein van prioriteitsstelling, de grondbeginselen van wetgeving zoals subsidiariteit en proportionaliteit en transparantie en </w:t>
      </w:r>
      <w:r w:rsidR="003C41C5">
        <w:rPr>
          <w:rStyle w:val="Nadruk"/>
          <w:rFonts w:eastAsia="Calibri"/>
          <w:i w:val="0"/>
          <w:sz w:val="22"/>
          <w:szCs w:val="22"/>
        </w:rPr>
        <w:t xml:space="preserve">informatie-uitwisseling </w:t>
      </w:r>
      <w:r w:rsidR="00CB289A">
        <w:rPr>
          <w:rStyle w:val="Nadruk"/>
          <w:rFonts w:eastAsia="Calibri"/>
          <w:i w:val="0"/>
          <w:sz w:val="22"/>
          <w:szCs w:val="22"/>
        </w:rPr>
        <w:t>tussen de instellingen</w:t>
      </w:r>
      <w:r w:rsidR="00872AC6">
        <w:rPr>
          <w:rStyle w:val="Nadruk"/>
          <w:rFonts w:eastAsia="Calibri"/>
          <w:i w:val="0"/>
          <w:sz w:val="22"/>
          <w:szCs w:val="22"/>
        </w:rPr>
        <w:t xml:space="preserve">. </w:t>
      </w:r>
      <w:r w:rsidRPr="00925B3C">
        <w:rPr>
          <w:rStyle w:val="Nadruk"/>
          <w:rFonts w:eastAsia="Calibri"/>
          <w:i w:val="0"/>
          <w:sz w:val="22"/>
          <w:szCs w:val="22"/>
        </w:rPr>
        <w:t xml:space="preserve">De IIA’s </w:t>
      </w:r>
      <w:r w:rsidRPr="007642AF">
        <w:rPr>
          <w:rStyle w:val="Nadruk"/>
          <w:rFonts w:eastAsia="Calibri"/>
          <w:i w:val="0"/>
          <w:sz w:val="22"/>
          <w:szCs w:val="22"/>
        </w:rPr>
        <w:t>kunnen</w:t>
      </w:r>
      <w:r w:rsidRPr="00925B3C">
        <w:rPr>
          <w:rStyle w:val="Nadruk"/>
          <w:rFonts w:eastAsia="Calibri"/>
          <w:i w:val="0"/>
          <w:sz w:val="22"/>
          <w:szCs w:val="22"/>
        </w:rPr>
        <w:t xml:space="preserve"> een juridisch bindend karakter hebben.</w:t>
      </w:r>
      <w:r w:rsidRPr="00925B3C" w:rsidR="0065060D">
        <w:rPr>
          <w:rStyle w:val="Nadruk"/>
          <w:rFonts w:eastAsia="Calibri"/>
          <w:i w:val="0"/>
          <w:sz w:val="22"/>
          <w:szCs w:val="22"/>
        </w:rPr>
        <w:t xml:space="preserve"> </w:t>
      </w:r>
      <w:r w:rsidRPr="00925B3C">
        <w:rPr>
          <w:rStyle w:val="Nadruk"/>
          <w:rFonts w:eastAsia="Calibri"/>
          <w:i w:val="0"/>
          <w:sz w:val="22"/>
          <w:szCs w:val="22"/>
        </w:rPr>
        <w:t>Hoewel het verdrag voorziet in de mogelijkheid tot het sluiten van akkoorden tussen de drie instellingen (het Europees Parlement, de Raad en de Commissie), kan daaruit niet worden geconcludeerd dat het verdrag het sluiten van akkoorden tussen twee van de drie instellingen verbiedt.</w:t>
      </w:r>
      <w:r w:rsidRPr="00925B3C" w:rsidR="0065060D">
        <w:rPr>
          <w:rStyle w:val="Nadruk"/>
          <w:rFonts w:eastAsia="Calibri"/>
          <w:i w:val="0"/>
          <w:sz w:val="22"/>
          <w:szCs w:val="22"/>
        </w:rPr>
        <w:t xml:space="preserve"> </w:t>
      </w:r>
    </w:p>
    <w:p w:rsidRPr="00925B3C" w:rsidR="0065060D" w:rsidP="0049253F" w:rsidRDefault="0065060D" w14:paraId="0B74B285" w14:textId="77777777">
      <w:pPr>
        <w:pStyle w:val="Normaalweb"/>
        <w:spacing w:before="0" w:beforeAutospacing="0" w:after="0"/>
        <w:rPr>
          <w:sz w:val="22"/>
          <w:szCs w:val="22"/>
        </w:rPr>
      </w:pPr>
    </w:p>
    <w:p w:rsidRPr="00925B3C" w:rsidR="00F07568" w:rsidP="0049253F" w:rsidRDefault="00F07568" w14:paraId="16F15550" w14:textId="77777777">
      <w:pPr>
        <w:pStyle w:val="Normaalweb"/>
        <w:spacing w:before="0" w:beforeAutospacing="0" w:after="0"/>
        <w:rPr>
          <w:sz w:val="22"/>
          <w:szCs w:val="22"/>
        </w:rPr>
      </w:pPr>
      <w:r w:rsidRPr="00925B3C">
        <w:rPr>
          <w:sz w:val="22"/>
          <w:szCs w:val="22"/>
        </w:rPr>
        <w:t xml:space="preserve">Naast bovenstaande geschetste mogelijkheden bestaat uiteraard ook de mogelijkheid voor de instellingen een of meer politieke akkoorden te sluiten. Hier dient echter wel bij te worden aangetekend dat deze akkoorden geen juridisch bindend karakter hebben. </w:t>
      </w:r>
    </w:p>
    <w:p w:rsidRPr="00925B3C" w:rsidR="0065060D" w:rsidP="0049253F" w:rsidRDefault="0065060D" w14:paraId="43628BFE" w14:textId="77777777">
      <w:pPr>
        <w:pStyle w:val="Normaalweb"/>
        <w:spacing w:before="0" w:beforeAutospacing="0" w:after="0"/>
        <w:rPr>
          <w:sz w:val="22"/>
          <w:szCs w:val="22"/>
        </w:rPr>
      </w:pPr>
    </w:p>
    <w:p w:rsidRPr="00925B3C" w:rsidR="00F07568" w:rsidP="0049253F" w:rsidRDefault="00F07568" w14:paraId="36A17660" w14:textId="77777777">
      <w:pPr>
        <w:pStyle w:val="Normaalweb"/>
        <w:spacing w:before="0" w:beforeAutospacing="0" w:after="0"/>
        <w:rPr>
          <w:sz w:val="22"/>
          <w:szCs w:val="22"/>
        </w:rPr>
      </w:pPr>
      <w:r w:rsidRPr="00925B3C">
        <w:rPr>
          <w:sz w:val="22"/>
          <w:szCs w:val="22"/>
        </w:rPr>
        <w:t xml:space="preserve">Daarnaast kunnen verschillende institutionele hervormingen bereikt worden door de, overeenkomstig de verdragen vastgestelde, </w:t>
      </w:r>
      <w:r w:rsidRPr="00925B3C" w:rsidR="004F1DC5">
        <w:rPr>
          <w:sz w:val="22"/>
          <w:szCs w:val="22"/>
        </w:rPr>
        <w:t>r</w:t>
      </w:r>
      <w:r w:rsidRPr="00925B3C">
        <w:rPr>
          <w:sz w:val="22"/>
          <w:szCs w:val="22"/>
        </w:rPr>
        <w:t xml:space="preserve">eglementen van </w:t>
      </w:r>
      <w:r w:rsidRPr="00925B3C" w:rsidR="004F1DC5">
        <w:rPr>
          <w:sz w:val="22"/>
          <w:szCs w:val="22"/>
        </w:rPr>
        <w:t>o</w:t>
      </w:r>
      <w:r w:rsidRPr="00925B3C">
        <w:rPr>
          <w:sz w:val="22"/>
          <w:szCs w:val="22"/>
        </w:rPr>
        <w:t>rde van de instellingen te wijzigen. Uiteraard dienen hierbij de respectievelijke bevoegdheden van elke instelling in acht te worden genomen.</w:t>
      </w:r>
    </w:p>
    <w:p w:rsidRPr="00925B3C" w:rsidR="00F07568" w:rsidP="0049253F" w:rsidRDefault="0065060D" w14:paraId="6B471850" w14:textId="77777777">
      <w:pPr>
        <w:pStyle w:val="Normaalweb"/>
        <w:rPr>
          <w:b/>
          <w:i/>
          <w:sz w:val="22"/>
          <w:szCs w:val="22"/>
        </w:rPr>
      </w:pPr>
      <w:r w:rsidRPr="00925B3C">
        <w:rPr>
          <w:b/>
          <w:i/>
          <w:sz w:val="22"/>
          <w:szCs w:val="22"/>
        </w:rPr>
        <w:t xml:space="preserve">3.2 </w:t>
      </w:r>
      <w:r w:rsidRPr="00925B3C" w:rsidR="00F07568">
        <w:rPr>
          <w:b/>
          <w:i/>
          <w:sz w:val="22"/>
          <w:szCs w:val="22"/>
        </w:rPr>
        <w:t>Voorstellen voor een beter functionerende Europese Unie</w:t>
      </w:r>
    </w:p>
    <w:p w:rsidRPr="00925B3C" w:rsidR="00F07568" w:rsidP="0049253F" w:rsidRDefault="00505430" w14:paraId="217CB44B" w14:textId="77777777">
      <w:pPr>
        <w:pStyle w:val="Normaalweb"/>
        <w:rPr>
          <w:sz w:val="22"/>
          <w:szCs w:val="22"/>
        </w:rPr>
      </w:pPr>
      <w:r w:rsidRPr="00925B3C">
        <w:rPr>
          <w:sz w:val="22"/>
          <w:szCs w:val="22"/>
        </w:rPr>
        <w:t>H</w:t>
      </w:r>
      <w:r w:rsidRPr="00925B3C" w:rsidR="00F07568">
        <w:rPr>
          <w:sz w:val="22"/>
          <w:szCs w:val="22"/>
        </w:rPr>
        <w:t xml:space="preserve">et kabinet </w:t>
      </w:r>
      <w:r w:rsidRPr="00925B3C" w:rsidR="00FE5D72">
        <w:rPr>
          <w:sz w:val="22"/>
          <w:szCs w:val="22"/>
        </w:rPr>
        <w:t xml:space="preserve">streeft </w:t>
      </w:r>
      <w:r w:rsidRPr="00925B3C" w:rsidR="00F07568">
        <w:rPr>
          <w:sz w:val="22"/>
          <w:szCs w:val="22"/>
        </w:rPr>
        <w:t xml:space="preserve">naar een optimaal </w:t>
      </w:r>
      <w:r w:rsidRPr="00925B3C" w:rsidR="00FE5D72">
        <w:rPr>
          <w:sz w:val="22"/>
          <w:szCs w:val="22"/>
        </w:rPr>
        <w:t xml:space="preserve">functionerende </w:t>
      </w:r>
      <w:r w:rsidRPr="00925B3C" w:rsidR="00F07568">
        <w:rPr>
          <w:sz w:val="22"/>
          <w:szCs w:val="22"/>
        </w:rPr>
        <w:t xml:space="preserve">en slagvaardige EU, met meer focus, balans en legitimiteit. </w:t>
      </w:r>
      <w:r w:rsidRPr="00925B3C" w:rsidR="00FE5D72">
        <w:rPr>
          <w:sz w:val="22"/>
          <w:szCs w:val="22"/>
        </w:rPr>
        <w:t xml:space="preserve">In deze paragraaf is </w:t>
      </w:r>
      <w:r w:rsidRPr="00925B3C" w:rsidR="00F07568">
        <w:rPr>
          <w:sz w:val="22"/>
          <w:szCs w:val="22"/>
        </w:rPr>
        <w:t xml:space="preserve">een overzicht </w:t>
      </w:r>
      <w:r w:rsidRPr="00925B3C" w:rsidR="00FE5D72">
        <w:rPr>
          <w:sz w:val="22"/>
          <w:szCs w:val="22"/>
        </w:rPr>
        <w:t xml:space="preserve">opgenomen </w:t>
      </w:r>
      <w:r w:rsidRPr="00925B3C" w:rsidR="00F07568">
        <w:rPr>
          <w:sz w:val="22"/>
          <w:szCs w:val="22"/>
        </w:rPr>
        <w:t xml:space="preserve">van institutionele hervormingen die het kabinet in dit kader voor ogen heeft. In de meeste gevallen kunnen meerdere (van bovenstaand geschetste) </w:t>
      </w:r>
      <w:r w:rsidRPr="00925B3C" w:rsidR="00FE5D72">
        <w:rPr>
          <w:sz w:val="22"/>
          <w:szCs w:val="22"/>
        </w:rPr>
        <w:t>mogelijkheden</w:t>
      </w:r>
      <w:r w:rsidRPr="00925B3C" w:rsidR="00F07568">
        <w:rPr>
          <w:sz w:val="22"/>
          <w:szCs w:val="22"/>
        </w:rPr>
        <w:t xml:space="preserve"> benut worden een bepaalde hervorming te bewerkstelligen. In de gevallen waar één optie voor de hand ligt</w:t>
      </w:r>
      <w:r w:rsidRPr="00925B3C" w:rsidR="00FE5D72">
        <w:rPr>
          <w:sz w:val="22"/>
          <w:szCs w:val="22"/>
        </w:rPr>
        <w:t xml:space="preserve"> of mogelijk is</w:t>
      </w:r>
      <w:r w:rsidRPr="00925B3C" w:rsidR="00F07568">
        <w:rPr>
          <w:sz w:val="22"/>
          <w:szCs w:val="22"/>
        </w:rPr>
        <w:t>, zal dit worden aangeduid.</w:t>
      </w:r>
    </w:p>
    <w:p w:rsidRPr="00925B3C" w:rsidR="00F07568" w:rsidP="0049253F" w:rsidRDefault="00F07568" w14:paraId="481D650E" w14:textId="77777777">
      <w:pPr>
        <w:pStyle w:val="Normaalweb"/>
        <w:numPr>
          <w:ilvl w:val="0"/>
          <w:numId w:val="18"/>
        </w:numPr>
        <w:rPr>
          <w:i/>
          <w:sz w:val="22"/>
          <w:szCs w:val="22"/>
        </w:rPr>
      </w:pPr>
      <w:r w:rsidRPr="00925B3C">
        <w:rPr>
          <w:i/>
          <w:sz w:val="22"/>
          <w:szCs w:val="22"/>
        </w:rPr>
        <w:t>Hervormingen binnen de Europese Commissie en de Raad</w:t>
      </w:r>
    </w:p>
    <w:p w:rsidRPr="00925B3C" w:rsidR="00F07568" w:rsidP="0049253F" w:rsidRDefault="00F07568" w14:paraId="2ABAB2B0" w14:textId="77777777">
      <w:pPr>
        <w:pStyle w:val="Eindnoottekst"/>
        <w:contextualSpacing/>
        <w:rPr>
          <w:rFonts w:ascii="Times New Roman" w:hAnsi="Times New Roman" w:cs="Times New Roman"/>
          <w:i/>
          <w:sz w:val="22"/>
          <w:szCs w:val="22"/>
          <w:lang w:val="nl-NL"/>
        </w:rPr>
      </w:pPr>
      <w:r w:rsidRPr="00925B3C">
        <w:rPr>
          <w:rFonts w:ascii="Times New Roman" w:hAnsi="Times New Roman" w:cs="Times New Roman"/>
          <w:i/>
          <w:sz w:val="22"/>
          <w:szCs w:val="22"/>
          <w:lang w:val="nl-NL"/>
        </w:rPr>
        <w:lastRenderedPageBreak/>
        <w:t xml:space="preserve">Interne </w:t>
      </w:r>
      <w:r w:rsidRPr="00925B3C" w:rsidR="00522566">
        <w:rPr>
          <w:rFonts w:ascii="Times New Roman" w:hAnsi="Times New Roman" w:cs="Times New Roman"/>
          <w:i/>
          <w:sz w:val="22"/>
          <w:szCs w:val="22"/>
          <w:lang w:val="nl-NL"/>
        </w:rPr>
        <w:t>reorganisatie</w:t>
      </w:r>
      <w:r w:rsidRPr="00925B3C">
        <w:rPr>
          <w:rFonts w:ascii="Times New Roman" w:hAnsi="Times New Roman" w:cs="Times New Roman"/>
          <w:i/>
          <w:sz w:val="22"/>
          <w:szCs w:val="22"/>
          <w:lang w:val="nl-NL"/>
        </w:rPr>
        <w:t xml:space="preserve"> van de Commissie</w:t>
      </w:r>
    </w:p>
    <w:p w:rsidRPr="00925B3C" w:rsidR="0065060D" w:rsidP="0049253F" w:rsidRDefault="00FE5D72" w14:paraId="5765D34B" w14:textId="77777777">
      <w:pPr>
        <w:pStyle w:val="Eindnoottekst"/>
        <w:contextualSpacing/>
        <w:rPr>
          <w:rFonts w:ascii="Times New Roman" w:hAnsi="Times New Roman" w:cs="Times New Roman"/>
          <w:sz w:val="22"/>
          <w:szCs w:val="22"/>
          <w:lang w:val="nl-NL"/>
        </w:rPr>
      </w:pPr>
      <w:r w:rsidRPr="00925B3C">
        <w:rPr>
          <w:rFonts w:ascii="Times New Roman" w:hAnsi="Times New Roman" w:cs="Times New Roman"/>
          <w:sz w:val="22"/>
          <w:szCs w:val="22"/>
          <w:lang w:val="nl-NL"/>
        </w:rPr>
        <w:t xml:space="preserve">Het kabinet is </w:t>
      </w:r>
      <w:r w:rsidRPr="00925B3C" w:rsidR="00F07568">
        <w:rPr>
          <w:rFonts w:ascii="Times New Roman" w:hAnsi="Times New Roman" w:cs="Times New Roman"/>
          <w:sz w:val="22"/>
          <w:szCs w:val="22"/>
          <w:lang w:val="nl-NL"/>
        </w:rPr>
        <w:t>voorstander van verkleining van de Commissie</w:t>
      </w:r>
      <w:r w:rsidR="0071387F">
        <w:rPr>
          <w:rFonts w:ascii="Times New Roman" w:hAnsi="Times New Roman" w:cs="Times New Roman"/>
          <w:sz w:val="22"/>
          <w:szCs w:val="22"/>
          <w:lang w:val="nl-NL"/>
        </w:rPr>
        <w:t>,</w:t>
      </w:r>
      <w:r w:rsidRPr="00925B3C" w:rsidR="00F07568">
        <w:rPr>
          <w:rFonts w:ascii="Times New Roman" w:hAnsi="Times New Roman" w:cs="Times New Roman"/>
          <w:sz w:val="22"/>
          <w:szCs w:val="22"/>
          <w:lang w:val="nl-NL"/>
        </w:rPr>
        <w:t xml:space="preserve"> teneinde haar effectiviteit en slagvaardigheid te vergroten. Een dergelijke verkleining is mogelijk zonder wijziging van de huidige verdragen. </w:t>
      </w:r>
      <w:r w:rsidRPr="00925B3C" w:rsidR="008E162B">
        <w:rPr>
          <w:rFonts w:ascii="Times New Roman" w:hAnsi="Times New Roman" w:cs="Times New Roman"/>
          <w:sz w:val="22"/>
          <w:szCs w:val="22"/>
          <w:lang w:val="nl-NL"/>
        </w:rPr>
        <w:t xml:space="preserve">Art. 17 lid 5 VEU </w:t>
      </w:r>
      <w:r w:rsidRPr="00925B3C" w:rsidR="00F07568">
        <w:rPr>
          <w:rFonts w:ascii="Times New Roman" w:hAnsi="Times New Roman" w:cs="Times New Roman"/>
          <w:sz w:val="22"/>
          <w:szCs w:val="22"/>
          <w:lang w:val="nl-NL"/>
        </w:rPr>
        <w:t xml:space="preserve">biedt een grondslag voor de Europese Raad </w:t>
      </w:r>
      <w:r w:rsidRPr="00925B3C">
        <w:rPr>
          <w:rFonts w:ascii="Times New Roman" w:hAnsi="Times New Roman" w:cs="Times New Roman"/>
          <w:sz w:val="22"/>
          <w:szCs w:val="22"/>
          <w:lang w:val="nl-NL"/>
        </w:rPr>
        <w:t>het</w:t>
      </w:r>
      <w:r w:rsidRPr="00925B3C" w:rsidR="00F07568">
        <w:rPr>
          <w:rFonts w:ascii="Times New Roman" w:hAnsi="Times New Roman" w:cs="Times New Roman"/>
          <w:sz w:val="22"/>
          <w:szCs w:val="22"/>
          <w:lang w:val="nl-NL"/>
        </w:rPr>
        <w:t xml:space="preserve"> aantal </w:t>
      </w:r>
      <w:r w:rsidRPr="00925B3C">
        <w:rPr>
          <w:rFonts w:ascii="Times New Roman" w:hAnsi="Times New Roman" w:cs="Times New Roman"/>
          <w:sz w:val="22"/>
          <w:szCs w:val="22"/>
          <w:lang w:val="nl-NL"/>
        </w:rPr>
        <w:t xml:space="preserve">Commissarissen </w:t>
      </w:r>
      <w:r w:rsidRPr="00925B3C" w:rsidR="00F07568">
        <w:rPr>
          <w:rFonts w:ascii="Times New Roman" w:hAnsi="Times New Roman" w:cs="Times New Roman"/>
          <w:sz w:val="22"/>
          <w:szCs w:val="22"/>
          <w:lang w:val="nl-NL"/>
        </w:rPr>
        <w:t>met een unaniem besluit te wijzigen</w:t>
      </w:r>
      <w:r w:rsidRPr="00925B3C" w:rsidR="00F873FD">
        <w:rPr>
          <w:rFonts w:ascii="Times New Roman" w:hAnsi="Times New Roman" w:cs="Times New Roman"/>
          <w:sz w:val="22"/>
          <w:szCs w:val="22"/>
          <w:lang w:val="nl-NL"/>
        </w:rPr>
        <w:t>.</w:t>
      </w:r>
    </w:p>
    <w:p w:rsidRPr="00925B3C" w:rsidR="00F873FD" w:rsidP="0049253F" w:rsidRDefault="00F873FD" w14:paraId="7867B76A" w14:textId="77777777">
      <w:pPr>
        <w:pStyle w:val="Eindnoottekst"/>
        <w:contextualSpacing/>
        <w:rPr>
          <w:rFonts w:ascii="Times New Roman" w:hAnsi="Times New Roman" w:cs="Times New Roman"/>
          <w:sz w:val="22"/>
          <w:szCs w:val="22"/>
          <w:lang w:val="nl-NL"/>
        </w:rPr>
      </w:pPr>
    </w:p>
    <w:p w:rsidRPr="00925B3C" w:rsidR="00F07568" w:rsidP="0049253F" w:rsidRDefault="00FE5D72" w14:paraId="3DF44F2D" w14:textId="77777777">
      <w:pPr>
        <w:pStyle w:val="Eindnoottekst"/>
        <w:contextualSpacing/>
        <w:rPr>
          <w:rFonts w:ascii="Times New Roman" w:hAnsi="Times New Roman" w:cs="Times New Roman"/>
          <w:sz w:val="22"/>
          <w:szCs w:val="22"/>
          <w:lang w:val="nl-NL"/>
        </w:rPr>
      </w:pPr>
      <w:r w:rsidRPr="00925B3C">
        <w:rPr>
          <w:rFonts w:ascii="Times New Roman" w:hAnsi="Times New Roman" w:cs="Times New Roman"/>
          <w:sz w:val="22"/>
          <w:szCs w:val="22"/>
          <w:lang w:val="nl-NL"/>
        </w:rPr>
        <w:t xml:space="preserve">Nu er nog geen voldoende draagvlak is voor verkleining van de Commissie, </w:t>
      </w:r>
      <w:r w:rsidRPr="00925B3C" w:rsidR="00F07568">
        <w:rPr>
          <w:rFonts w:ascii="Times New Roman" w:hAnsi="Times New Roman" w:cs="Times New Roman"/>
          <w:sz w:val="22"/>
          <w:szCs w:val="22"/>
          <w:lang w:val="nl-NL"/>
        </w:rPr>
        <w:t xml:space="preserve"> </w:t>
      </w:r>
      <w:r w:rsidRPr="00925B3C">
        <w:rPr>
          <w:rFonts w:ascii="Times New Roman" w:hAnsi="Times New Roman" w:cs="Times New Roman"/>
          <w:sz w:val="22"/>
          <w:szCs w:val="22"/>
          <w:lang w:val="nl-NL"/>
        </w:rPr>
        <w:t xml:space="preserve">zou </w:t>
      </w:r>
      <w:r w:rsidRPr="00925B3C" w:rsidR="00F07568">
        <w:rPr>
          <w:rFonts w:ascii="Times New Roman" w:hAnsi="Times New Roman" w:cs="Times New Roman"/>
          <w:sz w:val="22"/>
          <w:szCs w:val="22"/>
          <w:lang w:val="nl-NL"/>
        </w:rPr>
        <w:t xml:space="preserve">de Commissie zich in de tussentijd </w:t>
      </w:r>
      <w:r w:rsidRPr="00925B3C" w:rsidR="008E162B">
        <w:rPr>
          <w:rFonts w:ascii="Times New Roman" w:hAnsi="Times New Roman" w:cs="Times New Roman"/>
          <w:sz w:val="22"/>
          <w:szCs w:val="22"/>
          <w:lang w:val="nl-NL"/>
        </w:rPr>
        <w:t>kunnen</w:t>
      </w:r>
      <w:r w:rsidRPr="00925B3C" w:rsidR="00F07568">
        <w:rPr>
          <w:rFonts w:ascii="Times New Roman" w:hAnsi="Times New Roman" w:cs="Times New Roman"/>
          <w:sz w:val="22"/>
          <w:szCs w:val="22"/>
          <w:lang w:val="nl-NL"/>
        </w:rPr>
        <w:t xml:space="preserve"> reorganiseren rondom een beperkter aantal essentiële taken (thematische clusters), welke geleid zouden worden door vicevoorzitters. Een dergelijke hervorming zou gerealiseerd kunnen </w:t>
      </w:r>
      <w:r w:rsidRPr="00925B3C" w:rsidR="00DB4184">
        <w:rPr>
          <w:rFonts w:ascii="Times New Roman" w:hAnsi="Times New Roman" w:cs="Times New Roman"/>
          <w:sz w:val="22"/>
          <w:szCs w:val="22"/>
          <w:lang w:val="nl-NL"/>
        </w:rPr>
        <w:t>worden door aanpassing van het reglement van o</w:t>
      </w:r>
      <w:r w:rsidRPr="00925B3C" w:rsidR="00F07568">
        <w:rPr>
          <w:rFonts w:ascii="Times New Roman" w:hAnsi="Times New Roman" w:cs="Times New Roman"/>
          <w:sz w:val="22"/>
          <w:szCs w:val="22"/>
          <w:lang w:val="nl-NL"/>
        </w:rPr>
        <w:t xml:space="preserve">rde van de Commissie. </w:t>
      </w:r>
    </w:p>
    <w:p w:rsidRPr="00925B3C" w:rsidR="0065060D" w:rsidP="0049253F" w:rsidRDefault="0065060D" w14:paraId="608E39F4" w14:textId="77777777">
      <w:pPr>
        <w:pStyle w:val="Eindnoottekst"/>
        <w:contextualSpacing/>
        <w:rPr>
          <w:rFonts w:ascii="Times New Roman" w:hAnsi="Times New Roman" w:cs="Times New Roman"/>
          <w:sz w:val="22"/>
          <w:szCs w:val="22"/>
          <w:lang w:val="nl-NL"/>
        </w:rPr>
      </w:pPr>
    </w:p>
    <w:p w:rsidRPr="00925B3C" w:rsidR="00F07568" w:rsidP="0049253F" w:rsidRDefault="00F07568" w14:paraId="4B521FDB" w14:textId="77777777">
      <w:pPr>
        <w:pStyle w:val="Eindnoottekst"/>
        <w:contextualSpacing/>
        <w:rPr>
          <w:rFonts w:ascii="Times New Roman" w:hAnsi="Times New Roman" w:cs="Times New Roman"/>
          <w:sz w:val="22"/>
          <w:szCs w:val="22"/>
          <w:lang w:val="nl-NL"/>
        </w:rPr>
      </w:pPr>
      <w:r w:rsidRPr="00925B3C">
        <w:rPr>
          <w:rFonts w:ascii="Times New Roman" w:hAnsi="Times New Roman" w:cs="Times New Roman"/>
          <w:sz w:val="22"/>
          <w:szCs w:val="22"/>
          <w:lang w:val="nl-NL"/>
        </w:rPr>
        <w:t xml:space="preserve">Daarnaast </w:t>
      </w:r>
      <w:r w:rsidRPr="00925B3C" w:rsidR="008E162B">
        <w:rPr>
          <w:rFonts w:ascii="Times New Roman" w:hAnsi="Times New Roman" w:cs="Times New Roman"/>
          <w:sz w:val="22"/>
          <w:szCs w:val="22"/>
          <w:lang w:val="nl-NL"/>
        </w:rPr>
        <w:t>kan</w:t>
      </w:r>
      <w:r w:rsidRPr="00925B3C">
        <w:rPr>
          <w:rFonts w:ascii="Times New Roman" w:hAnsi="Times New Roman" w:cs="Times New Roman"/>
          <w:sz w:val="22"/>
          <w:szCs w:val="22"/>
          <w:lang w:val="nl-NL"/>
        </w:rPr>
        <w:t xml:space="preserve"> er een functionele scheiding binnen de Commissie worden aangebracht naar enerzijds haar wetgevende taken, en anderzijds haar uitvoerende en controlerende taken. De controlerende rol en </w:t>
      </w:r>
      <w:r w:rsidR="000008F3">
        <w:rPr>
          <w:rFonts w:ascii="Times New Roman" w:hAnsi="Times New Roman" w:cs="Times New Roman"/>
          <w:sz w:val="22"/>
          <w:szCs w:val="22"/>
          <w:lang w:val="nl-NL"/>
        </w:rPr>
        <w:t xml:space="preserve">de </w:t>
      </w:r>
      <w:r w:rsidRPr="00925B3C">
        <w:rPr>
          <w:rFonts w:ascii="Times New Roman" w:hAnsi="Times New Roman" w:cs="Times New Roman"/>
          <w:sz w:val="22"/>
          <w:szCs w:val="22"/>
          <w:lang w:val="nl-NL"/>
        </w:rPr>
        <w:t>toezichthouden</w:t>
      </w:r>
      <w:r w:rsidR="000008F3">
        <w:rPr>
          <w:rFonts w:ascii="Times New Roman" w:hAnsi="Times New Roman" w:cs="Times New Roman"/>
          <w:sz w:val="22"/>
          <w:szCs w:val="22"/>
          <w:lang w:val="nl-NL"/>
        </w:rPr>
        <w:t>de rol</w:t>
      </w:r>
      <w:r w:rsidRPr="00925B3C">
        <w:rPr>
          <w:rFonts w:ascii="Times New Roman" w:hAnsi="Times New Roman" w:cs="Times New Roman"/>
          <w:sz w:val="22"/>
          <w:szCs w:val="22"/>
          <w:lang w:val="nl-NL"/>
        </w:rPr>
        <w:t xml:space="preserve"> op uitvoering van gemaakte afspraken zou nog meer profiel </w:t>
      </w:r>
      <w:r w:rsidRPr="00925B3C" w:rsidR="008E162B">
        <w:rPr>
          <w:rFonts w:ascii="Times New Roman" w:hAnsi="Times New Roman" w:cs="Times New Roman"/>
          <w:sz w:val="22"/>
          <w:szCs w:val="22"/>
          <w:lang w:val="nl-NL"/>
        </w:rPr>
        <w:t>kunnen</w:t>
      </w:r>
      <w:r w:rsidRPr="00925B3C">
        <w:rPr>
          <w:rFonts w:ascii="Times New Roman" w:hAnsi="Times New Roman" w:cs="Times New Roman"/>
          <w:sz w:val="22"/>
          <w:szCs w:val="22"/>
          <w:lang w:val="nl-NL"/>
        </w:rPr>
        <w:t xml:space="preserve"> krijgen. Ook dit kan bewerkstelligd worden via wijziging van het reglement van orde van de Commissie. Z</w:t>
      </w:r>
      <w:r w:rsidR="000008F3">
        <w:rPr>
          <w:rFonts w:ascii="Times New Roman" w:hAnsi="Times New Roman" w:cs="Times New Roman"/>
          <w:sz w:val="22"/>
          <w:szCs w:val="22"/>
          <w:lang w:val="nl-NL"/>
        </w:rPr>
        <w:t xml:space="preserve">o heeft de Commissie eerder al </w:t>
      </w:r>
      <w:r w:rsidRPr="00925B3C">
        <w:rPr>
          <w:rFonts w:ascii="Times New Roman" w:hAnsi="Times New Roman" w:cs="Times New Roman"/>
          <w:sz w:val="22"/>
          <w:szCs w:val="22"/>
          <w:lang w:val="nl-NL"/>
        </w:rPr>
        <w:t>extra waarborgen aangebracht ten aanzien van de huidige Commissaris voor Economische en Monetaire zaken.</w:t>
      </w:r>
    </w:p>
    <w:p w:rsidRPr="00925B3C" w:rsidR="00F07568" w:rsidP="0049253F" w:rsidRDefault="00F07568" w14:paraId="289CE2B6" w14:textId="77777777">
      <w:pPr>
        <w:pStyle w:val="Eindnoottekst"/>
        <w:contextualSpacing/>
        <w:rPr>
          <w:rFonts w:ascii="Times New Roman" w:hAnsi="Times New Roman" w:cs="Times New Roman"/>
          <w:sz w:val="22"/>
          <w:szCs w:val="22"/>
          <w:lang w:val="nl-NL"/>
        </w:rPr>
      </w:pPr>
    </w:p>
    <w:p w:rsidRPr="00925B3C" w:rsidR="00F07568" w:rsidP="0049253F" w:rsidRDefault="008E7D6A" w14:paraId="25B224E7" w14:textId="57FCBA6A">
      <w:pPr>
        <w:pStyle w:val="Eindnoottekst"/>
        <w:contextualSpacing/>
        <w:rPr>
          <w:rFonts w:ascii="Times New Roman" w:hAnsi="Times New Roman" w:cs="Times New Roman"/>
          <w:sz w:val="22"/>
          <w:szCs w:val="22"/>
          <w:lang w:val="nl-NL"/>
        </w:rPr>
      </w:pPr>
      <w:r w:rsidRPr="00925B3C">
        <w:rPr>
          <w:rFonts w:ascii="Times New Roman" w:hAnsi="Times New Roman" w:cs="Times New Roman"/>
          <w:sz w:val="22"/>
          <w:szCs w:val="22"/>
          <w:lang w:val="nl-NL"/>
        </w:rPr>
        <w:t xml:space="preserve">Het subsidiariteits- en proportionaliteitsprincipe zou meer kunnen worden verankerd in het DNA van de Commissie. </w:t>
      </w:r>
      <w:r w:rsidRPr="00925B3C" w:rsidR="008E162B">
        <w:rPr>
          <w:rFonts w:ascii="Times New Roman" w:hAnsi="Times New Roman" w:cs="Times New Roman"/>
          <w:sz w:val="22"/>
          <w:szCs w:val="22"/>
          <w:lang w:val="nl-NL"/>
        </w:rPr>
        <w:t>Zoals reeds opgenomen in de v</w:t>
      </w:r>
      <w:r w:rsidRPr="00925B3C" w:rsidR="00F07568">
        <w:rPr>
          <w:rFonts w:ascii="Times New Roman" w:hAnsi="Times New Roman" w:cs="Times New Roman"/>
          <w:sz w:val="22"/>
          <w:szCs w:val="22"/>
          <w:lang w:val="nl-NL"/>
        </w:rPr>
        <w:t>erdragen</w:t>
      </w:r>
      <w:r w:rsidR="00BF0D6D">
        <w:rPr>
          <w:rFonts w:ascii="Times New Roman" w:hAnsi="Times New Roman" w:cs="Times New Roman"/>
          <w:sz w:val="22"/>
          <w:szCs w:val="22"/>
          <w:lang w:val="nl-NL"/>
        </w:rPr>
        <w:t xml:space="preserve"> (artikel 16, lid 6, onder b </w:t>
      </w:r>
      <w:r w:rsidR="000F7B4C">
        <w:rPr>
          <w:rFonts w:ascii="Times New Roman" w:hAnsi="Times New Roman" w:cs="Times New Roman"/>
          <w:sz w:val="22"/>
          <w:szCs w:val="22"/>
          <w:lang w:val="nl-NL"/>
        </w:rPr>
        <w:t>V</w:t>
      </w:r>
      <w:r w:rsidR="00BF0D6D">
        <w:rPr>
          <w:rFonts w:ascii="Times New Roman" w:hAnsi="Times New Roman" w:cs="Times New Roman"/>
          <w:sz w:val="22"/>
          <w:szCs w:val="22"/>
          <w:lang w:val="nl-NL"/>
        </w:rPr>
        <w:t>EU)</w:t>
      </w:r>
      <w:r w:rsidRPr="00925B3C" w:rsidR="00F07568">
        <w:rPr>
          <w:rFonts w:ascii="Times New Roman" w:hAnsi="Times New Roman" w:cs="Times New Roman"/>
          <w:sz w:val="22"/>
          <w:szCs w:val="22"/>
          <w:lang w:val="nl-NL"/>
        </w:rPr>
        <w:t xml:space="preserve"> stelt de voorzitter van de Commissie de richtsnoeren vast, met inachtneming waarvan de Commissie haar taak vervult. Het kabinet acht het van groot belang dat hierbij rekening wordt gehouden met het subsidiariteits- en proportionaliteitsprincipe. Ook de vicevoorzitters, die verantwoordelijkheid dragen voor de strategische richting van hun cluster, dienen deze beginselen in acht te nemen bij de implementatie van de politieke richtlijnen en prioriteiten. Meer aandacht voor het subsidiariteits- en proportionaliteitsprincipe zou kunnen worden opgenomen in </w:t>
      </w:r>
      <w:r w:rsidRPr="00925B3C" w:rsidR="008E162B">
        <w:rPr>
          <w:rFonts w:ascii="Times New Roman" w:hAnsi="Times New Roman" w:cs="Times New Roman"/>
          <w:sz w:val="22"/>
          <w:szCs w:val="22"/>
          <w:lang w:val="nl-NL"/>
        </w:rPr>
        <w:t xml:space="preserve">het reglement van orde </w:t>
      </w:r>
      <w:r w:rsidRPr="00925B3C" w:rsidR="00F07568">
        <w:rPr>
          <w:rFonts w:ascii="Times New Roman" w:hAnsi="Times New Roman" w:cs="Times New Roman"/>
          <w:sz w:val="22"/>
          <w:szCs w:val="22"/>
          <w:lang w:val="nl-NL"/>
        </w:rPr>
        <w:t>van de Commissie en in de betrekkingen die zij heeft met andere instellingen (bijv</w:t>
      </w:r>
      <w:r w:rsidR="000F7B4C">
        <w:rPr>
          <w:rFonts w:ascii="Times New Roman" w:hAnsi="Times New Roman" w:cs="Times New Roman"/>
          <w:sz w:val="22"/>
          <w:szCs w:val="22"/>
          <w:lang w:val="nl-NL"/>
        </w:rPr>
        <w:t>oorbeeld</w:t>
      </w:r>
      <w:r w:rsidRPr="00925B3C" w:rsidR="00F07568">
        <w:rPr>
          <w:rFonts w:ascii="Times New Roman" w:hAnsi="Times New Roman" w:cs="Times New Roman"/>
          <w:sz w:val="22"/>
          <w:szCs w:val="22"/>
          <w:lang w:val="nl-NL"/>
        </w:rPr>
        <w:t xml:space="preserve"> een IIA).</w:t>
      </w:r>
      <w:r w:rsidRPr="00925B3C" w:rsidR="0065060D">
        <w:rPr>
          <w:rFonts w:ascii="Times New Roman" w:hAnsi="Times New Roman" w:cs="Times New Roman"/>
          <w:sz w:val="22"/>
          <w:szCs w:val="22"/>
          <w:lang w:val="nl-NL"/>
        </w:rPr>
        <w:t xml:space="preserve"> </w:t>
      </w:r>
      <w:r w:rsidRPr="00925B3C" w:rsidR="00C45014">
        <w:rPr>
          <w:rFonts w:ascii="Times New Roman" w:hAnsi="Times New Roman" w:cs="Times New Roman"/>
          <w:sz w:val="22"/>
          <w:szCs w:val="22"/>
          <w:lang w:val="nl-NL"/>
        </w:rPr>
        <w:t xml:space="preserve">Daarnaast dient de Commissie nieuwe voorstellen </w:t>
      </w:r>
      <w:r w:rsidR="000008F3">
        <w:rPr>
          <w:rFonts w:ascii="Times New Roman" w:hAnsi="Times New Roman" w:cs="Times New Roman"/>
          <w:sz w:val="22"/>
          <w:szCs w:val="22"/>
          <w:lang w:val="nl-NL"/>
        </w:rPr>
        <w:t xml:space="preserve">in elk geval </w:t>
      </w:r>
      <w:r w:rsidRPr="00925B3C" w:rsidR="00C45014">
        <w:rPr>
          <w:rFonts w:ascii="Times New Roman" w:hAnsi="Times New Roman" w:cs="Times New Roman"/>
          <w:sz w:val="22"/>
          <w:szCs w:val="22"/>
          <w:lang w:val="nl-NL"/>
        </w:rPr>
        <w:t xml:space="preserve">te toetsen op de gevolgen voor het concurrentievermogen, administratieve lasten en </w:t>
      </w:r>
      <w:r w:rsidR="00C45014">
        <w:rPr>
          <w:rFonts w:ascii="Times New Roman" w:hAnsi="Times New Roman" w:cs="Times New Roman"/>
          <w:sz w:val="22"/>
          <w:szCs w:val="22"/>
          <w:lang w:val="nl-NL"/>
        </w:rPr>
        <w:t xml:space="preserve">financiële </w:t>
      </w:r>
      <w:r w:rsidRPr="00925B3C" w:rsidR="00C45014">
        <w:rPr>
          <w:rFonts w:ascii="Times New Roman" w:hAnsi="Times New Roman" w:cs="Times New Roman"/>
          <w:sz w:val="22"/>
          <w:szCs w:val="22"/>
          <w:lang w:val="nl-NL"/>
        </w:rPr>
        <w:t xml:space="preserve">gevolgen voor </w:t>
      </w:r>
      <w:r w:rsidR="00953F83">
        <w:rPr>
          <w:rFonts w:ascii="Times New Roman" w:hAnsi="Times New Roman" w:cs="Times New Roman"/>
          <w:sz w:val="22"/>
          <w:szCs w:val="22"/>
          <w:lang w:val="nl-NL"/>
        </w:rPr>
        <w:t>nationale</w:t>
      </w:r>
      <w:r w:rsidR="00BB0C3A">
        <w:rPr>
          <w:rFonts w:ascii="Times New Roman" w:hAnsi="Times New Roman" w:cs="Times New Roman"/>
          <w:sz w:val="22"/>
          <w:szCs w:val="22"/>
          <w:lang w:val="nl-NL"/>
        </w:rPr>
        <w:t>,</w:t>
      </w:r>
      <w:r w:rsidR="00953F83">
        <w:rPr>
          <w:rFonts w:ascii="Times New Roman" w:hAnsi="Times New Roman" w:cs="Times New Roman"/>
          <w:sz w:val="22"/>
          <w:szCs w:val="22"/>
          <w:lang w:val="nl-NL"/>
        </w:rPr>
        <w:t xml:space="preserve"> </w:t>
      </w:r>
      <w:r w:rsidR="00C45014">
        <w:rPr>
          <w:rFonts w:ascii="Times New Roman" w:hAnsi="Times New Roman" w:cs="Times New Roman"/>
          <w:sz w:val="22"/>
          <w:szCs w:val="22"/>
          <w:lang w:val="nl-NL"/>
        </w:rPr>
        <w:t xml:space="preserve">regionale en </w:t>
      </w:r>
      <w:r w:rsidRPr="00925B3C" w:rsidR="00C45014">
        <w:rPr>
          <w:rFonts w:ascii="Times New Roman" w:hAnsi="Times New Roman" w:cs="Times New Roman"/>
          <w:sz w:val="22"/>
          <w:szCs w:val="22"/>
          <w:lang w:val="nl-NL"/>
        </w:rPr>
        <w:t>lo</w:t>
      </w:r>
      <w:r w:rsidR="00C45014">
        <w:rPr>
          <w:rFonts w:ascii="Times New Roman" w:hAnsi="Times New Roman" w:cs="Times New Roman"/>
          <w:sz w:val="22"/>
          <w:szCs w:val="22"/>
          <w:lang w:val="nl-NL"/>
        </w:rPr>
        <w:t>k</w:t>
      </w:r>
      <w:r w:rsidRPr="00925B3C" w:rsidR="00C45014">
        <w:rPr>
          <w:rFonts w:ascii="Times New Roman" w:hAnsi="Times New Roman" w:cs="Times New Roman"/>
          <w:sz w:val="22"/>
          <w:szCs w:val="22"/>
          <w:lang w:val="nl-NL"/>
        </w:rPr>
        <w:t>ale overheden</w:t>
      </w:r>
      <w:r w:rsidR="00953F83">
        <w:rPr>
          <w:rFonts w:ascii="Times New Roman" w:hAnsi="Times New Roman" w:cs="Times New Roman"/>
          <w:sz w:val="22"/>
          <w:szCs w:val="22"/>
          <w:lang w:val="nl-NL"/>
        </w:rPr>
        <w:t>,</w:t>
      </w:r>
      <w:r w:rsidRPr="00925B3C" w:rsidR="00C45014">
        <w:rPr>
          <w:rFonts w:ascii="Times New Roman" w:hAnsi="Times New Roman" w:cs="Times New Roman"/>
          <w:sz w:val="22"/>
          <w:szCs w:val="22"/>
          <w:lang w:val="nl-NL"/>
        </w:rPr>
        <w:t xml:space="preserve"> hetgeen in de </w:t>
      </w:r>
      <w:r w:rsidR="003C41C5">
        <w:rPr>
          <w:rFonts w:ascii="Times New Roman" w:hAnsi="Times New Roman" w:cs="Times New Roman"/>
          <w:sz w:val="22"/>
          <w:szCs w:val="22"/>
          <w:lang w:val="nl-NL"/>
        </w:rPr>
        <w:t>richtsnoeren</w:t>
      </w:r>
      <w:r w:rsidRPr="00925B3C" w:rsidR="00C45014">
        <w:rPr>
          <w:rFonts w:ascii="Times New Roman" w:hAnsi="Times New Roman" w:cs="Times New Roman"/>
          <w:sz w:val="22"/>
          <w:szCs w:val="22"/>
          <w:lang w:val="nl-NL"/>
        </w:rPr>
        <w:t xml:space="preserve"> voor het uitvoeren v</w:t>
      </w:r>
      <w:r w:rsidR="009E7216">
        <w:rPr>
          <w:rFonts w:ascii="Times New Roman" w:hAnsi="Times New Roman" w:cs="Times New Roman"/>
          <w:sz w:val="22"/>
          <w:szCs w:val="22"/>
          <w:lang w:val="nl-NL"/>
        </w:rPr>
        <w:t>an</w:t>
      </w:r>
      <w:r w:rsidRPr="00925B3C" w:rsidR="00C45014">
        <w:rPr>
          <w:rFonts w:ascii="Times New Roman" w:hAnsi="Times New Roman" w:cs="Times New Roman"/>
          <w:sz w:val="22"/>
          <w:szCs w:val="22"/>
          <w:lang w:val="nl-NL"/>
        </w:rPr>
        <w:t xml:space="preserve"> </w:t>
      </w:r>
      <w:r w:rsidR="003E747F">
        <w:rPr>
          <w:rFonts w:ascii="Times New Roman" w:hAnsi="Times New Roman" w:cs="Times New Roman"/>
          <w:sz w:val="22"/>
          <w:szCs w:val="22"/>
          <w:lang w:val="nl-NL"/>
        </w:rPr>
        <w:t>I</w:t>
      </w:r>
      <w:r w:rsidRPr="00925B3C" w:rsidR="00C45014">
        <w:rPr>
          <w:rFonts w:ascii="Times New Roman" w:hAnsi="Times New Roman" w:cs="Times New Roman"/>
          <w:sz w:val="22"/>
          <w:szCs w:val="22"/>
          <w:lang w:val="nl-NL"/>
        </w:rPr>
        <w:t>IA’s kan worden opgenomen</w:t>
      </w:r>
      <w:r w:rsidR="009E7216">
        <w:rPr>
          <w:rFonts w:ascii="Times New Roman" w:hAnsi="Times New Roman" w:cs="Times New Roman"/>
          <w:sz w:val="22"/>
          <w:szCs w:val="22"/>
          <w:lang w:val="nl-NL"/>
        </w:rPr>
        <w:t>.</w:t>
      </w:r>
    </w:p>
    <w:p w:rsidRPr="00925B3C" w:rsidR="00F07568" w:rsidP="0049253F" w:rsidRDefault="00F07568" w14:paraId="3E3E8204" w14:textId="77777777">
      <w:pPr>
        <w:pStyle w:val="Eindnoottekst"/>
        <w:contextualSpacing/>
        <w:rPr>
          <w:rFonts w:ascii="Times New Roman" w:hAnsi="Times New Roman" w:cs="Times New Roman"/>
          <w:sz w:val="22"/>
          <w:szCs w:val="22"/>
          <w:lang w:val="nl-NL"/>
        </w:rPr>
      </w:pPr>
    </w:p>
    <w:p w:rsidRPr="00925B3C" w:rsidR="00A972C6" w:rsidP="0049253F" w:rsidRDefault="00F07568" w14:paraId="7F0EB3F5" w14:textId="77777777">
      <w:pPr>
        <w:pStyle w:val="Eindnoottekst"/>
        <w:contextualSpacing/>
        <w:rPr>
          <w:rFonts w:ascii="Times New Roman" w:hAnsi="Times New Roman" w:cs="Times New Roman"/>
          <w:i/>
          <w:sz w:val="22"/>
          <w:szCs w:val="22"/>
          <w:lang w:val="nl-NL"/>
        </w:rPr>
      </w:pPr>
      <w:r w:rsidRPr="00925B3C">
        <w:rPr>
          <w:rFonts w:ascii="Times New Roman" w:hAnsi="Times New Roman" w:cs="Times New Roman"/>
          <w:i/>
          <w:sz w:val="22"/>
          <w:szCs w:val="22"/>
          <w:lang w:val="nl-NL"/>
        </w:rPr>
        <w:t>Interne organisatie van de Raad</w:t>
      </w:r>
    </w:p>
    <w:p w:rsidRPr="00925B3C" w:rsidR="00F07568" w:rsidP="0049253F" w:rsidRDefault="00F07568" w14:paraId="721ABC68" w14:textId="2A6BCFE9">
      <w:pPr>
        <w:pStyle w:val="Eindnoottekst"/>
        <w:contextualSpacing/>
        <w:rPr>
          <w:rFonts w:ascii="Times New Roman" w:hAnsi="Times New Roman" w:cs="Times New Roman"/>
          <w:sz w:val="22"/>
          <w:szCs w:val="22"/>
          <w:lang w:val="nl-NL"/>
        </w:rPr>
      </w:pPr>
      <w:r w:rsidRPr="00925B3C">
        <w:rPr>
          <w:rFonts w:ascii="Times New Roman" w:hAnsi="Times New Roman" w:cs="Times New Roman"/>
          <w:sz w:val="22"/>
          <w:szCs w:val="22"/>
          <w:lang w:val="nl-NL"/>
        </w:rPr>
        <w:t xml:space="preserve">Daarnaast dienen de voorbereiding en opvolging van de algemene beleidslijnen en </w:t>
      </w:r>
      <w:r w:rsidRPr="00925B3C" w:rsidR="008A0F0A">
        <w:rPr>
          <w:rFonts w:ascii="Times New Roman" w:hAnsi="Times New Roman" w:cs="Times New Roman"/>
          <w:sz w:val="22"/>
          <w:szCs w:val="22"/>
          <w:lang w:val="nl-NL"/>
        </w:rPr>
        <w:t>prioriteiten</w:t>
      </w:r>
      <w:r w:rsidRPr="00925B3C">
        <w:rPr>
          <w:rFonts w:ascii="Times New Roman" w:hAnsi="Times New Roman" w:cs="Times New Roman"/>
          <w:sz w:val="22"/>
          <w:szCs w:val="22"/>
          <w:lang w:val="nl-NL"/>
        </w:rPr>
        <w:t xml:space="preserve"> van de Europese Raad verbeterd te worden. In dit kader is vooral de rol van de Raad Algemene Zaken (RAZ), als voorportaal van de Europese Raad van belang.</w:t>
      </w:r>
      <w:r w:rsidR="00AC1FE7">
        <w:rPr>
          <w:rFonts w:ascii="Times New Roman" w:hAnsi="Times New Roman" w:cs="Times New Roman"/>
          <w:sz w:val="22"/>
          <w:szCs w:val="22"/>
          <w:lang w:val="nl-NL"/>
        </w:rPr>
        <w:t xml:space="preserve"> De link tussen vakraden, RAZ en Europese Raad moet worden versterkt.</w:t>
      </w:r>
      <w:r w:rsidRPr="00925B3C">
        <w:rPr>
          <w:rFonts w:ascii="Times New Roman" w:hAnsi="Times New Roman" w:cs="Times New Roman"/>
          <w:sz w:val="22"/>
          <w:szCs w:val="22"/>
          <w:lang w:val="nl-NL"/>
        </w:rPr>
        <w:t xml:space="preserve"> </w:t>
      </w:r>
      <w:r w:rsidR="001B6738">
        <w:rPr>
          <w:rFonts w:ascii="Times New Roman" w:hAnsi="Times New Roman" w:cs="Times New Roman"/>
          <w:sz w:val="22"/>
          <w:szCs w:val="22"/>
          <w:lang w:val="nl-NL"/>
        </w:rPr>
        <w:t>D</w:t>
      </w:r>
      <w:r w:rsidR="004F1C83">
        <w:rPr>
          <w:rFonts w:ascii="Times New Roman" w:hAnsi="Times New Roman" w:cs="Times New Roman"/>
          <w:sz w:val="22"/>
          <w:szCs w:val="22"/>
          <w:lang w:val="nl-NL"/>
        </w:rPr>
        <w:t xml:space="preserve">e RAZ </w:t>
      </w:r>
      <w:r w:rsidR="001B6738">
        <w:rPr>
          <w:rFonts w:ascii="Times New Roman" w:hAnsi="Times New Roman" w:cs="Times New Roman"/>
          <w:sz w:val="22"/>
          <w:szCs w:val="22"/>
          <w:lang w:val="nl-NL"/>
        </w:rPr>
        <w:t>zou zorg moeten dragen voor coherentie in de bijdragen aan de E</w:t>
      </w:r>
      <w:r w:rsidR="00B70AD5">
        <w:rPr>
          <w:rFonts w:ascii="Times New Roman" w:hAnsi="Times New Roman" w:cs="Times New Roman"/>
          <w:sz w:val="22"/>
          <w:szCs w:val="22"/>
          <w:lang w:val="nl-NL"/>
        </w:rPr>
        <w:t xml:space="preserve">uropese </w:t>
      </w:r>
      <w:r w:rsidR="001B6738">
        <w:rPr>
          <w:rFonts w:ascii="Times New Roman" w:hAnsi="Times New Roman" w:cs="Times New Roman"/>
          <w:sz w:val="22"/>
          <w:szCs w:val="22"/>
          <w:lang w:val="nl-NL"/>
        </w:rPr>
        <w:t>R</w:t>
      </w:r>
      <w:r w:rsidR="00B70AD5">
        <w:rPr>
          <w:rFonts w:ascii="Times New Roman" w:hAnsi="Times New Roman" w:cs="Times New Roman"/>
          <w:sz w:val="22"/>
          <w:szCs w:val="22"/>
          <w:lang w:val="nl-NL"/>
        </w:rPr>
        <w:t>aad</w:t>
      </w:r>
      <w:r w:rsidR="001B6738">
        <w:rPr>
          <w:rFonts w:ascii="Times New Roman" w:hAnsi="Times New Roman" w:cs="Times New Roman"/>
          <w:sz w:val="22"/>
          <w:szCs w:val="22"/>
          <w:lang w:val="nl-NL"/>
        </w:rPr>
        <w:t xml:space="preserve"> en follow-up van uitkomsten daarvan in de vakraden. </w:t>
      </w:r>
      <w:r w:rsidRPr="00925B3C">
        <w:rPr>
          <w:rFonts w:ascii="Times New Roman" w:hAnsi="Times New Roman" w:cs="Times New Roman"/>
          <w:sz w:val="22"/>
          <w:szCs w:val="22"/>
          <w:lang w:val="nl-NL"/>
        </w:rPr>
        <w:t xml:space="preserve">Het voorbereidende werk van de verschillende vakraden dient zorgvuldig en consistent te zijn, teneinde een effectief en gelegitimeerd besluitvormingsproces te waarborgen. </w:t>
      </w:r>
      <w:r w:rsidR="003E747F">
        <w:rPr>
          <w:rFonts w:ascii="Times New Roman" w:hAnsi="Times New Roman" w:cs="Times New Roman"/>
          <w:sz w:val="22"/>
          <w:szCs w:val="22"/>
          <w:lang w:val="nl-NL"/>
        </w:rPr>
        <w:t>Ook</w:t>
      </w:r>
      <w:r w:rsidRPr="00925B3C" w:rsidR="003E747F">
        <w:rPr>
          <w:rFonts w:ascii="Times New Roman" w:hAnsi="Times New Roman" w:cs="Times New Roman"/>
          <w:sz w:val="22"/>
          <w:szCs w:val="22"/>
          <w:lang w:val="nl-NL"/>
        </w:rPr>
        <w:t xml:space="preserve"> </w:t>
      </w:r>
      <w:r w:rsidRPr="00925B3C">
        <w:rPr>
          <w:rFonts w:ascii="Times New Roman" w:hAnsi="Times New Roman" w:cs="Times New Roman"/>
          <w:sz w:val="22"/>
          <w:szCs w:val="22"/>
          <w:lang w:val="nl-NL"/>
        </w:rPr>
        <w:t>dient er meer coherentie, effectiviteit en synergie te zijn tussen de RAZ en de Europese Raad</w:t>
      </w:r>
      <w:r w:rsidR="00B70AD5">
        <w:rPr>
          <w:rFonts w:ascii="Times New Roman" w:hAnsi="Times New Roman" w:cs="Times New Roman"/>
          <w:sz w:val="22"/>
          <w:szCs w:val="22"/>
          <w:lang w:val="nl-NL"/>
        </w:rPr>
        <w:t>, niet alleen vooraf, maar ook na afloop van de Europese Raad</w:t>
      </w:r>
      <w:r w:rsidRPr="00925B3C">
        <w:rPr>
          <w:rFonts w:ascii="Times New Roman" w:hAnsi="Times New Roman" w:cs="Times New Roman"/>
          <w:sz w:val="22"/>
          <w:szCs w:val="22"/>
          <w:lang w:val="nl-NL"/>
        </w:rPr>
        <w:t xml:space="preserve">. </w:t>
      </w:r>
      <w:r w:rsidR="00B70AD5">
        <w:rPr>
          <w:rFonts w:ascii="Times New Roman" w:hAnsi="Times New Roman" w:cs="Times New Roman"/>
          <w:sz w:val="22"/>
          <w:szCs w:val="22"/>
          <w:lang w:val="nl-NL"/>
        </w:rPr>
        <w:t xml:space="preserve">Zo is de follow-up van de Europese Raadsconclusies en -besluiten nog niet goed ontwikkeld. </w:t>
      </w:r>
      <w:r w:rsidRPr="00925B3C">
        <w:rPr>
          <w:rFonts w:ascii="Times New Roman" w:hAnsi="Times New Roman" w:cs="Times New Roman"/>
          <w:sz w:val="22"/>
          <w:szCs w:val="22"/>
          <w:lang w:val="nl-NL"/>
        </w:rPr>
        <w:t xml:space="preserve">Indien de voorbereiding via de RAZ verbetert, kan de Europese Raad zich </w:t>
      </w:r>
      <w:r w:rsidR="00F77518">
        <w:rPr>
          <w:rFonts w:ascii="Times New Roman" w:hAnsi="Times New Roman" w:cs="Times New Roman"/>
          <w:sz w:val="22"/>
          <w:szCs w:val="22"/>
          <w:lang w:val="nl-NL"/>
        </w:rPr>
        <w:t>m</w:t>
      </w:r>
      <w:r w:rsidRPr="00925B3C">
        <w:rPr>
          <w:rFonts w:ascii="Times New Roman" w:hAnsi="Times New Roman" w:cs="Times New Roman"/>
          <w:sz w:val="22"/>
          <w:szCs w:val="22"/>
          <w:lang w:val="nl-NL"/>
        </w:rPr>
        <w:t>eer gaan toeleggen op het uitzetten van algemene strategische beleidslijnen en prioriteiten. Op hun beurt moeten vakraden adequaat worden voorbereid door hun respectievelijke raadswerkgroepen en Coreper</w:t>
      </w:r>
      <w:r w:rsidR="00B70AD5">
        <w:rPr>
          <w:rFonts w:ascii="Times New Roman" w:hAnsi="Times New Roman" w:cs="Times New Roman"/>
          <w:sz w:val="22"/>
          <w:szCs w:val="22"/>
          <w:lang w:val="nl-NL"/>
        </w:rPr>
        <w:t xml:space="preserve"> en goed aansluiten bij de werkzaamheden van de Europese Raad</w:t>
      </w:r>
      <w:r w:rsidRPr="00925B3C">
        <w:rPr>
          <w:rFonts w:ascii="Times New Roman" w:hAnsi="Times New Roman" w:cs="Times New Roman"/>
          <w:sz w:val="22"/>
          <w:szCs w:val="22"/>
          <w:lang w:val="nl-NL"/>
        </w:rPr>
        <w:t>. Hiermee moet op toppen en vakraden meer ruimte komen voor het voeren van politieke discussies. E</w:t>
      </w:r>
      <w:r w:rsidR="000F7B4C">
        <w:rPr>
          <w:rFonts w:ascii="Times New Roman" w:hAnsi="Times New Roman" w:cs="Times New Roman"/>
          <w:sz w:val="22"/>
          <w:szCs w:val="22"/>
          <w:lang w:val="nl-NL"/>
        </w:rPr>
        <w:t>en en ander</w:t>
      </w:r>
      <w:r w:rsidRPr="00925B3C">
        <w:rPr>
          <w:rFonts w:ascii="Times New Roman" w:hAnsi="Times New Roman" w:cs="Times New Roman"/>
          <w:sz w:val="22"/>
          <w:szCs w:val="22"/>
          <w:lang w:val="nl-NL"/>
        </w:rPr>
        <w:t xml:space="preserve"> kan </w:t>
      </w:r>
      <w:r w:rsidRPr="00925B3C" w:rsidR="00DB4184">
        <w:rPr>
          <w:rFonts w:ascii="Times New Roman" w:hAnsi="Times New Roman" w:cs="Times New Roman"/>
          <w:sz w:val="22"/>
          <w:szCs w:val="22"/>
          <w:lang w:val="nl-NL"/>
        </w:rPr>
        <w:t>(beter) geregeld worden in het reglement van o</w:t>
      </w:r>
      <w:r w:rsidRPr="00925B3C">
        <w:rPr>
          <w:rFonts w:ascii="Times New Roman" w:hAnsi="Times New Roman" w:cs="Times New Roman"/>
          <w:sz w:val="22"/>
          <w:szCs w:val="22"/>
          <w:lang w:val="nl-NL"/>
        </w:rPr>
        <w:t>rde van de Raad.</w:t>
      </w:r>
      <w:r w:rsidR="004C6AE4">
        <w:rPr>
          <w:rFonts w:ascii="Times New Roman" w:hAnsi="Times New Roman" w:cs="Times New Roman"/>
          <w:sz w:val="22"/>
          <w:szCs w:val="22"/>
          <w:lang w:val="nl-NL"/>
        </w:rPr>
        <w:t xml:space="preserve"> Voor Nederland zelf ligt er een uitdaging tijdens het EU Voorzitterschap in 2016 om het functioneren van en ook de ministeriële deelname aan de vakraden te verbeteren.</w:t>
      </w:r>
    </w:p>
    <w:p w:rsidRPr="00925B3C" w:rsidR="0083266B" w:rsidP="0049253F" w:rsidRDefault="00F07568" w14:paraId="06BACC1C" w14:textId="77777777">
      <w:pPr>
        <w:pStyle w:val="Normaalweb"/>
        <w:numPr>
          <w:ilvl w:val="0"/>
          <w:numId w:val="18"/>
        </w:numPr>
        <w:rPr>
          <w:i/>
          <w:sz w:val="22"/>
          <w:szCs w:val="22"/>
        </w:rPr>
      </w:pPr>
      <w:r w:rsidRPr="00925B3C">
        <w:rPr>
          <w:i/>
          <w:sz w:val="22"/>
          <w:szCs w:val="22"/>
        </w:rPr>
        <w:t>Versterking van de rol van nationale parlementen</w:t>
      </w:r>
    </w:p>
    <w:p w:rsidRPr="00925B3C" w:rsidR="008A4578" w:rsidP="0049253F" w:rsidRDefault="00F07568" w14:paraId="4734F80F" w14:textId="77777777">
      <w:pPr>
        <w:pStyle w:val="Normaalweb"/>
        <w:spacing w:after="100" w:afterAutospacing="1"/>
        <w:rPr>
          <w:sz w:val="22"/>
          <w:szCs w:val="22"/>
          <w:u w:val="single"/>
        </w:rPr>
      </w:pPr>
      <w:r w:rsidRPr="00925B3C">
        <w:rPr>
          <w:sz w:val="22"/>
          <w:szCs w:val="22"/>
        </w:rPr>
        <w:lastRenderedPageBreak/>
        <w:t xml:space="preserve">De rol van nationale parlementen dient versterkt te worden, teneinde de democratische legitimiteit van het Europese besluitvormingsproces te vergroten. </w:t>
      </w:r>
      <w:r w:rsidR="00E862EF">
        <w:rPr>
          <w:sz w:val="22"/>
          <w:szCs w:val="22"/>
        </w:rPr>
        <w:t>In het conta</w:t>
      </w:r>
      <w:r w:rsidR="009E7216">
        <w:rPr>
          <w:sz w:val="22"/>
          <w:szCs w:val="22"/>
        </w:rPr>
        <w:t>ct tussen Europees Parlement en nationale parlementen zouden Europarlementariërs vaker kunnen deelnemen aan debatten in de Tweede Kamer.</w:t>
      </w:r>
      <w:r w:rsidR="00E862EF">
        <w:rPr>
          <w:sz w:val="22"/>
          <w:szCs w:val="22"/>
        </w:rPr>
        <w:t xml:space="preserve"> </w:t>
      </w:r>
      <w:r w:rsidRPr="00925B3C">
        <w:rPr>
          <w:sz w:val="22"/>
          <w:szCs w:val="22"/>
        </w:rPr>
        <w:t xml:space="preserve">Het kabinet is </w:t>
      </w:r>
      <w:r w:rsidR="00E862EF">
        <w:rPr>
          <w:sz w:val="22"/>
          <w:szCs w:val="22"/>
        </w:rPr>
        <w:t>voorts</w:t>
      </w:r>
      <w:r w:rsidRPr="00925B3C">
        <w:rPr>
          <w:sz w:val="22"/>
          <w:szCs w:val="22"/>
        </w:rPr>
        <w:t xml:space="preserve"> van mening dat de Commissie </w:t>
      </w:r>
      <w:r w:rsidR="00E862EF">
        <w:rPr>
          <w:sz w:val="22"/>
          <w:szCs w:val="22"/>
        </w:rPr>
        <w:t xml:space="preserve">in belangrijke mate </w:t>
      </w:r>
      <w:r w:rsidR="009E7216">
        <w:rPr>
          <w:sz w:val="22"/>
          <w:szCs w:val="22"/>
        </w:rPr>
        <w:t>een rol kan spelen</w:t>
      </w:r>
      <w:r w:rsidRPr="00925B3C">
        <w:rPr>
          <w:sz w:val="22"/>
          <w:szCs w:val="22"/>
        </w:rPr>
        <w:t xml:space="preserve">, door te werken aan een hechtere relatie met nationale parlementen. Zo zou de Commissie ernaar moeten streven zo toegankelijk mogelijk </w:t>
      </w:r>
      <w:r w:rsidRPr="00925B3C" w:rsidR="00237C59">
        <w:rPr>
          <w:sz w:val="22"/>
          <w:szCs w:val="22"/>
        </w:rPr>
        <w:t>te</w:t>
      </w:r>
      <w:r w:rsidRPr="00925B3C">
        <w:rPr>
          <w:sz w:val="22"/>
          <w:szCs w:val="22"/>
        </w:rPr>
        <w:t xml:space="preserve"> zijn voor nationale parlementaire commissies en bereid </w:t>
      </w:r>
      <w:r w:rsidRPr="00925B3C" w:rsidR="00237C59">
        <w:rPr>
          <w:sz w:val="22"/>
          <w:szCs w:val="22"/>
        </w:rPr>
        <w:t xml:space="preserve">moeten </w:t>
      </w:r>
      <w:r w:rsidRPr="00925B3C">
        <w:rPr>
          <w:sz w:val="22"/>
          <w:szCs w:val="22"/>
        </w:rPr>
        <w:t>zijn vragen inzake h</w:t>
      </w:r>
      <w:r w:rsidR="00B70AD5">
        <w:rPr>
          <w:sz w:val="22"/>
          <w:szCs w:val="22"/>
        </w:rPr>
        <w:t xml:space="preserve">aar </w:t>
      </w:r>
      <w:r w:rsidRPr="00925B3C">
        <w:rPr>
          <w:sz w:val="22"/>
          <w:szCs w:val="22"/>
        </w:rPr>
        <w:t xml:space="preserve">beleid toe te lichten. Daarnaast zou de Commissie vaker </w:t>
      </w:r>
      <w:r w:rsidRPr="00925B3C" w:rsidR="00237C59">
        <w:rPr>
          <w:sz w:val="22"/>
          <w:szCs w:val="22"/>
        </w:rPr>
        <w:t xml:space="preserve">haar </w:t>
      </w:r>
      <w:r w:rsidRPr="00925B3C">
        <w:rPr>
          <w:sz w:val="22"/>
          <w:szCs w:val="22"/>
        </w:rPr>
        <w:t>opwachting moeten maken in nationale parlementen, en ook daar grote wetsvoorstellen presenteren. Bovendien zou de Commissie haar dialoog met nationale parlementen moeten versterken, door beter te luist</w:t>
      </w:r>
      <w:r w:rsidRPr="00925B3C" w:rsidR="00237C59">
        <w:rPr>
          <w:sz w:val="22"/>
          <w:szCs w:val="22"/>
        </w:rPr>
        <w:t xml:space="preserve">eren naar nationale parlementen. </w:t>
      </w:r>
      <w:r w:rsidR="00E862EF">
        <w:rPr>
          <w:sz w:val="22"/>
          <w:szCs w:val="22"/>
        </w:rPr>
        <w:t xml:space="preserve"> </w:t>
      </w:r>
      <w:r w:rsidRPr="00925B3C">
        <w:rPr>
          <w:sz w:val="22"/>
          <w:szCs w:val="22"/>
        </w:rPr>
        <w:t>De Commissie dient zich meer te verbinden aan de gele kaart procedure</w:t>
      </w:r>
      <w:r w:rsidR="00C45014">
        <w:rPr>
          <w:sz w:val="22"/>
          <w:szCs w:val="22"/>
        </w:rPr>
        <w:t>, door een voorstel te wijzig</w:t>
      </w:r>
      <w:r w:rsidRPr="00925B3C">
        <w:rPr>
          <w:sz w:val="22"/>
          <w:szCs w:val="22"/>
        </w:rPr>
        <w:t xml:space="preserve">en of in te trekken, wanneer </w:t>
      </w:r>
      <w:r w:rsidRPr="00925B3C" w:rsidR="00E3672B">
        <w:rPr>
          <w:sz w:val="22"/>
          <w:szCs w:val="22"/>
        </w:rPr>
        <w:t xml:space="preserve">een </w:t>
      </w:r>
      <w:r w:rsidRPr="00925B3C">
        <w:rPr>
          <w:sz w:val="22"/>
          <w:szCs w:val="22"/>
        </w:rPr>
        <w:t>derde van de nationale parlementen subsidiariteitsbezwaren maken tegen een voorstel</w:t>
      </w:r>
      <w:r w:rsidRPr="00925B3C" w:rsidR="00E3672B">
        <w:rPr>
          <w:sz w:val="22"/>
          <w:szCs w:val="22"/>
        </w:rPr>
        <w:t xml:space="preserve">. Hiermee zou zij de gele kaart </w:t>
      </w:r>
      <w:r w:rsidRPr="00925B3C" w:rsidR="00E3672B">
        <w:rPr>
          <w:i/>
          <w:sz w:val="22"/>
          <w:szCs w:val="22"/>
        </w:rPr>
        <w:t>de facto</w:t>
      </w:r>
      <w:r w:rsidRPr="00925B3C" w:rsidR="00237C59">
        <w:rPr>
          <w:sz w:val="22"/>
          <w:szCs w:val="22"/>
        </w:rPr>
        <w:t xml:space="preserve"> </w:t>
      </w:r>
      <w:r w:rsidRPr="00925B3C" w:rsidR="008A4578">
        <w:rPr>
          <w:sz w:val="22"/>
          <w:szCs w:val="22"/>
        </w:rPr>
        <w:t xml:space="preserve">als </w:t>
      </w:r>
      <w:r w:rsidRPr="00925B3C" w:rsidR="00237C59">
        <w:rPr>
          <w:sz w:val="22"/>
          <w:szCs w:val="22"/>
        </w:rPr>
        <w:t xml:space="preserve">een rode kaart </w:t>
      </w:r>
      <w:r w:rsidRPr="00925B3C" w:rsidR="00E3672B">
        <w:rPr>
          <w:sz w:val="22"/>
          <w:szCs w:val="22"/>
        </w:rPr>
        <w:t>behandelen</w:t>
      </w:r>
      <w:r w:rsidRPr="00925B3C">
        <w:rPr>
          <w:sz w:val="22"/>
          <w:szCs w:val="22"/>
        </w:rPr>
        <w:t>. Hoewel de verdragen hiertoe niet verplichten, zou de Commissie ook meer aandacht kunnen besteden aan subsidiariteitsbezwaren wanneer de drempel voor een gele kaart niet bereikt is, en zich ook bereid kunnen tonen aandacht te schenken aan proportionaliteitsbezwaren.</w:t>
      </w:r>
      <w:r w:rsidRPr="00925B3C" w:rsidR="00F427A5">
        <w:rPr>
          <w:sz w:val="22"/>
          <w:szCs w:val="22"/>
        </w:rPr>
        <w:t xml:space="preserve"> De Commissie zou op deze manier nadere invulling kunnen geven aan </w:t>
      </w:r>
      <w:r w:rsidRPr="00925B3C" w:rsidR="0060158E">
        <w:rPr>
          <w:sz w:val="22"/>
          <w:szCs w:val="22"/>
        </w:rPr>
        <w:t xml:space="preserve">de ‘politieke </w:t>
      </w:r>
      <w:r w:rsidRPr="00925B3C" w:rsidR="00F427A5">
        <w:rPr>
          <w:sz w:val="22"/>
          <w:szCs w:val="22"/>
        </w:rPr>
        <w:t>dialoog</w:t>
      </w:r>
      <w:r w:rsidRPr="00925B3C" w:rsidR="0060158E">
        <w:rPr>
          <w:sz w:val="22"/>
          <w:szCs w:val="22"/>
        </w:rPr>
        <w:t>’</w:t>
      </w:r>
      <w:r w:rsidRPr="00925B3C" w:rsidR="00F427A5">
        <w:rPr>
          <w:sz w:val="22"/>
          <w:szCs w:val="22"/>
        </w:rPr>
        <w:t xml:space="preserve"> </w:t>
      </w:r>
      <w:r w:rsidRPr="00925B3C" w:rsidR="0060158E">
        <w:rPr>
          <w:sz w:val="22"/>
          <w:szCs w:val="22"/>
        </w:rPr>
        <w:t xml:space="preserve">die de Commissie sinds 2006 </w:t>
      </w:r>
      <w:r w:rsidRPr="00925B3C" w:rsidR="00F427A5">
        <w:rPr>
          <w:sz w:val="22"/>
          <w:szCs w:val="22"/>
        </w:rPr>
        <w:t>met de nationale parlementen voer</w:t>
      </w:r>
      <w:r w:rsidRPr="00925B3C" w:rsidR="0060158E">
        <w:rPr>
          <w:sz w:val="22"/>
          <w:szCs w:val="22"/>
        </w:rPr>
        <w:t>t</w:t>
      </w:r>
      <w:r w:rsidRPr="00925B3C" w:rsidR="00F427A5">
        <w:rPr>
          <w:sz w:val="22"/>
          <w:szCs w:val="22"/>
        </w:rPr>
        <w:t>. (</w:t>
      </w:r>
      <w:r w:rsidRPr="00925B3C" w:rsidR="0060158E">
        <w:rPr>
          <w:sz w:val="22"/>
          <w:szCs w:val="22"/>
        </w:rPr>
        <w:t xml:space="preserve">Zie </w:t>
      </w:r>
      <w:hyperlink w:tooltip="Commissiewebsite" w:history="1" r:id="rId9">
        <w:r w:rsidRPr="00925B3C" w:rsidR="0060158E">
          <w:rPr>
            <w:rStyle w:val="Hyperlink"/>
            <w:sz w:val="22"/>
            <w:szCs w:val="22"/>
          </w:rPr>
          <w:t>website van de Commissie</w:t>
        </w:r>
      </w:hyperlink>
      <w:r w:rsidRPr="00925B3C" w:rsidR="0060158E">
        <w:rPr>
          <w:sz w:val="22"/>
          <w:szCs w:val="22"/>
        </w:rPr>
        <w:t xml:space="preserve"> voor de onderlinge correspondentie per lidstaat</w:t>
      </w:r>
      <w:r w:rsidRPr="00925B3C" w:rsidR="00F427A5">
        <w:rPr>
          <w:sz w:val="22"/>
          <w:szCs w:val="22"/>
        </w:rPr>
        <w:t>)</w:t>
      </w:r>
      <w:r w:rsidRPr="00925B3C" w:rsidR="00DB4184">
        <w:rPr>
          <w:sz w:val="22"/>
          <w:szCs w:val="22"/>
        </w:rPr>
        <w:t xml:space="preserve">. </w:t>
      </w:r>
    </w:p>
    <w:p w:rsidRPr="00925B3C" w:rsidR="007F4113" w:rsidP="0049253F" w:rsidRDefault="001D18A4" w14:paraId="561D1F87" w14:textId="77777777">
      <w:pPr>
        <w:rPr>
          <w:rFonts w:ascii="Times New Roman" w:hAnsi="Times New Roman" w:cs="Times New Roman"/>
          <w:sz w:val="22"/>
          <w:szCs w:val="22"/>
        </w:rPr>
      </w:pPr>
      <w:r w:rsidRPr="00925B3C">
        <w:rPr>
          <w:rFonts w:ascii="Times New Roman" w:hAnsi="Times New Roman" w:cs="Times New Roman"/>
          <w:sz w:val="22"/>
          <w:szCs w:val="22"/>
        </w:rPr>
        <w:t>Een rode kaart</w:t>
      </w:r>
      <w:r w:rsidRPr="00925B3C" w:rsidR="008A4578">
        <w:rPr>
          <w:rFonts w:ascii="Times New Roman" w:hAnsi="Times New Roman" w:cs="Times New Roman"/>
          <w:sz w:val="22"/>
          <w:szCs w:val="22"/>
        </w:rPr>
        <w:t xml:space="preserve"> – </w:t>
      </w:r>
      <w:r w:rsidRPr="00925B3C">
        <w:rPr>
          <w:rFonts w:ascii="Times New Roman" w:hAnsi="Times New Roman" w:cs="Times New Roman"/>
          <w:sz w:val="22"/>
          <w:szCs w:val="22"/>
        </w:rPr>
        <w:t xml:space="preserve">en dit </w:t>
      </w:r>
      <w:r w:rsidRPr="00925B3C" w:rsidR="008A4578">
        <w:rPr>
          <w:rFonts w:ascii="Times New Roman" w:hAnsi="Times New Roman" w:cs="Times New Roman"/>
          <w:sz w:val="22"/>
          <w:szCs w:val="22"/>
        </w:rPr>
        <w:t>mede in antwoord op</w:t>
      </w:r>
      <w:r w:rsidRPr="00925B3C" w:rsidR="0083266B">
        <w:rPr>
          <w:rFonts w:ascii="Times New Roman" w:hAnsi="Times New Roman" w:cs="Times New Roman"/>
          <w:sz w:val="22"/>
          <w:szCs w:val="22"/>
        </w:rPr>
        <w:t xml:space="preserve"> de motie Omtzigt d.d. </w:t>
      </w:r>
      <w:r w:rsidR="003E747F">
        <w:rPr>
          <w:rFonts w:ascii="Times New Roman" w:hAnsi="Times New Roman" w:cs="Times New Roman"/>
          <w:sz w:val="22"/>
          <w:szCs w:val="22"/>
        </w:rPr>
        <w:t>14 mei 2014</w:t>
      </w:r>
      <w:r w:rsidR="003E747F">
        <w:rPr>
          <w:rStyle w:val="Voetnootmarkering"/>
          <w:rFonts w:ascii="Times New Roman" w:hAnsi="Times New Roman"/>
          <w:sz w:val="22"/>
          <w:szCs w:val="22"/>
        </w:rPr>
        <w:footnoteReference w:id="15"/>
      </w:r>
      <w:r w:rsidRPr="00925B3C" w:rsidR="003E747F">
        <w:rPr>
          <w:rFonts w:ascii="Times New Roman" w:hAnsi="Times New Roman" w:cs="Times New Roman"/>
          <w:sz w:val="22"/>
          <w:szCs w:val="22"/>
        </w:rPr>
        <w:t xml:space="preserve"> </w:t>
      </w:r>
      <w:r w:rsidRPr="00925B3C" w:rsidR="0083266B">
        <w:rPr>
          <w:rFonts w:ascii="Times New Roman" w:hAnsi="Times New Roman" w:cs="Times New Roman"/>
          <w:sz w:val="22"/>
          <w:szCs w:val="22"/>
        </w:rPr>
        <w:t xml:space="preserve">– zou, net als andere hierboven genoemde ideeën </w:t>
      </w:r>
      <w:r w:rsidRPr="00925B3C" w:rsidR="008A4578">
        <w:rPr>
          <w:rFonts w:ascii="Times New Roman" w:hAnsi="Times New Roman" w:cs="Times New Roman"/>
          <w:sz w:val="22"/>
          <w:szCs w:val="22"/>
        </w:rPr>
        <w:t>binnen het kader van de verdragen vorm kunnen worden gegeven in een akkoord tussen Raad en Commissie (en evt. Europees Parlement) waarin de Commissie zich bereid verklaar</w:t>
      </w:r>
      <w:r w:rsidR="003E747F">
        <w:rPr>
          <w:rFonts w:ascii="Times New Roman" w:hAnsi="Times New Roman" w:cs="Times New Roman"/>
          <w:sz w:val="22"/>
          <w:szCs w:val="22"/>
        </w:rPr>
        <w:t>t</w:t>
      </w:r>
      <w:r w:rsidRPr="00925B3C" w:rsidR="008A4578">
        <w:rPr>
          <w:rFonts w:ascii="Times New Roman" w:hAnsi="Times New Roman" w:cs="Times New Roman"/>
          <w:sz w:val="22"/>
          <w:szCs w:val="22"/>
        </w:rPr>
        <w:t xml:space="preserve"> wetsvoorstellen in te trekken indien een bepaald aantal </w:t>
      </w:r>
      <w:r w:rsidRPr="00925B3C" w:rsidR="0083266B">
        <w:rPr>
          <w:rFonts w:ascii="Times New Roman" w:hAnsi="Times New Roman" w:cs="Times New Roman"/>
          <w:sz w:val="22"/>
          <w:szCs w:val="22"/>
        </w:rPr>
        <w:t xml:space="preserve">nationale </w:t>
      </w:r>
      <w:r w:rsidRPr="00925B3C" w:rsidR="008A4578">
        <w:rPr>
          <w:rFonts w:ascii="Times New Roman" w:hAnsi="Times New Roman" w:cs="Times New Roman"/>
          <w:sz w:val="22"/>
          <w:szCs w:val="22"/>
        </w:rPr>
        <w:t xml:space="preserve">parlementen zich hiertegen hebben uitgesproken. </w:t>
      </w:r>
      <w:r w:rsidRPr="00925B3C" w:rsidR="00611EDA">
        <w:rPr>
          <w:rFonts w:ascii="Times New Roman" w:hAnsi="Times New Roman" w:cs="Times New Roman"/>
          <w:sz w:val="22"/>
          <w:szCs w:val="22"/>
        </w:rPr>
        <w:t>Een formele rod</w:t>
      </w:r>
      <w:r w:rsidRPr="00925B3C">
        <w:rPr>
          <w:rFonts w:ascii="Times New Roman" w:hAnsi="Times New Roman" w:cs="Times New Roman"/>
          <w:sz w:val="22"/>
          <w:szCs w:val="22"/>
        </w:rPr>
        <w:t xml:space="preserve">e kaart </w:t>
      </w:r>
      <w:r w:rsidR="002856D4">
        <w:rPr>
          <w:rFonts w:ascii="Times New Roman" w:hAnsi="Times New Roman" w:cs="Times New Roman"/>
          <w:sz w:val="22"/>
          <w:szCs w:val="22"/>
        </w:rPr>
        <w:t xml:space="preserve">invoeren </w:t>
      </w:r>
      <w:r w:rsidRPr="00925B3C">
        <w:rPr>
          <w:rFonts w:ascii="Times New Roman" w:hAnsi="Times New Roman" w:cs="Times New Roman"/>
          <w:sz w:val="22"/>
          <w:szCs w:val="22"/>
        </w:rPr>
        <w:t xml:space="preserve">vergt </w:t>
      </w:r>
      <w:r w:rsidR="002856D4">
        <w:rPr>
          <w:rFonts w:ascii="Times New Roman" w:hAnsi="Times New Roman" w:cs="Times New Roman"/>
          <w:sz w:val="22"/>
          <w:szCs w:val="22"/>
        </w:rPr>
        <w:t>echter</w:t>
      </w:r>
      <w:r w:rsidRPr="00925B3C">
        <w:rPr>
          <w:rFonts w:ascii="Times New Roman" w:hAnsi="Times New Roman" w:cs="Times New Roman"/>
          <w:sz w:val="22"/>
          <w:szCs w:val="22"/>
        </w:rPr>
        <w:t xml:space="preserve"> verdragswijziging</w:t>
      </w:r>
      <w:r w:rsidRPr="00925B3C" w:rsidR="00611EDA">
        <w:rPr>
          <w:rFonts w:ascii="Times New Roman" w:hAnsi="Times New Roman" w:cs="Times New Roman"/>
          <w:sz w:val="22"/>
          <w:szCs w:val="22"/>
        </w:rPr>
        <w:t>. Eventuele v</w:t>
      </w:r>
      <w:r w:rsidRPr="00925B3C" w:rsidR="00237C59">
        <w:rPr>
          <w:rFonts w:ascii="Times New Roman" w:hAnsi="Times New Roman" w:cs="Times New Roman"/>
          <w:sz w:val="22"/>
          <w:szCs w:val="22"/>
        </w:rPr>
        <w:t xml:space="preserve">erdragsrechtelijke verankering </w:t>
      </w:r>
      <w:r w:rsidRPr="00925B3C" w:rsidR="00611EDA">
        <w:rPr>
          <w:rFonts w:ascii="Times New Roman" w:hAnsi="Times New Roman" w:cs="Times New Roman"/>
          <w:sz w:val="22"/>
          <w:szCs w:val="22"/>
        </w:rPr>
        <w:t xml:space="preserve">van de rode kaart </w:t>
      </w:r>
      <w:r w:rsidRPr="00925B3C" w:rsidR="00237C59">
        <w:rPr>
          <w:rFonts w:ascii="Times New Roman" w:hAnsi="Times New Roman" w:cs="Times New Roman"/>
          <w:sz w:val="22"/>
          <w:szCs w:val="22"/>
        </w:rPr>
        <w:t>behoeft aanpassing van art. 7 van het Protocol betreffende de subsidiariteit en evenredigheid. Gedacht kan dan worden aan een bepaling met eenzelfde strekking</w:t>
      </w:r>
      <w:r w:rsidRPr="00925B3C" w:rsidR="0083266B">
        <w:rPr>
          <w:rFonts w:ascii="Times New Roman" w:hAnsi="Times New Roman" w:cs="Times New Roman"/>
          <w:sz w:val="22"/>
          <w:szCs w:val="22"/>
        </w:rPr>
        <w:t xml:space="preserve"> als neer zou worden gelegd in het interinstitutionele akkoord</w:t>
      </w:r>
      <w:r w:rsidRPr="00925B3C" w:rsidR="00237C59">
        <w:rPr>
          <w:rFonts w:ascii="Times New Roman" w:hAnsi="Times New Roman" w:cs="Times New Roman"/>
          <w:sz w:val="22"/>
          <w:szCs w:val="22"/>
        </w:rPr>
        <w:t>. Ten tijde van de onderhandelingen over het Verdrag van Lissabon heeft het kabinet eveneens voorstellen in deze richting gedaan.</w:t>
      </w:r>
      <w:r w:rsidRPr="00925B3C" w:rsidR="00237C59">
        <w:rPr>
          <w:rStyle w:val="Voetnootmarkering"/>
          <w:rFonts w:ascii="Times New Roman" w:hAnsi="Times New Roman"/>
          <w:sz w:val="22"/>
          <w:szCs w:val="22"/>
        </w:rPr>
        <w:footnoteReference w:id="16"/>
      </w:r>
      <w:r w:rsidRPr="00925B3C" w:rsidR="00237C59">
        <w:rPr>
          <w:rFonts w:ascii="Times New Roman" w:hAnsi="Times New Roman" w:cs="Times New Roman"/>
          <w:sz w:val="22"/>
          <w:szCs w:val="22"/>
        </w:rPr>
        <w:t xml:space="preserve"> De modaliteiten, zoals het moment van inbreng</w:t>
      </w:r>
      <w:r w:rsidR="00B70AD5">
        <w:rPr>
          <w:rFonts w:ascii="Times New Roman" w:hAnsi="Times New Roman" w:cs="Times New Roman"/>
          <w:sz w:val="22"/>
          <w:szCs w:val="22"/>
        </w:rPr>
        <w:t xml:space="preserve"> (in begin of aan einde van het onderhandelingsproces)</w:t>
      </w:r>
      <w:r w:rsidRPr="00925B3C" w:rsidR="00237C59">
        <w:rPr>
          <w:rFonts w:ascii="Times New Roman" w:hAnsi="Times New Roman" w:cs="Times New Roman"/>
          <w:sz w:val="22"/>
          <w:szCs w:val="22"/>
        </w:rPr>
        <w:t>, de te hanteren drempel (hoeveel stemmen van parlementen zijn nodig), de toetsingscriteria (subsidiariteit of ook proportionaliteit en opportuniteit), en gevolgen van de kaart (verwerping, wijziging) kunnen worden aangepast.</w:t>
      </w:r>
    </w:p>
    <w:p w:rsidRPr="00925B3C" w:rsidR="007F4113" w:rsidP="0049253F" w:rsidRDefault="007F4113" w14:paraId="364F7435" w14:textId="77777777">
      <w:pPr>
        <w:rPr>
          <w:rFonts w:ascii="Times New Roman" w:hAnsi="Times New Roman" w:cs="Times New Roman"/>
          <w:sz w:val="22"/>
          <w:szCs w:val="22"/>
        </w:rPr>
      </w:pPr>
    </w:p>
    <w:p w:rsidRPr="00925B3C" w:rsidR="00F07568" w:rsidP="0049253F" w:rsidRDefault="008A4578" w14:paraId="2129D9E4" w14:textId="77777777">
      <w:pPr>
        <w:rPr>
          <w:rFonts w:ascii="Times New Roman" w:hAnsi="Times New Roman" w:cs="Times New Roman"/>
          <w:sz w:val="22"/>
          <w:szCs w:val="22"/>
        </w:rPr>
      </w:pPr>
      <w:r w:rsidRPr="00925B3C">
        <w:rPr>
          <w:rFonts w:ascii="Times New Roman" w:hAnsi="Times New Roman" w:cs="Times New Roman"/>
          <w:sz w:val="22"/>
          <w:szCs w:val="22"/>
        </w:rPr>
        <w:t xml:space="preserve">Overigens is uit diplomatieke en politieke sonderingen gebleken dat er voor het concept van een rode kaart nauwelijks of geen steun is bij de Europese partners. </w:t>
      </w:r>
      <w:r w:rsidRPr="00925B3C" w:rsidR="00505430">
        <w:rPr>
          <w:rFonts w:ascii="Times New Roman" w:hAnsi="Times New Roman" w:cs="Times New Roman"/>
          <w:sz w:val="22"/>
          <w:szCs w:val="22"/>
        </w:rPr>
        <w:t xml:space="preserve">Het kabinet merkt in dit verband </w:t>
      </w:r>
      <w:r w:rsidRPr="00925B3C">
        <w:rPr>
          <w:rFonts w:ascii="Times New Roman" w:hAnsi="Times New Roman" w:cs="Times New Roman"/>
          <w:sz w:val="22"/>
          <w:szCs w:val="22"/>
        </w:rPr>
        <w:t>ook</w:t>
      </w:r>
      <w:r w:rsidRPr="00925B3C" w:rsidR="00237C59">
        <w:rPr>
          <w:rFonts w:ascii="Times New Roman" w:hAnsi="Times New Roman" w:cs="Times New Roman"/>
          <w:sz w:val="22"/>
          <w:szCs w:val="22"/>
        </w:rPr>
        <w:t xml:space="preserve"> </w:t>
      </w:r>
      <w:r w:rsidRPr="00925B3C" w:rsidR="00505430">
        <w:rPr>
          <w:rFonts w:ascii="Times New Roman" w:hAnsi="Times New Roman" w:cs="Times New Roman"/>
          <w:sz w:val="22"/>
          <w:szCs w:val="22"/>
        </w:rPr>
        <w:t xml:space="preserve">op dat </w:t>
      </w:r>
      <w:r w:rsidRPr="00925B3C">
        <w:rPr>
          <w:rFonts w:ascii="Times New Roman" w:hAnsi="Times New Roman" w:cs="Times New Roman"/>
          <w:sz w:val="22"/>
          <w:szCs w:val="22"/>
        </w:rPr>
        <w:t xml:space="preserve">ook </w:t>
      </w:r>
      <w:r w:rsidRPr="00925B3C" w:rsidR="00505430">
        <w:rPr>
          <w:rFonts w:ascii="Times New Roman" w:hAnsi="Times New Roman" w:cs="Times New Roman"/>
          <w:sz w:val="22"/>
          <w:szCs w:val="22"/>
        </w:rPr>
        <w:t xml:space="preserve">uw Kamer </w:t>
      </w:r>
      <w:r w:rsidR="00A11BC8">
        <w:rPr>
          <w:rFonts w:ascii="Times New Roman" w:hAnsi="Times New Roman" w:cs="Times New Roman"/>
          <w:sz w:val="22"/>
          <w:szCs w:val="22"/>
        </w:rPr>
        <w:t xml:space="preserve">(rapport Leegte) </w:t>
      </w:r>
      <w:r w:rsidRPr="00925B3C">
        <w:rPr>
          <w:rFonts w:ascii="Times New Roman" w:hAnsi="Times New Roman" w:cs="Times New Roman"/>
          <w:sz w:val="22"/>
          <w:szCs w:val="22"/>
        </w:rPr>
        <w:t>zich</w:t>
      </w:r>
      <w:r w:rsidRPr="00925B3C" w:rsidR="00505430">
        <w:rPr>
          <w:rFonts w:ascii="Times New Roman" w:hAnsi="Times New Roman" w:cs="Times New Roman"/>
          <w:sz w:val="22"/>
          <w:szCs w:val="22"/>
        </w:rPr>
        <w:t xml:space="preserve"> geen voorstander </w:t>
      </w:r>
      <w:r w:rsidRPr="00925B3C">
        <w:rPr>
          <w:rFonts w:ascii="Times New Roman" w:hAnsi="Times New Roman" w:cs="Times New Roman"/>
          <w:sz w:val="22"/>
          <w:szCs w:val="22"/>
        </w:rPr>
        <w:t>toont</w:t>
      </w:r>
      <w:r w:rsidRPr="00925B3C" w:rsidR="00505430">
        <w:rPr>
          <w:rFonts w:ascii="Times New Roman" w:hAnsi="Times New Roman" w:cs="Times New Roman"/>
          <w:sz w:val="22"/>
          <w:szCs w:val="22"/>
        </w:rPr>
        <w:t xml:space="preserve"> van de rode kaart aan het einde van het besluitvormingstraject, </w:t>
      </w:r>
      <w:r w:rsidR="002856D4">
        <w:rPr>
          <w:rFonts w:ascii="Times New Roman" w:hAnsi="Times New Roman" w:cs="Times New Roman"/>
          <w:sz w:val="22"/>
          <w:szCs w:val="22"/>
        </w:rPr>
        <w:t>omdat dit</w:t>
      </w:r>
      <w:r w:rsidRPr="00925B3C" w:rsidR="00505430">
        <w:rPr>
          <w:rFonts w:ascii="Times New Roman" w:hAnsi="Times New Roman" w:cs="Times New Roman"/>
          <w:sz w:val="22"/>
          <w:szCs w:val="22"/>
        </w:rPr>
        <w:t xml:space="preserve"> op juridische bezwaren</w:t>
      </w:r>
      <w:r w:rsidR="002856D4">
        <w:rPr>
          <w:rFonts w:ascii="Times New Roman" w:hAnsi="Times New Roman" w:cs="Times New Roman"/>
          <w:sz w:val="22"/>
          <w:szCs w:val="22"/>
        </w:rPr>
        <w:t xml:space="preserve"> stuit</w:t>
      </w:r>
      <w:r w:rsidRPr="00925B3C" w:rsidR="00505430">
        <w:rPr>
          <w:rFonts w:ascii="Times New Roman" w:hAnsi="Times New Roman" w:cs="Times New Roman"/>
          <w:sz w:val="22"/>
          <w:szCs w:val="22"/>
        </w:rPr>
        <w:t xml:space="preserve">. </w:t>
      </w:r>
      <w:r w:rsidRPr="00925B3C" w:rsidR="006B3D11">
        <w:rPr>
          <w:rFonts w:ascii="Times New Roman" w:hAnsi="Times New Roman" w:cs="Times New Roman"/>
          <w:sz w:val="22"/>
          <w:szCs w:val="22"/>
        </w:rPr>
        <w:t>Uw Kamer</w:t>
      </w:r>
      <w:r w:rsidRPr="00925B3C" w:rsidR="00505430">
        <w:rPr>
          <w:rFonts w:ascii="Times New Roman" w:hAnsi="Times New Roman" w:cs="Times New Roman"/>
          <w:sz w:val="22"/>
          <w:szCs w:val="22"/>
        </w:rPr>
        <w:t xml:space="preserve"> </w:t>
      </w:r>
      <w:r w:rsidRPr="00925B3C" w:rsidR="006B3D11">
        <w:rPr>
          <w:rFonts w:ascii="Times New Roman" w:hAnsi="Times New Roman" w:cs="Times New Roman"/>
          <w:sz w:val="22"/>
          <w:szCs w:val="22"/>
        </w:rPr>
        <w:t>geeft</w:t>
      </w:r>
      <w:r w:rsidRPr="00925B3C" w:rsidR="00505430">
        <w:rPr>
          <w:rFonts w:ascii="Times New Roman" w:hAnsi="Times New Roman" w:cs="Times New Roman"/>
          <w:sz w:val="22"/>
          <w:szCs w:val="22"/>
        </w:rPr>
        <w:t xml:space="preserve"> </w:t>
      </w:r>
      <w:r w:rsidRPr="00925B3C" w:rsidR="006B3D11">
        <w:rPr>
          <w:rFonts w:ascii="Times New Roman" w:hAnsi="Times New Roman" w:cs="Times New Roman"/>
          <w:sz w:val="22"/>
          <w:szCs w:val="22"/>
        </w:rPr>
        <w:t xml:space="preserve">daarentegen de voorkeur aan </w:t>
      </w:r>
      <w:r w:rsidRPr="00925B3C" w:rsidR="00505430">
        <w:rPr>
          <w:rFonts w:ascii="Times New Roman" w:hAnsi="Times New Roman" w:cs="Times New Roman"/>
          <w:sz w:val="22"/>
          <w:szCs w:val="22"/>
        </w:rPr>
        <w:t>controle in de schrijf- en behandelfase van nieuwe wetgeving</w:t>
      </w:r>
      <w:r w:rsidRPr="00925B3C" w:rsidR="006B3D11">
        <w:rPr>
          <w:rFonts w:ascii="Times New Roman" w:hAnsi="Times New Roman" w:cs="Times New Roman"/>
          <w:sz w:val="22"/>
          <w:szCs w:val="22"/>
        </w:rPr>
        <w:t>.</w:t>
      </w:r>
      <w:r w:rsidRPr="00925B3C" w:rsidR="00E3672B">
        <w:rPr>
          <w:rFonts w:ascii="Times New Roman" w:hAnsi="Times New Roman" w:cs="Times New Roman"/>
          <w:sz w:val="22"/>
          <w:szCs w:val="22"/>
        </w:rPr>
        <w:t xml:space="preserve"> </w:t>
      </w:r>
      <w:r w:rsidRPr="00925B3C" w:rsidR="001804B9">
        <w:rPr>
          <w:rFonts w:ascii="Times New Roman" w:hAnsi="Times New Roman" w:cs="Times New Roman"/>
          <w:sz w:val="22"/>
          <w:szCs w:val="22"/>
        </w:rPr>
        <w:t>Ook d</w:t>
      </w:r>
      <w:r w:rsidRPr="00925B3C" w:rsidR="00E3672B">
        <w:rPr>
          <w:rFonts w:ascii="Times New Roman" w:hAnsi="Times New Roman" w:cs="Times New Roman"/>
          <w:sz w:val="22"/>
          <w:szCs w:val="22"/>
        </w:rPr>
        <w:t xml:space="preserve">e </w:t>
      </w:r>
      <w:r w:rsidRPr="00925B3C" w:rsidR="001804B9">
        <w:rPr>
          <w:rFonts w:ascii="Times New Roman" w:hAnsi="Times New Roman" w:cs="Times New Roman"/>
          <w:sz w:val="22"/>
          <w:szCs w:val="22"/>
        </w:rPr>
        <w:t xml:space="preserve">AIV geeft aan geen voorstander </w:t>
      </w:r>
      <w:r w:rsidR="00A42B46">
        <w:rPr>
          <w:rFonts w:ascii="Times New Roman" w:hAnsi="Times New Roman" w:cs="Times New Roman"/>
          <w:sz w:val="22"/>
          <w:szCs w:val="22"/>
        </w:rPr>
        <w:t xml:space="preserve">van een rode kaart </w:t>
      </w:r>
      <w:r w:rsidR="00B70AD5">
        <w:rPr>
          <w:rFonts w:ascii="Times New Roman" w:hAnsi="Times New Roman" w:cs="Times New Roman"/>
          <w:sz w:val="22"/>
          <w:szCs w:val="22"/>
        </w:rPr>
        <w:t xml:space="preserve">te </w:t>
      </w:r>
      <w:r w:rsidRPr="00925B3C" w:rsidR="001804B9">
        <w:rPr>
          <w:rFonts w:ascii="Times New Roman" w:hAnsi="Times New Roman" w:cs="Times New Roman"/>
          <w:sz w:val="22"/>
          <w:szCs w:val="22"/>
        </w:rPr>
        <w:t>zijn, omdat deze niet bijdraagt aan het creëren van democratische legitimiteit door het voeren van een goede inhoudelijke discussie, zoals de, eventueel versterkte, gele of oranje kaart dat wel kan.</w:t>
      </w:r>
    </w:p>
    <w:p w:rsidRPr="00925B3C" w:rsidR="00F07568" w:rsidP="0049253F" w:rsidRDefault="00F07568" w14:paraId="5D98C1FD" w14:textId="77777777">
      <w:pPr>
        <w:pStyle w:val="Normaalweb"/>
        <w:numPr>
          <w:ilvl w:val="0"/>
          <w:numId w:val="18"/>
        </w:numPr>
        <w:rPr>
          <w:i/>
          <w:sz w:val="22"/>
          <w:szCs w:val="22"/>
        </w:rPr>
      </w:pPr>
      <w:r w:rsidRPr="00925B3C">
        <w:rPr>
          <w:i/>
          <w:sz w:val="22"/>
          <w:szCs w:val="22"/>
        </w:rPr>
        <w:t xml:space="preserve">Versterking van de </w:t>
      </w:r>
      <w:r w:rsidRPr="00925B3C" w:rsidR="00522566">
        <w:rPr>
          <w:i/>
          <w:sz w:val="22"/>
          <w:szCs w:val="22"/>
        </w:rPr>
        <w:t>interinstitutionele</w:t>
      </w:r>
      <w:r w:rsidRPr="00925B3C">
        <w:rPr>
          <w:i/>
          <w:sz w:val="22"/>
          <w:szCs w:val="22"/>
        </w:rPr>
        <w:t xml:space="preserve"> balans (IIA’s)</w:t>
      </w:r>
    </w:p>
    <w:p w:rsidRPr="00925B3C" w:rsidR="00F07568" w:rsidP="0049253F" w:rsidRDefault="003933BB" w14:paraId="4856EFA9" w14:textId="77777777">
      <w:pPr>
        <w:pStyle w:val="Normaalweb"/>
        <w:spacing w:before="0" w:beforeAutospacing="0" w:after="0"/>
        <w:rPr>
          <w:rStyle w:val="Nadruk"/>
          <w:rFonts w:eastAsia="Calibri"/>
          <w:i w:val="0"/>
          <w:sz w:val="22"/>
          <w:szCs w:val="22"/>
        </w:rPr>
      </w:pPr>
      <w:r>
        <w:rPr>
          <w:rStyle w:val="Nadruk"/>
          <w:rFonts w:eastAsia="Calibri"/>
          <w:i w:val="0"/>
          <w:sz w:val="22"/>
          <w:szCs w:val="22"/>
        </w:rPr>
        <w:lastRenderedPageBreak/>
        <w:t>Zoals uiteengezet in de Staat van de Unie is h</w:t>
      </w:r>
      <w:r w:rsidRPr="00925B3C" w:rsidR="00F07568">
        <w:rPr>
          <w:rStyle w:val="Nadruk"/>
          <w:rFonts w:eastAsia="Calibri"/>
          <w:i w:val="0"/>
          <w:sz w:val="22"/>
          <w:szCs w:val="22"/>
        </w:rPr>
        <w:t>et kabinet van mening dat de interinstit</w:t>
      </w:r>
      <w:r w:rsidR="004F1039">
        <w:rPr>
          <w:rStyle w:val="Nadruk"/>
          <w:rFonts w:eastAsia="Calibri"/>
          <w:i w:val="0"/>
          <w:sz w:val="22"/>
          <w:szCs w:val="22"/>
        </w:rPr>
        <w:t>ut</w:t>
      </w:r>
      <w:r w:rsidRPr="00925B3C" w:rsidR="00F07568">
        <w:rPr>
          <w:rStyle w:val="Nadruk"/>
          <w:rFonts w:eastAsia="Calibri"/>
          <w:i w:val="0"/>
          <w:sz w:val="22"/>
          <w:szCs w:val="22"/>
        </w:rPr>
        <w:t xml:space="preserve">ionele </w:t>
      </w:r>
      <w:r w:rsidRPr="00925B3C" w:rsidR="004A4333">
        <w:rPr>
          <w:rStyle w:val="Nadruk"/>
          <w:rFonts w:eastAsia="Calibri"/>
          <w:i w:val="0"/>
          <w:sz w:val="22"/>
          <w:szCs w:val="22"/>
        </w:rPr>
        <w:t xml:space="preserve">balans </w:t>
      </w:r>
      <w:r w:rsidRPr="00925B3C" w:rsidR="00F07568">
        <w:rPr>
          <w:rStyle w:val="Nadruk"/>
          <w:rFonts w:eastAsia="Calibri"/>
          <w:i w:val="0"/>
          <w:sz w:val="22"/>
          <w:szCs w:val="22"/>
        </w:rPr>
        <w:t>hersteld dient te worden. Dit kan met name bewerkstelligd worden door het sluiten van nieuwe IIA</w:t>
      </w:r>
      <w:r w:rsidR="00A11BC8">
        <w:rPr>
          <w:rStyle w:val="Nadruk"/>
          <w:rFonts w:eastAsia="Calibri"/>
          <w:i w:val="0"/>
          <w:sz w:val="22"/>
          <w:szCs w:val="22"/>
        </w:rPr>
        <w:t>’s</w:t>
      </w:r>
      <w:r w:rsidRPr="00925B3C" w:rsidR="00F07568">
        <w:rPr>
          <w:rStyle w:val="Nadruk"/>
          <w:rFonts w:eastAsia="Calibri"/>
          <w:i w:val="0"/>
          <w:sz w:val="22"/>
          <w:szCs w:val="22"/>
        </w:rPr>
        <w:t xml:space="preserve">, dan </w:t>
      </w:r>
      <w:r w:rsidR="004F1039">
        <w:rPr>
          <w:rStyle w:val="Nadruk"/>
          <w:rFonts w:eastAsia="Calibri"/>
          <w:i w:val="0"/>
          <w:sz w:val="22"/>
          <w:szCs w:val="22"/>
        </w:rPr>
        <w:t>wel bestaande IIA’s te wijzig</w:t>
      </w:r>
      <w:r w:rsidRPr="00925B3C" w:rsidR="00F07568">
        <w:rPr>
          <w:rStyle w:val="Nadruk"/>
          <w:rFonts w:eastAsia="Calibri"/>
          <w:i w:val="0"/>
          <w:sz w:val="22"/>
          <w:szCs w:val="22"/>
        </w:rPr>
        <w:t xml:space="preserve">en. </w:t>
      </w:r>
      <w:r w:rsidR="00DD0B4E">
        <w:rPr>
          <w:rStyle w:val="Nadruk"/>
          <w:rFonts w:eastAsia="Calibri"/>
          <w:i w:val="0"/>
          <w:sz w:val="22"/>
          <w:szCs w:val="22"/>
        </w:rPr>
        <w:t xml:space="preserve">Doel hiervan is de procedurele verhoudingen tussen de instellingen nader vorm te geven. </w:t>
      </w:r>
    </w:p>
    <w:p w:rsidRPr="00925B3C" w:rsidR="00505430" w:rsidP="0049253F" w:rsidRDefault="00505430" w14:paraId="4A34FDB0" w14:textId="77777777">
      <w:pPr>
        <w:pStyle w:val="Normaalweb"/>
        <w:spacing w:before="0" w:beforeAutospacing="0" w:after="0"/>
        <w:rPr>
          <w:rStyle w:val="Nadruk"/>
          <w:rFonts w:eastAsia="Calibri"/>
          <w:i w:val="0"/>
          <w:sz w:val="22"/>
          <w:szCs w:val="22"/>
        </w:rPr>
      </w:pPr>
    </w:p>
    <w:p w:rsidRPr="00925B3C" w:rsidR="00F07568" w:rsidP="0049253F" w:rsidRDefault="00237C59" w14:paraId="6DF513DD" w14:textId="0513DBD7">
      <w:pPr>
        <w:pStyle w:val="Normaalweb"/>
        <w:spacing w:before="0" w:beforeAutospacing="0" w:after="0"/>
        <w:rPr>
          <w:rStyle w:val="Nadruk"/>
          <w:rFonts w:eastAsia="Calibri"/>
          <w:i w:val="0"/>
          <w:sz w:val="22"/>
          <w:szCs w:val="22"/>
        </w:rPr>
      </w:pPr>
      <w:r w:rsidRPr="00925B3C">
        <w:rPr>
          <w:rStyle w:val="Nadruk"/>
          <w:rFonts w:eastAsia="Calibri"/>
          <w:i w:val="0"/>
          <w:sz w:val="22"/>
          <w:szCs w:val="22"/>
        </w:rPr>
        <w:t xml:space="preserve">Een mogelijkheid is </w:t>
      </w:r>
      <w:r w:rsidRPr="00925B3C" w:rsidR="00F07568">
        <w:rPr>
          <w:rStyle w:val="Nadruk"/>
          <w:rFonts w:eastAsia="Calibri"/>
          <w:i w:val="0"/>
          <w:sz w:val="22"/>
          <w:szCs w:val="22"/>
        </w:rPr>
        <w:t xml:space="preserve">het sluiten van een interinstitutioneel akkoord, waarin onder andere de werkwijze rond totstandkoming en uitvoering van meerjaren-programmering en controle daarop wordt vastgelegd. Dit akkoord zou ook de strategische relatie tussen de Raad en het Europees Parlement als medewetgever </w:t>
      </w:r>
      <w:r w:rsidRPr="00925B3C">
        <w:rPr>
          <w:rStyle w:val="Nadruk"/>
          <w:rFonts w:eastAsia="Calibri"/>
          <w:i w:val="0"/>
          <w:sz w:val="22"/>
          <w:szCs w:val="22"/>
        </w:rPr>
        <w:t>kunnen</w:t>
      </w:r>
      <w:r w:rsidRPr="00925B3C" w:rsidR="00F07568">
        <w:rPr>
          <w:rStyle w:val="Nadruk"/>
          <w:rFonts w:eastAsia="Calibri"/>
          <w:i w:val="0"/>
          <w:sz w:val="22"/>
          <w:szCs w:val="22"/>
        </w:rPr>
        <w:t xml:space="preserve"> versterken. </w:t>
      </w:r>
    </w:p>
    <w:p w:rsidRPr="00925B3C" w:rsidR="00F07568" w:rsidP="0049253F" w:rsidRDefault="00F07568" w14:paraId="6E07F7B3" w14:textId="2E3DC794">
      <w:pPr>
        <w:pStyle w:val="Normaalweb"/>
        <w:rPr>
          <w:sz w:val="22"/>
          <w:szCs w:val="22"/>
        </w:rPr>
      </w:pPr>
      <w:r w:rsidRPr="00925B3C">
        <w:rPr>
          <w:rStyle w:val="Nadruk"/>
          <w:rFonts w:eastAsia="Calibri"/>
          <w:i w:val="0"/>
          <w:sz w:val="22"/>
          <w:szCs w:val="22"/>
        </w:rPr>
        <w:t xml:space="preserve">Een andere optie is het IIA </w:t>
      </w:r>
      <w:r w:rsidRPr="00925B3C" w:rsidR="007F4113">
        <w:rPr>
          <w:rStyle w:val="Nadruk"/>
          <w:rFonts w:eastAsia="Calibri"/>
          <w:i w:val="0"/>
          <w:sz w:val="22"/>
          <w:szCs w:val="22"/>
        </w:rPr>
        <w:t>B</w:t>
      </w:r>
      <w:r w:rsidRPr="00925B3C">
        <w:rPr>
          <w:rStyle w:val="Nadruk"/>
          <w:rFonts w:eastAsia="Calibri"/>
          <w:i w:val="0"/>
          <w:sz w:val="22"/>
          <w:szCs w:val="22"/>
        </w:rPr>
        <w:t xml:space="preserve">eter </w:t>
      </w:r>
      <w:r w:rsidRPr="00925B3C" w:rsidR="007F4113">
        <w:rPr>
          <w:rStyle w:val="Nadruk"/>
          <w:rFonts w:eastAsia="Calibri"/>
          <w:i w:val="0"/>
          <w:sz w:val="22"/>
          <w:szCs w:val="22"/>
        </w:rPr>
        <w:t>W</w:t>
      </w:r>
      <w:r w:rsidRPr="00925B3C">
        <w:rPr>
          <w:rStyle w:val="Nadruk"/>
          <w:rFonts w:eastAsia="Calibri"/>
          <w:i w:val="0"/>
          <w:sz w:val="22"/>
          <w:szCs w:val="22"/>
        </w:rPr>
        <w:t>etgeven uit 2003 te wijzigen.</w:t>
      </w:r>
      <w:r w:rsidRPr="00925B3C">
        <w:rPr>
          <w:sz w:val="22"/>
          <w:szCs w:val="22"/>
        </w:rPr>
        <w:t xml:space="preserve"> Het </w:t>
      </w:r>
      <w:r w:rsidRPr="00925B3C" w:rsidR="007F4113">
        <w:rPr>
          <w:sz w:val="22"/>
          <w:szCs w:val="22"/>
        </w:rPr>
        <w:t>k</w:t>
      </w:r>
      <w:r w:rsidRPr="00925B3C">
        <w:rPr>
          <w:sz w:val="22"/>
          <w:szCs w:val="22"/>
        </w:rPr>
        <w:t xml:space="preserve">abinet is van mening dat dit IIA aangepast moet worden </w:t>
      </w:r>
      <w:r w:rsidR="004B0189">
        <w:rPr>
          <w:sz w:val="22"/>
          <w:szCs w:val="22"/>
        </w:rPr>
        <w:t xml:space="preserve">om </w:t>
      </w:r>
      <w:r w:rsidRPr="00925B3C">
        <w:rPr>
          <w:sz w:val="22"/>
          <w:szCs w:val="22"/>
        </w:rPr>
        <w:t>recht te doen aan de verhoudingen na Lissabon, zoals aanpassing aan de huidige medewetgevingsproc</w:t>
      </w:r>
      <w:r w:rsidR="003C41C5">
        <w:rPr>
          <w:sz w:val="22"/>
          <w:szCs w:val="22"/>
        </w:rPr>
        <w:t>e</w:t>
      </w:r>
      <w:r w:rsidRPr="00925B3C">
        <w:rPr>
          <w:sz w:val="22"/>
          <w:szCs w:val="22"/>
        </w:rPr>
        <w:t xml:space="preserve">dure. Daarnaast dient aandacht te worden geschonken aan procedures rond </w:t>
      </w:r>
      <w:r w:rsidR="008B26E7">
        <w:rPr>
          <w:sz w:val="22"/>
          <w:szCs w:val="22"/>
        </w:rPr>
        <w:t>consultaties,</w:t>
      </w:r>
      <w:r w:rsidRPr="00925B3C">
        <w:rPr>
          <w:sz w:val="22"/>
          <w:szCs w:val="22"/>
        </w:rPr>
        <w:t xml:space="preserve"> impact assessments, transparantie, </w:t>
      </w:r>
      <w:r w:rsidR="00BF0D6D">
        <w:rPr>
          <w:sz w:val="22"/>
          <w:szCs w:val="22"/>
        </w:rPr>
        <w:t>uitvoering</w:t>
      </w:r>
      <w:r w:rsidRPr="00925B3C">
        <w:rPr>
          <w:sz w:val="22"/>
          <w:szCs w:val="22"/>
        </w:rPr>
        <w:t xml:space="preserve"> en delegatie</w:t>
      </w:r>
      <w:r w:rsidR="008A0F0A">
        <w:rPr>
          <w:sz w:val="22"/>
          <w:szCs w:val="22"/>
        </w:rPr>
        <w:t xml:space="preserve"> en </w:t>
      </w:r>
      <w:r w:rsidR="009E7216">
        <w:rPr>
          <w:sz w:val="22"/>
          <w:szCs w:val="22"/>
        </w:rPr>
        <w:t xml:space="preserve">de naleving van </w:t>
      </w:r>
      <w:r w:rsidR="00002C2F">
        <w:rPr>
          <w:sz w:val="22"/>
          <w:szCs w:val="22"/>
        </w:rPr>
        <w:t>het Handvest van</w:t>
      </w:r>
      <w:r w:rsidR="008B26E7">
        <w:rPr>
          <w:sz w:val="22"/>
          <w:szCs w:val="22"/>
        </w:rPr>
        <w:t xml:space="preserve"> de Grondrechten van de Europese Unie</w:t>
      </w:r>
      <w:r w:rsidRPr="00925B3C">
        <w:rPr>
          <w:sz w:val="22"/>
          <w:szCs w:val="22"/>
        </w:rPr>
        <w:t>. Bovendien moet het IIA nadrukkelijk ingaan op de versterking van het belang van subsidiariteit en proportionaliteit, de versterking van de rol van nationale parlementen en van het instrumentarium voor toepassing, handhaving en evaluatie van Europese regelgeving</w:t>
      </w:r>
      <w:r w:rsidR="009E7216">
        <w:rPr>
          <w:sz w:val="22"/>
          <w:szCs w:val="22"/>
        </w:rPr>
        <w:t xml:space="preserve"> (onder meer in relatie tot de gevolgen </w:t>
      </w:r>
      <w:r w:rsidRPr="00925B3C" w:rsidR="009E7216">
        <w:rPr>
          <w:sz w:val="22"/>
          <w:szCs w:val="22"/>
        </w:rPr>
        <w:t xml:space="preserve">voor </w:t>
      </w:r>
      <w:r w:rsidR="009E7216">
        <w:rPr>
          <w:sz w:val="22"/>
          <w:szCs w:val="22"/>
        </w:rPr>
        <w:t xml:space="preserve">regionale en </w:t>
      </w:r>
      <w:r w:rsidRPr="00925B3C" w:rsidR="009E7216">
        <w:rPr>
          <w:sz w:val="22"/>
          <w:szCs w:val="22"/>
        </w:rPr>
        <w:t>lo</w:t>
      </w:r>
      <w:r w:rsidR="009E7216">
        <w:rPr>
          <w:sz w:val="22"/>
          <w:szCs w:val="22"/>
        </w:rPr>
        <w:t>k</w:t>
      </w:r>
      <w:r w:rsidRPr="00925B3C" w:rsidR="009E7216">
        <w:rPr>
          <w:sz w:val="22"/>
          <w:szCs w:val="22"/>
        </w:rPr>
        <w:t>ale overheden</w:t>
      </w:r>
      <w:r w:rsidR="009E7216">
        <w:rPr>
          <w:sz w:val="22"/>
          <w:szCs w:val="22"/>
        </w:rPr>
        <w:t>)</w:t>
      </w:r>
      <w:r w:rsidRPr="00925B3C">
        <w:rPr>
          <w:sz w:val="22"/>
          <w:szCs w:val="22"/>
        </w:rPr>
        <w:t xml:space="preserve">. </w:t>
      </w:r>
    </w:p>
    <w:p w:rsidRPr="00925B3C" w:rsidR="00F07568" w:rsidP="0049253F" w:rsidRDefault="00237C59" w14:paraId="42B675F4" w14:textId="77777777">
      <w:pPr>
        <w:pStyle w:val="Normaalweb"/>
        <w:rPr>
          <w:sz w:val="22"/>
          <w:szCs w:val="22"/>
        </w:rPr>
      </w:pPr>
      <w:r w:rsidRPr="00925B3C">
        <w:rPr>
          <w:sz w:val="22"/>
          <w:szCs w:val="22"/>
        </w:rPr>
        <w:t>Ten slotte is er de</w:t>
      </w:r>
      <w:r w:rsidRPr="00925B3C" w:rsidR="00F07568">
        <w:rPr>
          <w:sz w:val="22"/>
          <w:szCs w:val="22"/>
        </w:rPr>
        <w:t xml:space="preserve"> optie van een IIA tussen de Raad en de Commissie, analoog aan het </w:t>
      </w:r>
      <w:r w:rsidRPr="00925B3C">
        <w:rPr>
          <w:sz w:val="22"/>
          <w:szCs w:val="22"/>
        </w:rPr>
        <w:t xml:space="preserve">reeds bestaande </w:t>
      </w:r>
      <w:r w:rsidRPr="00925B3C" w:rsidR="00F07568">
        <w:rPr>
          <w:sz w:val="22"/>
          <w:szCs w:val="22"/>
        </w:rPr>
        <w:t xml:space="preserve">IIA tussen het Europees Parlement en de </w:t>
      </w:r>
      <w:r w:rsidRPr="00925B3C" w:rsidR="00F873FD">
        <w:rPr>
          <w:sz w:val="22"/>
          <w:szCs w:val="22"/>
        </w:rPr>
        <w:t>C</w:t>
      </w:r>
      <w:r w:rsidRPr="00925B3C" w:rsidR="00F07568">
        <w:rPr>
          <w:sz w:val="22"/>
          <w:szCs w:val="22"/>
        </w:rPr>
        <w:t xml:space="preserve">ommissie, om </w:t>
      </w:r>
      <w:r w:rsidRPr="00925B3C">
        <w:rPr>
          <w:sz w:val="22"/>
          <w:szCs w:val="22"/>
        </w:rPr>
        <w:t xml:space="preserve">de </w:t>
      </w:r>
      <w:r w:rsidRPr="00925B3C" w:rsidR="00F07568">
        <w:rPr>
          <w:sz w:val="22"/>
          <w:szCs w:val="22"/>
        </w:rPr>
        <w:t>verantwoording van de Commissie ten opzichte van Raad te versterken. Een andere mogelijkheid is eventueel het sluiten van een nieuw IIA tussen de Raad en het Europees Parlement</w:t>
      </w:r>
      <w:r w:rsidRPr="00925B3C">
        <w:rPr>
          <w:sz w:val="22"/>
          <w:szCs w:val="22"/>
        </w:rPr>
        <w:t xml:space="preserve"> als medewetgevers</w:t>
      </w:r>
      <w:r w:rsidRPr="00925B3C" w:rsidR="00F07568">
        <w:rPr>
          <w:sz w:val="22"/>
          <w:szCs w:val="22"/>
        </w:rPr>
        <w:t xml:space="preserve">. </w:t>
      </w:r>
    </w:p>
    <w:p w:rsidRPr="00925B3C" w:rsidR="00302191" w:rsidP="0049253F" w:rsidRDefault="00302191" w14:paraId="6CD7E914" w14:textId="77777777">
      <w:pPr>
        <w:pStyle w:val="Lijstalinea"/>
        <w:numPr>
          <w:ilvl w:val="0"/>
          <w:numId w:val="6"/>
        </w:numPr>
        <w:rPr>
          <w:rFonts w:ascii="Times New Roman" w:hAnsi="Times New Roman" w:cs="Times New Roman"/>
          <w:b/>
          <w:sz w:val="22"/>
          <w:szCs w:val="22"/>
        </w:rPr>
      </w:pPr>
      <w:r w:rsidRPr="00925B3C">
        <w:rPr>
          <w:rFonts w:ascii="Times New Roman" w:hAnsi="Times New Roman" w:cs="Times New Roman"/>
          <w:b/>
          <w:sz w:val="22"/>
          <w:szCs w:val="22"/>
        </w:rPr>
        <w:t>Krachtenveld</w:t>
      </w:r>
    </w:p>
    <w:p w:rsidRPr="00925B3C" w:rsidR="00ED0DE2" w:rsidP="0049253F" w:rsidRDefault="00ED0DE2" w14:paraId="3215A37F" w14:textId="77777777">
      <w:pPr>
        <w:rPr>
          <w:rFonts w:ascii="Times New Roman" w:hAnsi="Times New Roman" w:cs="Times New Roman"/>
          <w:sz w:val="22"/>
          <w:szCs w:val="22"/>
        </w:rPr>
      </w:pPr>
    </w:p>
    <w:p w:rsidRPr="00925B3C" w:rsidR="00D25F93" w:rsidP="0049253F" w:rsidRDefault="00D25F93" w14:paraId="032E02F3" w14:textId="131E5634">
      <w:pPr>
        <w:rPr>
          <w:rFonts w:ascii="Times New Roman" w:hAnsi="Times New Roman" w:cs="Times New Roman"/>
          <w:sz w:val="22"/>
          <w:szCs w:val="22"/>
        </w:rPr>
      </w:pPr>
      <w:r w:rsidRPr="00925B3C">
        <w:rPr>
          <w:rFonts w:ascii="Times New Roman" w:hAnsi="Times New Roman" w:cs="Times New Roman"/>
          <w:sz w:val="22"/>
          <w:szCs w:val="22"/>
        </w:rPr>
        <w:t xml:space="preserve">Uit sondering bij andere lidstaten blijkt dat het denken over democratische legitimiteit onderling verschilt. Daarbij zij overigens aangetekend dat de sondering een momentopname betreft. Duidelijk is evenwel dat in veel lidstaten een breed publiek debat over democratische legitimiteit van de Unie of verlies aan soevereiniteit ontbreekt, zoals dat in Nederland wel zeer actief gevoerd wordt. Nederland en het VK zijn de lidstaten waar dit debat het meest uitgesproken is. </w:t>
      </w:r>
      <w:r w:rsidR="00F77518">
        <w:rPr>
          <w:rFonts w:ascii="Times New Roman" w:hAnsi="Times New Roman" w:cs="Times New Roman"/>
          <w:sz w:val="22"/>
          <w:szCs w:val="22"/>
        </w:rPr>
        <w:t>Zo</w:t>
      </w:r>
      <w:r w:rsidRPr="00925B3C">
        <w:rPr>
          <w:rFonts w:ascii="Times New Roman" w:hAnsi="Times New Roman" w:cs="Times New Roman"/>
          <w:sz w:val="22"/>
          <w:szCs w:val="22"/>
        </w:rPr>
        <w:t xml:space="preserve"> wordt de discussie over verlies aan soevereiniteit gevoerd in lidstaten waar</w:t>
      </w:r>
      <w:r w:rsidR="0007505E">
        <w:rPr>
          <w:rFonts w:ascii="Times New Roman" w:hAnsi="Times New Roman" w:cs="Times New Roman"/>
          <w:sz w:val="22"/>
          <w:szCs w:val="22"/>
        </w:rPr>
        <w:t>aan</w:t>
      </w:r>
      <w:r w:rsidRPr="00925B3C">
        <w:rPr>
          <w:rFonts w:ascii="Times New Roman" w:hAnsi="Times New Roman" w:cs="Times New Roman"/>
          <w:sz w:val="22"/>
          <w:szCs w:val="22"/>
        </w:rPr>
        <w:t xml:space="preserve"> </w:t>
      </w:r>
      <w:r w:rsidR="0007505E">
        <w:rPr>
          <w:rFonts w:ascii="Times New Roman" w:hAnsi="Times New Roman" w:cs="Times New Roman"/>
          <w:sz w:val="22"/>
          <w:szCs w:val="22"/>
        </w:rPr>
        <w:t xml:space="preserve">in ruil voor financiële steun ingrijpende beleidsmaatregelen zijn </w:t>
      </w:r>
      <w:r w:rsidR="00B70AD5">
        <w:rPr>
          <w:rFonts w:ascii="Times New Roman" w:hAnsi="Times New Roman" w:cs="Times New Roman"/>
          <w:sz w:val="22"/>
          <w:szCs w:val="22"/>
        </w:rPr>
        <w:t>doorgevoerd</w:t>
      </w:r>
      <w:r w:rsidRPr="00925B3C">
        <w:rPr>
          <w:rFonts w:ascii="Times New Roman" w:hAnsi="Times New Roman" w:cs="Times New Roman"/>
          <w:sz w:val="22"/>
          <w:szCs w:val="22"/>
        </w:rPr>
        <w:t xml:space="preserve">, zoals in Portugal, Cyprus en Ierland. De context van het debat verschilt daardoor met die in Nederland en het VK. Andere lidstaten die hard met de Eurocrisis </w:t>
      </w:r>
      <w:r w:rsidR="0007505E">
        <w:rPr>
          <w:rFonts w:ascii="Times New Roman" w:hAnsi="Times New Roman" w:cs="Times New Roman"/>
          <w:sz w:val="22"/>
          <w:szCs w:val="22"/>
        </w:rPr>
        <w:t xml:space="preserve">zijn </w:t>
      </w:r>
      <w:r w:rsidRPr="00925B3C">
        <w:rPr>
          <w:rFonts w:ascii="Times New Roman" w:hAnsi="Times New Roman" w:cs="Times New Roman"/>
          <w:sz w:val="22"/>
          <w:szCs w:val="22"/>
        </w:rPr>
        <w:t xml:space="preserve">geconfronteerd zoals Spanje, spreken zich juist uit voor verdere versterkte integratie. </w:t>
      </w:r>
    </w:p>
    <w:p w:rsidR="00D25F93" w:rsidP="0049253F" w:rsidRDefault="00D25F93" w14:paraId="1733E684" w14:textId="77777777">
      <w:pPr>
        <w:rPr>
          <w:rFonts w:ascii="Times New Roman" w:hAnsi="Times New Roman" w:cs="Times New Roman"/>
          <w:sz w:val="22"/>
          <w:szCs w:val="22"/>
        </w:rPr>
      </w:pPr>
    </w:p>
    <w:p w:rsidR="00871229" w:rsidP="0049253F" w:rsidRDefault="004C6AE4" w14:paraId="3D1F1F50" w14:textId="77777777">
      <w:pPr>
        <w:rPr>
          <w:rFonts w:ascii="Times New Roman" w:hAnsi="Times New Roman" w:cs="Times New Roman"/>
          <w:sz w:val="22"/>
          <w:szCs w:val="22"/>
        </w:rPr>
      </w:pPr>
      <w:r w:rsidRPr="00925B3C">
        <w:rPr>
          <w:rFonts w:ascii="Times New Roman" w:hAnsi="Times New Roman" w:cs="Times New Roman"/>
          <w:sz w:val="22"/>
          <w:szCs w:val="22"/>
        </w:rPr>
        <w:t>Over de rol van nationale parlementen op Europees niveau wordt in veel lidstaten nagedacht. De vraag wordt gesteld hoe nationale parlementen effectiever gestalte kunnen krijgen binnen het Europees beleidsvormingsproces</w:t>
      </w:r>
      <w:r>
        <w:rPr>
          <w:rFonts w:ascii="Times New Roman" w:hAnsi="Times New Roman" w:cs="Times New Roman"/>
          <w:sz w:val="22"/>
          <w:szCs w:val="22"/>
        </w:rPr>
        <w:t>, b</w:t>
      </w:r>
      <w:r w:rsidRPr="00151551">
        <w:rPr>
          <w:rFonts w:ascii="Times New Roman" w:hAnsi="Times New Roman" w:cs="Times New Roman"/>
          <w:sz w:val="22"/>
          <w:szCs w:val="22"/>
        </w:rPr>
        <w:t xml:space="preserve">ijvoorbeeld </w:t>
      </w:r>
      <w:r>
        <w:rPr>
          <w:rFonts w:ascii="Times New Roman" w:hAnsi="Times New Roman" w:cs="Times New Roman"/>
          <w:sz w:val="22"/>
          <w:szCs w:val="22"/>
        </w:rPr>
        <w:t xml:space="preserve">in de </w:t>
      </w:r>
      <w:r w:rsidRPr="00151551">
        <w:rPr>
          <w:rFonts w:ascii="Times New Roman" w:hAnsi="Times New Roman" w:cs="Times New Roman"/>
          <w:sz w:val="22"/>
          <w:szCs w:val="22"/>
        </w:rPr>
        <w:t>twee recente rapport</w:t>
      </w:r>
      <w:r w:rsidRPr="00A326CC">
        <w:rPr>
          <w:rFonts w:ascii="Times New Roman" w:hAnsi="Times New Roman" w:cs="Times New Roman"/>
          <w:sz w:val="22"/>
          <w:szCs w:val="22"/>
        </w:rPr>
        <w:t>en</w:t>
      </w:r>
      <w:r w:rsidRPr="00151551">
        <w:rPr>
          <w:rFonts w:ascii="Times New Roman" w:hAnsi="Times New Roman" w:cs="Times New Roman"/>
          <w:sz w:val="22"/>
          <w:szCs w:val="22"/>
        </w:rPr>
        <w:t xml:space="preserve"> ‘</w:t>
      </w:r>
      <w:r w:rsidRPr="00A326CC">
        <w:rPr>
          <w:rFonts w:ascii="Times New Roman" w:hAnsi="Times New Roman" w:cs="Times New Roman"/>
          <w:i/>
          <w:sz w:val="22"/>
          <w:szCs w:val="22"/>
        </w:rPr>
        <w:t>The Role of National Parliaments in the European Union</w:t>
      </w:r>
      <w:r w:rsidRPr="00151551">
        <w:rPr>
          <w:rFonts w:ascii="Times New Roman" w:hAnsi="Times New Roman" w:cs="Times New Roman"/>
          <w:sz w:val="22"/>
          <w:szCs w:val="22"/>
        </w:rPr>
        <w:t xml:space="preserve">’ van het </w:t>
      </w:r>
      <w:r>
        <w:rPr>
          <w:rFonts w:ascii="Times New Roman" w:hAnsi="Times New Roman" w:cs="Times New Roman"/>
          <w:sz w:val="22"/>
          <w:szCs w:val="22"/>
        </w:rPr>
        <w:t xml:space="preserve">Britse </w:t>
      </w:r>
      <w:r w:rsidRPr="00151551">
        <w:rPr>
          <w:rFonts w:ascii="Times New Roman" w:hAnsi="Times New Roman" w:cs="Times New Roman"/>
          <w:sz w:val="22"/>
          <w:szCs w:val="22"/>
        </w:rPr>
        <w:t>House of Lords en het rapport ‘</w:t>
      </w:r>
      <w:r w:rsidRPr="00A326CC">
        <w:rPr>
          <w:rFonts w:ascii="Times New Roman" w:hAnsi="Times New Roman" w:cs="Times New Roman"/>
          <w:i/>
          <w:sz w:val="22"/>
          <w:szCs w:val="22"/>
        </w:rPr>
        <w:t xml:space="preserve">Twenty-three recommendations </w:t>
      </w:r>
      <w:r>
        <w:rPr>
          <w:rFonts w:ascii="Times New Roman" w:hAnsi="Times New Roman" w:cs="Times New Roman"/>
          <w:i/>
          <w:sz w:val="22"/>
          <w:szCs w:val="22"/>
        </w:rPr>
        <w:t xml:space="preserve">- </w:t>
      </w:r>
      <w:r w:rsidRPr="00A326CC">
        <w:rPr>
          <w:rFonts w:ascii="Times New Roman" w:hAnsi="Times New Roman" w:cs="Times New Roman"/>
          <w:i/>
          <w:sz w:val="22"/>
          <w:szCs w:val="22"/>
        </w:rPr>
        <w:t>to strengthen the role of national parliaments in a changing European governance</w:t>
      </w:r>
      <w:r w:rsidRPr="00151551">
        <w:rPr>
          <w:rFonts w:ascii="Times New Roman" w:hAnsi="Times New Roman" w:cs="Times New Roman"/>
          <w:sz w:val="22"/>
          <w:szCs w:val="22"/>
        </w:rPr>
        <w:t xml:space="preserve">’ van de Deense Folketing. </w:t>
      </w:r>
      <w:r w:rsidRPr="00925B3C">
        <w:rPr>
          <w:rFonts w:ascii="Times New Roman" w:hAnsi="Times New Roman" w:cs="Times New Roman"/>
          <w:sz w:val="22"/>
          <w:szCs w:val="22"/>
        </w:rPr>
        <w:t xml:space="preserve">Uiteraard speelt een rol dat de constitutionele posities van de </w:t>
      </w:r>
      <w:r w:rsidR="00B70AD5">
        <w:rPr>
          <w:rFonts w:ascii="Times New Roman" w:hAnsi="Times New Roman" w:cs="Times New Roman"/>
          <w:sz w:val="22"/>
          <w:szCs w:val="22"/>
        </w:rPr>
        <w:t>respectieve</w:t>
      </w:r>
      <w:r w:rsidRPr="00925B3C">
        <w:rPr>
          <w:rFonts w:ascii="Times New Roman" w:hAnsi="Times New Roman" w:cs="Times New Roman"/>
          <w:sz w:val="22"/>
          <w:szCs w:val="22"/>
        </w:rPr>
        <w:t xml:space="preserve"> nationale parlementen verschillen. Door het VK</w:t>
      </w:r>
      <w:r w:rsidR="00B32F15">
        <w:rPr>
          <w:rFonts w:ascii="Times New Roman" w:hAnsi="Times New Roman" w:cs="Times New Roman"/>
          <w:sz w:val="22"/>
          <w:szCs w:val="22"/>
        </w:rPr>
        <w:t xml:space="preserve"> </w:t>
      </w:r>
      <w:r w:rsidRPr="00925B3C" w:rsidR="004F1039">
        <w:rPr>
          <w:rFonts w:ascii="Times New Roman" w:hAnsi="Times New Roman" w:cs="Times New Roman"/>
          <w:sz w:val="22"/>
          <w:szCs w:val="22"/>
        </w:rPr>
        <w:t xml:space="preserve">wordt een actieve agenda gevoerd </w:t>
      </w:r>
      <w:r w:rsidR="004F1039">
        <w:rPr>
          <w:rFonts w:ascii="Times New Roman" w:hAnsi="Times New Roman" w:cs="Times New Roman"/>
          <w:sz w:val="22"/>
          <w:szCs w:val="22"/>
        </w:rPr>
        <w:t xml:space="preserve">om </w:t>
      </w:r>
      <w:r w:rsidRPr="00925B3C" w:rsidR="004F1039">
        <w:rPr>
          <w:rFonts w:ascii="Times New Roman" w:hAnsi="Times New Roman" w:cs="Times New Roman"/>
          <w:sz w:val="22"/>
          <w:szCs w:val="22"/>
        </w:rPr>
        <w:t xml:space="preserve">de rol van het nationale parlement te vergroten. In Duitsland </w:t>
      </w:r>
      <w:r w:rsidR="00B70AD5">
        <w:rPr>
          <w:rFonts w:ascii="Times New Roman" w:hAnsi="Times New Roman" w:cs="Times New Roman"/>
          <w:sz w:val="22"/>
          <w:szCs w:val="22"/>
        </w:rPr>
        <w:t>is</w:t>
      </w:r>
      <w:r w:rsidRPr="00925B3C" w:rsidR="004F1039">
        <w:rPr>
          <w:rFonts w:ascii="Times New Roman" w:hAnsi="Times New Roman" w:cs="Times New Roman"/>
          <w:sz w:val="22"/>
          <w:szCs w:val="22"/>
        </w:rPr>
        <w:t xml:space="preserve"> constitutionele toetsing </w:t>
      </w:r>
      <w:r w:rsidR="00B70AD5">
        <w:rPr>
          <w:rFonts w:ascii="Times New Roman" w:hAnsi="Times New Roman" w:cs="Times New Roman"/>
          <w:sz w:val="22"/>
          <w:szCs w:val="22"/>
        </w:rPr>
        <w:t>de</w:t>
      </w:r>
      <w:r w:rsidRPr="00925B3C" w:rsidR="004F1039">
        <w:rPr>
          <w:rFonts w:ascii="Times New Roman" w:hAnsi="Times New Roman" w:cs="Times New Roman"/>
          <w:sz w:val="22"/>
          <w:szCs w:val="22"/>
        </w:rPr>
        <w:t xml:space="preserve"> garantie</w:t>
      </w:r>
      <w:r w:rsidR="009E7216">
        <w:rPr>
          <w:rFonts w:ascii="Times New Roman" w:hAnsi="Times New Roman" w:cs="Times New Roman"/>
          <w:sz w:val="22"/>
          <w:szCs w:val="22"/>
        </w:rPr>
        <w:t xml:space="preserve"> </w:t>
      </w:r>
      <w:r w:rsidR="004F1039">
        <w:rPr>
          <w:rFonts w:ascii="Times New Roman" w:hAnsi="Times New Roman" w:cs="Times New Roman"/>
          <w:sz w:val="22"/>
          <w:szCs w:val="22"/>
        </w:rPr>
        <w:t>dat</w:t>
      </w:r>
      <w:r w:rsidRPr="00925B3C" w:rsidR="004F1039">
        <w:rPr>
          <w:rFonts w:ascii="Times New Roman" w:hAnsi="Times New Roman" w:cs="Times New Roman"/>
          <w:sz w:val="22"/>
          <w:szCs w:val="22"/>
        </w:rPr>
        <w:t xml:space="preserve"> de rol van de Bondsdag op cruciale EU-dossiers</w:t>
      </w:r>
      <w:r w:rsidR="004F1039">
        <w:rPr>
          <w:rFonts w:ascii="Times New Roman" w:hAnsi="Times New Roman" w:cs="Times New Roman"/>
          <w:sz w:val="22"/>
          <w:szCs w:val="22"/>
        </w:rPr>
        <w:t xml:space="preserve"> voldoende gewaarborgd is</w:t>
      </w:r>
      <w:r w:rsidRPr="00925B3C" w:rsidR="004F1039">
        <w:rPr>
          <w:rFonts w:ascii="Times New Roman" w:hAnsi="Times New Roman" w:cs="Times New Roman"/>
          <w:sz w:val="22"/>
          <w:szCs w:val="22"/>
        </w:rPr>
        <w:t xml:space="preserve">. </w:t>
      </w:r>
      <w:r w:rsidRPr="00925B3C" w:rsidR="00D25F93">
        <w:rPr>
          <w:rFonts w:ascii="Times New Roman" w:hAnsi="Times New Roman" w:cs="Times New Roman"/>
          <w:sz w:val="22"/>
          <w:szCs w:val="22"/>
        </w:rPr>
        <w:t xml:space="preserve">Hoewel er bij veel lidstaten </w:t>
      </w:r>
      <w:r w:rsidRPr="00925B3C" w:rsidR="00425D69">
        <w:rPr>
          <w:rFonts w:ascii="Times New Roman" w:hAnsi="Times New Roman" w:cs="Times New Roman"/>
          <w:sz w:val="22"/>
          <w:szCs w:val="22"/>
        </w:rPr>
        <w:t xml:space="preserve">in het algemeen </w:t>
      </w:r>
      <w:r w:rsidRPr="00925B3C" w:rsidR="00D25F93">
        <w:rPr>
          <w:rFonts w:ascii="Times New Roman" w:hAnsi="Times New Roman" w:cs="Times New Roman"/>
          <w:sz w:val="22"/>
          <w:szCs w:val="22"/>
        </w:rPr>
        <w:t xml:space="preserve">de wens bestaat de rol van nationale parlementen te versterken in het Europees beleidsvormingsproces, wil dat niet zeggen dat er bij andere lidstaten steun is voor initiatieven als </w:t>
      </w:r>
      <w:r w:rsidRPr="00925B3C" w:rsidR="00425D69">
        <w:rPr>
          <w:rFonts w:ascii="Times New Roman" w:hAnsi="Times New Roman" w:cs="Times New Roman"/>
          <w:sz w:val="22"/>
          <w:szCs w:val="22"/>
        </w:rPr>
        <w:t xml:space="preserve">bijvoorbeeld </w:t>
      </w:r>
      <w:r w:rsidRPr="00925B3C" w:rsidR="00D25F93">
        <w:rPr>
          <w:rFonts w:ascii="Times New Roman" w:hAnsi="Times New Roman" w:cs="Times New Roman"/>
          <w:sz w:val="22"/>
          <w:szCs w:val="22"/>
        </w:rPr>
        <w:t xml:space="preserve">een rode kaart procedure, </w:t>
      </w:r>
      <w:r w:rsidRPr="00925B3C" w:rsidR="00585811">
        <w:rPr>
          <w:rFonts w:ascii="Times New Roman" w:hAnsi="Times New Roman" w:cs="Times New Roman"/>
          <w:sz w:val="22"/>
          <w:szCs w:val="22"/>
        </w:rPr>
        <w:t xml:space="preserve">die nauwelijks of geen steun </w:t>
      </w:r>
      <w:r w:rsidR="00585811">
        <w:rPr>
          <w:rFonts w:ascii="Times New Roman" w:hAnsi="Times New Roman" w:cs="Times New Roman"/>
          <w:sz w:val="22"/>
          <w:szCs w:val="22"/>
        </w:rPr>
        <w:t xml:space="preserve">geniet bij </w:t>
      </w:r>
      <w:r w:rsidRPr="00925B3C" w:rsidR="00585811">
        <w:rPr>
          <w:rFonts w:ascii="Times New Roman" w:hAnsi="Times New Roman" w:cs="Times New Roman"/>
          <w:sz w:val="22"/>
          <w:szCs w:val="22"/>
        </w:rPr>
        <w:t xml:space="preserve">lidstaten </w:t>
      </w:r>
      <w:r w:rsidR="00585811">
        <w:rPr>
          <w:rFonts w:ascii="Times New Roman" w:hAnsi="Times New Roman" w:cs="Times New Roman"/>
          <w:sz w:val="22"/>
          <w:szCs w:val="22"/>
        </w:rPr>
        <w:t xml:space="preserve">en </w:t>
      </w:r>
      <w:r w:rsidRPr="00925B3C" w:rsidR="00585811">
        <w:rPr>
          <w:rFonts w:ascii="Times New Roman" w:hAnsi="Times New Roman" w:cs="Times New Roman"/>
          <w:sz w:val="22"/>
          <w:szCs w:val="22"/>
        </w:rPr>
        <w:t>op juridische en politieke bezwaren stuit.</w:t>
      </w:r>
    </w:p>
    <w:p w:rsidR="00A42B46" w:rsidP="0049253F" w:rsidRDefault="00A42B46" w14:paraId="6E0103DF" w14:textId="77777777">
      <w:pPr>
        <w:rPr>
          <w:rFonts w:ascii="Times New Roman" w:hAnsi="Times New Roman" w:cs="Times New Roman"/>
          <w:sz w:val="22"/>
          <w:szCs w:val="22"/>
        </w:rPr>
      </w:pPr>
    </w:p>
    <w:p w:rsidR="00A42B46" w:rsidP="0049253F" w:rsidRDefault="00D25F93" w14:paraId="37FE6A9D" w14:textId="77777777">
      <w:pPr>
        <w:rPr>
          <w:rFonts w:ascii="Times New Roman" w:hAnsi="Times New Roman" w:cs="Times New Roman"/>
          <w:sz w:val="22"/>
          <w:szCs w:val="22"/>
        </w:rPr>
      </w:pPr>
      <w:r w:rsidRPr="00925B3C">
        <w:rPr>
          <w:rFonts w:ascii="Times New Roman" w:hAnsi="Times New Roman" w:cs="Times New Roman"/>
          <w:sz w:val="22"/>
          <w:szCs w:val="22"/>
        </w:rPr>
        <w:lastRenderedPageBreak/>
        <w:t xml:space="preserve">Nieuwe of herziene kaderakkoorden tussen de Europese instellingen kunnen voorzien in een betere versterking van de rol van nationale parlementen. Het krachtenveld is </w:t>
      </w:r>
      <w:r w:rsidR="00925B3C">
        <w:rPr>
          <w:rFonts w:ascii="Times New Roman" w:hAnsi="Times New Roman" w:cs="Times New Roman"/>
          <w:sz w:val="22"/>
          <w:szCs w:val="22"/>
        </w:rPr>
        <w:t xml:space="preserve">op dit punt </w:t>
      </w:r>
      <w:r w:rsidRPr="00925B3C">
        <w:rPr>
          <w:rFonts w:ascii="Times New Roman" w:hAnsi="Times New Roman" w:cs="Times New Roman"/>
          <w:sz w:val="22"/>
          <w:szCs w:val="22"/>
        </w:rPr>
        <w:t xml:space="preserve">echter nog in ontwikkeling. Uiteraard is de steun voor een versterking van de rol van nationale parlementen in het Europees besluitvormingsproces via kaderakkoorden ook afhankelijk van steun bij andere Europese instellingen. </w:t>
      </w:r>
    </w:p>
    <w:p w:rsidR="00A42B46" w:rsidP="0049253F" w:rsidRDefault="00A42B46" w14:paraId="364CD264" w14:textId="77777777">
      <w:pPr>
        <w:rPr>
          <w:rFonts w:ascii="Times New Roman" w:hAnsi="Times New Roman" w:cs="Times New Roman"/>
          <w:sz w:val="22"/>
          <w:szCs w:val="22"/>
        </w:rPr>
      </w:pPr>
    </w:p>
    <w:p w:rsidRPr="00925B3C" w:rsidR="00D25F93" w:rsidP="0049253F" w:rsidRDefault="00D25F93" w14:paraId="3C301980" w14:textId="77777777">
      <w:pPr>
        <w:rPr>
          <w:rFonts w:ascii="Times New Roman" w:hAnsi="Times New Roman" w:cs="Times New Roman"/>
          <w:sz w:val="22"/>
          <w:szCs w:val="22"/>
        </w:rPr>
      </w:pPr>
      <w:r w:rsidRPr="00925B3C">
        <w:rPr>
          <w:rFonts w:ascii="Times New Roman" w:hAnsi="Times New Roman" w:cs="Times New Roman"/>
          <w:sz w:val="22"/>
          <w:szCs w:val="22"/>
        </w:rPr>
        <w:t xml:space="preserve">Ten aanzien van de rol van het Europees Parlement bestaat slechts bij een beperkt aantal lidstaten de behoefte deze rol te vergroten, bijvoorbeeld ten aanzien van bevoegdheden op het vlak van sociale zaken. Initiatiefrecht voor het Europees Parlement kan niet op brede steun van de lidstaten rekenen en dient volgens lidstaten bij de Commissie te blijven liggen. Een grote meerderheid van de lidstaten </w:t>
      </w:r>
      <w:r w:rsidR="004F1039">
        <w:rPr>
          <w:rFonts w:ascii="Times New Roman" w:hAnsi="Times New Roman" w:cs="Times New Roman"/>
          <w:sz w:val="22"/>
          <w:szCs w:val="22"/>
        </w:rPr>
        <w:t xml:space="preserve">wil </w:t>
      </w:r>
      <w:r w:rsidRPr="00925B3C">
        <w:rPr>
          <w:rFonts w:ascii="Times New Roman" w:hAnsi="Times New Roman" w:cs="Times New Roman"/>
          <w:sz w:val="22"/>
          <w:szCs w:val="22"/>
        </w:rPr>
        <w:t xml:space="preserve">vast houden aan het principe van één Commissaris per lidstaat. Ten aanzien van openbaarheid van bestuur is Nederland één van de landen die binnen de EU een progressieve lijn aanhoudt, daarin vaak gesteund door gelijkgezinde lidstaten zoals Zweden, Denemarken, Finland, en Slovenië. </w:t>
      </w:r>
      <w:r w:rsidRPr="00925B3C" w:rsidR="00425D69">
        <w:rPr>
          <w:rFonts w:ascii="Times New Roman" w:hAnsi="Times New Roman" w:cs="Times New Roman"/>
          <w:sz w:val="22"/>
          <w:szCs w:val="22"/>
        </w:rPr>
        <w:t>Andere lidstaten staan hier veel terughoudender tegenover.</w:t>
      </w:r>
    </w:p>
    <w:p w:rsidRPr="00925B3C" w:rsidR="00D25F93" w:rsidP="0049253F" w:rsidRDefault="00D25F93" w14:paraId="1C4F0ECE" w14:textId="77777777">
      <w:pPr>
        <w:rPr>
          <w:rFonts w:ascii="Times New Roman" w:hAnsi="Times New Roman" w:cs="Times New Roman"/>
          <w:sz w:val="22"/>
          <w:szCs w:val="22"/>
        </w:rPr>
      </w:pPr>
    </w:p>
    <w:p w:rsidRPr="00925B3C" w:rsidR="0083266B" w:rsidP="0049253F" w:rsidRDefault="0083266B" w14:paraId="1FF7BD5E" w14:textId="77777777">
      <w:pPr>
        <w:rPr>
          <w:rFonts w:ascii="Times New Roman" w:hAnsi="Times New Roman" w:cs="Times New Roman"/>
          <w:sz w:val="22"/>
          <w:szCs w:val="22"/>
        </w:rPr>
      </w:pPr>
    </w:p>
    <w:p w:rsidRPr="00925B3C" w:rsidR="009F20BA" w:rsidP="0049253F" w:rsidRDefault="009F20BA" w14:paraId="7E289264" w14:textId="77777777">
      <w:pPr>
        <w:rPr>
          <w:rFonts w:ascii="Times New Roman" w:hAnsi="Times New Roman" w:cs="Times New Roman"/>
          <w:sz w:val="22"/>
          <w:szCs w:val="22"/>
        </w:rPr>
      </w:pPr>
    </w:p>
    <w:sectPr w:rsidRPr="00925B3C" w:rsidR="009F20BA" w:rsidSect="0043694A">
      <w:headerReference w:type="default" r:id="rId10"/>
      <w:footerReference w:type="defaul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7318" w14:textId="77777777" w:rsidR="001C078A" w:rsidRDefault="001C078A" w:rsidP="0033379C">
      <w:r>
        <w:separator/>
      </w:r>
    </w:p>
  </w:endnote>
  <w:endnote w:type="continuationSeparator" w:id="0">
    <w:p w14:paraId="7F238F0E" w14:textId="77777777" w:rsidR="001C078A" w:rsidRDefault="001C078A" w:rsidP="0033379C">
      <w:r>
        <w:continuationSeparator/>
      </w:r>
    </w:p>
  </w:endnote>
  <w:endnote w:type="continuationNotice" w:id="1">
    <w:p w14:paraId="73E78C1C" w14:textId="77777777" w:rsidR="001C078A" w:rsidRDefault="001C0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KNAKG N+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343484"/>
      <w:docPartObj>
        <w:docPartGallery w:val="Page Numbers (Bottom of Page)"/>
        <w:docPartUnique/>
      </w:docPartObj>
    </w:sdtPr>
    <w:sdtEndPr>
      <w:rPr>
        <w:noProof/>
      </w:rPr>
    </w:sdtEndPr>
    <w:sdtContent>
      <w:p w14:paraId="11375B02" w14:textId="77777777" w:rsidR="00440C19" w:rsidRDefault="00440C19">
        <w:pPr>
          <w:pStyle w:val="Voettekst"/>
          <w:jc w:val="right"/>
        </w:pPr>
        <w:r>
          <w:fldChar w:fldCharType="begin"/>
        </w:r>
        <w:r>
          <w:instrText xml:space="preserve"> PAGE   \* MERGEFORMAT </w:instrText>
        </w:r>
        <w:r>
          <w:fldChar w:fldCharType="separate"/>
        </w:r>
        <w:r w:rsidR="00ED5E54">
          <w:rPr>
            <w:noProof/>
          </w:rPr>
          <w:t>1</w:t>
        </w:r>
        <w:r>
          <w:rPr>
            <w:noProof/>
          </w:rPr>
          <w:fldChar w:fldCharType="end"/>
        </w:r>
      </w:p>
    </w:sdtContent>
  </w:sdt>
  <w:p w14:paraId="13AB0A43" w14:textId="77777777" w:rsidR="00440C19" w:rsidRDefault="00440C1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52BF5" w14:textId="77777777" w:rsidR="001C078A" w:rsidRDefault="001C078A" w:rsidP="0033379C">
      <w:r>
        <w:separator/>
      </w:r>
    </w:p>
  </w:footnote>
  <w:footnote w:type="continuationSeparator" w:id="0">
    <w:p w14:paraId="7250667C" w14:textId="77777777" w:rsidR="001C078A" w:rsidRDefault="001C078A" w:rsidP="0033379C">
      <w:r>
        <w:continuationSeparator/>
      </w:r>
    </w:p>
  </w:footnote>
  <w:footnote w:type="continuationNotice" w:id="1">
    <w:p w14:paraId="59D9D9EA" w14:textId="77777777" w:rsidR="001C078A" w:rsidRDefault="001C078A"/>
  </w:footnote>
  <w:footnote w:id="2">
    <w:p w14:paraId="7584FEF6" w14:textId="0DDDCFC7" w:rsidR="00440C19" w:rsidRPr="0090443B" w:rsidRDefault="00440C19">
      <w:pPr>
        <w:pStyle w:val="Voetnoottekst"/>
        <w:rPr>
          <w:lang w:val="nl-NL"/>
        </w:rPr>
      </w:pPr>
      <w:r>
        <w:rPr>
          <w:rStyle w:val="Voetnootmarkering"/>
        </w:rPr>
        <w:footnoteRef/>
      </w:r>
      <w:r w:rsidRPr="0090443B">
        <w:rPr>
          <w:lang w:val="nl-NL"/>
        </w:rPr>
        <w:t xml:space="preserve"> </w:t>
      </w:r>
      <w:r w:rsidRPr="0090443B">
        <w:rPr>
          <w:rFonts w:ascii="Times New Roman" w:hAnsi="Times New Roman"/>
          <w:sz w:val="16"/>
          <w:szCs w:val="16"/>
          <w:lang w:val="nl-NL"/>
        </w:rPr>
        <w:t>Artikel 13 van het Stabiliteitsverdrag betreft de organisatie en de promotie van een conferentie van vertegenwoordigers van de desbetreffende commissies van het Europees Parlement en vertegenwoordigers van de desbetreffende commissies van de nationale parlementen, om het begrotingsbeleid en andere onder dit Verdrag vallende kwesties te bespreken</w:t>
      </w:r>
      <w:r>
        <w:rPr>
          <w:rFonts w:ascii="Times New Roman" w:hAnsi="Times New Roman"/>
          <w:sz w:val="16"/>
          <w:szCs w:val="16"/>
          <w:lang w:val="nl-NL"/>
        </w:rPr>
        <w:t>.</w:t>
      </w:r>
    </w:p>
  </w:footnote>
  <w:footnote w:id="3">
    <w:p w14:paraId="0A360E25" w14:textId="1178B254" w:rsidR="00440C19" w:rsidRPr="00147DB9" w:rsidRDefault="00440C19" w:rsidP="00425D69">
      <w:pPr>
        <w:autoSpaceDE w:val="0"/>
        <w:autoSpaceDN w:val="0"/>
        <w:adjustRightInd w:val="0"/>
      </w:pPr>
      <w:r w:rsidRPr="00700D8C">
        <w:rPr>
          <w:rStyle w:val="Voetnootmarkering"/>
          <w:rFonts w:ascii="Times New Roman" w:hAnsi="Times New Roman"/>
          <w:sz w:val="16"/>
          <w:szCs w:val="16"/>
        </w:rPr>
        <w:footnoteRef/>
      </w:r>
      <w:r w:rsidR="002A3B77">
        <w:rPr>
          <w:rFonts w:ascii="Times New Roman" w:hAnsi="Times New Roman"/>
          <w:sz w:val="16"/>
          <w:szCs w:val="16"/>
        </w:rPr>
        <w:t xml:space="preserve"> In paragraaf  3.2. </w:t>
      </w:r>
      <w:r w:rsidR="00147DB9">
        <w:rPr>
          <w:rFonts w:ascii="Times New Roman" w:hAnsi="Times New Roman"/>
          <w:sz w:val="16"/>
          <w:szCs w:val="16"/>
        </w:rPr>
        <w:t>i zal nader worden ingegaan</w:t>
      </w:r>
      <w:r w:rsidR="00DF64DA">
        <w:rPr>
          <w:rFonts w:ascii="Times New Roman" w:hAnsi="Times New Roman"/>
          <w:sz w:val="16"/>
          <w:szCs w:val="16"/>
        </w:rPr>
        <w:t xml:space="preserve"> op de rode kaart. </w:t>
      </w:r>
    </w:p>
  </w:footnote>
  <w:footnote w:id="4">
    <w:p w14:paraId="56C94EC6" w14:textId="77777777" w:rsidR="00440C19" w:rsidRPr="00607546" w:rsidRDefault="00440C19" w:rsidP="00607546">
      <w:pPr>
        <w:pStyle w:val="Voetnoottekst"/>
        <w:rPr>
          <w:lang w:val="nl-NL"/>
        </w:rPr>
      </w:pPr>
      <w:r>
        <w:rPr>
          <w:rStyle w:val="Voetnootmarkering"/>
        </w:rPr>
        <w:footnoteRef/>
      </w:r>
      <w:r w:rsidRPr="00607546">
        <w:rPr>
          <w:lang w:val="nl-NL"/>
        </w:rPr>
        <w:t xml:space="preserve"> </w:t>
      </w:r>
      <w:r w:rsidRPr="00607546">
        <w:rPr>
          <w:rFonts w:ascii="Times New Roman" w:hAnsi="Times New Roman"/>
          <w:sz w:val="16"/>
          <w:szCs w:val="16"/>
          <w:lang w:val="nl-NL"/>
        </w:rPr>
        <w:t>Verordening 1049/2001 inzake de toegang van het publiek tot documenten van het Europees Parlement, de Raad en de Commissie.</w:t>
      </w:r>
    </w:p>
  </w:footnote>
  <w:footnote w:id="5">
    <w:p w14:paraId="03DFD7A7" w14:textId="77777777" w:rsidR="00440C19" w:rsidRPr="00607546" w:rsidRDefault="00440C19">
      <w:pPr>
        <w:pStyle w:val="Voetnoottekst"/>
        <w:rPr>
          <w:rFonts w:ascii="Times New Roman" w:hAnsi="Times New Roman"/>
          <w:sz w:val="16"/>
          <w:szCs w:val="16"/>
          <w:lang w:val="nl-NL"/>
        </w:rPr>
      </w:pPr>
      <w:r w:rsidRPr="00607546">
        <w:rPr>
          <w:rStyle w:val="Voetnootmarkering"/>
          <w:rFonts w:ascii="Times New Roman" w:hAnsi="Times New Roman"/>
          <w:sz w:val="16"/>
          <w:szCs w:val="16"/>
        </w:rPr>
        <w:footnoteRef/>
      </w:r>
      <w:r w:rsidRPr="00607546">
        <w:rPr>
          <w:rFonts w:ascii="Times New Roman" w:hAnsi="Times New Roman"/>
          <w:sz w:val="16"/>
          <w:szCs w:val="16"/>
          <w:lang w:val="nl-NL"/>
        </w:rPr>
        <w:t xml:space="preserve"> Op grond van artikel 15 VWEU moet de reikwijdte van de Eurowob worden </w:t>
      </w:r>
      <w:r>
        <w:rPr>
          <w:rFonts w:ascii="Times New Roman" w:hAnsi="Times New Roman"/>
          <w:sz w:val="16"/>
          <w:szCs w:val="16"/>
          <w:lang w:val="nl-NL"/>
        </w:rPr>
        <w:t>uitgebreid</w:t>
      </w:r>
      <w:r w:rsidRPr="00607546">
        <w:rPr>
          <w:rFonts w:ascii="Times New Roman" w:hAnsi="Times New Roman"/>
          <w:sz w:val="16"/>
          <w:szCs w:val="16"/>
          <w:lang w:val="nl-NL"/>
        </w:rPr>
        <w:t xml:space="preserve"> naar alle instellingen, organen en instanties van de EU.</w:t>
      </w:r>
    </w:p>
  </w:footnote>
  <w:footnote w:id="6">
    <w:p w14:paraId="3D60CD5A" w14:textId="77777777" w:rsidR="00440C19" w:rsidRPr="009F20BA" w:rsidRDefault="00440C19" w:rsidP="0049253F">
      <w:pPr>
        <w:pStyle w:val="Voetnoottekst"/>
        <w:rPr>
          <w:rFonts w:ascii="Times New Roman" w:hAnsi="Times New Roman"/>
          <w:sz w:val="16"/>
          <w:szCs w:val="16"/>
          <w:lang w:val="nl-NL"/>
        </w:rPr>
      </w:pPr>
      <w:r w:rsidRPr="009F20BA">
        <w:rPr>
          <w:rStyle w:val="Voetnootmarkering"/>
          <w:rFonts w:ascii="Times New Roman" w:hAnsi="Times New Roman"/>
          <w:sz w:val="16"/>
          <w:szCs w:val="16"/>
        </w:rPr>
        <w:footnoteRef/>
      </w:r>
      <w:r w:rsidRPr="009F20BA">
        <w:rPr>
          <w:rFonts w:ascii="Times New Roman" w:hAnsi="Times New Roman"/>
          <w:sz w:val="16"/>
          <w:szCs w:val="16"/>
          <w:lang w:val="nl-NL"/>
        </w:rPr>
        <w:t xml:space="preserve"> Staat van de Unie 2014, Kamerstuk 33 877, nr. 1</w:t>
      </w:r>
    </w:p>
  </w:footnote>
  <w:footnote w:id="7">
    <w:p w14:paraId="45B2CB90" w14:textId="77777777" w:rsidR="00440C19" w:rsidRPr="009F20BA" w:rsidRDefault="00440C19" w:rsidP="0049253F">
      <w:pPr>
        <w:pStyle w:val="Voetnoottekst"/>
        <w:rPr>
          <w:rFonts w:ascii="Times New Roman" w:hAnsi="Times New Roman"/>
          <w:sz w:val="16"/>
          <w:szCs w:val="16"/>
          <w:lang w:val="nl-NL"/>
        </w:rPr>
      </w:pPr>
      <w:r w:rsidRPr="009F20BA">
        <w:rPr>
          <w:rStyle w:val="Voetnootmarkering"/>
          <w:rFonts w:ascii="Times New Roman" w:hAnsi="Times New Roman"/>
          <w:sz w:val="16"/>
          <w:szCs w:val="16"/>
        </w:rPr>
        <w:footnoteRef/>
      </w:r>
      <w:r w:rsidRPr="009F20BA">
        <w:rPr>
          <w:rFonts w:ascii="Times New Roman" w:hAnsi="Times New Roman"/>
          <w:sz w:val="16"/>
          <w:szCs w:val="16"/>
          <w:lang w:val="nl-NL"/>
        </w:rPr>
        <w:t xml:space="preserve"> Staat van de Unie 2014, Kamerstuk 33 877, nr. 1</w:t>
      </w:r>
    </w:p>
  </w:footnote>
  <w:footnote w:id="8">
    <w:p w14:paraId="7738334B" w14:textId="77777777" w:rsidR="00440C19" w:rsidRPr="00515861" w:rsidRDefault="00440C19" w:rsidP="0049253F">
      <w:pPr>
        <w:pStyle w:val="Voetnoottekst"/>
        <w:rPr>
          <w:rFonts w:ascii="Times New Roman" w:hAnsi="Times New Roman"/>
          <w:sz w:val="16"/>
        </w:rPr>
      </w:pPr>
      <w:r w:rsidRPr="009F20BA">
        <w:rPr>
          <w:rStyle w:val="Voetnootmarkering"/>
          <w:rFonts w:ascii="Times New Roman" w:hAnsi="Times New Roman"/>
          <w:sz w:val="16"/>
          <w:szCs w:val="16"/>
        </w:rPr>
        <w:footnoteRef/>
      </w:r>
      <w:r w:rsidRPr="00515861">
        <w:rPr>
          <w:rFonts w:ascii="Times New Roman" w:hAnsi="Times New Roman"/>
          <w:sz w:val="16"/>
        </w:rPr>
        <w:t xml:space="preserve"> Verordening (EU) nr. 1175/2011</w:t>
      </w:r>
    </w:p>
  </w:footnote>
  <w:footnote w:id="9">
    <w:p w14:paraId="4214B83C" w14:textId="77777777" w:rsidR="00440C19" w:rsidRPr="00515861" w:rsidRDefault="00440C19" w:rsidP="0049253F">
      <w:pPr>
        <w:pStyle w:val="Voetnoottekst"/>
        <w:rPr>
          <w:rFonts w:ascii="Times New Roman" w:hAnsi="Times New Roman"/>
          <w:sz w:val="16"/>
        </w:rPr>
      </w:pPr>
      <w:r w:rsidRPr="009F20BA">
        <w:rPr>
          <w:rStyle w:val="Voetnootmarkering"/>
          <w:rFonts w:ascii="Times New Roman" w:hAnsi="Times New Roman"/>
          <w:sz w:val="16"/>
          <w:szCs w:val="16"/>
        </w:rPr>
        <w:footnoteRef/>
      </w:r>
      <w:r w:rsidRPr="00515861">
        <w:rPr>
          <w:rFonts w:ascii="Times New Roman" w:hAnsi="Times New Roman"/>
          <w:sz w:val="16"/>
        </w:rPr>
        <w:t xml:space="preserve"> Council Directive 2011/85/EU</w:t>
      </w:r>
    </w:p>
  </w:footnote>
  <w:footnote w:id="10">
    <w:p w14:paraId="2FECB688" w14:textId="77777777" w:rsidR="00440C19" w:rsidRPr="009F20BA" w:rsidRDefault="00440C19" w:rsidP="0049253F">
      <w:pPr>
        <w:pStyle w:val="Voetnoottekst"/>
        <w:rPr>
          <w:rFonts w:ascii="Times New Roman" w:hAnsi="Times New Roman"/>
          <w:sz w:val="16"/>
          <w:szCs w:val="16"/>
          <w:lang w:val="nl-NL"/>
        </w:rPr>
      </w:pPr>
      <w:r w:rsidRPr="009F20BA">
        <w:rPr>
          <w:rStyle w:val="Voetnootmarkering"/>
          <w:rFonts w:ascii="Times New Roman" w:hAnsi="Times New Roman"/>
          <w:sz w:val="16"/>
          <w:szCs w:val="16"/>
        </w:rPr>
        <w:footnoteRef/>
      </w:r>
      <w:r w:rsidRPr="009F20BA">
        <w:rPr>
          <w:rFonts w:ascii="Times New Roman" w:hAnsi="Times New Roman"/>
          <w:sz w:val="16"/>
          <w:szCs w:val="16"/>
          <w:lang w:val="nl-NL"/>
        </w:rPr>
        <w:t xml:space="preserve"> COM (2012) 167</w:t>
      </w:r>
    </w:p>
  </w:footnote>
  <w:footnote w:id="11">
    <w:p w14:paraId="272345FE" w14:textId="77777777" w:rsidR="00440C19" w:rsidRPr="00B32F15" w:rsidRDefault="00440C19">
      <w:pPr>
        <w:pStyle w:val="Voetnoottekst"/>
        <w:rPr>
          <w:rFonts w:ascii="Times New Roman" w:hAnsi="Times New Roman"/>
          <w:sz w:val="16"/>
          <w:szCs w:val="16"/>
          <w:lang w:val="nl-NL"/>
        </w:rPr>
      </w:pPr>
      <w:r w:rsidRPr="00B32F15">
        <w:rPr>
          <w:rStyle w:val="Voetnootmarkering"/>
          <w:rFonts w:ascii="Times New Roman" w:hAnsi="Times New Roman"/>
          <w:sz w:val="16"/>
          <w:szCs w:val="16"/>
        </w:rPr>
        <w:footnoteRef/>
      </w:r>
      <w:r w:rsidRPr="00B32F15">
        <w:rPr>
          <w:rFonts w:ascii="Times New Roman" w:hAnsi="Times New Roman"/>
          <w:sz w:val="16"/>
          <w:szCs w:val="16"/>
          <w:lang w:val="nl-NL"/>
        </w:rPr>
        <w:t xml:space="preserve"> Stc. 2012 n</w:t>
      </w:r>
      <w:r>
        <w:rPr>
          <w:rFonts w:ascii="Times New Roman" w:hAnsi="Times New Roman"/>
          <w:sz w:val="16"/>
          <w:szCs w:val="16"/>
          <w:lang w:val="nl-NL"/>
        </w:rPr>
        <w:t>r. 3200</w:t>
      </w:r>
    </w:p>
  </w:footnote>
  <w:footnote w:id="12">
    <w:p w14:paraId="0F40D8CC" w14:textId="77777777" w:rsidR="00440C19" w:rsidRPr="00A22138" w:rsidRDefault="00440C19" w:rsidP="00F07568">
      <w:pPr>
        <w:pStyle w:val="Voetnoottekst"/>
        <w:rPr>
          <w:rFonts w:ascii="Times New Roman" w:hAnsi="Times New Roman"/>
          <w:sz w:val="16"/>
          <w:szCs w:val="16"/>
          <w:lang w:val="nl-NL"/>
        </w:rPr>
      </w:pPr>
      <w:r w:rsidRPr="00A22138">
        <w:rPr>
          <w:rStyle w:val="Voetnootmarkering"/>
          <w:rFonts w:ascii="Times New Roman" w:hAnsi="Times New Roman"/>
          <w:sz w:val="16"/>
          <w:szCs w:val="16"/>
        </w:rPr>
        <w:footnoteRef/>
      </w:r>
      <w:r w:rsidRPr="00A22138">
        <w:rPr>
          <w:rFonts w:ascii="Times New Roman" w:hAnsi="Times New Roman"/>
          <w:sz w:val="16"/>
          <w:szCs w:val="16"/>
          <w:lang w:val="nl-NL"/>
        </w:rPr>
        <w:t xml:space="preserve"> Kamerstukken II 2013-2014, 33 877, nr. 9</w:t>
      </w:r>
    </w:p>
  </w:footnote>
  <w:footnote w:id="13">
    <w:p w14:paraId="45C9D470" w14:textId="565A7DF4" w:rsidR="00440C19" w:rsidRPr="00B45EB1" w:rsidRDefault="00440C19">
      <w:pPr>
        <w:pStyle w:val="Voetnoottekst"/>
        <w:rPr>
          <w:rFonts w:ascii="Times New Roman" w:hAnsi="Times New Roman"/>
          <w:sz w:val="16"/>
          <w:szCs w:val="16"/>
          <w:lang w:val="nl-NL"/>
        </w:rPr>
      </w:pPr>
      <w:r w:rsidRPr="00A22138">
        <w:rPr>
          <w:rStyle w:val="Voetnootmarkering"/>
          <w:rFonts w:ascii="Times New Roman" w:hAnsi="Times New Roman"/>
          <w:sz w:val="16"/>
          <w:szCs w:val="16"/>
        </w:rPr>
        <w:footnoteRef/>
      </w:r>
      <w:r w:rsidRPr="00B45EB1">
        <w:rPr>
          <w:rFonts w:ascii="Times New Roman" w:hAnsi="Times New Roman"/>
          <w:sz w:val="16"/>
          <w:szCs w:val="16"/>
          <w:lang w:val="nl-NL"/>
        </w:rPr>
        <w:t xml:space="preserve"> </w:t>
      </w:r>
      <w:r w:rsidRPr="00B45EB1">
        <w:rPr>
          <w:rStyle w:val="Nadruk"/>
          <w:rFonts w:ascii="Times New Roman" w:hAnsi="Times New Roman"/>
          <w:i w:val="0"/>
          <w:sz w:val="16"/>
          <w:szCs w:val="16"/>
          <w:lang w:val="nl-NL"/>
        </w:rPr>
        <w:t>Dit betreft art. 311, derde en vierde alinea (vaststelling van de eigen middelen van de begroting); art. 312, lid 2, eerste alinea (vaststelling van het meerjarig financieel kader); art. 352 (flexibiliteitsclausule) en art. 354 VWEU (nadere bepalingen omtrent schorsing van rechten die voortvloeien uit EU-lidmaatschap wanneer e</w:t>
      </w:r>
      <w:r w:rsidR="00F77518">
        <w:rPr>
          <w:rStyle w:val="Nadruk"/>
          <w:rFonts w:ascii="Times New Roman" w:hAnsi="Times New Roman"/>
          <w:i w:val="0"/>
          <w:sz w:val="16"/>
          <w:szCs w:val="16"/>
          <w:lang w:val="nl-NL"/>
        </w:rPr>
        <w:t>e</w:t>
      </w:r>
      <w:r w:rsidRPr="00B45EB1">
        <w:rPr>
          <w:rStyle w:val="Nadruk"/>
          <w:rFonts w:ascii="Times New Roman" w:hAnsi="Times New Roman"/>
          <w:i w:val="0"/>
          <w:sz w:val="16"/>
          <w:szCs w:val="16"/>
          <w:lang w:val="nl-NL"/>
        </w:rPr>
        <w:t xml:space="preserve">n lidstaat de waarden van de Unie </w:t>
      </w:r>
      <w:r w:rsidR="00F77518">
        <w:rPr>
          <w:rStyle w:val="Nadruk"/>
          <w:rFonts w:ascii="Times New Roman" w:hAnsi="Times New Roman"/>
          <w:i w:val="0"/>
          <w:sz w:val="16"/>
          <w:szCs w:val="16"/>
          <w:lang w:val="nl-NL"/>
        </w:rPr>
        <w:t xml:space="preserve">ernstig </w:t>
      </w:r>
      <w:r w:rsidRPr="00B45EB1">
        <w:rPr>
          <w:rStyle w:val="Nadruk"/>
          <w:rFonts w:ascii="Times New Roman" w:hAnsi="Times New Roman"/>
          <w:i w:val="0"/>
          <w:sz w:val="16"/>
          <w:szCs w:val="16"/>
          <w:lang w:val="nl-NL"/>
        </w:rPr>
        <w:t xml:space="preserve">schendt). </w:t>
      </w:r>
    </w:p>
  </w:footnote>
  <w:footnote w:id="14">
    <w:p w14:paraId="6AE7ADB8" w14:textId="77777777" w:rsidR="00440C19" w:rsidRPr="00B45EB1" w:rsidRDefault="00440C19">
      <w:pPr>
        <w:pStyle w:val="Voetnoottekst"/>
        <w:rPr>
          <w:rFonts w:ascii="Times New Roman" w:hAnsi="Times New Roman"/>
          <w:sz w:val="16"/>
          <w:szCs w:val="16"/>
          <w:lang w:val="nl-NL"/>
        </w:rPr>
      </w:pPr>
      <w:r w:rsidRPr="00A22138">
        <w:rPr>
          <w:rStyle w:val="Voetnootmarkering"/>
          <w:rFonts w:ascii="Times New Roman" w:hAnsi="Times New Roman"/>
          <w:sz w:val="16"/>
          <w:szCs w:val="16"/>
        </w:rPr>
        <w:footnoteRef/>
      </w:r>
      <w:r w:rsidRPr="00B45EB1">
        <w:rPr>
          <w:rFonts w:ascii="Times New Roman" w:hAnsi="Times New Roman"/>
          <w:sz w:val="16"/>
          <w:szCs w:val="16"/>
          <w:lang w:val="nl-NL"/>
        </w:rPr>
        <w:t xml:space="preserve"> </w:t>
      </w:r>
      <w:r w:rsidRPr="00B45EB1">
        <w:rPr>
          <w:rStyle w:val="Nadruk"/>
          <w:rFonts w:ascii="Times New Roman" w:hAnsi="Times New Roman"/>
          <w:i w:val="0"/>
          <w:sz w:val="16"/>
          <w:szCs w:val="16"/>
          <w:lang w:val="nl-NL"/>
        </w:rPr>
        <w:t>Dit betreft: art. 31 derde lid, VEU en artikelen 81, derde lid, tweede alinea, art. 192, tweede lid, tweede alinea, 312, tweede lid, tweede alinea en 333, eerste en tweede lid VWEU.</w:t>
      </w:r>
    </w:p>
  </w:footnote>
  <w:footnote w:id="15">
    <w:p w14:paraId="55004E4C" w14:textId="77777777" w:rsidR="003E747F" w:rsidRPr="00A11BC8" w:rsidRDefault="003E747F">
      <w:pPr>
        <w:pStyle w:val="Voetnoottekst"/>
        <w:rPr>
          <w:lang w:val="nl-NL"/>
        </w:rPr>
      </w:pPr>
      <w:r w:rsidRPr="00A11BC8">
        <w:rPr>
          <w:rStyle w:val="Voetnootmarkering"/>
          <w:sz w:val="16"/>
          <w:szCs w:val="16"/>
        </w:rPr>
        <w:footnoteRef/>
      </w:r>
      <w:r w:rsidRPr="00A11BC8">
        <w:rPr>
          <w:sz w:val="16"/>
          <w:szCs w:val="16"/>
          <w:lang w:val="nl-NL"/>
        </w:rPr>
        <w:t xml:space="preserve"> </w:t>
      </w:r>
      <w:r w:rsidRPr="00A11BC8">
        <w:rPr>
          <w:rFonts w:ascii="Times New Roman" w:hAnsi="Times New Roman"/>
          <w:sz w:val="16"/>
          <w:szCs w:val="16"/>
          <w:lang w:val="nl-NL"/>
        </w:rPr>
        <w:t>Kamerstukken II 2013-2014, 21 501-20, nr. 861</w:t>
      </w:r>
    </w:p>
  </w:footnote>
  <w:footnote w:id="16">
    <w:p w14:paraId="07C8AD61" w14:textId="7A5B356D" w:rsidR="00440C19" w:rsidRPr="009F20BA" w:rsidRDefault="00440C19" w:rsidP="00237C59">
      <w:pPr>
        <w:rPr>
          <w:rFonts w:ascii="Times New Roman" w:hAnsi="Times New Roman" w:cs="Times New Roman"/>
          <w:sz w:val="16"/>
          <w:szCs w:val="16"/>
        </w:rPr>
      </w:pPr>
      <w:r w:rsidRPr="009F20BA">
        <w:rPr>
          <w:rStyle w:val="Voetnootmarkering"/>
          <w:rFonts w:ascii="Times New Roman" w:hAnsi="Times New Roman"/>
          <w:sz w:val="16"/>
          <w:szCs w:val="16"/>
        </w:rPr>
        <w:footnoteRef/>
      </w:r>
      <w:r w:rsidRPr="009F20BA">
        <w:rPr>
          <w:rFonts w:ascii="Times New Roman" w:hAnsi="Times New Roman" w:cs="Times New Roman"/>
          <w:sz w:val="16"/>
          <w:szCs w:val="16"/>
        </w:rPr>
        <w:t xml:space="preserve"> T.t.v. onderhandelingen over het Verdrag van Lissabon</w:t>
      </w:r>
      <w:r>
        <w:rPr>
          <w:rFonts w:ascii="Times New Roman" w:hAnsi="Times New Roman" w:cs="Times New Roman"/>
          <w:sz w:val="16"/>
          <w:szCs w:val="16"/>
        </w:rPr>
        <w:t xml:space="preserve"> streeft het kabinet naar </w:t>
      </w:r>
      <w:r w:rsidRPr="009F20BA">
        <w:rPr>
          <w:rFonts w:ascii="Times New Roman" w:hAnsi="Times New Roman" w:cs="Times New Roman"/>
          <w:sz w:val="16"/>
          <w:szCs w:val="16"/>
        </w:rPr>
        <w:t xml:space="preserve">een grotere rol van de nationale parlementen bij de toetsing van </w:t>
      </w:r>
      <w:r>
        <w:rPr>
          <w:rFonts w:ascii="Times New Roman" w:hAnsi="Times New Roman" w:cs="Times New Roman"/>
          <w:sz w:val="16"/>
          <w:szCs w:val="16"/>
        </w:rPr>
        <w:t>EU-</w:t>
      </w:r>
      <w:r w:rsidRPr="009F20BA">
        <w:rPr>
          <w:rFonts w:ascii="Times New Roman" w:hAnsi="Times New Roman" w:cs="Times New Roman"/>
          <w:sz w:val="16"/>
          <w:szCs w:val="16"/>
        </w:rPr>
        <w:t>wetgevingsvoorstellen. N</w:t>
      </w:r>
      <w:r>
        <w:rPr>
          <w:rFonts w:ascii="Times New Roman" w:hAnsi="Times New Roman" w:cs="Times New Roman"/>
          <w:sz w:val="16"/>
          <w:szCs w:val="16"/>
        </w:rPr>
        <w:t xml:space="preserve">aast de gele kaart werd ingezet op </w:t>
      </w:r>
      <w:r w:rsidRPr="009F20BA">
        <w:rPr>
          <w:rFonts w:ascii="Times New Roman" w:hAnsi="Times New Roman" w:cs="Times New Roman"/>
          <w:sz w:val="16"/>
          <w:szCs w:val="16"/>
        </w:rPr>
        <w:t xml:space="preserve">betere mogelijkheden </w:t>
      </w:r>
      <w:r>
        <w:rPr>
          <w:rFonts w:ascii="Times New Roman" w:hAnsi="Times New Roman" w:cs="Times New Roman"/>
          <w:sz w:val="16"/>
          <w:szCs w:val="16"/>
        </w:rPr>
        <w:t xml:space="preserve">voor nationale parlementen </w:t>
      </w:r>
      <w:r w:rsidRPr="009F20BA">
        <w:rPr>
          <w:rFonts w:ascii="Times New Roman" w:hAnsi="Times New Roman" w:cs="Times New Roman"/>
          <w:sz w:val="16"/>
          <w:szCs w:val="16"/>
        </w:rPr>
        <w:t xml:space="preserve">voorgestelde wetgeving volgens nader vast te stellen modaliteiten </w:t>
      </w:r>
      <w:r w:rsidRPr="004B2262">
        <w:rPr>
          <w:rFonts w:ascii="Times New Roman" w:hAnsi="Times New Roman" w:cs="Times New Roman"/>
          <w:sz w:val="16"/>
          <w:szCs w:val="16"/>
        </w:rPr>
        <w:t>tegen</w:t>
      </w:r>
      <w:r w:rsidRPr="009F20BA">
        <w:rPr>
          <w:rFonts w:ascii="Times New Roman" w:hAnsi="Times New Roman" w:cs="Times New Roman"/>
          <w:sz w:val="16"/>
          <w:szCs w:val="16"/>
        </w:rPr>
        <w:t xml:space="preserve"> te houden indien deze niet aan de beginselen van subsidiariteit en proportionaliteit voldoen, met dien verstande dat dit geen individueel vetorecht voor één nationaal parlement inhoudt</w:t>
      </w:r>
      <w:r>
        <w:rPr>
          <w:rFonts w:ascii="Times New Roman" w:hAnsi="Times New Roman" w:cs="Times New Roman"/>
          <w:sz w:val="16"/>
          <w:szCs w:val="16"/>
        </w:rPr>
        <w:t xml:space="preserve"> en waarbij </w:t>
      </w:r>
      <w:r w:rsidRPr="009F20BA">
        <w:rPr>
          <w:rFonts w:ascii="Times New Roman" w:hAnsi="Times New Roman" w:cs="Times New Roman"/>
          <w:sz w:val="16"/>
          <w:szCs w:val="16"/>
        </w:rPr>
        <w:t>geen afbreuk aan de institutionele balans in de EU</w:t>
      </w:r>
      <w:r>
        <w:rPr>
          <w:rFonts w:ascii="Times New Roman" w:hAnsi="Times New Roman" w:cs="Times New Roman"/>
          <w:sz w:val="16"/>
          <w:szCs w:val="16"/>
        </w:rPr>
        <w:t xml:space="preserve"> wordt gedaan</w:t>
      </w:r>
      <w:r w:rsidRPr="009F20BA">
        <w:rPr>
          <w:rFonts w:ascii="Times New Roman" w:hAnsi="Times New Roman" w:cs="Times New Roman"/>
          <w:sz w:val="16"/>
          <w:szCs w:val="16"/>
        </w:rPr>
        <w:t>.</w:t>
      </w:r>
      <w:r>
        <w:rPr>
          <w:rFonts w:ascii="Times New Roman" w:hAnsi="Times New Roman" w:cs="Times New Roman"/>
          <w:sz w:val="16"/>
          <w:szCs w:val="16"/>
        </w:rPr>
        <w:t xml:space="preserve"> Zie </w:t>
      </w:r>
      <w:hyperlink r:id="rId1" w:history="1">
        <w:r w:rsidRPr="009F20BA">
          <w:rPr>
            <w:rStyle w:val="Hyperlink"/>
            <w:rFonts w:ascii="Times New Roman" w:hAnsi="Times New Roman" w:cs="Times New Roman"/>
            <w:sz w:val="16"/>
            <w:szCs w:val="16"/>
          </w:rPr>
          <w:t>hoofdlijnenbrief van 19 maart 2007</w:t>
        </w:r>
      </w:hyperlink>
      <w:r>
        <w:rPr>
          <w:rFonts w:ascii="Times New Roman" w:hAnsi="Times New Roman" w:cs="Times New Roman"/>
          <w:sz w:val="16"/>
          <w:szCs w:val="16"/>
        </w:rPr>
        <w:t xml:space="preserve"> </w:t>
      </w:r>
      <w:r w:rsidR="003C41C5">
        <w:rPr>
          <w:rFonts w:ascii="Times New Roman" w:hAnsi="Times New Roman" w:cs="Times New Roman"/>
          <w:sz w:val="16"/>
          <w:szCs w:val="16"/>
        </w:rPr>
        <w:t xml:space="preserve">(Kamerstuk 21 501 – 20, nr. 344) </w:t>
      </w:r>
      <w:r>
        <w:rPr>
          <w:rFonts w:ascii="Times New Roman" w:hAnsi="Times New Roman" w:cs="Times New Roman"/>
          <w:sz w:val="16"/>
          <w:szCs w:val="16"/>
        </w:rPr>
        <w:t>en</w:t>
      </w:r>
      <w:r w:rsidRPr="009F20BA">
        <w:rPr>
          <w:rFonts w:ascii="Times New Roman" w:hAnsi="Times New Roman" w:cs="Times New Roman"/>
          <w:sz w:val="16"/>
          <w:szCs w:val="16"/>
        </w:rPr>
        <w:t xml:space="preserve"> </w:t>
      </w:r>
      <w:hyperlink r:id="rId2" w:history="1">
        <w:r w:rsidRPr="009F20BA">
          <w:rPr>
            <w:rStyle w:val="Hyperlink"/>
            <w:rFonts w:ascii="Times New Roman" w:hAnsi="Times New Roman" w:cs="Times New Roman"/>
            <w:sz w:val="16"/>
            <w:szCs w:val="16"/>
          </w:rPr>
          <w:t>brief van 21 mei 2007</w:t>
        </w:r>
      </w:hyperlink>
      <w:r w:rsidR="003C41C5">
        <w:rPr>
          <w:rFonts w:ascii="Times New Roman" w:hAnsi="Times New Roman" w:cs="Times New Roman"/>
          <w:sz w:val="16"/>
          <w:szCs w:val="16"/>
        </w:rPr>
        <w:t xml:space="preserve"> (Kamerstuk</w:t>
      </w:r>
      <w:r w:rsidRPr="009F20BA">
        <w:rPr>
          <w:rFonts w:ascii="Times New Roman" w:hAnsi="Times New Roman" w:cs="Times New Roman"/>
          <w:sz w:val="16"/>
          <w:szCs w:val="16"/>
        </w:rPr>
        <w:t xml:space="preserve"> </w:t>
      </w:r>
      <w:r w:rsidR="003C41C5">
        <w:rPr>
          <w:rFonts w:ascii="Times New Roman" w:hAnsi="Times New Roman" w:cs="Times New Roman"/>
          <w:sz w:val="16"/>
          <w:szCs w:val="16"/>
        </w:rPr>
        <w:t>21 501 – 20, nr. 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007B4" w14:textId="77777777" w:rsidR="00440C19" w:rsidRDefault="00440C1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639"/>
    <w:multiLevelType w:val="hybridMultilevel"/>
    <w:tmpl w:val="12824684"/>
    <w:lvl w:ilvl="0" w:tplc="B238C3B8">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4462A7D"/>
    <w:multiLevelType w:val="multilevel"/>
    <w:tmpl w:val="76E833D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nsid w:val="08637FEB"/>
    <w:multiLevelType w:val="hybridMultilevel"/>
    <w:tmpl w:val="A7F4DFF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BE34471"/>
    <w:multiLevelType w:val="hybridMultilevel"/>
    <w:tmpl w:val="0884F43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C816497"/>
    <w:multiLevelType w:val="hybridMultilevel"/>
    <w:tmpl w:val="030660A8"/>
    <w:lvl w:ilvl="0" w:tplc="87425E94">
      <w:start w:val="3"/>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8D0E2A"/>
    <w:multiLevelType w:val="multilevel"/>
    <w:tmpl w:val="2446FE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1CD07C8"/>
    <w:multiLevelType w:val="hybridMultilevel"/>
    <w:tmpl w:val="F4224A92"/>
    <w:lvl w:ilvl="0" w:tplc="0413001B">
      <w:start w:val="1"/>
      <w:numFmt w:val="low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6F454BC"/>
    <w:multiLevelType w:val="hybridMultilevel"/>
    <w:tmpl w:val="CB8AEAB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8BF19CC"/>
    <w:multiLevelType w:val="hybridMultilevel"/>
    <w:tmpl w:val="44BAF80A"/>
    <w:lvl w:ilvl="0" w:tplc="60B80AB0">
      <w:start w:val="1"/>
      <w:numFmt w:val="lowerRoman"/>
      <w:lvlText w:val="%1."/>
      <w:lvlJc w:val="left"/>
      <w:pPr>
        <w:ind w:left="720" w:hanging="720"/>
      </w:pPr>
      <w:rPr>
        <w:rFonts w:eastAsia="Calibri"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93E35"/>
    <w:multiLevelType w:val="hybridMultilevel"/>
    <w:tmpl w:val="6108C466"/>
    <w:lvl w:ilvl="0" w:tplc="0F84A452">
      <w:start w:val="1"/>
      <w:numFmt w:val="lowerRoman"/>
      <w:lvlText w:val="%1."/>
      <w:lvlJc w:val="left"/>
      <w:pPr>
        <w:ind w:left="720" w:hanging="720"/>
      </w:pPr>
      <w:rPr>
        <w:rFonts w:eastAsia="Calibr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B3120A9"/>
    <w:multiLevelType w:val="multilevel"/>
    <w:tmpl w:val="FFF2800C"/>
    <w:lvl w:ilvl="0">
      <w:start w:val="1"/>
      <w:numFmt w:val="lowerRoman"/>
      <w:lvlText w:val="%1."/>
      <w:lvlJc w:val="left"/>
      <w:pPr>
        <w:ind w:left="720" w:hanging="720"/>
      </w:pPr>
      <w:rPr>
        <w:rFonts w:eastAsia="Calibri" w:hint="default"/>
        <w:i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359559C1"/>
    <w:multiLevelType w:val="hybridMultilevel"/>
    <w:tmpl w:val="2A8453B0"/>
    <w:lvl w:ilvl="0" w:tplc="0F84A452">
      <w:start w:val="1"/>
      <w:numFmt w:val="lowerRoman"/>
      <w:lvlText w:val="%1."/>
      <w:lvlJc w:val="left"/>
      <w:pPr>
        <w:ind w:left="720" w:hanging="720"/>
      </w:pPr>
      <w:rPr>
        <w:rFonts w:eastAsia="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62566A9"/>
    <w:multiLevelType w:val="hybridMultilevel"/>
    <w:tmpl w:val="FFF2800C"/>
    <w:lvl w:ilvl="0" w:tplc="F328D0E2">
      <w:start w:val="1"/>
      <w:numFmt w:val="lowerRoman"/>
      <w:lvlText w:val="%1."/>
      <w:lvlJc w:val="left"/>
      <w:pPr>
        <w:ind w:left="720" w:hanging="720"/>
      </w:pPr>
      <w:rPr>
        <w:rFonts w:eastAsia="Calibri" w:hint="default"/>
        <w:i w:val="0"/>
        <w:u w:val="none"/>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E0B76B5"/>
    <w:multiLevelType w:val="hybridMultilevel"/>
    <w:tmpl w:val="D3644FDA"/>
    <w:lvl w:ilvl="0" w:tplc="0413001B">
      <w:start w:val="1"/>
      <w:numFmt w:val="lowerRoman"/>
      <w:lvlText w:val="%1."/>
      <w:lvlJc w:val="righ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72223D7"/>
    <w:multiLevelType w:val="hybridMultilevel"/>
    <w:tmpl w:val="325C82B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540D2E37"/>
    <w:multiLevelType w:val="hybridMultilevel"/>
    <w:tmpl w:val="12824684"/>
    <w:lvl w:ilvl="0" w:tplc="B238C3B8">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A775597"/>
    <w:multiLevelType w:val="hybridMultilevel"/>
    <w:tmpl w:val="8064F1D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3FE6665"/>
    <w:multiLevelType w:val="hybridMultilevel"/>
    <w:tmpl w:val="E0301670"/>
    <w:lvl w:ilvl="0" w:tplc="B63A71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39458BA"/>
    <w:multiLevelType w:val="hybridMultilevel"/>
    <w:tmpl w:val="3CAA97D2"/>
    <w:lvl w:ilvl="0" w:tplc="16C4A504">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74EE1C6C"/>
    <w:multiLevelType w:val="hybridMultilevel"/>
    <w:tmpl w:val="E0301670"/>
    <w:lvl w:ilvl="0" w:tplc="B63A71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5C30D32"/>
    <w:multiLevelType w:val="hybridMultilevel"/>
    <w:tmpl w:val="F448131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78367F37"/>
    <w:multiLevelType w:val="hybridMultilevel"/>
    <w:tmpl w:val="F4FAA536"/>
    <w:lvl w:ilvl="0" w:tplc="E2AA47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BB79F7"/>
    <w:multiLevelType w:val="hybridMultilevel"/>
    <w:tmpl w:val="BCBE543E"/>
    <w:lvl w:ilvl="0" w:tplc="0413001B">
      <w:start w:val="1"/>
      <w:numFmt w:val="lowerRoman"/>
      <w:lvlText w:val="%1."/>
      <w:lvlJc w:val="righ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7EE20B42"/>
    <w:multiLevelType w:val="hybridMultilevel"/>
    <w:tmpl w:val="999C9AFE"/>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22"/>
  </w:num>
  <w:num w:numId="3">
    <w:abstractNumId w:val="6"/>
  </w:num>
  <w:num w:numId="4">
    <w:abstractNumId w:val="23"/>
  </w:num>
  <w:num w:numId="5">
    <w:abstractNumId w:val="3"/>
  </w:num>
  <w:num w:numId="6">
    <w:abstractNumId w:val="0"/>
  </w:num>
  <w:num w:numId="7">
    <w:abstractNumId w:val="14"/>
  </w:num>
  <w:num w:numId="8">
    <w:abstractNumId w:val="20"/>
  </w:num>
  <w:num w:numId="9">
    <w:abstractNumId w:val="7"/>
  </w:num>
  <w:num w:numId="10">
    <w:abstractNumId w:val="13"/>
  </w:num>
  <w:num w:numId="11">
    <w:abstractNumId w:val="19"/>
  </w:num>
  <w:num w:numId="12">
    <w:abstractNumId w:val="17"/>
  </w:num>
  <w:num w:numId="13">
    <w:abstractNumId w:val="4"/>
  </w:num>
  <w:num w:numId="14">
    <w:abstractNumId w:val="2"/>
  </w:num>
  <w:num w:numId="15">
    <w:abstractNumId w:val="1"/>
  </w:num>
  <w:num w:numId="16">
    <w:abstractNumId w:val="5"/>
  </w:num>
  <w:num w:numId="17">
    <w:abstractNumId w:val="15"/>
  </w:num>
  <w:num w:numId="18">
    <w:abstractNumId w:val="18"/>
  </w:num>
  <w:num w:numId="19">
    <w:abstractNumId w:val="9"/>
  </w:num>
  <w:num w:numId="20">
    <w:abstractNumId w:val="11"/>
  </w:num>
  <w:num w:numId="21">
    <w:abstractNumId w:val="12"/>
  </w:num>
  <w:num w:numId="22">
    <w:abstractNumId w:val="10"/>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AF"/>
    <w:rsid w:val="000008F3"/>
    <w:rsid w:val="00002C2F"/>
    <w:rsid w:val="000330B0"/>
    <w:rsid w:val="000568C6"/>
    <w:rsid w:val="00067934"/>
    <w:rsid w:val="00071114"/>
    <w:rsid w:val="0007505E"/>
    <w:rsid w:val="00084EF9"/>
    <w:rsid w:val="00093254"/>
    <w:rsid w:val="000A4320"/>
    <w:rsid w:val="000A52D4"/>
    <w:rsid w:val="000C0940"/>
    <w:rsid w:val="000C1912"/>
    <w:rsid w:val="000F2E17"/>
    <w:rsid w:val="000F7B4C"/>
    <w:rsid w:val="0012355F"/>
    <w:rsid w:val="001427EA"/>
    <w:rsid w:val="00144FB9"/>
    <w:rsid w:val="00147AD9"/>
    <w:rsid w:val="00147DB9"/>
    <w:rsid w:val="00150BDC"/>
    <w:rsid w:val="00153F04"/>
    <w:rsid w:val="001804B9"/>
    <w:rsid w:val="001825FF"/>
    <w:rsid w:val="00194A5D"/>
    <w:rsid w:val="001B6738"/>
    <w:rsid w:val="001C078A"/>
    <w:rsid w:val="001D18A4"/>
    <w:rsid w:val="001F42E2"/>
    <w:rsid w:val="001F537F"/>
    <w:rsid w:val="0020066B"/>
    <w:rsid w:val="002037CD"/>
    <w:rsid w:val="00203A6F"/>
    <w:rsid w:val="00212B88"/>
    <w:rsid w:val="00215E35"/>
    <w:rsid w:val="00237C59"/>
    <w:rsid w:val="0027276B"/>
    <w:rsid w:val="00276344"/>
    <w:rsid w:val="002856D4"/>
    <w:rsid w:val="002A05A4"/>
    <w:rsid w:val="002A3B77"/>
    <w:rsid w:val="002A57BD"/>
    <w:rsid w:val="002A5A7C"/>
    <w:rsid w:val="002B3C41"/>
    <w:rsid w:val="002B57D1"/>
    <w:rsid w:val="002D2B54"/>
    <w:rsid w:val="002E644D"/>
    <w:rsid w:val="00302191"/>
    <w:rsid w:val="0031128B"/>
    <w:rsid w:val="003164C6"/>
    <w:rsid w:val="00331A74"/>
    <w:rsid w:val="0033379C"/>
    <w:rsid w:val="00346A6C"/>
    <w:rsid w:val="0035031D"/>
    <w:rsid w:val="00367413"/>
    <w:rsid w:val="00367E4E"/>
    <w:rsid w:val="003702AE"/>
    <w:rsid w:val="0037666A"/>
    <w:rsid w:val="0038628A"/>
    <w:rsid w:val="00386345"/>
    <w:rsid w:val="003933BB"/>
    <w:rsid w:val="003943A9"/>
    <w:rsid w:val="003B0796"/>
    <w:rsid w:val="003C41C5"/>
    <w:rsid w:val="003D663A"/>
    <w:rsid w:val="003E3470"/>
    <w:rsid w:val="003E378C"/>
    <w:rsid w:val="003E3B03"/>
    <w:rsid w:val="003E747F"/>
    <w:rsid w:val="003F3E63"/>
    <w:rsid w:val="003F5267"/>
    <w:rsid w:val="003F6AF7"/>
    <w:rsid w:val="0040020C"/>
    <w:rsid w:val="00402C77"/>
    <w:rsid w:val="00422261"/>
    <w:rsid w:val="00425D69"/>
    <w:rsid w:val="0043694A"/>
    <w:rsid w:val="0044063C"/>
    <w:rsid w:val="00440C19"/>
    <w:rsid w:val="00480FE5"/>
    <w:rsid w:val="0049253F"/>
    <w:rsid w:val="004A4333"/>
    <w:rsid w:val="004B0189"/>
    <w:rsid w:val="004B2262"/>
    <w:rsid w:val="004C6AE4"/>
    <w:rsid w:val="004F1039"/>
    <w:rsid w:val="004F1C83"/>
    <w:rsid w:val="004F1DC5"/>
    <w:rsid w:val="00505430"/>
    <w:rsid w:val="00506AB7"/>
    <w:rsid w:val="005139D7"/>
    <w:rsid w:val="00515861"/>
    <w:rsid w:val="005206DE"/>
    <w:rsid w:val="00520EBA"/>
    <w:rsid w:val="00522286"/>
    <w:rsid w:val="00522566"/>
    <w:rsid w:val="00532976"/>
    <w:rsid w:val="005370A0"/>
    <w:rsid w:val="00544981"/>
    <w:rsid w:val="00557D3E"/>
    <w:rsid w:val="0057653F"/>
    <w:rsid w:val="005766DD"/>
    <w:rsid w:val="00585811"/>
    <w:rsid w:val="00590CC9"/>
    <w:rsid w:val="00597E54"/>
    <w:rsid w:val="005C769B"/>
    <w:rsid w:val="005E1C1F"/>
    <w:rsid w:val="005E6E09"/>
    <w:rsid w:val="005F34AD"/>
    <w:rsid w:val="005F4B1A"/>
    <w:rsid w:val="00600860"/>
    <w:rsid w:val="0060158E"/>
    <w:rsid w:val="00607546"/>
    <w:rsid w:val="00611EDA"/>
    <w:rsid w:val="006206B7"/>
    <w:rsid w:val="006300CF"/>
    <w:rsid w:val="00640194"/>
    <w:rsid w:val="0065060D"/>
    <w:rsid w:val="00653F42"/>
    <w:rsid w:val="0067063E"/>
    <w:rsid w:val="006820F0"/>
    <w:rsid w:val="006A05CA"/>
    <w:rsid w:val="006A4DBB"/>
    <w:rsid w:val="006A6C07"/>
    <w:rsid w:val="006B3D11"/>
    <w:rsid w:val="006C6AD9"/>
    <w:rsid w:val="006E2B2E"/>
    <w:rsid w:val="00700D8C"/>
    <w:rsid w:val="00710AEB"/>
    <w:rsid w:val="0071271E"/>
    <w:rsid w:val="0071387F"/>
    <w:rsid w:val="007305C5"/>
    <w:rsid w:val="00735D42"/>
    <w:rsid w:val="00743028"/>
    <w:rsid w:val="007642AF"/>
    <w:rsid w:val="00766ED7"/>
    <w:rsid w:val="00780F74"/>
    <w:rsid w:val="007A5E73"/>
    <w:rsid w:val="007B13DB"/>
    <w:rsid w:val="007B4DFD"/>
    <w:rsid w:val="007B6899"/>
    <w:rsid w:val="007C5C95"/>
    <w:rsid w:val="007C79C1"/>
    <w:rsid w:val="007F0EA0"/>
    <w:rsid w:val="007F194C"/>
    <w:rsid w:val="007F4113"/>
    <w:rsid w:val="00816403"/>
    <w:rsid w:val="00822865"/>
    <w:rsid w:val="00825B33"/>
    <w:rsid w:val="0083266B"/>
    <w:rsid w:val="00860C5C"/>
    <w:rsid w:val="008636BE"/>
    <w:rsid w:val="00864FD6"/>
    <w:rsid w:val="00865653"/>
    <w:rsid w:val="00870E42"/>
    <w:rsid w:val="00871229"/>
    <w:rsid w:val="00872AC6"/>
    <w:rsid w:val="008766DD"/>
    <w:rsid w:val="00881E5B"/>
    <w:rsid w:val="0088373E"/>
    <w:rsid w:val="008A0F0A"/>
    <w:rsid w:val="008A160D"/>
    <w:rsid w:val="008A4578"/>
    <w:rsid w:val="008A6D07"/>
    <w:rsid w:val="008B26E7"/>
    <w:rsid w:val="008B4DD4"/>
    <w:rsid w:val="008B5380"/>
    <w:rsid w:val="008D1DE8"/>
    <w:rsid w:val="008E162B"/>
    <w:rsid w:val="008E42E4"/>
    <w:rsid w:val="008E7D6A"/>
    <w:rsid w:val="00902981"/>
    <w:rsid w:val="0090443B"/>
    <w:rsid w:val="00912669"/>
    <w:rsid w:val="00925B3C"/>
    <w:rsid w:val="009452E0"/>
    <w:rsid w:val="009453EE"/>
    <w:rsid w:val="00946D93"/>
    <w:rsid w:val="00953F83"/>
    <w:rsid w:val="00957CCD"/>
    <w:rsid w:val="00970556"/>
    <w:rsid w:val="0098683C"/>
    <w:rsid w:val="00993633"/>
    <w:rsid w:val="00995D3E"/>
    <w:rsid w:val="00997876"/>
    <w:rsid w:val="009A4522"/>
    <w:rsid w:val="009D31DF"/>
    <w:rsid w:val="009D66CA"/>
    <w:rsid w:val="009D7899"/>
    <w:rsid w:val="009E0B7E"/>
    <w:rsid w:val="009E180A"/>
    <w:rsid w:val="009E7216"/>
    <w:rsid w:val="009F20BA"/>
    <w:rsid w:val="00A11BC8"/>
    <w:rsid w:val="00A21654"/>
    <w:rsid w:val="00A22138"/>
    <w:rsid w:val="00A23FD3"/>
    <w:rsid w:val="00A35129"/>
    <w:rsid w:val="00A42B46"/>
    <w:rsid w:val="00A51F0F"/>
    <w:rsid w:val="00A53C1D"/>
    <w:rsid w:val="00A54B36"/>
    <w:rsid w:val="00A56411"/>
    <w:rsid w:val="00A972C6"/>
    <w:rsid w:val="00AA1307"/>
    <w:rsid w:val="00AA1B42"/>
    <w:rsid w:val="00AB47B2"/>
    <w:rsid w:val="00AC1E74"/>
    <w:rsid w:val="00AC1FE7"/>
    <w:rsid w:val="00AC68B2"/>
    <w:rsid w:val="00AD2C94"/>
    <w:rsid w:val="00AE1005"/>
    <w:rsid w:val="00AF413D"/>
    <w:rsid w:val="00B00373"/>
    <w:rsid w:val="00B0648B"/>
    <w:rsid w:val="00B20D40"/>
    <w:rsid w:val="00B22C2A"/>
    <w:rsid w:val="00B32F15"/>
    <w:rsid w:val="00B368B7"/>
    <w:rsid w:val="00B45EB1"/>
    <w:rsid w:val="00B61AA8"/>
    <w:rsid w:val="00B70AD5"/>
    <w:rsid w:val="00B7270A"/>
    <w:rsid w:val="00B82C52"/>
    <w:rsid w:val="00B831AC"/>
    <w:rsid w:val="00B83814"/>
    <w:rsid w:val="00B8773B"/>
    <w:rsid w:val="00B961AF"/>
    <w:rsid w:val="00B97DF5"/>
    <w:rsid w:val="00BA64FA"/>
    <w:rsid w:val="00BA68A5"/>
    <w:rsid w:val="00BB0C3A"/>
    <w:rsid w:val="00BF0D6D"/>
    <w:rsid w:val="00C11441"/>
    <w:rsid w:val="00C11E85"/>
    <w:rsid w:val="00C22E9F"/>
    <w:rsid w:val="00C24B70"/>
    <w:rsid w:val="00C45014"/>
    <w:rsid w:val="00C54FAD"/>
    <w:rsid w:val="00C67C41"/>
    <w:rsid w:val="00C87B34"/>
    <w:rsid w:val="00CB289A"/>
    <w:rsid w:val="00CC0725"/>
    <w:rsid w:val="00CC6242"/>
    <w:rsid w:val="00CD445A"/>
    <w:rsid w:val="00CD4656"/>
    <w:rsid w:val="00CE2D26"/>
    <w:rsid w:val="00CF01FE"/>
    <w:rsid w:val="00D14E7D"/>
    <w:rsid w:val="00D15163"/>
    <w:rsid w:val="00D17B2E"/>
    <w:rsid w:val="00D22DEE"/>
    <w:rsid w:val="00D25F93"/>
    <w:rsid w:val="00D3112E"/>
    <w:rsid w:val="00D3718D"/>
    <w:rsid w:val="00D46A78"/>
    <w:rsid w:val="00D8081A"/>
    <w:rsid w:val="00DA3ACB"/>
    <w:rsid w:val="00DB2411"/>
    <w:rsid w:val="00DB4184"/>
    <w:rsid w:val="00DC6FA8"/>
    <w:rsid w:val="00DD0B4E"/>
    <w:rsid w:val="00DD409D"/>
    <w:rsid w:val="00DD418F"/>
    <w:rsid w:val="00DE1C17"/>
    <w:rsid w:val="00DF64DA"/>
    <w:rsid w:val="00DF6868"/>
    <w:rsid w:val="00E10B51"/>
    <w:rsid w:val="00E14694"/>
    <w:rsid w:val="00E24E03"/>
    <w:rsid w:val="00E36474"/>
    <w:rsid w:val="00E3672B"/>
    <w:rsid w:val="00E41CC6"/>
    <w:rsid w:val="00E433AE"/>
    <w:rsid w:val="00E542BD"/>
    <w:rsid w:val="00E628ED"/>
    <w:rsid w:val="00E862EF"/>
    <w:rsid w:val="00E91459"/>
    <w:rsid w:val="00E92336"/>
    <w:rsid w:val="00E950B9"/>
    <w:rsid w:val="00E97005"/>
    <w:rsid w:val="00E97BF4"/>
    <w:rsid w:val="00EC0268"/>
    <w:rsid w:val="00ED0DE2"/>
    <w:rsid w:val="00ED3CA5"/>
    <w:rsid w:val="00ED5E54"/>
    <w:rsid w:val="00F07568"/>
    <w:rsid w:val="00F202C7"/>
    <w:rsid w:val="00F218AF"/>
    <w:rsid w:val="00F25A75"/>
    <w:rsid w:val="00F3398D"/>
    <w:rsid w:val="00F40F34"/>
    <w:rsid w:val="00F4243A"/>
    <w:rsid w:val="00F427A5"/>
    <w:rsid w:val="00F46542"/>
    <w:rsid w:val="00F53CC4"/>
    <w:rsid w:val="00F76622"/>
    <w:rsid w:val="00F77518"/>
    <w:rsid w:val="00F850EB"/>
    <w:rsid w:val="00F85929"/>
    <w:rsid w:val="00F873FD"/>
    <w:rsid w:val="00F93FF5"/>
    <w:rsid w:val="00F94ABC"/>
    <w:rsid w:val="00FA579A"/>
    <w:rsid w:val="00FC1CDE"/>
    <w:rsid w:val="00FE5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18AF"/>
    <w:pPr>
      <w:ind w:left="720"/>
      <w:contextualSpacing/>
    </w:pPr>
  </w:style>
  <w:style w:type="paragraph" w:styleId="Eindnoottekst">
    <w:name w:val="endnote text"/>
    <w:basedOn w:val="Standaard"/>
    <w:link w:val="EindnoottekstChar"/>
    <w:uiPriority w:val="99"/>
    <w:unhideWhenUsed/>
    <w:rsid w:val="00093254"/>
    <w:rPr>
      <w:rFonts w:ascii="Verdana" w:eastAsiaTheme="minorHAnsi" w:hAnsi="Verdana"/>
      <w:sz w:val="20"/>
      <w:szCs w:val="20"/>
      <w:lang w:val="en-US"/>
    </w:rPr>
  </w:style>
  <w:style w:type="character" w:customStyle="1" w:styleId="EindnoottekstChar">
    <w:name w:val="Eindnoottekst Char"/>
    <w:basedOn w:val="Standaardalinea-lettertype"/>
    <w:link w:val="Eindnoottekst"/>
    <w:uiPriority w:val="99"/>
    <w:rsid w:val="00093254"/>
    <w:rPr>
      <w:rFonts w:ascii="Verdana" w:eastAsiaTheme="minorHAnsi" w:hAnsi="Verdana"/>
      <w:sz w:val="20"/>
      <w:szCs w:val="20"/>
      <w:lang w:val="en-US"/>
    </w:rPr>
  </w:style>
  <w:style w:type="character" w:styleId="Verwijzingopmerking">
    <w:name w:val="annotation reference"/>
    <w:basedOn w:val="Standaardalinea-lettertype"/>
    <w:uiPriority w:val="99"/>
    <w:semiHidden/>
    <w:rsid w:val="0033379C"/>
    <w:rPr>
      <w:rFonts w:cs="Times New Roman"/>
      <w:sz w:val="16"/>
      <w:szCs w:val="16"/>
    </w:rPr>
  </w:style>
  <w:style w:type="paragraph" w:styleId="Tekstopmerking">
    <w:name w:val="annotation text"/>
    <w:basedOn w:val="Standaard"/>
    <w:link w:val="TekstopmerkingChar"/>
    <w:uiPriority w:val="99"/>
    <w:semiHidden/>
    <w:rsid w:val="0033379C"/>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semiHidden/>
    <w:rsid w:val="0033379C"/>
    <w:rPr>
      <w:rFonts w:ascii="Calibri" w:eastAsia="Calibri" w:hAnsi="Calibri" w:cs="Times New Roman"/>
      <w:sz w:val="20"/>
      <w:szCs w:val="20"/>
      <w:lang w:val="nl-NL"/>
    </w:rPr>
  </w:style>
  <w:style w:type="paragraph" w:styleId="Voetnoottekst">
    <w:name w:val="footnote text"/>
    <w:basedOn w:val="Standaard"/>
    <w:link w:val="VoetnoottekstChar"/>
    <w:uiPriority w:val="99"/>
    <w:semiHidden/>
    <w:rsid w:val="0033379C"/>
    <w:pPr>
      <w:spacing w:after="200"/>
    </w:pPr>
    <w:rPr>
      <w:rFonts w:ascii="Verdana" w:eastAsia="Calibri" w:hAnsi="Verdana" w:cs="Times New Roman"/>
      <w:sz w:val="20"/>
      <w:szCs w:val="20"/>
      <w:lang w:val="en-US"/>
    </w:rPr>
  </w:style>
  <w:style w:type="character" w:customStyle="1" w:styleId="VoetnoottekstChar">
    <w:name w:val="Voetnoottekst Char"/>
    <w:basedOn w:val="Standaardalinea-lettertype"/>
    <w:link w:val="Voetnoottekst"/>
    <w:uiPriority w:val="99"/>
    <w:semiHidden/>
    <w:rsid w:val="0033379C"/>
    <w:rPr>
      <w:rFonts w:ascii="Verdana" w:eastAsia="Calibri" w:hAnsi="Verdana" w:cs="Times New Roman"/>
      <w:sz w:val="20"/>
      <w:szCs w:val="20"/>
      <w:lang w:val="en-US"/>
    </w:rPr>
  </w:style>
  <w:style w:type="character" w:styleId="Voetnootmarkering">
    <w:name w:val="footnote reference"/>
    <w:basedOn w:val="Standaardalinea-lettertype"/>
    <w:uiPriority w:val="99"/>
    <w:semiHidden/>
    <w:rsid w:val="0033379C"/>
    <w:rPr>
      <w:rFonts w:cs="Times New Roman"/>
      <w:vertAlign w:val="superscript"/>
    </w:rPr>
  </w:style>
  <w:style w:type="paragraph" w:styleId="Ballontekst">
    <w:name w:val="Balloon Text"/>
    <w:basedOn w:val="Standaard"/>
    <w:link w:val="BallontekstChar"/>
    <w:uiPriority w:val="99"/>
    <w:semiHidden/>
    <w:unhideWhenUsed/>
    <w:rsid w:val="0033379C"/>
    <w:rPr>
      <w:rFonts w:ascii="Tahoma" w:hAnsi="Tahoma" w:cs="Tahoma"/>
      <w:sz w:val="16"/>
      <w:szCs w:val="16"/>
    </w:rPr>
  </w:style>
  <w:style w:type="character" w:customStyle="1" w:styleId="BallontekstChar">
    <w:name w:val="Ballontekst Char"/>
    <w:basedOn w:val="Standaardalinea-lettertype"/>
    <w:link w:val="Ballontekst"/>
    <w:uiPriority w:val="99"/>
    <w:semiHidden/>
    <w:rsid w:val="0033379C"/>
    <w:rPr>
      <w:rFonts w:ascii="Tahom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870E42"/>
    <w:rPr>
      <w:rFonts w:asciiTheme="minorHAnsi" w:eastAsiaTheme="minorEastAsia" w:hAnsiTheme="minorHAnsi" w:cstheme="minorBidi"/>
      <w:b/>
      <w:bCs/>
    </w:rPr>
  </w:style>
  <w:style w:type="character" w:customStyle="1" w:styleId="OnderwerpvanopmerkingChar">
    <w:name w:val="Onderwerp van opmerking Char"/>
    <w:basedOn w:val="TekstopmerkingChar"/>
    <w:link w:val="Onderwerpvanopmerking"/>
    <w:uiPriority w:val="99"/>
    <w:semiHidden/>
    <w:rsid w:val="00870E42"/>
    <w:rPr>
      <w:rFonts w:ascii="Calibri" w:eastAsia="Calibri" w:hAnsi="Calibri" w:cs="Times New Roman"/>
      <w:b/>
      <w:bCs/>
      <w:sz w:val="20"/>
      <w:szCs w:val="20"/>
      <w:lang w:val="nl-NL"/>
    </w:rPr>
  </w:style>
  <w:style w:type="paragraph" w:styleId="Normaalweb">
    <w:name w:val="Normal (Web)"/>
    <w:basedOn w:val="Standaard"/>
    <w:uiPriority w:val="99"/>
    <w:unhideWhenUsed/>
    <w:rsid w:val="00F07568"/>
    <w:pPr>
      <w:spacing w:before="100" w:beforeAutospacing="1" w:after="394"/>
    </w:pPr>
    <w:rPr>
      <w:rFonts w:ascii="Times New Roman" w:eastAsia="Times New Roman" w:hAnsi="Times New Roman" w:cs="Times New Roman"/>
      <w:lang w:eastAsia="nl-NL"/>
    </w:rPr>
  </w:style>
  <w:style w:type="character" w:styleId="Nadruk">
    <w:name w:val="Emphasis"/>
    <w:basedOn w:val="Standaardalinea-lettertype"/>
    <w:uiPriority w:val="20"/>
    <w:qFormat/>
    <w:rsid w:val="00F07568"/>
    <w:rPr>
      <w:i/>
      <w:iCs/>
    </w:rPr>
  </w:style>
  <w:style w:type="character" w:styleId="Hyperlink">
    <w:name w:val="Hyperlink"/>
    <w:basedOn w:val="Standaardalinea-lettertype"/>
    <w:uiPriority w:val="99"/>
    <w:semiHidden/>
    <w:unhideWhenUsed/>
    <w:rsid w:val="00CC0725"/>
    <w:rPr>
      <w:color w:val="0000FF"/>
      <w:u w:val="single"/>
    </w:rPr>
  </w:style>
  <w:style w:type="character" w:styleId="GevolgdeHyperlink">
    <w:name w:val="FollowedHyperlink"/>
    <w:basedOn w:val="Standaardalinea-lettertype"/>
    <w:uiPriority w:val="99"/>
    <w:semiHidden/>
    <w:unhideWhenUsed/>
    <w:rsid w:val="0060158E"/>
    <w:rPr>
      <w:color w:val="800080" w:themeColor="followedHyperlink"/>
      <w:u w:val="single"/>
    </w:rPr>
  </w:style>
  <w:style w:type="paragraph" w:customStyle="1" w:styleId="mtop">
    <w:name w:val="mtop"/>
    <w:basedOn w:val="Standaard"/>
    <w:rsid w:val="00CD4656"/>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710AEB"/>
    <w:pPr>
      <w:tabs>
        <w:tab w:val="center" w:pos="4536"/>
        <w:tab w:val="right" w:pos="9072"/>
      </w:tabs>
    </w:pPr>
  </w:style>
  <w:style w:type="character" w:customStyle="1" w:styleId="KoptekstChar">
    <w:name w:val="Koptekst Char"/>
    <w:basedOn w:val="Standaardalinea-lettertype"/>
    <w:link w:val="Koptekst"/>
    <w:uiPriority w:val="99"/>
    <w:rsid w:val="00710AEB"/>
    <w:rPr>
      <w:lang w:val="nl-NL"/>
    </w:rPr>
  </w:style>
  <w:style w:type="paragraph" w:styleId="Voettekst">
    <w:name w:val="footer"/>
    <w:basedOn w:val="Standaard"/>
    <w:link w:val="VoettekstChar"/>
    <w:uiPriority w:val="99"/>
    <w:unhideWhenUsed/>
    <w:rsid w:val="00710AEB"/>
    <w:pPr>
      <w:tabs>
        <w:tab w:val="center" w:pos="4536"/>
        <w:tab w:val="right" w:pos="9072"/>
      </w:tabs>
    </w:pPr>
  </w:style>
  <w:style w:type="character" w:customStyle="1" w:styleId="VoettekstChar">
    <w:name w:val="Voettekst Char"/>
    <w:basedOn w:val="Standaardalinea-lettertype"/>
    <w:link w:val="Voettekst"/>
    <w:uiPriority w:val="99"/>
    <w:rsid w:val="00710AEB"/>
    <w:rPr>
      <w:lang w:val="nl-NL"/>
    </w:rPr>
  </w:style>
  <w:style w:type="paragraph" w:styleId="Revisie">
    <w:name w:val="Revision"/>
    <w:hidden/>
    <w:uiPriority w:val="99"/>
    <w:semiHidden/>
    <w:rsid w:val="007B4DFD"/>
    <w:rPr>
      <w:lang w:val="nl-NL"/>
    </w:rPr>
  </w:style>
  <w:style w:type="paragraph" w:customStyle="1" w:styleId="Default">
    <w:name w:val="Default"/>
    <w:rsid w:val="002A3B77"/>
    <w:pPr>
      <w:autoSpaceDE w:val="0"/>
      <w:autoSpaceDN w:val="0"/>
      <w:adjustRightInd w:val="0"/>
    </w:pPr>
    <w:rPr>
      <w:rFonts w:ascii="KNAKG N+ Univers" w:hAnsi="KNAKG N+ Univers" w:cs="KNAKG N+ Univers"/>
      <w:color w:val="00000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218AF"/>
    <w:pPr>
      <w:ind w:left="720"/>
      <w:contextualSpacing/>
    </w:pPr>
  </w:style>
  <w:style w:type="paragraph" w:styleId="Eindnoottekst">
    <w:name w:val="endnote text"/>
    <w:basedOn w:val="Standaard"/>
    <w:link w:val="EindnoottekstChar"/>
    <w:uiPriority w:val="99"/>
    <w:unhideWhenUsed/>
    <w:rsid w:val="00093254"/>
    <w:rPr>
      <w:rFonts w:ascii="Verdana" w:eastAsiaTheme="minorHAnsi" w:hAnsi="Verdana"/>
      <w:sz w:val="20"/>
      <w:szCs w:val="20"/>
      <w:lang w:val="en-US"/>
    </w:rPr>
  </w:style>
  <w:style w:type="character" w:customStyle="1" w:styleId="EindnoottekstChar">
    <w:name w:val="Eindnoottekst Char"/>
    <w:basedOn w:val="Standaardalinea-lettertype"/>
    <w:link w:val="Eindnoottekst"/>
    <w:uiPriority w:val="99"/>
    <w:rsid w:val="00093254"/>
    <w:rPr>
      <w:rFonts w:ascii="Verdana" w:eastAsiaTheme="minorHAnsi" w:hAnsi="Verdana"/>
      <w:sz w:val="20"/>
      <w:szCs w:val="20"/>
      <w:lang w:val="en-US"/>
    </w:rPr>
  </w:style>
  <w:style w:type="character" w:styleId="Verwijzingopmerking">
    <w:name w:val="annotation reference"/>
    <w:basedOn w:val="Standaardalinea-lettertype"/>
    <w:uiPriority w:val="99"/>
    <w:semiHidden/>
    <w:rsid w:val="0033379C"/>
    <w:rPr>
      <w:rFonts w:cs="Times New Roman"/>
      <w:sz w:val="16"/>
      <w:szCs w:val="16"/>
    </w:rPr>
  </w:style>
  <w:style w:type="paragraph" w:styleId="Tekstopmerking">
    <w:name w:val="annotation text"/>
    <w:basedOn w:val="Standaard"/>
    <w:link w:val="TekstopmerkingChar"/>
    <w:uiPriority w:val="99"/>
    <w:semiHidden/>
    <w:rsid w:val="0033379C"/>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semiHidden/>
    <w:rsid w:val="0033379C"/>
    <w:rPr>
      <w:rFonts w:ascii="Calibri" w:eastAsia="Calibri" w:hAnsi="Calibri" w:cs="Times New Roman"/>
      <w:sz w:val="20"/>
      <w:szCs w:val="20"/>
      <w:lang w:val="nl-NL"/>
    </w:rPr>
  </w:style>
  <w:style w:type="paragraph" w:styleId="Voetnoottekst">
    <w:name w:val="footnote text"/>
    <w:basedOn w:val="Standaard"/>
    <w:link w:val="VoetnoottekstChar"/>
    <w:uiPriority w:val="99"/>
    <w:semiHidden/>
    <w:rsid w:val="0033379C"/>
    <w:pPr>
      <w:spacing w:after="200"/>
    </w:pPr>
    <w:rPr>
      <w:rFonts w:ascii="Verdana" w:eastAsia="Calibri" w:hAnsi="Verdana" w:cs="Times New Roman"/>
      <w:sz w:val="20"/>
      <w:szCs w:val="20"/>
      <w:lang w:val="en-US"/>
    </w:rPr>
  </w:style>
  <w:style w:type="character" w:customStyle="1" w:styleId="VoetnoottekstChar">
    <w:name w:val="Voetnoottekst Char"/>
    <w:basedOn w:val="Standaardalinea-lettertype"/>
    <w:link w:val="Voetnoottekst"/>
    <w:uiPriority w:val="99"/>
    <w:semiHidden/>
    <w:rsid w:val="0033379C"/>
    <w:rPr>
      <w:rFonts w:ascii="Verdana" w:eastAsia="Calibri" w:hAnsi="Verdana" w:cs="Times New Roman"/>
      <w:sz w:val="20"/>
      <w:szCs w:val="20"/>
      <w:lang w:val="en-US"/>
    </w:rPr>
  </w:style>
  <w:style w:type="character" w:styleId="Voetnootmarkering">
    <w:name w:val="footnote reference"/>
    <w:basedOn w:val="Standaardalinea-lettertype"/>
    <w:uiPriority w:val="99"/>
    <w:semiHidden/>
    <w:rsid w:val="0033379C"/>
    <w:rPr>
      <w:rFonts w:cs="Times New Roman"/>
      <w:vertAlign w:val="superscript"/>
    </w:rPr>
  </w:style>
  <w:style w:type="paragraph" w:styleId="Ballontekst">
    <w:name w:val="Balloon Text"/>
    <w:basedOn w:val="Standaard"/>
    <w:link w:val="BallontekstChar"/>
    <w:uiPriority w:val="99"/>
    <w:semiHidden/>
    <w:unhideWhenUsed/>
    <w:rsid w:val="0033379C"/>
    <w:rPr>
      <w:rFonts w:ascii="Tahoma" w:hAnsi="Tahoma" w:cs="Tahoma"/>
      <w:sz w:val="16"/>
      <w:szCs w:val="16"/>
    </w:rPr>
  </w:style>
  <w:style w:type="character" w:customStyle="1" w:styleId="BallontekstChar">
    <w:name w:val="Ballontekst Char"/>
    <w:basedOn w:val="Standaardalinea-lettertype"/>
    <w:link w:val="Ballontekst"/>
    <w:uiPriority w:val="99"/>
    <w:semiHidden/>
    <w:rsid w:val="0033379C"/>
    <w:rPr>
      <w:rFonts w:ascii="Tahom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870E42"/>
    <w:rPr>
      <w:rFonts w:asciiTheme="minorHAnsi" w:eastAsiaTheme="minorEastAsia" w:hAnsiTheme="minorHAnsi" w:cstheme="minorBidi"/>
      <w:b/>
      <w:bCs/>
    </w:rPr>
  </w:style>
  <w:style w:type="character" w:customStyle="1" w:styleId="OnderwerpvanopmerkingChar">
    <w:name w:val="Onderwerp van opmerking Char"/>
    <w:basedOn w:val="TekstopmerkingChar"/>
    <w:link w:val="Onderwerpvanopmerking"/>
    <w:uiPriority w:val="99"/>
    <w:semiHidden/>
    <w:rsid w:val="00870E42"/>
    <w:rPr>
      <w:rFonts w:ascii="Calibri" w:eastAsia="Calibri" w:hAnsi="Calibri" w:cs="Times New Roman"/>
      <w:b/>
      <w:bCs/>
      <w:sz w:val="20"/>
      <w:szCs w:val="20"/>
      <w:lang w:val="nl-NL"/>
    </w:rPr>
  </w:style>
  <w:style w:type="paragraph" w:styleId="Normaalweb">
    <w:name w:val="Normal (Web)"/>
    <w:basedOn w:val="Standaard"/>
    <w:uiPriority w:val="99"/>
    <w:unhideWhenUsed/>
    <w:rsid w:val="00F07568"/>
    <w:pPr>
      <w:spacing w:before="100" w:beforeAutospacing="1" w:after="394"/>
    </w:pPr>
    <w:rPr>
      <w:rFonts w:ascii="Times New Roman" w:eastAsia="Times New Roman" w:hAnsi="Times New Roman" w:cs="Times New Roman"/>
      <w:lang w:eastAsia="nl-NL"/>
    </w:rPr>
  </w:style>
  <w:style w:type="character" w:styleId="Nadruk">
    <w:name w:val="Emphasis"/>
    <w:basedOn w:val="Standaardalinea-lettertype"/>
    <w:uiPriority w:val="20"/>
    <w:qFormat/>
    <w:rsid w:val="00F07568"/>
    <w:rPr>
      <w:i/>
      <w:iCs/>
    </w:rPr>
  </w:style>
  <w:style w:type="character" w:styleId="Hyperlink">
    <w:name w:val="Hyperlink"/>
    <w:basedOn w:val="Standaardalinea-lettertype"/>
    <w:uiPriority w:val="99"/>
    <w:semiHidden/>
    <w:unhideWhenUsed/>
    <w:rsid w:val="00CC0725"/>
    <w:rPr>
      <w:color w:val="0000FF"/>
      <w:u w:val="single"/>
    </w:rPr>
  </w:style>
  <w:style w:type="character" w:styleId="GevolgdeHyperlink">
    <w:name w:val="FollowedHyperlink"/>
    <w:basedOn w:val="Standaardalinea-lettertype"/>
    <w:uiPriority w:val="99"/>
    <w:semiHidden/>
    <w:unhideWhenUsed/>
    <w:rsid w:val="0060158E"/>
    <w:rPr>
      <w:color w:val="800080" w:themeColor="followedHyperlink"/>
      <w:u w:val="single"/>
    </w:rPr>
  </w:style>
  <w:style w:type="paragraph" w:customStyle="1" w:styleId="mtop">
    <w:name w:val="mtop"/>
    <w:basedOn w:val="Standaard"/>
    <w:rsid w:val="00CD4656"/>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710AEB"/>
    <w:pPr>
      <w:tabs>
        <w:tab w:val="center" w:pos="4536"/>
        <w:tab w:val="right" w:pos="9072"/>
      </w:tabs>
    </w:pPr>
  </w:style>
  <w:style w:type="character" w:customStyle="1" w:styleId="KoptekstChar">
    <w:name w:val="Koptekst Char"/>
    <w:basedOn w:val="Standaardalinea-lettertype"/>
    <w:link w:val="Koptekst"/>
    <w:uiPriority w:val="99"/>
    <w:rsid w:val="00710AEB"/>
    <w:rPr>
      <w:lang w:val="nl-NL"/>
    </w:rPr>
  </w:style>
  <w:style w:type="paragraph" w:styleId="Voettekst">
    <w:name w:val="footer"/>
    <w:basedOn w:val="Standaard"/>
    <w:link w:val="VoettekstChar"/>
    <w:uiPriority w:val="99"/>
    <w:unhideWhenUsed/>
    <w:rsid w:val="00710AEB"/>
    <w:pPr>
      <w:tabs>
        <w:tab w:val="center" w:pos="4536"/>
        <w:tab w:val="right" w:pos="9072"/>
      </w:tabs>
    </w:pPr>
  </w:style>
  <w:style w:type="character" w:customStyle="1" w:styleId="VoettekstChar">
    <w:name w:val="Voettekst Char"/>
    <w:basedOn w:val="Standaardalinea-lettertype"/>
    <w:link w:val="Voettekst"/>
    <w:uiPriority w:val="99"/>
    <w:rsid w:val="00710AEB"/>
    <w:rPr>
      <w:lang w:val="nl-NL"/>
    </w:rPr>
  </w:style>
  <w:style w:type="paragraph" w:styleId="Revisie">
    <w:name w:val="Revision"/>
    <w:hidden/>
    <w:uiPriority w:val="99"/>
    <w:semiHidden/>
    <w:rsid w:val="007B4DFD"/>
    <w:rPr>
      <w:lang w:val="nl-NL"/>
    </w:rPr>
  </w:style>
  <w:style w:type="paragraph" w:customStyle="1" w:styleId="Default">
    <w:name w:val="Default"/>
    <w:rsid w:val="002A3B77"/>
    <w:pPr>
      <w:autoSpaceDE w:val="0"/>
      <w:autoSpaceDN w:val="0"/>
      <w:adjustRightInd w:val="0"/>
    </w:pPr>
    <w:rPr>
      <w:rFonts w:ascii="KNAKG N+ Univers" w:hAnsi="KNAKG N+ Univers" w:cs="KNAKG N+ Univers"/>
      <w:color w:val="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744187">
      <w:bodyDiv w:val="1"/>
      <w:marLeft w:val="0"/>
      <w:marRight w:val="0"/>
      <w:marTop w:val="0"/>
      <w:marBottom w:val="0"/>
      <w:divBdr>
        <w:top w:val="none" w:sz="0" w:space="0" w:color="auto"/>
        <w:left w:val="none" w:sz="0" w:space="0" w:color="auto"/>
        <w:bottom w:val="none" w:sz="0" w:space="0" w:color="auto"/>
        <w:right w:val="none" w:sz="0" w:space="0" w:color="auto"/>
      </w:divBdr>
    </w:div>
    <w:div w:id="620499258">
      <w:bodyDiv w:val="1"/>
      <w:marLeft w:val="0"/>
      <w:marRight w:val="0"/>
      <w:marTop w:val="0"/>
      <w:marBottom w:val="0"/>
      <w:divBdr>
        <w:top w:val="none" w:sz="0" w:space="0" w:color="auto"/>
        <w:left w:val="none" w:sz="0" w:space="0" w:color="auto"/>
        <w:bottom w:val="none" w:sz="0" w:space="0" w:color="auto"/>
        <w:right w:val="none" w:sz="0" w:space="0" w:color="auto"/>
      </w:divBdr>
    </w:div>
    <w:div w:id="716390807">
      <w:bodyDiv w:val="1"/>
      <w:marLeft w:val="0"/>
      <w:marRight w:val="0"/>
      <w:marTop w:val="0"/>
      <w:marBottom w:val="0"/>
      <w:divBdr>
        <w:top w:val="none" w:sz="0" w:space="0" w:color="auto"/>
        <w:left w:val="none" w:sz="0" w:space="0" w:color="auto"/>
        <w:bottom w:val="none" w:sz="0" w:space="0" w:color="auto"/>
        <w:right w:val="none" w:sz="0" w:space="0" w:color="auto"/>
      </w:divBdr>
    </w:div>
    <w:div w:id="764422386">
      <w:bodyDiv w:val="1"/>
      <w:marLeft w:val="0"/>
      <w:marRight w:val="0"/>
      <w:marTop w:val="0"/>
      <w:marBottom w:val="0"/>
      <w:divBdr>
        <w:top w:val="none" w:sz="0" w:space="0" w:color="auto"/>
        <w:left w:val="none" w:sz="0" w:space="0" w:color="auto"/>
        <w:bottom w:val="none" w:sz="0" w:space="0" w:color="auto"/>
        <w:right w:val="none" w:sz="0" w:space="0" w:color="auto"/>
      </w:divBdr>
    </w:div>
    <w:div w:id="852719814">
      <w:bodyDiv w:val="1"/>
      <w:marLeft w:val="0"/>
      <w:marRight w:val="0"/>
      <w:marTop w:val="0"/>
      <w:marBottom w:val="0"/>
      <w:divBdr>
        <w:top w:val="none" w:sz="0" w:space="0" w:color="auto"/>
        <w:left w:val="none" w:sz="0" w:space="0" w:color="auto"/>
        <w:bottom w:val="none" w:sz="0" w:space="0" w:color="auto"/>
        <w:right w:val="none" w:sz="0" w:space="0" w:color="auto"/>
      </w:divBdr>
    </w:div>
    <w:div w:id="917131149">
      <w:bodyDiv w:val="1"/>
      <w:marLeft w:val="0"/>
      <w:marRight w:val="0"/>
      <w:marTop w:val="0"/>
      <w:marBottom w:val="0"/>
      <w:divBdr>
        <w:top w:val="none" w:sz="0" w:space="0" w:color="auto"/>
        <w:left w:val="none" w:sz="0" w:space="0" w:color="auto"/>
        <w:bottom w:val="none" w:sz="0" w:space="0" w:color="auto"/>
        <w:right w:val="none" w:sz="0" w:space="0" w:color="auto"/>
      </w:divBdr>
    </w:div>
    <w:div w:id="930239365">
      <w:bodyDiv w:val="1"/>
      <w:marLeft w:val="0"/>
      <w:marRight w:val="0"/>
      <w:marTop w:val="0"/>
      <w:marBottom w:val="0"/>
      <w:divBdr>
        <w:top w:val="none" w:sz="0" w:space="0" w:color="auto"/>
        <w:left w:val="none" w:sz="0" w:space="0" w:color="auto"/>
        <w:bottom w:val="none" w:sz="0" w:space="0" w:color="auto"/>
        <w:right w:val="none" w:sz="0" w:space="0" w:color="auto"/>
      </w:divBdr>
    </w:div>
    <w:div w:id="1132135616">
      <w:bodyDiv w:val="1"/>
      <w:marLeft w:val="0"/>
      <w:marRight w:val="0"/>
      <w:marTop w:val="0"/>
      <w:marBottom w:val="0"/>
      <w:divBdr>
        <w:top w:val="none" w:sz="0" w:space="0" w:color="auto"/>
        <w:left w:val="none" w:sz="0" w:space="0" w:color="auto"/>
        <w:bottom w:val="none" w:sz="0" w:space="0" w:color="auto"/>
        <w:right w:val="none" w:sz="0" w:space="0" w:color="auto"/>
      </w:divBdr>
      <w:divsChild>
        <w:div w:id="280234710">
          <w:marLeft w:val="0"/>
          <w:marRight w:val="0"/>
          <w:marTop w:val="0"/>
          <w:marBottom w:val="0"/>
          <w:divBdr>
            <w:top w:val="none" w:sz="0" w:space="0" w:color="auto"/>
            <w:left w:val="none" w:sz="0" w:space="0" w:color="auto"/>
            <w:bottom w:val="none" w:sz="0" w:space="0" w:color="auto"/>
            <w:right w:val="none" w:sz="0" w:space="0" w:color="auto"/>
          </w:divBdr>
          <w:divsChild>
            <w:div w:id="2082018869">
              <w:marLeft w:val="0"/>
              <w:marRight w:val="0"/>
              <w:marTop w:val="0"/>
              <w:marBottom w:val="0"/>
              <w:divBdr>
                <w:top w:val="none" w:sz="0" w:space="0" w:color="auto"/>
                <w:left w:val="none" w:sz="0" w:space="0" w:color="auto"/>
                <w:bottom w:val="none" w:sz="0" w:space="0" w:color="auto"/>
                <w:right w:val="none" w:sz="0" w:space="0" w:color="auto"/>
              </w:divBdr>
              <w:divsChild>
                <w:div w:id="151601690">
                  <w:marLeft w:val="0"/>
                  <w:marRight w:val="0"/>
                  <w:marTop w:val="0"/>
                  <w:marBottom w:val="0"/>
                  <w:divBdr>
                    <w:top w:val="none" w:sz="0" w:space="0" w:color="auto"/>
                    <w:left w:val="none" w:sz="0" w:space="0" w:color="auto"/>
                    <w:bottom w:val="none" w:sz="0" w:space="0" w:color="auto"/>
                    <w:right w:val="none" w:sz="0" w:space="0" w:color="auto"/>
                  </w:divBdr>
                  <w:divsChild>
                    <w:div w:id="738094395">
                      <w:marLeft w:val="0"/>
                      <w:marRight w:val="0"/>
                      <w:marTop w:val="0"/>
                      <w:marBottom w:val="0"/>
                      <w:divBdr>
                        <w:top w:val="none" w:sz="0" w:space="0" w:color="auto"/>
                        <w:left w:val="none" w:sz="0" w:space="0" w:color="auto"/>
                        <w:bottom w:val="none" w:sz="0" w:space="0" w:color="auto"/>
                        <w:right w:val="none" w:sz="0" w:space="0" w:color="auto"/>
                      </w:divBdr>
                      <w:divsChild>
                        <w:div w:id="1042363670">
                          <w:marLeft w:val="0"/>
                          <w:marRight w:val="0"/>
                          <w:marTop w:val="0"/>
                          <w:marBottom w:val="0"/>
                          <w:divBdr>
                            <w:top w:val="none" w:sz="0" w:space="0" w:color="auto"/>
                            <w:left w:val="none" w:sz="0" w:space="0" w:color="auto"/>
                            <w:bottom w:val="none" w:sz="0" w:space="0" w:color="auto"/>
                            <w:right w:val="single" w:sz="6" w:space="10" w:color="E5E5E5"/>
                          </w:divBdr>
                          <w:divsChild>
                            <w:div w:id="20533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987163">
      <w:bodyDiv w:val="1"/>
      <w:marLeft w:val="0"/>
      <w:marRight w:val="0"/>
      <w:marTop w:val="0"/>
      <w:marBottom w:val="0"/>
      <w:divBdr>
        <w:top w:val="none" w:sz="0" w:space="0" w:color="auto"/>
        <w:left w:val="none" w:sz="0" w:space="0" w:color="auto"/>
        <w:bottom w:val="none" w:sz="0" w:space="0" w:color="auto"/>
        <w:right w:val="none" w:sz="0" w:space="0" w:color="auto"/>
      </w:divBdr>
    </w:div>
    <w:div w:id="1380205112">
      <w:bodyDiv w:val="1"/>
      <w:marLeft w:val="0"/>
      <w:marRight w:val="0"/>
      <w:marTop w:val="0"/>
      <w:marBottom w:val="0"/>
      <w:divBdr>
        <w:top w:val="none" w:sz="0" w:space="0" w:color="auto"/>
        <w:left w:val="none" w:sz="0" w:space="0" w:color="auto"/>
        <w:bottom w:val="none" w:sz="0" w:space="0" w:color="auto"/>
        <w:right w:val="none" w:sz="0" w:space="0" w:color="auto"/>
      </w:divBdr>
    </w:div>
    <w:div w:id="1413939323">
      <w:bodyDiv w:val="1"/>
      <w:marLeft w:val="0"/>
      <w:marRight w:val="0"/>
      <w:marTop w:val="0"/>
      <w:marBottom w:val="0"/>
      <w:divBdr>
        <w:top w:val="none" w:sz="0" w:space="0" w:color="auto"/>
        <w:left w:val="none" w:sz="0" w:space="0" w:color="auto"/>
        <w:bottom w:val="none" w:sz="0" w:space="0" w:color="auto"/>
        <w:right w:val="none" w:sz="0" w:space="0" w:color="auto"/>
      </w:divBdr>
      <w:divsChild>
        <w:div w:id="701127086">
          <w:marLeft w:val="0"/>
          <w:marRight w:val="0"/>
          <w:marTop w:val="0"/>
          <w:marBottom w:val="0"/>
          <w:divBdr>
            <w:top w:val="none" w:sz="0" w:space="0" w:color="auto"/>
            <w:left w:val="none" w:sz="0" w:space="0" w:color="auto"/>
            <w:bottom w:val="none" w:sz="0" w:space="0" w:color="auto"/>
            <w:right w:val="none" w:sz="0" w:space="0" w:color="auto"/>
          </w:divBdr>
        </w:div>
        <w:div w:id="414131995">
          <w:marLeft w:val="0"/>
          <w:marRight w:val="0"/>
          <w:marTop w:val="0"/>
          <w:marBottom w:val="0"/>
          <w:divBdr>
            <w:top w:val="none" w:sz="0" w:space="0" w:color="auto"/>
            <w:left w:val="none" w:sz="0" w:space="0" w:color="auto"/>
            <w:bottom w:val="none" w:sz="0" w:space="0" w:color="auto"/>
            <w:right w:val="none" w:sz="0" w:space="0" w:color="auto"/>
          </w:divBdr>
        </w:div>
      </w:divsChild>
    </w:div>
    <w:div w:id="1507287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http://ec.europa.eu/dgs/secretariat_general/relations/relations_other/npo/index_en.htm" TargetMode="External" Id="rId9"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21501-20-356.html" TargetMode="External"/><Relationship Id="rId1" Type="http://schemas.openxmlformats.org/officeDocument/2006/relationships/hyperlink" Target="https://zoek.officielebekendmakingen.nl/kst-21501-20-3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16</ap:Pages>
  <ap:Words>8451</ap:Words>
  <ap:Characters>46485</ap:Characters>
  <ap:DocSecurity>4</ap:DocSecurity>
  <ap:Lines>387</ap:Lines>
  <ap:Paragraphs>109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54827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2014-06-11T14:44:00.0000000Z</lastPrinted>
  <dcterms:created xsi:type="dcterms:W3CDTF">2014-06-16T09:39:00.0000000Z</dcterms:created>
  <dcterms:modified xsi:type="dcterms:W3CDTF">2014-06-16T09:39:00.0000000Z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oFAAohepTGvwTLiwdEuBBNUK+BjgVZdC5WWBTYQhvfyfByvVbutXU9BmL2KKaSy4ZIiCHxcy6cLHg6ic
cV+zOyc+7J3+R/gcj4YCqbyrEhG6PRitfc5bExCym4wOZ5w3pj6Swbd96UW92mn7DQD/DOCYSSSH
/BL6yqf7+8OERupqSE/6aK/qhU+SVfPEkWsifWYXkQC5v6kSetSkr1vNly4xjuZslvIK+KbFr8RA
TAe8j3/PAv8j4kszJ</vt:lpwstr>
  </property>
  <property fmtid="{D5CDD505-2E9C-101B-9397-08002B2CF9AE}" pid="3" name="MAIL_MSG_ID2">
    <vt:lpwstr>g56McAalUWJzZeYRykOgy9OfsPkPcsdgmR5I6KXYl5x0mmjCirLS6rasVIz
aVCizGL94iY7X7MMGl/C5JUQ44qOENFOdfk1m6zLwJAjaN+U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ABAAMV6B7YzPbaKsPpBeRpLKwkRP/Ok4J0pTF2aLZXgnbAS2CI3+Ljjf76cYhk6cUe1a</vt:lpwstr>
  </property>
  <property fmtid="{D5CDD505-2E9C-101B-9397-08002B2CF9AE}" pid="6" name="ContentTypeId">
    <vt:lpwstr>0x0101008359B45EAB521B45B5CC55CBCFB6D8D6</vt:lpwstr>
  </property>
</Properties>
</file>