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5B" w:rsidP="0031675B" w:rsidRDefault="0031675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Nispen</w:t>
      </w:r>
      <w:proofErr w:type="spellEnd"/>
      <w:r>
        <w:rPr>
          <w:rFonts w:ascii="Tahoma" w:hAnsi="Tahoma" w:cs="Tahoma"/>
          <w:sz w:val="20"/>
          <w:szCs w:val="20"/>
          <w:lang w:eastAsia="nl-NL"/>
        </w:rPr>
        <w:t xml:space="preserve"> van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23 mei 2014 11:59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 Hessing-Puts Brechje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Christel Wiskerke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procedurevergadering: Wet aanpassing griffierechten, 33757</w:t>
      </w:r>
    </w:p>
    <w:p w:rsidR="0031675B" w:rsidP="0031675B" w:rsidRDefault="0031675B"/>
    <w:p w:rsidR="0031675B" w:rsidP="0031675B" w:rsidRDefault="0031675B">
      <w:pPr>
        <w:rPr>
          <w:sz w:val="22"/>
          <w:szCs w:val="22"/>
        </w:rPr>
      </w:pPr>
    </w:p>
    <w:p w:rsidR="0031675B" w:rsidP="0031675B" w:rsidRDefault="0031675B">
      <w:pPr>
        <w:rPr>
          <w:sz w:val="22"/>
          <w:szCs w:val="22"/>
        </w:rPr>
      </w:pPr>
      <w:r>
        <w:rPr>
          <w:sz w:val="22"/>
          <w:szCs w:val="22"/>
        </w:rPr>
        <w:t>Geachte griffier,</w:t>
      </w:r>
    </w:p>
    <w:p w:rsidR="0031675B" w:rsidP="0031675B" w:rsidRDefault="0031675B">
      <w:pPr>
        <w:rPr>
          <w:sz w:val="22"/>
          <w:szCs w:val="22"/>
        </w:rPr>
      </w:pPr>
    </w:p>
    <w:p w:rsidR="0031675B" w:rsidP="0031675B" w:rsidRDefault="0031675B">
      <w:pPr>
        <w:rPr>
          <w:sz w:val="22"/>
          <w:szCs w:val="22"/>
        </w:rPr>
      </w:pPr>
      <w:r>
        <w:rPr>
          <w:sz w:val="22"/>
          <w:szCs w:val="22"/>
        </w:rPr>
        <w:t xml:space="preserve">Ten behoeve van de eerstvolgende procedurevergadering zou ik graag bij de rondvraag het volgende punt aan de orde </w:t>
      </w:r>
      <w:r>
        <w:rPr>
          <w:color w:val="000000"/>
          <w:sz w:val="22"/>
          <w:szCs w:val="22"/>
        </w:rPr>
        <w:t>will</w:t>
      </w:r>
      <w:r>
        <w:rPr>
          <w:sz w:val="22"/>
          <w:szCs w:val="22"/>
        </w:rPr>
        <w:t xml:space="preserve">en stellen. </w:t>
      </w:r>
    </w:p>
    <w:p w:rsidR="0031675B" w:rsidP="0031675B" w:rsidRDefault="0031675B">
      <w:pPr>
        <w:rPr>
          <w:color w:val="000000"/>
          <w:sz w:val="22"/>
          <w:szCs w:val="22"/>
        </w:rPr>
      </w:pPr>
    </w:p>
    <w:p w:rsidR="0031675B" w:rsidP="0031675B" w:rsidRDefault="0031675B">
      <w:pPr>
        <w:rPr>
          <w:color w:val="000000"/>
          <w:sz w:val="22"/>
          <w:szCs w:val="22"/>
        </w:rPr>
      </w:pPr>
      <w:r>
        <w:rPr>
          <w:sz w:val="22"/>
          <w:szCs w:val="22"/>
        </w:rPr>
        <w:t xml:space="preserve">De ‘Wijziging van de Algemene wet bestuursrecht, de Wet griffierechten burgerlijke zaken en de Wet op het hoger onderwijs en wetenschappelijk onderzoek in verband met aanpassing van griffierechten’ met nummer 33757 is inmiddels aangemeld voor plenaire behandeling en staat volgens het schema nog voor het zomerreces geagendeerd. Inmiddels is mij gebleken dat de effecten van eerdere verhogingen van de griffierechten thans onderzocht worden door het WODC, waarvan de resultaten in september 2014 worden verwacht. (Bron: Rapport Algemene Rekenkamer bij het jaarverslag </w:t>
      </w:r>
      <w:proofErr w:type="spellStart"/>
      <w:r>
        <w:rPr>
          <w:sz w:val="22"/>
          <w:szCs w:val="22"/>
        </w:rPr>
        <w:t>VenJ</w:t>
      </w:r>
      <w:proofErr w:type="spellEnd"/>
      <w:r>
        <w:rPr>
          <w:sz w:val="22"/>
          <w:szCs w:val="22"/>
        </w:rPr>
        <w:t>, p. 28, zie hieronder)</w:t>
      </w:r>
      <w:r>
        <w:rPr>
          <w:color w:val="000000"/>
          <w:sz w:val="22"/>
          <w:szCs w:val="22"/>
        </w:rPr>
        <w:t>. Ook de raad voor de rechtspraak laat onderzoek doen naar de effecten van veranderingen in de hoogte van griffierechten op rechtszaken</w:t>
      </w:r>
    </w:p>
    <w:p w:rsidR="0031675B" w:rsidP="0031675B" w:rsidRDefault="0031675B">
      <w:pPr>
        <w:rPr>
          <w:sz w:val="22"/>
          <w:szCs w:val="22"/>
        </w:rPr>
      </w:pPr>
      <w:r>
        <w:rPr>
          <w:color w:val="000000"/>
          <w:sz w:val="22"/>
          <w:szCs w:val="22"/>
        </w:rPr>
        <w:t>(</w:t>
      </w:r>
      <w:hyperlink w:history="1" r:id="rId5">
        <w:r>
          <w:rPr>
            <w:rStyle w:val="Hyperlink"/>
            <w:sz w:val="22"/>
            <w:szCs w:val="22"/>
          </w:rPr>
          <w:t>http://www.rechtspraak.nl/Actualiteiten/Nieuws/Pages/Hoogte-griffierecht-heeft-gevolg-voor-beroep-op-rechter.aspx</w:t>
        </w:r>
      </w:hyperlink>
      <w:r>
        <w:rPr>
          <w:color w:val="000000"/>
          <w:sz w:val="22"/>
          <w:szCs w:val="22"/>
        </w:rPr>
        <w:t xml:space="preserve">). Ook deze uitkomsten worden in het najaar verwacht. </w:t>
      </w:r>
      <w:r>
        <w:rPr>
          <w:sz w:val="22"/>
          <w:szCs w:val="22"/>
        </w:rPr>
        <w:t> </w:t>
      </w:r>
    </w:p>
    <w:p w:rsidR="0031675B" w:rsidP="0031675B" w:rsidRDefault="0031675B">
      <w:pPr>
        <w:rPr>
          <w:color w:val="000000"/>
          <w:sz w:val="22"/>
          <w:szCs w:val="22"/>
        </w:rPr>
      </w:pPr>
    </w:p>
    <w:p w:rsidR="0031675B" w:rsidP="0031675B" w:rsidRDefault="0031675B">
      <w:pPr>
        <w:rPr>
          <w:sz w:val="22"/>
          <w:szCs w:val="22"/>
        </w:rPr>
      </w:pPr>
      <w:r>
        <w:rPr>
          <w:sz w:val="22"/>
          <w:szCs w:val="22"/>
        </w:rPr>
        <w:t>Omdat ik het belangrijk vind de resultaten van d</w:t>
      </w:r>
      <w:r>
        <w:rPr>
          <w:color w:val="000000"/>
          <w:sz w:val="22"/>
          <w:szCs w:val="22"/>
        </w:rPr>
        <w:t>eze</w:t>
      </w:r>
      <w:r>
        <w:rPr>
          <w:sz w:val="22"/>
          <w:szCs w:val="22"/>
        </w:rPr>
        <w:t xml:space="preserve"> onderzoek</w:t>
      </w:r>
      <w:r>
        <w:rPr>
          <w:color w:val="000000"/>
          <w:sz w:val="22"/>
          <w:szCs w:val="22"/>
        </w:rPr>
        <w:t>en</w:t>
      </w:r>
      <w:r>
        <w:rPr>
          <w:sz w:val="22"/>
          <w:szCs w:val="22"/>
        </w:rPr>
        <w:t xml:space="preserve"> te kennen op het moment dat we een verdere verhoging van de griffierechten bespreken, is mijn voorstel om deze wet pas te behandelen </w:t>
      </w:r>
      <w:r>
        <w:rPr>
          <w:color w:val="000000"/>
          <w:sz w:val="22"/>
          <w:szCs w:val="22"/>
        </w:rPr>
        <w:t>nadat</w:t>
      </w:r>
      <w:r>
        <w:rPr>
          <w:sz w:val="22"/>
          <w:szCs w:val="22"/>
        </w:rPr>
        <w:t xml:space="preserve"> de resultaten van d</w:t>
      </w:r>
      <w:r>
        <w:rPr>
          <w:color w:val="000000"/>
          <w:sz w:val="22"/>
          <w:szCs w:val="22"/>
        </w:rPr>
        <w:t>eze</w:t>
      </w:r>
      <w:r>
        <w:rPr>
          <w:sz w:val="22"/>
          <w:szCs w:val="22"/>
        </w:rPr>
        <w:t xml:space="preserve"> onderzoek</w:t>
      </w:r>
      <w:r>
        <w:rPr>
          <w:color w:val="000000"/>
          <w:sz w:val="22"/>
          <w:szCs w:val="22"/>
        </w:rPr>
        <w:t>en zijn gepubliceerd</w:t>
      </w:r>
      <w:r>
        <w:rPr>
          <w:sz w:val="22"/>
          <w:szCs w:val="22"/>
        </w:rPr>
        <w:t xml:space="preserve">, </w:t>
      </w:r>
      <w:r>
        <w:rPr>
          <w:color w:val="000000"/>
          <w:sz w:val="22"/>
          <w:szCs w:val="22"/>
        </w:rPr>
        <w:t>(</w:t>
      </w:r>
      <w:r>
        <w:rPr>
          <w:sz w:val="22"/>
          <w:szCs w:val="22"/>
        </w:rPr>
        <w:t>kort</w:t>
      </w:r>
      <w:r>
        <w:rPr>
          <w:color w:val="000000"/>
          <w:sz w:val="22"/>
          <w:szCs w:val="22"/>
        </w:rPr>
        <w:t>)</w:t>
      </w:r>
      <w:r>
        <w:rPr>
          <w:sz w:val="22"/>
          <w:szCs w:val="22"/>
        </w:rPr>
        <w:t xml:space="preserve"> na het zomerreces dus. </w:t>
      </w:r>
    </w:p>
    <w:p w:rsidR="0031675B" w:rsidP="0031675B" w:rsidRDefault="0031675B">
      <w:pPr>
        <w:rPr>
          <w:sz w:val="22"/>
          <w:szCs w:val="22"/>
        </w:rPr>
      </w:pPr>
      <w:r>
        <w:rPr>
          <w:sz w:val="22"/>
          <w:szCs w:val="22"/>
        </w:rPr>
        <w:t xml:space="preserve">Om de plenaire agenda niet onnodig te belasten en te compliceren bespreek ik dit verzoek liever in de eerstvolgende procedurevergadering van de commissie, met het doel dit door te geven aan de griffie, dan dat ik dit verzoek pas plenair doe op het moment dat de wet gepland staat. </w:t>
      </w:r>
    </w:p>
    <w:p w:rsidR="0031675B" w:rsidP="0031675B" w:rsidRDefault="0031675B">
      <w:pPr>
        <w:rPr>
          <w:color w:val="000000"/>
          <w:sz w:val="22"/>
          <w:szCs w:val="22"/>
        </w:rPr>
      </w:pPr>
    </w:p>
    <w:p w:rsidR="0031675B" w:rsidP="0031675B" w:rsidRDefault="0031675B">
      <w:pPr>
        <w:rPr>
          <w:sz w:val="22"/>
          <w:szCs w:val="22"/>
        </w:rPr>
      </w:pPr>
      <w:r>
        <w:rPr>
          <w:sz w:val="22"/>
          <w:szCs w:val="22"/>
        </w:rPr>
        <w:t>Vriendelijk verzoek ik u dit verzoek te agenderen voor de procedurevergadering.</w:t>
      </w:r>
    </w:p>
    <w:p w:rsidR="0031675B" w:rsidP="0031675B" w:rsidRDefault="0031675B">
      <w:pPr>
        <w:rPr>
          <w:sz w:val="22"/>
          <w:szCs w:val="22"/>
        </w:rPr>
      </w:pPr>
    </w:p>
    <w:p w:rsidR="0031675B" w:rsidP="0031675B" w:rsidRDefault="0031675B">
      <w:pPr>
        <w:rPr>
          <w:sz w:val="22"/>
          <w:szCs w:val="22"/>
          <w:lang w:eastAsia="nl-NL"/>
        </w:rPr>
      </w:pPr>
      <w:r>
        <w:rPr>
          <w:sz w:val="22"/>
          <w:szCs w:val="22"/>
          <w:lang w:eastAsia="nl-NL"/>
        </w:rPr>
        <w:t>Met vriendelijke groet,</w:t>
      </w:r>
    </w:p>
    <w:p w:rsidR="0031675B" w:rsidP="0031675B" w:rsidRDefault="0031675B">
      <w:pPr>
        <w:rPr>
          <w:sz w:val="22"/>
          <w:szCs w:val="22"/>
          <w:lang w:eastAsia="nl-NL"/>
        </w:rPr>
      </w:pPr>
      <w:r>
        <w:rPr>
          <w:sz w:val="22"/>
          <w:szCs w:val="22"/>
          <w:lang w:eastAsia="nl-NL"/>
        </w:rPr>
        <w:t xml:space="preserve">Michiel van </w:t>
      </w:r>
      <w:proofErr w:type="spellStart"/>
      <w:r>
        <w:rPr>
          <w:sz w:val="22"/>
          <w:szCs w:val="22"/>
          <w:lang w:eastAsia="nl-NL"/>
        </w:rPr>
        <w:t>Nispen</w:t>
      </w:r>
      <w:proofErr w:type="spellEnd"/>
    </w:p>
    <w:p w:rsidR="0031675B" w:rsidP="0031675B" w:rsidRDefault="0031675B">
      <w:pPr>
        <w:rPr>
          <w:sz w:val="22"/>
          <w:szCs w:val="22"/>
          <w:lang w:eastAsia="nl-NL"/>
        </w:rPr>
      </w:pPr>
      <w:r>
        <w:rPr>
          <w:sz w:val="22"/>
          <w:szCs w:val="22"/>
          <w:lang w:eastAsia="nl-NL"/>
        </w:rPr>
        <w:t>SP Tweede Kamerlid, woordvoerder Justitie</w:t>
      </w:r>
    </w:p>
    <w:p w:rsidR="0031675B" w:rsidP="0031675B" w:rsidRDefault="0031675B">
      <w:pPr>
        <w:rPr>
          <w:sz w:val="22"/>
          <w:szCs w:val="22"/>
          <w:lang w:eastAsia="nl-NL"/>
        </w:rPr>
      </w:pPr>
    </w:p>
    <w:p w:rsidR="0031675B" w:rsidP="0031675B" w:rsidRDefault="0031675B">
      <w:pPr>
        <w:rPr>
          <w:sz w:val="22"/>
          <w:szCs w:val="22"/>
          <w:lang w:eastAsia="nl-NL"/>
        </w:rPr>
      </w:pPr>
    </w:p>
    <w:p w:rsidR="0031675B" w:rsidP="0031675B" w:rsidRDefault="0031675B">
      <w:pPr>
        <w:rPr>
          <w:sz w:val="22"/>
          <w:szCs w:val="22"/>
          <w:lang w:eastAsia="nl-NL"/>
        </w:rPr>
      </w:pPr>
      <w:r>
        <w:rPr>
          <w:sz w:val="22"/>
          <w:szCs w:val="22"/>
          <w:lang w:eastAsia="nl-NL"/>
        </w:rPr>
        <w:t>Citaat uit Rekenkamerrapport:</w:t>
      </w:r>
    </w:p>
    <w:p w:rsidR="0031675B" w:rsidP="0031675B" w:rsidRDefault="0031675B">
      <w:pPr>
        <w:autoSpaceDE w:val="0"/>
        <w:autoSpaceDN w:val="0"/>
        <w:rPr>
          <w:sz w:val="20"/>
          <w:szCs w:val="20"/>
        </w:rPr>
      </w:pPr>
      <w:r>
        <w:rPr>
          <w:sz w:val="20"/>
          <w:szCs w:val="20"/>
        </w:rPr>
        <w:t>“Ook de hoogte van de griffierechten kan van invloed zijn op de toegankelijkheid van het rechtsbestel. Verhoging van griffierechten verhoogt mogelijk de drempel voor rechtzoekenden om een proces aan te spannen, omdat dit duurder wordt. Er is nog geen zicht op de gevolgen die deze verhoging tussen 2010 en nu (5% exclusief inflatiecorrectie) in de praktijk heeft gehad. Het WODC doet onder meer hier op dit moment onderzoek naar. De resultaten van dit onderzoek worden naar verwachting in september 2014 gepubliceerd.”</w:t>
      </w:r>
    </w:p>
    <w:p w:rsidR="0031675B" w:rsidP="0031675B" w:rsidRDefault="0031675B">
      <w:pPr>
        <w:autoSpaceDE w:val="0"/>
        <w:autoSpaceDN w:val="0"/>
        <w:rPr>
          <w:color w:val="000000"/>
          <w:sz w:val="22"/>
          <w:szCs w:val="22"/>
          <w:lang w:eastAsia="nl-NL"/>
        </w:rPr>
      </w:pPr>
    </w:p>
    <w:p w:rsidR="0031675B" w:rsidP="0031675B" w:rsidRDefault="0031675B">
      <w:pPr>
        <w:autoSpaceDE w:val="0"/>
        <w:autoSpaceDN w:val="0"/>
        <w:rPr>
          <w:color w:val="000000"/>
          <w:sz w:val="22"/>
          <w:szCs w:val="22"/>
          <w:lang w:eastAsia="nl-NL"/>
        </w:rPr>
      </w:pPr>
      <w:r>
        <w:rPr>
          <w:color w:val="000000"/>
          <w:sz w:val="22"/>
          <w:szCs w:val="22"/>
          <w:lang w:eastAsia="nl-NL"/>
        </w:rPr>
        <w:t>Uit het bericht van de Raad voor de rechtspraak:</w:t>
      </w:r>
    </w:p>
    <w:p w:rsidR="0031675B" w:rsidP="0031675B" w:rsidRDefault="0031675B">
      <w:pPr>
        <w:autoSpaceDE w:val="0"/>
        <w:autoSpaceDN w:val="0"/>
        <w:rPr>
          <w:color w:val="000000"/>
          <w:sz w:val="20"/>
          <w:szCs w:val="20"/>
          <w:lang w:eastAsia="nl-NL"/>
        </w:rPr>
      </w:pPr>
      <w:r>
        <w:rPr>
          <w:sz w:val="20"/>
          <w:szCs w:val="20"/>
        </w:rPr>
        <w:t>“De Raad voor de rechtspraak is van plan vervolgonderzoek te laten doen, gericht op verdere ontwikkeling van een simulatiemodel, waarmee onder andere effecten van veranderingen in de hoogte van griffierechten op rechtszaken kunnen worden geschat. De uitkomsten van dit onderzoek worden in het najaar van 2014 verwacht.”</w:t>
      </w:r>
    </w:p>
    <w:p w:rsidR="0031675B" w:rsidP="0031675B" w:rsidRDefault="0031675B"/>
    <w:p w:rsidR="0031675B" w:rsidP="0031675B" w:rsidRDefault="0031675B"/>
    <w:p w:rsidR="0031675B" w:rsidP="0031675B" w:rsidRDefault="0031675B"/>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5B"/>
    <w:rsid w:val="00001938"/>
    <w:rsid w:val="000B325C"/>
    <w:rsid w:val="001638A1"/>
    <w:rsid w:val="001C5D0E"/>
    <w:rsid w:val="001E3F09"/>
    <w:rsid w:val="002B7532"/>
    <w:rsid w:val="002C1CC4"/>
    <w:rsid w:val="002E69E6"/>
    <w:rsid w:val="0031675B"/>
    <w:rsid w:val="00357ACC"/>
    <w:rsid w:val="00360E94"/>
    <w:rsid w:val="003F1702"/>
    <w:rsid w:val="003F78DE"/>
    <w:rsid w:val="004C12B8"/>
    <w:rsid w:val="004C4E7B"/>
    <w:rsid w:val="004C7662"/>
    <w:rsid w:val="005E565E"/>
    <w:rsid w:val="00655DF4"/>
    <w:rsid w:val="0079165F"/>
    <w:rsid w:val="008506AB"/>
    <w:rsid w:val="00863056"/>
    <w:rsid w:val="00A91B58"/>
    <w:rsid w:val="00AC3778"/>
    <w:rsid w:val="00AD70F8"/>
    <w:rsid w:val="00B33140"/>
    <w:rsid w:val="00B626D5"/>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675B"/>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675B"/>
    <w:rPr>
      <w:color w:val="5F5F5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675B"/>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675B"/>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echtspraak.nl/Actualiteiten/Nieuws/Pages/Hoogte-griffierecht-heeft-gevolg-voor-beroep-op-rechter.asp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420</ap:Words>
  <ap:Characters>2625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2014-05-26T06:12:00.0000000Z</dcterms:created>
  <dcterms:modified xsi:type="dcterms:W3CDTF">2014-05-26T06:13:00.0000000Z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0x010100EE4330D106089946ACCFB6A95D3A4560</vt:lpwstr>
  </property>
</Properties>
</file>