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66" w:rsidRDefault="005560BC">
      <w:r w:rsidRPr="005560BC">
        <w:t xml:space="preserve">Namens het lid Geurts (CDA) het verzoek om een brief van de staatssecretaris van Economische betreffende de handhavingskosten die doorberekend worden door de NVWA, en de recente verhoging van de door de NVWA doorberekende handhavingskosten, ten opzichte van het kabinetsstandpunt </w:t>
      </w:r>
      <w:proofErr w:type="gramStart"/>
      <w:r w:rsidRPr="005560BC">
        <w:t>inzake</w:t>
      </w:r>
      <w:proofErr w:type="gramEnd"/>
      <w:r w:rsidRPr="005560BC">
        <w:t xml:space="preserve"> de doorberekening van handhavingskosten (2014D17662).</w:t>
      </w:r>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BC"/>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0BC"/>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52</ap:Words>
  <ap:Characters>289</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2014-05-21T13:41:00.0000000Z</dcterms:created>
  <dcterms:modified xsi:type="dcterms:W3CDTF">2014-05-21T13:45:00.0000000Z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0x0101005AAF73D32B8669419D142AB60C0537CC</vt:lpwstr>
  </property>
</Properties>
</file>