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1D7DA575" wp14:anchorId="27DB274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3BCA43" wp14:anchorId="78413FD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W03.13.0397/II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januari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824EB" w:rsidRDefault="001E7C92">
              <w:r>
                <w:t>Bij Kabinetsmissive van 1 november 2013, no.13.002259, heeft Uwe Majesteit, op voordracht van de Minister van Veiligheid en Justitie, bij de Afdeling advisering van de Raad van State ter overweging aanhangig gemaakt het voorstel van wet tot implementatie van richtlijn nr. 2012/13/EU van het Europees Parlement en de Raad van 22 mei 2012 betreffende het recht op informatie in strafprocedures (PbEU L 142), met memorie van toelichting.</w:t>
              </w:r>
            </w:p>
          </w:sdtContent>
        </w:sdt>
        <w:p w:rsidR="0071031E" w:rsidRDefault="0071031E"/>
        <w:sdt>
          <w:sdtPr>
            <w:alias w:val="VrijeTekst1"/>
            <w:tag w:val="VrijeTekst1"/>
            <w:id w:val="-437221631"/>
            <w:lock w:val="sdtLocked"/>
          </w:sdtPr>
          <w:sdtEndPr/>
          <w:sdtContent>
            <w:p w:rsidR="0064649B" w:rsidP="00EE36F9" w:rsidRDefault="001E7C92">
              <w:r>
                <w:t xml:space="preserve">Het wetsvoorstel strekt tot implementatie van Richtlijn 2012/13/EU van het Europees Parlement en de Raad van 22 mei 2012 betreffende het recht op informatie in strafprocedures (hierna: de richtlijn). </w:t>
              </w:r>
              <w:r w:rsidRPr="00EE36F9">
                <w:t xml:space="preserve">De </w:t>
              </w:r>
              <w:r>
                <w:t>r</w:t>
              </w:r>
              <w:r w:rsidRPr="00EE36F9">
                <w:t xml:space="preserve">ichtlijn bevat minimumnormen </w:t>
              </w:r>
              <w:r>
                <w:t xml:space="preserve">inzake het </w:t>
              </w:r>
              <w:r w:rsidRPr="00EE36F9">
                <w:t xml:space="preserve">verstrekken van informatie </w:t>
              </w:r>
              <w:r>
                <w:t xml:space="preserve">aan verdachten </w:t>
              </w:r>
              <w:r w:rsidRPr="00EE36F9">
                <w:t xml:space="preserve">over </w:t>
              </w:r>
              <w:r>
                <w:t xml:space="preserve">de hen toekomende procedurele </w:t>
              </w:r>
              <w:r w:rsidRPr="00EE36F9">
                <w:t>rechten</w:t>
              </w:r>
              <w:r>
                <w:t>,</w:t>
              </w:r>
              <w:r>
                <w:rPr>
                  <w:rStyle w:val="Voetnootmarkering"/>
                </w:rPr>
                <w:footnoteReference w:id="1"/>
              </w:r>
              <w:r>
                <w:t xml:space="preserve"> het recht op informatie van verdachten van een strafbaar feit over de tegen hen gerichte </w:t>
              </w:r>
              <w:r w:rsidRPr="00EE36F9">
                <w:t xml:space="preserve">beschuldiging </w:t>
              </w:r>
              <w:r>
                <w:t xml:space="preserve">en het recht van verdachten en hun advocaten op toegang tot de stukken van het dossier. De richtlijn </w:t>
              </w:r>
              <w:r w:rsidRPr="002F1A9B">
                <w:t>beoogt het recht op vrijheid, het recht op een eerlijk proces en de rechten van de verdediging te beschermen.</w:t>
              </w:r>
              <w:r>
                <w:rPr>
                  <w:rStyle w:val="Voetnootmarkering"/>
                </w:rPr>
                <w:footnoteReference w:id="2"/>
              </w:r>
              <w:r w:rsidRPr="002F1A9B">
                <w:t xml:space="preserve"> </w:t>
              </w:r>
            </w:p>
            <w:p w:rsidR="00F8396A" w:rsidP="00EE36F9" w:rsidRDefault="0004306A"/>
            <w:p w:rsidR="00F8396A" w:rsidP="00EE36F9" w:rsidRDefault="001E7C92">
              <w:r w:rsidRPr="00F8396A">
                <w:t xml:space="preserve">De Afdeling advisering van de Raad van State onderschrijft de strekking van het wetsvoorstel, maar maakt </w:t>
              </w:r>
              <w:r>
                <w:t xml:space="preserve">enkele </w:t>
              </w:r>
              <w:r w:rsidRPr="00F8396A">
                <w:t>opmerkingen over</w:t>
              </w:r>
              <w:r>
                <w:t xml:space="preserve"> de weigering van de toegang tot de processtukken</w:t>
              </w:r>
              <w:r w:rsidRPr="00F8396A">
                <w:t xml:space="preserve">. Zij is van oordeel dat in verband daarmee </w:t>
              </w:r>
              <w:r>
                <w:t xml:space="preserve">een nadere motivering en zo nodig een </w:t>
              </w:r>
              <w:r w:rsidRPr="00F8396A">
                <w:t>aanpassing van het wetsvoorstel wenselijk is.</w:t>
              </w:r>
            </w:p>
            <w:p w:rsidR="00310389" w:rsidP="0059056F" w:rsidRDefault="0004306A">
              <w:pPr>
                <w:rPr>
                  <w:u w:val="single"/>
                </w:rPr>
              </w:pPr>
            </w:p>
            <w:p w:rsidRPr="0059056F" w:rsidR="0059056F" w:rsidDel="000A5876" w:rsidP="0059056F" w:rsidRDefault="001E7C92">
              <w:pPr>
                <w:rPr>
                  <w:u w:val="single"/>
                </w:rPr>
              </w:pPr>
              <w:r>
                <w:t>Volgens de richtlijn kan de verdachte of diens raadsman de toegang tot bepaalde processtukken worden geweigerd,</w:t>
              </w:r>
              <w:r>
                <w:rPr>
                  <w:rStyle w:val="Voetnootmarkering"/>
                </w:rPr>
                <w:footnoteReference w:id="3"/>
              </w:r>
              <w:r>
                <w:t xml:space="preserve"> ‘</w:t>
              </w:r>
              <w:r w:rsidRPr="00C27F71">
                <w:t>op voorwaarde dat het recht op een eerlijk proces hierdoor niet wordt geschonden, indien door die toegang het leven of de grondrechten van een andere persoon ernstig in het gedrang zouden kunnen komen of indien die weigering strikt noodzakelijk is ter bescherming van een zwaarwegend algemeen belang, zoals wanneer door de toegang een lopend onderzoek zou kunnen worden geschaad of de nationale veiligheid van de lidstaat waar de strafprocedure wordt gevoerd ernstig zou kunnen worden bedreigd</w:t>
              </w:r>
              <w:r>
                <w:t>’</w:t>
              </w:r>
              <w:r w:rsidRPr="00C27F71">
                <w:t>.</w:t>
              </w:r>
              <w:r>
                <w:rPr>
                  <w:rStyle w:val="Voetnootmarkering"/>
                </w:rPr>
                <w:footnoteReference w:id="4"/>
              </w:r>
              <w:r w:rsidRPr="00C27F71">
                <w:t xml:space="preserve"> </w:t>
              </w:r>
              <w:r>
                <w:t>In de memorie van toelichting wordt betoogd dat aanvullende regelgeving ter implementatie van artikel 7 van de richtlijn niet nodig is.</w:t>
              </w:r>
              <w:r>
                <w:rPr>
                  <w:rStyle w:val="Voetnootmarkering"/>
                </w:rPr>
                <w:footnoteReference w:id="5"/>
              </w:r>
              <w:r>
                <w:t xml:space="preserve"> Voor zover het gaat om artikel 7, vierde lid, sluiten de in deze bepaling genoemde belangen volgens de toelichting aan bij de in Sv genoemde belangen op grond waarvan toegang tot processtukken kan worden geweigerd.</w:t>
              </w:r>
              <w:r>
                <w:rPr>
                  <w:rStyle w:val="Voetnootmarkering"/>
                </w:rPr>
                <w:footnoteReference w:id="6"/>
              </w:r>
              <w:r>
                <w:t xml:space="preserve"> Op grond van het </w:t>
              </w:r>
              <w:r>
                <w:lastRenderedPageBreak/>
                <w:t>huidige Sv is weigering mogelijk indien (a) een getuige ernstige overlast zal ondervinden of in de uitoefening van zijn ambt of beroep ernstig zal worden belemmerd, (b) een zwaarwegend opsporingsbelang of (c) het belang van de staatsveiligheid worden geschaad.</w:t>
              </w:r>
              <w:r>
                <w:rPr>
                  <w:rStyle w:val="Voetnootmarkering"/>
                </w:rPr>
                <w:footnoteReference w:id="7"/>
              </w:r>
              <w:r>
                <w:t xml:space="preserve"> </w:t>
              </w:r>
            </w:p>
            <w:p w:rsidR="00317375" w:rsidP="00317375" w:rsidRDefault="0004306A"/>
            <w:p w:rsidR="00252F38" w:rsidP="00317375" w:rsidRDefault="001E7C92">
              <w:r>
                <w:t xml:space="preserve">De Afdeling merkt op dat wat betreft de weigering van de toegang tot de processtukken de tekst van de strafvorderlijke bepalingen op een aantal punten niet met artikel 7, vierde lid, van de richtlijn overeenkomt. </w:t>
              </w:r>
            </w:p>
            <w:p w:rsidR="00252F38" w:rsidP="00317375" w:rsidRDefault="0004306A"/>
            <w:p w:rsidR="00252F38" w:rsidP="00252F38" w:rsidRDefault="001E7C92">
              <w:r>
                <w:t>a.</w:t>
              </w:r>
              <w:r>
                <w:tab/>
                <w:t>De huidige strafvorderlijke weigeringsgrond dat een getuige ‘ernstige overlast zal ondervinden of in de uitoefening van zijn ambt of beroep ernstig zal worden belemmerd’</w:t>
              </w:r>
              <w:r>
                <w:rPr>
                  <w:rStyle w:val="Voetnootmarkering"/>
                </w:rPr>
                <w:footnoteReference w:id="8"/>
              </w:r>
              <w:r>
                <w:t xml:space="preserve"> komt niet met zo veel woorden voor in artikel 7, vierde lid, van de richtlijn. Zij lijkt ruimer dan de daarin opgenomen voorwaarde dat ‘het leven of de grondrechten van een ander persoon ernstig in het gedrang kunnen komen’. De Afdeling adviseert nader aan te geven hoe de genoemde strafvorderlijke weigeringsgrond zich verhoudt tot artikel 7, vierde lid, van de richtlijn en zo nodig het voorstel aan te passen.</w:t>
              </w:r>
            </w:p>
            <w:p w:rsidR="00317375" w:rsidP="00317375" w:rsidRDefault="0004306A"/>
            <w:p w:rsidR="00D85E86" w:rsidP="00317375" w:rsidRDefault="001E7C92">
              <w:r>
                <w:t>b.</w:t>
              </w:r>
              <w:r>
                <w:tab/>
                <w:t>De huidige strafvorderlijke weigeringsgronden dat een ‘zwaarwegend opsporingsbelang’ of het ‘belang van de staatsveiligheid’ wordt geschaad</w:t>
              </w:r>
              <w:r>
                <w:rPr>
                  <w:rStyle w:val="Voetnootmarkering"/>
                </w:rPr>
                <w:footnoteReference w:id="9"/>
              </w:r>
              <w:r>
                <w:t xml:space="preserve"> zijn specifieker en daarmee strikter dan de in artikel 7, vierde lid, van de richtlijn opgenomen weigeringsgrond die gericht is op de bescherming van een ‘zwaarwegend algemeen belang’. Uit het woord ‘zoals’ in artikel 7, vierde lid, kan worden afgeleid dat onder ‘zwaarwegend algemeen belang’ meer belangen worden geschaard dan de daar uitdrukkelijk genoemde belangen van een </w:t>
              </w:r>
              <w:r w:rsidRPr="00C27F71">
                <w:t xml:space="preserve">lopend onderzoek </w:t>
              </w:r>
              <w:r>
                <w:t xml:space="preserve">of </w:t>
              </w:r>
              <w:r w:rsidRPr="00C27F71">
                <w:t>de nationale veiligheid</w:t>
              </w:r>
              <w:r>
                <w:t>.</w:t>
              </w:r>
              <w:r w:rsidRPr="00C27F71">
                <w:t xml:space="preserve"> </w:t>
              </w:r>
              <w:r>
                <w:t xml:space="preserve">De Afdeling merkt op dat in het nationale recht van de lidstaten striktere weigeringsgronden kunnen worden opgenomen dan de richtlijn voorschrijft. De toelichting dient daarvoor echter een dragende motivering te bevatten. Die motivering ontbreekt in de toelichting. De Afdeling adviseert in de toelichting alsnog daarin te voorzien en zo nodig het voorstel aan te passen. </w:t>
              </w:r>
            </w:p>
            <w:p w:rsidR="00D85E86" w:rsidP="00317375" w:rsidRDefault="0004306A"/>
            <w:p w:rsidR="00D85E86" w:rsidP="00317375" w:rsidRDefault="0004306A"/>
            <w:p w:rsidR="0031089B" w:rsidP="00317375" w:rsidRDefault="0004306A"/>
          </w:sdtContent>
        </w:sdt>
        <w:p w:rsidR="003A1FC7" w:rsidRDefault="003A1FC7"/>
        <w:sdt>
          <w:sdtPr>
            <w:alias w:val="Dictum"/>
            <w:tag w:val="Dictum"/>
            <w:id w:val="1621489950"/>
            <w:lock w:val="sdtContentLocked"/>
            <w:placeholder>
              <w:docPart w:val="DefaultPlaceholder_1082065158"/>
            </w:placeholder>
            <w:text w:multiLine="1"/>
          </w:sdtPr>
          <w:sdtEndPr/>
          <w:sdtContent>
            <w:p w:rsidR="002824EB" w:rsidRDefault="001E7C9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2824EB"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92" w:rsidRDefault="001E7C92" w:rsidP="002C6867">
      <w:r>
        <w:separator/>
      </w:r>
    </w:p>
  </w:endnote>
  <w:endnote w:type="continuationSeparator" w:id="0">
    <w:p w:rsidR="001E7C92" w:rsidRDefault="001E7C92"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2B53E7D" wp14:editId="5E2B1DC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92" w:rsidRDefault="001E7C92" w:rsidP="001410FD">
      <w:r>
        <w:separator/>
      </w:r>
    </w:p>
  </w:footnote>
  <w:footnote w:type="continuationSeparator" w:id="0">
    <w:p w:rsidR="001E7C92" w:rsidRDefault="001E7C92" w:rsidP="001410FD">
      <w:r>
        <w:continuationSeparator/>
      </w:r>
    </w:p>
  </w:footnote>
  <w:footnote w:id="1">
    <w:p w:rsidR="0064649B" w:rsidRDefault="001E7C92" w:rsidP="0064649B">
      <w:pPr>
        <w:pStyle w:val="Voetnoottekst"/>
      </w:pPr>
      <w:r>
        <w:rPr>
          <w:rStyle w:val="Voetnootmarkering"/>
        </w:rPr>
        <w:footnoteRef/>
      </w:r>
      <w:r>
        <w:tab/>
        <w:t xml:space="preserve">Dit geldt eveneens voor personen tegen wie een Europees aanhoudingsbevel is uitgevaardigd. </w:t>
      </w:r>
    </w:p>
  </w:footnote>
  <w:footnote w:id="2">
    <w:p w:rsidR="002F1A9B" w:rsidRDefault="001E7C92">
      <w:pPr>
        <w:pStyle w:val="Voetnoottekst"/>
      </w:pPr>
      <w:r>
        <w:rPr>
          <w:rStyle w:val="Voetnootmarkering"/>
        </w:rPr>
        <w:footnoteRef/>
      </w:r>
      <w:r>
        <w:tab/>
        <w:t xml:space="preserve">Overweging 41 van de Preambule van de richtlijn. </w:t>
      </w:r>
    </w:p>
  </w:footnote>
  <w:footnote w:id="3">
    <w:p w:rsidR="00AB4644" w:rsidRDefault="001E7C92">
      <w:pPr>
        <w:pStyle w:val="Voetnoottekst"/>
      </w:pPr>
      <w:r>
        <w:rPr>
          <w:rStyle w:val="Voetnootmarkering"/>
        </w:rPr>
        <w:footnoteRef/>
      </w:r>
      <w:r>
        <w:t xml:space="preserve"> </w:t>
      </w:r>
      <w:r>
        <w:tab/>
        <w:t>Artikel 7, vierde lid, van de richtlijn</w:t>
      </w:r>
    </w:p>
  </w:footnote>
  <w:footnote w:id="4">
    <w:p w:rsidR="0096358C" w:rsidRDefault="001E7C92" w:rsidP="0096358C">
      <w:pPr>
        <w:pStyle w:val="Voetnoottekst"/>
      </w:pPr>
      <w:r>
        <w:rPr>
          <w:rStyle w:val="Voetnootmarkering"/>
        </w:rPr>
        <w:footnoteRef/>
      </w:r>
      <w:r>
        <w:tab/>
        <w:t xml:space="preserve">Het </w:t>
      </w:r>
      <w:r w:rsidRPr="0059056F">
        <w:t xml:space="preserve">EHRM </w:t>
      </w:r>
      <w:r>
        <w:t xml:space="preserve">oordeelt </w:t>
      </w:r>
      <w:r w:rsidRPr="0059056F">
        <w:t xml:space="preserve">dat bepaalde informatie in het belang van de opsporing, de nationale veiligheid, de bescherming van getuigen, de bescherming van fundamentele rechten van anderen of vanwege een zwaarwegend algemeen belang kan worden </w:t>
      </w:r>
      <w:r>
        <w:t>achtergehouden, mits dit gebeurt</w:t>
      </w:r>
      <w:r w:rsidRPr="0059056F">
        <w:t xml:space="preserve"> op een zodanige wijze dat de rechten van de verdediging worden gerespecteerd. De rechten van de verdediging mogen alleen worden beperkt voor zover dit strikt noodzakelijk is en dergelijke beperkingen dienen in de procedure te worden gecompenseerd. EHRM 16 februari 2000, nr. 27052/95 (Jasper tegen het Verenigd Koninkrijk); EHRM 16 februari 2000, nr. 29777/96 (</w:t>
      </w:r>
      <w:proofErr w:type="spellStart"/>
      <w:r w:rsidRPr="0059056F">
        <w:t>Fitt</w:t>
      </w:r>
      <w:proofErr w:type="spellEnd"/>
      <w:r w:rsidRPr="0059056F">
        <w:t xml:space="preserve"> tegen het Verenigd Koninkrijk) en EHRM 16 februari 2000, nr. 28901/95 EHRC 2000, p. 296-299 </w:t>
      </w:r>
      <w:proofErr w:type="spellStart"/>
      <w:r w:rsidRPr="0059056F">
        <w:t>m.nt</w:t>
      </w:r>
      <w:proofErr w:type="spellEnd"/>
      <w:r w:rsidRPr="0059056F">
        <w:t xml:space="preserve">. T. </w:t>
      </w:r>
      <w:proofErr w:type="spellStart"/>
      <w:r w:rsidRPr="0059056F">
        <w:t>Spronken</w:t>
      </w:r>
      <w:proofErr w:type="spellEnd"/>
      <w:r w:rsidRPr="0059056F">
        <w:t xml:space="preserve"> (</w:t>
      </w:r>
      <w:proofErr w:type="spellStart"/>
      <w:r w:rsidRPr="0059056F">
        <w:t>Rowe</w:t>
      </w:r>
      <w:proofErr w:type="spellEnd"/>
      <w:r w:rsidRPr="0059056F">
        <w:t xml:space="preserve"> en Davis tegen het Verenigd Koninkrijk); EHRM 22 juli 2003, EHRC 2003, p. 761-762 (</w:t>
      </w:r>
      <w:proofErr w:type="spellStart"/>
      <w:r w:rsidRPr="0059056F">
        <w:t>m.nt</w:t>
      </w:r>
      <w:proofErr w:type="spellEnd"/>
      <w:r w:rsidRPr="0059056F">
        <w:t xml:space="preserve">. G. Mols) (Edwards en Lewis tegen het Verenigd Koninkrijk), bevestigd in de Grand </w:t>
      </w:r>
      <w:proofErr w:type="spellStart"/>
      <w:r w:rsidRPr="0059056F">
        <w:t>Chamber</w:t>
      </w:r>
      <w:proofErr w:type="spellEnd"/>
      <w:r w:rsidRPr="0059056F">
        <w:t xml:space="preserve"> EHRM 27 oktober 2004, EHRC 2004, p. 1083-1088 en EHRM 11 januari 2011, (</w:t>
      </w:r>
      <w:proofErr w:type="spellStart"/>
      <w:r w:rsidRPr="0059056F">
        <w:t>McKeown</w:t>
      </w:r>
      <w:proofErr w:type="spellEnd"/>
      <w:r w:rsidRPr="0059056F">
        <w:t xml:space="preserve"> tegen het Verenigd Koninkrijk), </w:t>
      </w:r>
      <w:proofErr w:type="spellStart"/>
      <w:r w:rsidRPr="0059056F">
        <w:t>appl</w:t>
      </w:r>
      <w:proofErr w:type="spellEnd"/>
      <w:r w:rsidRPr="0059056F">
        <w:t xml:space="preserve">. nr. 6684/05 (niet gepubliceerd). Zie ook EHRM 25 september 2001, EHRC 2001 </w:t>
      </w:r>
      <w:proofErr w:type="spellStart"/>
      <w:r w:rsidRPr="0059056F">
        <w:t>m.nt</w:t>
      </w:r>
      <w:proofErr w:type="spellEnd"/>
      <w:r w:rsidRPr="0059056F">
        <w:t xml:space="preserve">. T. </w:t>
      </w:r>
      <w:proofErr w:type="spellStart"/>
      <w:r w:rsidRPr="0059056F">
        <w:t>Spronken</w:t>
      </w:r>
      <w:proofErr w:type="spellEnd"/>
      <w:r w:rsidRPr="0059056F">
        <w:t>, p. 697-711 (P.G. en J.H. tegen het Verenigd Koninkrijk); EHRM 19 juni 2001, EHRC 2001, 53 (</w:t>
      </w:r>
      <w:proofErr w:type="spellStart"/>
      <w:r w:rsidRPr="0059056F">
        <w:t>Atlan</w:t>
      </w:r>
      <w:proofErr w:type="spellEnd"/>
      <w:r w:rsidRPr="0059056F">
        <w:t xml:space="preserve"> tegen het Verenigd Koninkrijk); EHRM 24 juni 2003, EHRC 2003, 67 (</w:t>
      </w:r>
      <w:proofErr w:type="spellStart"/>
      <w:r w:rsidRPr="0059056F">
        <w:t>Dowsett</w:t>
      </w:r>
      <w:proofErr w:type="spellEnd"/>
      <w:r w:rsidRPr="0059056F">
        <w:t xml:space="preserve"> tegen het Verenigd Koninkrijk); EHRM 7 juni 2007, nr. 15187/03 (</w:t>
      </w:r>
      <w:proofErr w:type="spellStart"/>
      <w:r w:rsidRPr="0059056F">
        <w:t>Botmeh</w:t>
      </w:r>
      <w:proofErr w:type="spellEnd"/>
      <w:r w:rsidRPr="0059056F">
        <w:t xml:space="preserve"> en </w:t>
      </w:r>
      <w:proofErr w:type="spellStart"/>
      <w:r w:rsidRPr="0059056F">
        <w:t>Alami</w:t>
      </w:r>
      <w:proofErr w:type="spellEnd"/>
      <w:r w:rsidRPr="0059056F">
        <w:t xml:space="preserve"> tegen het Verenigd Koninkrijk).</w:t>
      </w:r>
    </w:p>
  </w:footnote>
  <w:footnote w:id="5">
    <w:p w:rsidR="00317375" w:rsidRDefault="001E7C92" w:rsidP="00317375">
      <w:pPr>
        <w:pStyle w:val="Voetnoottekst"/>
      </w:pPr>
      <w:r>
        <w:rPr>
          <w:rStyle w:val="Voetnootmarkering"/>
        </w:rPr>
        <w:footnoteRef/>
      </w:r>
      <w:r>
        <w:tab/>
        <w:t xml:space="preserve">Memorie van toelichting, paragraaf 3.5 ‘Het recht op toegang tot processtukken’, tweede tekstblok. </w:t>
      </w:r>
    </w:p>
  </w:footnote>
  <w:footnote w:id="6">
    <w:p w:rsidR="00317375" w:rsidRDefault="001E7C92" w:rsidP="00317375">
      <w:pPr>
        <w:pStyle w:val="Voetnoottekst"/>
      </w:pPr>
      <w:r>
        <w:rPr>
          <w:rStyle w:val="Voetnootmarkering"/>
        </w:rPr>
        <w:footnoteRef/>
      </w:r>
      <w:r>
        <w:tab/>
        <w:t xml:space="preserve">Memorie van toelichting, paragraaf 3.5 ‘Het recht op toegang tot processtukken’, voorlaatste tekstblok. </w:t>
      </w:r>
    </w:p>
  </w:footnote>
  <w:footnote w:id="7">
    <w:p w:rsidR="00317375" w:rsidRDefault="001E7C92" w:rsidP="00317375">
      <w:pPr>
        <w:pStyle w:val="Voetnoottekst"/>
      </w:pPr>
      <w:r>
        <w:rPr>
          <w:rStyle w:val="Voetnootmarkering"/>
        </w:rPr>
        <w:footnoteRef/>
      </w:r>
      <w:r>
        <w:tab/>
        <w:t xml:space="preserve">Dit is geregeld in de artikelen 34, vierde lid (dit artikel ziet op het verzoek van de verdediging tot voeging of kennisneming van de stukken, criterium ‘onverenigbaarheid’) en 149b Sv (dit artikel ziet op het op initiatief van de officier van justitie niet voegen van stukken aan het dossier , criterium ‘noodzakelijk met het oog op de in artikel 187d, eerste lid, vermelde belangen). In beide artikelen wordt verwezen naar de in artikel 187d Sv vermelde weigeringsgronden. </w:t>
      </w:r>
    </w:p>
  </w:footnote>
  <w:footnote w:id="8">
    <w:p w:rsidR="000A5876" w:rsidRDefault="001E7C92">
      <w:pPr>
        <w:pStyle w:val="Voetnoottekst"/>
      </w:pPr>
      <w:r>
        <w:rPr>
          <w:rStyle w:val="Voetnootmarkering"/>
        </w:rPr>
        <w:footnoteRef/>
      </w:r>
      <w:r>
        <w:tab/>
        <w:t xml:space="preserve">Artikel 187d, eerste lid, onder a, Sv. </w:t>
      </w:r>
    </w:p>
  </w:footnote>
  <w:footnote w:id="9">
    <w:p w:rsidR="000A5876" w:rsidRDefault="001E7C92">
      <w:pPr>
        <w:pStyle w:val="Voetnoottekst"/>
      </w:pPr>
      <w:r>
        <w:rPr>
          <w:rStyle w:val="Voetnootmarkering"/>
        </w:rPr>
        <w:footnoteRef/>
      </w:r>
      <w:r>
        <w:t xml:space="preserve"> </w:t>
      </w:r>
      <w:r>
        <w:tab/>
        <w:t xml:space="preserve">Artikel 187d, eerste lid, onder b en c, Sv.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4306A">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63592671"/>
    <w:multiLevelType w:val="hybridMultilevel"/>
    <w:tmpl w:val="C86EDF40"/>
    <w:lvl w:ilvl="0" w:tplc="7C58A906">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4306A"/>
    <w:rsid w:val="00156F0B"/>
    <w:rsid w:val="0017188E"/>
    <w:rsid w:val="001B5F0F"/>
    <w:rsid w:val="001E7C92"/>
    <w:rsid w:val="002656A3"/>
    <w:rsid w:val="0027703A"/>
    <w:rsid w:val="002824EB"/>
    <w:rsid w:val="002A16F1"/>
    <w:rsid w:val="002C6867"/>
    <w:rsid w:val="002D0875"/>
    <w:rsid w:val="00303CA7"/>
    <w:rsid w:val="00322CB5"/>
    <w:rsid w:val="003231F1"/>
    <w:rsid w:val="003A1FC7"/>
    <w:rsid w:val="004421C1"/>
    <w:rsid w:val="00481CA0"/>
    <w:rsid w:val="004C120D"/>
    <w:rsid w:val="00503044"/>
    <w:rsid w:val="006D3E6B"/>
    <w:rsid w:val="0071031E"/>
    <w:rsid w:val="00724C4B"/>
    <w:rsid w:val="00743D19"/>
    <w:rsid w:val="00831756"/>
    <w:rsid w:val="009B480D"/>
    <w:rsid w:val="009E72D2"/>
    <w:rsid w:val="00A10F01"/>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2F1A9B"/>
    <w:rPr>
      <w:vertAlign w:val="superscript"/>
    </w:rPr>
  </w:style>
  <w:style w:type="table" w:styleId="Tabelraster">
    <w:name w:val="Table Grid"/>
    <w:basedOn w:val="Standaardtabel"/>
    <w:rsid w:val="002F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CB49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2F1A9B"/>
    <w:rPr>
      <w:vertAlign w:val="superscript"/>
    </w:rPr>
  </w:style>
  <w:style w:type="table" w:styleId="Tabelraster">
    <w:name w:val="Table Grid"/>
    <w:basedOn w:val="Standaardtabel"/>
    <w:rsid w:val="002F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CB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E602E"/>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720</ap:Words>
  <ap:Characters>3963</ap:Characters>
  <ap:DocSecurity>4</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2014-01-17T09:58:00.0000000Z</lastPrinted>
  <dcterms:created xsi:type="dcterms:W3CDTF">2014-02-14T12:36:00.0000000Z</dcterms:created>
  <dcterms:modified xsi:type="dcterms:W3CDTF">2014-02-14T12:36:00.0000000Z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0x01010027523FAB2FD9144AA1D73353C0DFCF53</vt:lpwstr>
  </property>
</Properties>
</file>