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50DF6" w:rsidR="00386718" w:rsidP="006F4194" w:rsidRDefault="00E50DF6">
      <w:pPr>
        <w:spacing w:after="0"/>
        <w:rPr>
          <w:b/>
          <w:bCs/>
          <w:szCs w:val="18"/>
          <w:lang w:val="nl-NL"/>
        </w:rPr>
      </w:pPr>
      <w:bookmarkStart w:name="_GoBack" w:id="0"/>
      <w:bookmarkEnd w:id="0"/>
      <w:r>
        <w:rPr>
          <w:b/>
          <w:bCs/>
          <w:szCs w:val="18"/>
          <w:lang w:val="nl-NL"/>
        </w:rPr>
        <w:t xml:space="preserve">VERSLAG RAAD BUITENLANDSE ZAKEN VAN 21 </w:t>
      </w:r>
      <w:proofErr w:type="gramStart"/>
      <w:r>
        <w:rPr>
          <w:b/>
          <w:bCs/>
          <w:szCs w:val="18"/>
          <w:lang w:val="nl-NL"/>
        </w:rPr>
        <w:t>OKTOBER</w:t>
      </w:r>
      <w:proofErr w:type="gramEnd"/>
      <w:r>
        <w:rPr>
          <w:b/>
          <w:bCs/>
          <w:szCs w:val="18"/>
          <w:lang w:val="nl-NL"/>
        </w:rPr>
        <w:t xml:space="preserve"> 2013</w:t>
      </w:r>
    </w:p>
    <w:p w:rsidR="00E50DF6" w:rsidP="006F4194" w:rsidRDefault="00E50DF6">
      <w:pPr>
        <w:spacing w:after="0"/>
        <w:rPr>
          <w:b/>
          <w:bCs/>
          <w:szCs w:val="18"/>
          <w:lang w:val="nl-NL"/>
        </w:rPr>
      </w:pPr>
    </w:p>
    <w:p w:rsidRPr="006F4194" w:rsidR="006F4194" w:rsidP="006F4194" w:rsidRDefault="006F4194">
      <w:pPr>
        <w:spacing w:after="0"/>
        <w:rPr>
          <w:b/>
          <w:bCs/>
          <w:szCs w:val="18"/>
          <w:lang w:val="nl-NL"/>
        </w:rPr>
      </w:pPr>
      <w:r w:rsidRPr="006F4194">
        <w:rPr>
          <w:b/>
          <w:bCs/>
          <w:szCs w:val="18"/>
          <w:lang w:val="nl-NL"/>
        </w:rPr>
        <w:t>Oostelijk Partnerschap</w:t>
      </w:r>
    </w:p>
    <w:p w:rsidRPr="00446664" w:rsidR="00446664" w:rsidP="00446664" w:rsidRDefault="00446664">
      <w:pPr>
        <w:spacing w:after="0"/>
        <w:rPr>
          <w:rFonts w:cs="Times New Roman"/>
          <w:szCs w:val="18"/>
          <w:lang w:val="nl-NL"/>
        </w:rPr>
      </w:pPr>
      <w:r w:rsidRPr="00446664">
        <w:rPr>
          <w:rFonts w:cs="Times New Roman"/>
          <w:szCs w:val="18"/>
          <w:lang w:val="nl-NL"/>
        </w:rPr>
        <w:t xml:space="preserve">De ministers bespraken de voorbereiding van de Top van het Oostelijk Partnerschap die op 28 en 29 november zal plaatsvinden in Vilnius. </w:t>
      </w:r>
      <w:proofErr w:type="gramStart"/>
      <w:r w:rsidRPr="00446664">
        <w:rPr>
          <w:rFonts w:cs="Times New Roman"/>
          <w:szCs w:val="18"/>
          <w:lang w:val="nl-NL"/>
        </w:rPr>
        <w:t>Met name</w:t>
      </w:r>
      <w:proofErr w:type="gramEnd"/>
      <w:r w:rsidRPr="00446664">
        <w:rPr>
          <w:rFonts w:cs="Times New Roman"/>
          <w:szCs w:val="18"/>
          <w:lang w:val="nl-NL"/>
        </w:rPr>
        <w:t xml:space="preserve"> werd gesproken over de mate waarin Oekraïne aan de EU-eisen voor ondertekening van het Associatie Akkoord (AA) en </w:t>
      </w:r>
      <w:r w:rsidRPr="00446664">
        <w:rPr>
          <w:rFonts w:cs="Times New Roman"/>
          <w:i/>
          <w:iCs/>
          <w:szCs w:val="18"/>
          <w:lang w:val="nl-NL"/>
        </w:rPr>
        <w:t>Deep and Comprehensive Free Trade A</w:t>
      </w:r>
      <w:r w:rsidR="00F068D4">
        <w:rPr>
          <w:rFonts w:cs="Times New Roman"/>
          <w:i/>
          <w:iCs/>
          <w:szCs w:val="18"/>
          <w:lang w:val="nl-NL"/>
        </w:rPr>
        <w:t xml:space="preserve">rea </w:t>
      </w:r>
      <w:r w:rsidRPr="00446664">
        <w:rPr>
          <w:rFonts w:cs="Times New Roman"/>
          <w:szCs w:val="18"/>
          <w:lang w:val="nl-NL"/>
        </w:rPr>
        <w:t xml:space="preserve">(DCFTA) voldoet. </w:t>
      </w:r>
    </w:p>
    <w:p w:rsidRPr="00446664" w:rsidR="00446664" w:rsidP="00446664" w:rsidRDefault="00446664">
      <w:pPr>
        <w:spacing w:after="0"/>
        <w:rPr>
          <w:rFonts w:cs="Times New Roman"/>
          <w:szCs w:val="18"/>
          <w:lang w:val="nl-NL"/>
        </w:rPr>
      </w:pPr>
    </w:p>
    <w:p w:rsidRPr="00446664" w:rsidR="00446664" w:rsidP="00446664" w:rsidRDefault="00446664">
      <w:pPr>
        <w:spacing w:after="0"/>
        <w:rPr>
          <w:rFonts w:cs="Times New Roman"/>
          <w:szCs w:val="18"/>
          <w:lang w:val="nl-NL"/>
        </w:rPr>
      </w:pPr>
      <w:r w:rsidRPr="00446664">
        <w:rPr>
          <w:rFonts w:cs="Times New Roman"/>
          <w:szCs w:val="18"/>
          <w:lang w:val="nl-NL"/>
        </w:rPr>
        <w:t xml:space="preserve">Geconstateerd werd dat Oekraïne voortgang laat zien op de door de EU opgestelde ‘benchmarks’. Over de vraag of </w:t>
      </w:r>
      <w:proofErr w:type="gramStart"/>
      <w:r w:rsidRPr="00446664">
        <w:rPr>
          <w:rFonts w:cs="Times New Roman"/>
          <w:szCs w:val="18"/>
          <w:lang w:val="nl-NL"/>
        </w:rPr>
        <w:t>dit</w:t>
      </w:r>
      <w:proofErr w:type="gramEnd"/>
      <w:r w:rsidRPr="00446664">
        <w:rPr>
          <w:rFonts w:cs="Times New Roman"/>
          <w:szCs w:val="18"/>
          <w:lang w:val="nl-NL"/>
        </w:rPr>
        <w:t xml:space="preserve"> voldoende zou zijn voor ondertekening van het AA/DCFTA tijdens de Top liepen de meningen van de aanwezige ministers uiteen. </w:t>
      </w:r>
      <w:r w:rsidR="005D604E">
        <w:rPr>
          <w:rFonts w:cs="Times New Roman"/>
          <w:szCs w:val="18"/>
          <w:lang w:val="nl-NL"/>
        </w:rPr>
        <w:t>Sommige</w:t>
      </w:r>
      <w:r w:rsidRPr="00446664">
        <w:rPr>
          <w:rFonts w:cs="Times New Roman"/>
          <w:szCs w:val="18"/>
          <w:lang w:val="nl-NL"/>
        </w:rPr>
        <w:t xml:space="preserve"> lidstaten wa</w:t>
      </w:r>
      <w:r w:rsidR="005D604E">
        <w:rPr>
          <w:rFonts w:cs="Times New Roman"/>
          <w:szCs w:val="18"/>
          <w:lang w:val="nl-NL"/>
        </w:rPr>
        <w:t>ren</w:t>
      </w:r>
      <w:r w:rsidRPr="00446664">
        <w:rPr>
          <w:rFonts w:cs="Times New Roman"/>
          <w:szCs w:val="18"/>
          <w:lang w:val="nl-NL"/>
        </w:rPr>
        <w:t xml:space="preserve"> van mening dat Oekraïne nu </w:t>
      </w:r>
      <w:proofErr w:type="gramStart"/>
      <w:r w:rsidRPr="00446664">
        <w:rPr>
          <w:rFonts w:cs="Times New Roman"/>
          <w:szCs w:val="18"/>
          <w:lang w:val="nl-NL"/>
        </w:rPr>
        <w:t>reeds</w:t>
      </w:r>
      <w:proofErr w:type="gramEnd"/>
      <w:r w:rsidRPr="00446664">
        <w:rPr>
          <w:rFonts w:cs="Times New Roman"/>
          <w:szCs w:val="18"/>
          <w:lang w:val="nl-NL"/>
        </w:rPr>
        <w:t xml:space="preserve"> in voldoende mate voldoet aan de voorwaarden en </w:t>
      </w:r>
      <w:r w:rsidR="005D604E">
        <w:rPr>
          <w:rFonts w:cs="Times New Roman"/>
          <w:szCs w:val="18"/>
          <w:lang w:val="nl-NL"/>
        </w:rPr>
        <w:t>spraken</w:t>
      </w:r>
      <w:r w:rsidRPr="00446664">
        <w:rPr>
          <w:rFonts w:cs="Times New Roman"/>
          <w:szCs w:val="18"/>
          <w:lang w:val="nl-NL"/>
        </w:rPr>
        <w:t xml:space="preserve"> </w:t>
      </w:r>
      <w:r>
        <w:rPr>
          <w:rFonts w:cs="Times New Roman"/>
          <w:szCs w:val="18"/>
          <w:lang w:val="nl-NL"/>
        </w:rPr>
        <w:t xml:space="preserve">zich </w:t>
      </w:r>
      <w:r w:rsidRPr="00446664">
        <w:rPr>
          <w:rFonts w:cs="Times New Roman"/>
          <w:szCs w:val="18"/>
          <w:lang w:val="nl-NL"/>
        </w:rPr>
        <w:t xml:space="preserve">daarom nu al positief </w:t>
      </w:r>
      <w:r w:rsidR="005D604E">
        <w:rPr>
          <w:rFonts w:cs="Times New Roman"/>
          <w:szCs w:val="18"/>
          <w:lang w:val="nl-NL"/>
        </w:rPr>
        <w:t>uit over</w:t>
      </w:r>
      <w:r w:rsidRPr="00446664">
        <w:rPr>
          <w:rFonts w:cs="Times New Roman"/>
          <w:szCs w:val="18"/>
          <w:lang w:val="nl-NL"/>
        </w:rPr>
        <w:t xml:space="preserve"> ondertekening. Deze landen benadrukte</w:t>
      </w:r>
      <w:r>
        <w:rPr>
          <w:rFonts w:cs="Times New Roman"/>
          <w:szCs w:val="18"/>
          <w:lang w:val="nl-NL"/>
        </w:rPr>
        <w:t>n</w:t>
      </w:r>
      <w:r w:rsidRPr="00446664">
        <w:rPr>
          <w:rFonts w:cs="Times New Roman"/>
          <w:szCs w:val="18"/>
          <w:lang w:val="nl-NL"/>
        </w:rPr>
        <w:t xml:space="preserve"> het belang van het engageren van Oekraïne en hecht</w:t>
      </w:r>
      <w:r w:rsidR="005D604E">
        <w:rPr>
          <w:rFonts w:cs="Times New Roman"/>
          <w:szCs w:val="18"/>
          <w:lang w:val="nl-NL"/>
        </w:rPr>
        <w:t>t</w:t>
      </w:r>
      <w:r>
        <w:rPr>
          <w:rFonts w:cs="Times New Roman"/>
          <w:szCs w:val="18"/>
          <w:lang w:val="nl-NL"/>
        </w:rPr>
        <w:t>en</w:t>
      </w:r>
      <w:r w:rsidRPr="00446664">
        <w:rPr>
          <w:rFonts w:cs="Times New Roman"/>
          <w:szCs w:val="18"/>
          <w:lang w:val="nl-NL"/>
        </w:rPr>
        <w:t xml:space="preserve"> eraan dat Oekraïne vroegtijdig positieve signalen van de EU ontvangt. </w:t>
      </w:r>
      <w:r w:rsidR="005D604E">
        <w:rPr>
          <w:rFonts w:cs="Times New Roman"/>
          <w:szCs w:val="18"/>
          <w:lang w:val="nl-NL"/>
        </w:rPr>
        <w:t>Andere lidstaten</w:t>
      </w:r>
      <w:r w:rsidRPr="00446664">
        <w:rPr>
          <w:rFonts w:cs="Times New Roman"/>
          <w:szCs w:val="18"/>
          <w:lang w:val="nl-NL"/>
        </w:rPr>
        <w:t xml:space="preserve"> benadrukte</w:t>
      </w:r>
      <w:r w:rsidR="005D604E">
        <w:rPr>
          <w:rFonts w:cs="Times New Roman"/>
          <w:szCs w:val="18"/>
          <w:lang w:val="nl-NL"/>
        </w:rPr>
        <w:t>n</w:t>
      </w:r>
      <w:r w:rsidRPr="00446664">
        <w:rPr>
          <w:rFonts w:cs="Times New Roman"/>
          <w:szCs w:val="18"/>
          <w:lang w:val="nl-NL"/>
        </w:rPr>
        <w:t xml:space="preserve"> dat een succesvolle Top enkel mogelijk is als de EU aan de eigen criteria en waardenagenda vasthoudt. De druk op Oekraïne moet gehandhaafd blijven om de nog noodzakelijke hervormingen door te voeren. Op basis van deze resultaten kan vervolgens worden besloten over ondertekening tijdens de Top. </w:t>
      </w:r>
      <w:r w:rsidR="005D604E">
        <w:rPr>
          <w:rFonts w:cs="Times New Roman"/>
          <w:szCs w:val="18"/>
          <w:lang w:val="nl-NL"/>
        </w:rPr>
        <w:t>Dit is onder andere de benadering van Nederland, dat op dit punt sprak namens de Benelux</w:t>
      </w:r>
      <w:r>
        <w:rPr>
          <w:rFonts w:cs="Times New Roman"/>
          <w:szCs w:val="18"/>
          <w:lang w:val="nl-NL"/>
        </w:rPr>
        <w:t>.</w:t>
      </w:r>
    </w:p>
    <w:p w:rsidRPr="00446664" w:rsidR="00446664" w:rsidP="00446664" w:rsidRDefault="00446664">
      <w:pPr>
        <w:spacing w:after="0"/>
        <w:rPr>
          <w:rFonts w:cs="Times New Roman"/>
          <w:szCs w:val="18"/>
          <w:lang w:val="nl-NL"/>
        </w:rPr>
      </w:pPr>
    </w:p>
    <w:p w:rsidRPr="00446664" w:rsidR="00446664" w:rsidP="0099181E" w:rsidRDefault="0099181E">
      <w:pPr>
        <w:spacing w:after="0"/>
        <w:rPr>
          <w:rFonts w:cs="Times New Roman"/>
          <w:szCs w:val="18"/>
          <w:lang w:val="nl-NL"/>
        </w:rPr>
      </w:pPr>
      <w:r>
        <w:rPr>
          <w:rFonts w:cs="Times New Roman"/>
          <w:szCs w:val="18"/>
          <w:lang w:val="nl-NL"/>
        </w:rPr>
        <w:t>D</w:t>
      </w:r>
      <w:r w:rsidRPr="00446664" w:rsidR="00446664">
        <w:rPr>
          <w:rFonts w:cs="Times New Roman"/>
          <w:szCs w:val="18"/>
          <w:lang w:val="nl-NL"/>
        </w:rPr>
        <w:t>e speciale rapporteurs vanuit het Europees Parlement voor Oekraïne, Cox en Kwasniewski</w:t>
      </w:r>
      <w:r>
        <w:rPr>
          <w:rFonts w:cs="Times New Roman"/>
          <w:szCs w:val="18"/>
          <w:lang w:val="nl-NL"/>
        </w:rPr>
        <w:t>, presenteerden medio oktober hun rapport</w:t>
      </w:r>
      <w:r w:rsidRPr="00446664" w:rsidR="00446664">
        <w:rPr>
          <w:rFonts w:cs="Times New Roman"/>
          <w:szCs w:val="18"/>
          <w:lang w:val="nl-NL"/>
        </w:rPr>
        <w:t>. De belangrij</w:t>
      </w:r>
      <w:r>
        <w:rPr>
          <w:rFonts w:cs="Times New Roman"/>
          <w:szCs w:val="18"/>
          <w:lang w:val="nl-NL"/>
        </w:rPr>
        <w:t>kste bevinding i</w:t>
      </w:r>
      <w:r w:rsidRPr="00446664" w:rsidR="00446664">
        <w:rPr>
          <w:rFonts w:cs="Times New Roman"/>
          <w:szCs w:val="18"/>
          <w:lang w:val="nl-NL"/>
        </w:rPr>
        <w:t xml:space="preserve">s dat Oekraïne nog niet heeft voldaan aan de door de EU gestelde voorwaarden voor wat betreft selectieve rechtspraak. </w:t>
      </w:r>
      <w:r>
        <w:rPr>
          <w:rFonts w:cs="Times New Roman"/>
          <w:szCs w:val="18"/>
          <w:lang w:val="nl-NL"/>
        </w:rPr>
        <w:t xml:space="preserve">Op dit moment zijn </w:t>
      </w:r>
      <w:r w:rsidRPr="00446664" w:rsidR="00446664">
        <w:rPr>
          <w:rFonts w:cs="Times New Roman"/>
          <w:szCs w:val="18"/>
          <w:lang w:val="nl-NL"/>
        </w:rPr>
        <w:t>Cox en Kwasniewski opnieuw in Kiev</w:t>
      </w:r>
      <w:r>
        <w:rPr>
          <w:rFonts w:cs="Times New Roman"/>
          <w:szCs w:val="18"/>
          <w:lang w:val="nl-NL"/>
        </w:rPr>
        <w:t xml:space="preserve">. Hun volgende rapport, dat </w:t>
      </w:r>
      <w:r w:rsidRPr="00446664" w:rsidR="00446664">
        <w:rPr>
          <w:rFonts w:cs="Times New Roman"/>
          <w:szCs w:val="18"/>
          <w:lang w:val="nl-NL"/>
        </w:rPr>
        <w:t>m</w:t>
      </w:r>
      <w:r>
        <w:rPr>
          <w:rFonts w:cs="Times New Roman"/>
          <w:szCs w:val="18"/>
          <w:lang w:val="nl-NL"/>
        </w:rPr>
        <w:t>edio</w:t>
      </w:r>
      <w:r w:rsidRPr="00446664" w:rsidR="00446664">
        <w:rPr>
          <w:rFonts w:cs="Times New Roman"/>
          <w:szCs w:val="18"/>
          <w:lang w:val="nl-NL"/>
        </w:rPr>
        <w:t xml:space="preserve"> november </w:t>
      </w:r>
      <w:r>
        <w:rPr>
          <w:rFonts w:cs="Times New Roman"/>
          <w:szCs w:val="18"/>
          <w:lang w:val="nl-NL"/>
        </w:rPr>
        <w:t xml:space="preserve">zal verschijnen, </w:t>
      </w:r>
      <w:r w:rsidRPr="00446664" w:rsidR="00446664">
        <w:rPr>
          <w:rFonts w:cs="Times New Roman"/>
          <w:szCs w:val="18"/>
          <w:lang w:val="nl-NL"/>
        </w:rPr>
        <w:t xml:space="preserve">zal in de besluitvorming van de Raad op 18 november worden meegewogen. </w:t>
      </w:r>
    </w:p>
    <w:p w:rsidRPr="00446664" w:rsidR="00446664" w:rsidP="00446664" w:rsidRDefault="00446664">
      <w:pPr>
        <w:spacing w:after="0"/>
        <w:rPr>
          <w:rFonts w:cs="Times New Roman"/>
          <w:szCs w:val="18"/>
          <w:lang w:val="nl-NL"/>
        </w:rPr>
      </w:pPr>
    </w:p>
    <w:p w:rsidRPr="00446664" w:rsidR="00446664" w:rsidP="00446664" w:rsidRDefault="00446664">
      <w:pPr>
        <w:spacing w:after="0"/>
        <w:rPr>
          <w:rFonts w:cs="Times New Roman"/>
          <w:szCs w:val="18"/>
          <w:lang w:val="nl-NL"/>
        </w:rPr>
      </w:pPr>
      <w:r w:rsidRPr="00446664">
        <w:rPr>
          <w:rFonts w:cs="Times New Roman"/>
          <w:szCs w:val="18"/>
          <w:lang w:val="nl-NL"/>
        </w:rPr>
        <w:t xml:space="preserve">De ministers en Commissaris Füle constateerden dat de voorbereidingen voor de parafering van </w:t>
      </w:r>
      <w:r w:rsidR="00F068D4">
        <w:rPr>
          <w:rFonts w:cs="Times New Roman"/>
          <w:szCs w:val="18"/>
          <w:lang w:val="nl-NL"/>
        </w:rPr>
        <w:t xml:space="preserve">het </w:t>
      </w:r>
      <w:r w:rsidRPr="00446664">
        <w:rPr>
          <w:rFonts w:cs="Times New Roman"/>
          <w:szCs w:val="18"/>
          <w:lang w:val="nl-NL"/>
        </w:rPr>
        <w:t>AA/DCFTA met Georgië en Moldavië positief verloopt. Ten aanzien van Armenië was een meerderheid van lidstaten</w:t>
      </w:r>
      <w:r w:rsidR="00F068D4">
        <w:rPr>
          <w:rFonts w:cs="Times New Roman"/>
          <w:szCs w:val="18"/>
          <w:lang w:val="nl-NL"/>
        </w:rPr>
        <w:t xml:space="preserve"> </w:t>
      </w:r>
      <w:r w:rsidRPr="00446664">
        <w:rPr>
          <w:rFonts w:cs="Times New Roman"/>
          <w:szCs w:val="18"/>
          <w:lang w:val="nl-NL"/>
        </w:rPr>
        <w:t xml:space="preserve">van mening dat enige vorm van versterkte samenwerking met dat land mogelijk moet blijven, ondanks hun aansluiting bij de douane-unie met de Russische Federatie, Wit-Rusland en Kazachstan. </w:t>
      </w:r>
    </w:p>
    <w:p w:rsidRPr="00446664" w:rsidR="00446664" w:rsidP="00446664" w:rsidRDefault="00446664">
      <w:pPr>
        <w:spacing w:after="0"/>
        <w:rPr>
          <w:rFonts w:cs="Times New Roman"/>
          <w:szCs w:val="18"/>
          <w:lang w:val="nl-NL"/>
        </w:rPr>
      </w:pPr>
    </w:p>
    <w:p w:rsidRPr="00446664" w:rsidR="00446664" w:rsidP="00446664" w:rsidRDefault="00446664">
      <w:pPr>
        <w:spacing w:after="0"/>
        <w:rPr>
          <w:rFonts w:cs="Times New Roman"/>
          <w:szCs w:val="18"/>
          <w:lang w:val="nl-NL"/>
        </w:rPr>
      </w:pPr>
      <w:r w:rsidRPr="00446664">
        <w:rPr>
          <w:rFonts w:cs="Times New Roman"/>
          <w:szCs w:val="18"/>
          <w:lang w:val="nl-NL"/>
        </w:rPr>
        <w:t xml:space="preserve">In haar conclusies gaf de Hoge Vertegenwoordiger aan dat de top in Vilnius geen eindpunt zal zijn in de relaties met de Oosterburen en dat de EU de inzet op hervormingen zal handhaven. De EU wil geen gedwongen maar gekozen relaties met de </w:t>
      </w:r>
      <w:r w:rsidR="005D604E">
        <w:rPr>
          <w:rFonts w:cs="Times New Roman"/>
          <w:szCs w:val="18"/>
          <w:lang w:val="nl-NL"/>
        </w:rPr>
        <w:t>O</w:t>
      </w:r>
      <w:r w:rsidRPr="00446664">
        <w:rPr>
          <w:rFonts w:cs="Times New Roman"/>
          <w:szCs w:val="18"/>
          <w:lang w:val="nl-NL"/>
        </w:rPr>
        <w:t>osterburen. Indien deze landen voor een relatie met de EU kiezen, impliceert dit een koers gericht op hervorming.</w:t>
      </w:r>
    </w:p>
    <w:p w:rsidR="00723450" w:rsidP="006F4194" w:rsidRDefault="00723450">
      <w:pPr>
        <w:spacing w:after="0"/>
        <w:rPr>
          <w:szCs w:val="18"/>
          <w:lang w:val="nl-NL"/>
        </w:rPr>
      </w:pPr>
    </w:p>
    <w:p w:rsidRPr="00386718" w:rsidR="00386718" w:rsidP="006F4194" w:rsidRDefault="00386718">
      <w:pPr>
        <w:spacing w:after="0"/>
        <w:rPr>
          <w:b/>
          <w:szCs w:val="18"/>
          <w:lang w:val="nl-NL"/>
        </w:rPr>
      </w:pPr>
      <w:r w:rsidRPr="00386718">
        <w:rPr>
          <w:b/>
          <w:szCs w:val="18"/>
          <w:lang w:val="nl-NL"/>
        </w:rPr>
        <w:t>Zuidelijke Buurlanden</w:t>
      </w:r>
    </w:p>
    <w:p w:rsidR="00386718" w:rsidP="006F4194" w:rsidRDefault="00386718">
      <w:pPr>
        <w:spacing w:after="0"/>
        <w:rPr>
          <w:szCs w:val="18"/>
          <w:lang w:val="nl-NL"/>
        </w:rPr>
      </w:pPr>
    </w:p>
    <w:p w:rsidRPr="00360203" w:rsidR="00360203" w:rsidP="00360203" w:rsidRDefault="00360203">
      <w:pPr>
        <w:spacing w:after="0"/>
        <w:rPr>
          <w:i/>
          <w:iCs/>
          <w:lang w:val="nl-NL"/>
        </w:rPr>
      </w:pPr>
      <w:r w:rsidRPr="00360203">
        <w:rPr>
          <w:i/>
          <w:iCs/>
          <w:lang w:val="nl-NL"/>
        </w:rPr>
        <w:t>Syrië</w:t>
      </w:r>
    </w:p>
    <w:p w:rsidR="00E50DF6" w:rsidP="00360203" w:rsidRDefault="00360203">
      <w:pPr>
        <w:spacing w:after="0"/>
        <w:rPr>
          <w:lang w:val="nl-NL"/>
        </w:rPr>
      </w:pPr>
      <w:r w:rsidRPr="00360203">
        <w:rPr>
          <w:lang w:val="nl-NL"/>
        </w:rPr>
        <w:t xml:space="preserve">De Raad sprak zijn zorgen uit over de verslechterende situatie in Syrië en onderstreepte de noodzaak een einde te maken aan het geweld en het lijden van de Syrische bevolking. Alleen een politieke oplossing die resulteert in een verenigd, inclusief en democratisch Syrië kan </w:t>
      </w:r>
      <w:r w:rsidR="005D604E">
        <w:rPr>
          <w:lang w:val="nl-NL"/>
        </w:rPr>
        <w:t>dat bewerkstelligen</w:t>
      </w:r>
      <w:r w:rsidRPr="00360203">
        <w:rPr>
          <w:lang w:val="nl-NL"/>
        </w:rPr>
        <w:t xml:space="preserve">. De Raad onderstreepte dat in zijn visie alle Syriërs betrokken moeten zijn en gelijke rechten moeten hebben ongeacht afkomst, affiliatie, religie of overtuiging en met onderkenning van de belangrijke rol van vrouwen in de maatschappij. De EU verwelkomde de oproep van SGVN Ban Ki-Moon om eind november een vredesconferentie te houden in Genève (‘Genève II’) en riep alle partijen op hier positief op te reageren en zich te committeren aan een politieke transitie gebaseerd op de volledige </w:t>
      </w:r>
      <w:proofErr w:type="gramStart"/>
      <w:r w:rsidRPr="00360203">
        <w:rPr>
          <w:lang w:val="nl-NL"/>
        </w:rPr>
        <w:t>implementatie</w:t>
      </w:r>
      <w:proofErr w:type="gramEnd"/>
      <w:r w:rsidRPr="00360203">
        <w:rPr>
          <w:lang w:val="nl-NL"/>
        </w:rPr>
        <w:t xml:space="preserve"> van het Genève Communiqué.</w:t>
      </w:r>
      <w:r w:rsidR="00A37ABF">
        <w:rPr>
          <w:lang w:val="nl-NL"/>
        </w:rPr>
        <w:t xml:space="preserve"> </w:t>
      </w:r>
    </w:p>
    <w:p w:rsidR="00E50DF6" w:rsidP="00360203" w:rsidRDefault="00E50DF6">
      <w:pPr>
        <w:spacing w:after="0"/>
        <w:rPr>
          <w:lang w:val="nl-NL"/>
        </w:rPr>
      </w:pPr>
    </w:p>
    <w:p w:rsidRPr="00360203" w:rsidR="00360203" w:rsidP="00360203" w:rsidRDefault="00A37ABF">
      <w:pPr>
        <w:spacing w:after="0"/>
        <w:rPr>
          <w:lang w:val="nl-NL"/>
        </w:rPr>
      </w:pPr>
      <w:r>
        <w:rPr>
          <w:lang w:val="nl-NL"/>
        </w:rPr>
        <w:t xml:space="preserve">De EU heeft </w:t>
      </w:r>
      <w:r w:rsidR="005D604E">
        <w:rPr>
          <w:lang w:val="nl-NL"/>
        </w:rPr>
        <w:t>consequent</w:t>
      </w:r>
      <w:r>
        <w:rPr>
          <w:lang w:val="nl-NL"/>
        </w:rPr>
        <w:t xml:space="preserve"> nadruk gelegd op het belang van een politieke oplossing</w:t>
      </w:r>
      <w:r w:rsidR="000E570A">
        <w:rPr>
          <w:lang w:val="nl-NL"/>
        </w:rPr>
        <w:t xml:space="preserve"> en </w:t>
      </w:r>
      <w:r>
        <w:rPr>
          <w:lang w:val="nl-NL"/>
        </w:rPr>
        <w:t xml:space="preserve">richt de inspanningen op het ondersteunen van dit proces. Tijdens de bijeenkomst ging de discussie deels over de vraag in welke mate de EU ertoe kan bijdragen dat de oppositie daadwerkelijk aan de onderhandelingen deelneemt. </w:t>
      </w:r>
      <w:r w:rsidRPr="00360203" w:rsidR="00360203">
        <w:rPr>
          <w:lang w:val="nl-NL"/>
        </w:rPr>
        <w:t xml:space="preserve">De EU herhaalde </w:t>
      </w:r>
      <w:r w:rsidR="000E570A">
        <w:rPr>
          <w:lang w:val="nl-NL"/>
        </w:rPr>
        <w:t xml:space="preserve">in dit verband </w:t>
      </w:r>
      <w:r w:rsidRPr="00360203" w:rsidR="00360203">
        <w:rPr>
          <w:lang w:val="nl-NL"/>
        </w:rPr>
        <w:t xml:space="preserve">dat het doel van de conferentie moet zijn dat beide partijen instemmen met het opzetten van een </w:t>
      </w:r>
      <w:r w:rsidRPr="00360203" w:rsidR="00360203">
        <w:rPr>
          <w:i/>
          <w:iCs/>
          <w:lang w:val="nl-NL"/>
        </w:rPr>
        <w:t xml:space="preserve">transitional governing body </w:t>
      </w:r>
      <w:r w:rsidRPr="00360203" w:rsidR="00360203">
        <w:rPr>
          <w:lang w:val="nl-NL"/>
        </w:rPr>
        <w:t xml:space="preserve">met volledige uitvoerende macht en controle over alle regerings- en veiligheidsinstellingen. De Raad riep de oppositie op actief deel te nemen aan de conferentie en moedigde de </w:t>
      </w:r>
      <w:r w:rsidRPr="00360203" w:rsidR="00360203">
        <w:rPr>
          <w:i/>
          <w:iCs/>
          <w:lang w:val="nl-NL"/>
        </w:rPr>
        <w:t xml:space="preserve">National Coalition of the Syrian Revolutionary and Opposition Forces </w:t>
      </w:r>
      <w:r w:rsidRPr="00360203" w:rsidR="00360203">
        <w:rPr>
          <w:lang w:val="nl-NL"/>
        </w:rPr>
        <w:t xml:space="preserve">(SOC) aan een leidende rol in de onderhandelingen op zich te nemen. De bijeenkomst in Londen van de zogenaamde </w:t>
      </w:r>
      <w:r w:rsidRPr="00360203" w:rsidR="00360203">
        <w:rPr>
          <w:i/>
          <w:iCs/>
          <w:lang w:val="nl-NL"/>
        </w:rPr>
        <w:t>core group</w:t>
      </w:r>
      <w:r w:rsidRPr="00360203" w:rsidR="00360203">
        <w:rPr>
          <w:lang w:val="nl-NL"/>
        </w:rPr>
        <w:t xml:space="preserve"> van de Friends of Syria op 22 </w:t>
      </w:r>
      <w:r w:rsidRPr="00360203" w:rsidR="00360203">
        <w:rPr>
          <w:lang w:val="nl-NL"/>
        </w:rPr>
        <w:lastRenderedPageBreak/>
        <w:t xml:space="preserve">oktober werd in dit verband genoemd en beschouwd als een goede mogelijkheid om bij de oppositie aan te dringen op deelname aan Genève II. </w:t>
      </w:r>
    </w:p>
    <w:p w:rsidRPr="00360203" w:rsidR="00360203" w:rsidP="00360203" w:rsidRDefault="00360203">
      <w:pPr>
        <w:spacing w:after="0"/>
        <w:rPr>
          <w:lang w:val="nl-NL"/>
        </w:rPr>
      </w:pPr>
    </w:p>
    <w:p w:rsidRPr="00360203" w:rsidR="00360203" w:rsidP="00360203" w:rsidRDefault="00360203">
      <w:pPr>
        <w:spacing w:after="0"/>
        <w:rPr>
          <w:lang w:val="nl-NL"/>
        </w:rPr>
      </w:pPr>
      <w:r w:rsidRPr="00360203">
        <w:rPr>
          <w:lang w:val="nl-NL"/>
        </w:rPr>
        <w:t xml:space="preserve">De Raad veroordeelde opnieuw in scherpe bewoordingen de aanval met chemische wapens van 21 augustus jl. De Raad benadrukte dat alle misdaden onderzocht moeten worden en dat de daders hiervoor verantwoordelijk moeten worden gehouden en herhaalde dat de VN-Veiligheidsraad (VNVR) de situatie in Syrië kan doorverwijzen naar het Internationaal Strafhof. </w:t>
      </w:r>
    </w:p>
    <w:p w:rsidRPr="00360203" w:rsidR="00360203" w:rsidP="00360203" w:rsidRDefault="00360203">
      <w:pPr>
        <w:spacing w:after="0"/>
        <w:rPr>
          <w:lang w:val="nl-NL"/>
        </w:rPr>
      </w:pPr>
      <w:r w:rsidRPr="00360203">
        <w:rPr>
          <w:lang w:val="nl-NL"/>
        </w:rPr>
        <w:t xml:space="preserve">De Raad sprak zijn zorgen uit over de groeiende inmenging van extremistische en buitenlandse niet-statelijke actoren in de strijd in Syrië, die het conflict verder aanwakkert en een bedreiging vormt voor de regionale stabiliteit. De Raad riep alle partijen op steun aan deze groeperingen te stoppen. </w:t>
      </w:r>
    </w:p>
    <w:p w:rsidRPr="00360203" w:rsidR="00360203" w:rsidP="00360203" w:rsidRDefault="00360203">
      <w:pPr>
        <w:spacing w:after="0"/>
        <w:rPr>
          <w:lang w:val="nl-NL"/>
        </w:rPr>
      </w:pPr>
    </w:p>
    <w:p w:rsidRPr="00360203" w:rsidR="00360203" w:rsidP="00360203" w:rsidRDefault="00360203">
      <w:pPr>
        <w:spacing w:after="0"/>
        <w:rPr>
          <w:lang w:val="nl-NL"/>
        </w:rPr>
      </w:pPr>
      <w:r w:rsidRPr="00360203">
        <w:rPr>
          <w:lang w:val="nl-NL"/>
        </w:rPr>
        <w:t xml:space="preserve">De Raad verwelkomde het besluit van de uitvoerende raad van de Organisatie voor het Verbod op Chemische Wapens (OPCW) en VNVR-resolutie 2118 (2013) van 27 september jl. over de ontmanteling van het chemisch wapenarsenaal van Syrië. Syrië moet nu al zijn verplichtingen op dit gebied nakomen. De EU steunt de gezamenlijke missie van de VN en de OPCW en riep alle partijen op inspecteurs toegang te geven tot alle locaties. </w:t>
      </w:r>
    </w:p>
    <w:p w:rsidRPr="00360203" w:rsidR="00360203" w:rsidP="00360203" w:rsidRDefault="00360203">
      <w:pPr>
        <w:spacing w:after="0"/>
        <w:rPr>
          <w:lang w:val="nl-NL"/>
        </w:rPr>
      </w:pPr>
    </w:p>
    <w:p w:rsidRPr="00360203" w:rsidR="00360203" w:rsidP="00360203" w:rsidRDefault="00A37ABF">
      <w:pPr>
        <w:spacing w:after="0"/>
        <w:rPr>
          <w:lang w:val="nl-NL"/>
        </w:rPr>
      </w:pPr>
      <w:r>
        <w:rPr>
          <w:lang w:val="nl-NL"/>
        </w:rPr>
        <w:t>De Hoge Vertegenwoordiger</w:t>
      </w:r>
      <w:r w:rsidRPr="00360203" w:rsidR="00360203">
        <w:rPr>
          <w:lang w:val="nl-NL"/>
        </w:rPr>
        <w:t xml:space="preserve"> en de ministers spraken hun zorgen uit over de zich voltrekkende humanitaire ramp en benadrukten de committering van de EU als grootste donor op het gebied van hulp, inclusief humanitaire hulp, aan Syrië en de buurlanden. Het is van het grootste belang dat humanitaire hulp terecht komt bij mensen in nood en dat humanitaire hulporganisaties volledige toegang krijgen. </w:t>
      </w:r>
      <w:r w:rsidR="000E570A">
        <w:rPr>
          <w:lang w:val="nl-NL"/>
        </w:rPr>
        <w:t xml:space="preserve">De EU en de lidstaten zullen de humanitaire inzet onderling coördineren, onder meer in OCHA kader. </w:t>
      </w:r>
      <w:r w:rsidRPr="00360203" w:rsidR="00360203">
        <w:rPr>
          <w:lang w:val="nl-NL"/>
        </w:rPr>
        <w:t xml:space="preserve">De Raad verwelkomde de presidentiële verklaring van de VNVR van 2 oktober jl. over de humanitaire situatie in Syrië. De dramatische situatie van de vluchtelingen die </w:t>
      </w:r>
      <w:proofErr w:type="gramStart"/>
      <w:r w:rsidRPr="00360203" w:rsidR="00360203">
        <w:rPr>
          <w:lang w:val="nl-NL"/>
        </w:rPr>
        <w:t>met name</w:t>
      </w:r>
      <w:proofErr w:type="gramEnd"/>
      <w:r w:rsidRPr="00360203" w:rsidR="00360203">
        <w:rPr>
          <w:lang w:val="nl-NL"/>
        </w:rPr>
        <w:t xml:space="preserve"> de buurlanden treft, wordt steeds zorgelijker en heeft ook een effect op landen buiten de regio. </w:t>
      </w:r>
    </w:p>
    <w:p w:rsidRPr="005D604E" w:rsidR="000E570A" w:rsidP="00386718" w:rsidRDefault="000E570A">
      <w:pPr>
        <w:spacing w:after="0"/>
        <w:rPr>
          <w:i/>
          <w:iCs/>
          <w:lang w:val="nl-NL"/>
        </w:rPr>
      </w:pPr>
    </w:p>
    <w:p w:rsidR="00386718" w:rsidP="00386718" w:rsidRDefault="00386718">
      <w:pPr>
        <w:spacing w:after="0"/>
        <w:rPr>
          <w:i/>
          <w:iCs/>
          <w:lang w:val="nl-NL"/>
        </w:rPr>
      </w:pPr>
      <w:r w:rsidRPr="000E570A">
        <w:rPr>
          <w:i/>
          <w:iCs/>
          <w:lang w:val="nl-NL"/>
        </w:rPr>
        <w:t>Egypte</w:t>
      </w:r>
    </w:p>
    <w:p w:rsidRPr="00386718" w:rsidR="00386718" w:rsidP="00386718" w:rsidRDefault="000E570A">
      <w:pPr>
        <w:spacing w:after="0"/>
        <w:rPr>
          <w:lang w:val="nl-NL"/>
        </w:rPr>
      </w:pPr>
      <w:r>
        <w:rPr>
          <w:lang w:val="nl-NL"/>
        </w:rPr>
        <w:t>De Hoge Vertegenwoordiger</w:t>
      </w:r>
      <w:r w:rsidRPr="00360203">
        <w:rPr>
          <w:lang w:val="nl-NL"/>
        </w:rPr>
        <w:t xml:space="preserve"> </w:t>
      </w:r>
      <w:r>
        <w:rPr>
          <w:lang w:val="nl-NL"/>
        </w:rPr>
        <w:t xml:space="preserve">ging </w:t>
      </w:r>
      <w:r w:rsidRPr="00386718" w:rsidR="00386718">
        <w:rPr>
          <w:lang w:val="nl-NL"/>
        </w:rPr>
        <w:t xml:space="preserve">kort in op haar bezoek aan Egypte van 2 en 3 oktober jl. Dit was haar veertiende bezoek geweest aan Egypte sinds haar aantreden, waardoor ze in het land een grote mate van vertrouwen geniet. Tijdens haar bezoek heeft ze met zoveel mogelijk actoren gesproken, in het bijzonder met generaal Sisi, Koptische leider Tawadros en Grand Imam Al Azhar. In haar gesprekken heeft zij onder meer opgeroepen tot een inclusief proces en haar zorgen geuit over het </w:t>
      </w:r>
      <w:r w:rsidR="005D604E">
        <w:rPr>
          <w:lang w:val="nl-NL"/>
        </w:rPr>
        <w:t>in brand steken</w:t>
      </w:r>
      <w:r w:rsidRPr="00386718" w:rsidR="00386718">
        <w:rPr>
          <w:lang w:val="nl-NL"/>
        </w:rPr>
        <w:t xml:space="preserve"> van kerken. Beide religieuze stromingen hadden aangegeven ervan overtuigd te zijn dat Egypte zich nu op het juiste pad bevond. Het constitutionele werk van de grondwettelijke commissie onder leiding van Amr Moussa was bijna klaar. Parlementaire en presidentiële verkiezingen zouden snel moeten volgen</w:t>
      </w:r>
      <w:r w:rsidR="006B0264">
        <w:rPr>
          <w:lang w:val="nl-NL"/>
        </w:rPr>
        <w:t>, waarbij EU-verkiezingswaarneming wenselijk werd geacht</w:t>
      </w:r>
      <w:r w:rsidRPr="00386718" w:rsidR="00386718">
        <w:rPr>
          <w:lang w:val="nl-NL"/>
        </w:rPr>
        <w:t>.</w:t>
      </w:r>
    </w:p>
    <w:p w:rsidR="00E50DF6" w:rsidP="00386718" w:rsidRDefault="00E50DF6">
      <w:pPr>
        <w:spacing w:after="0"/>
        <w:rPr>
          <w:lang w:val="nl-NL"/>
        </w:rPr>
      </w:pPr>
    </w:p>
    <w:p w:rsidRPr="00386718" w:rsidR="00386718" w:rsidP="00386718" w:rsidRDefault="00386718">
      <w:pPr>
        <w:spacing w:after="0"/>
        <w:rPr>
          <w:lang w:val="nl-NL"/>
        </w:rPr>
      </w:pPr>
      <w:r w:rsidRPr="00386718">
        <w:rPr>
          <w:lang w:val="nl-NL"/>
        </w:rPr>
        <w:t xml:space="preserve">Tevens meldde </w:t>
      </w:r>
      <w:r w:rsidR="006B0264">
        <w:rPr>
          <w:lang w:val="nl-NL"/>
        </w:rPr>
        <w:t>de Hoge Vertegenwoordiger</w:t>
      </w:r>
      <w:r w:rsidRPr="00360203" w:rsidR="006B0264">
        <w:rPr>
          <w:lang w:val="nl-NL"/>
        </w:rPr>
        <w:t xml:space="preserve"> </w:t>
      </w:r>
      <w:r w:rsidRPr="00386718">
        <w:rPr>
          <w:lang w:val="nl-NL"/>
        </w:rPr>
        <w:t xml:space="preserve">dat de EU de hulprelatie met Egypte had herzien en dat de EU haar steun aan de Egyptische bevolking zou continueren. </w:t>
      </w:r>
      <w:r w:rsidR="0099181E">
        <w:rPr>
          <w:lang w:val="nl-NL"/>
        </w:rPr>
        <w:t>De nood en behoefte aan hulp blij</w:t>
      </w:r>
      <w:r w:rsidRPr="00386718">
        <w:rPr>
          <w:lang w:val="nl-NL"/>
        </w:rPr>
        <w:t xml:space="preserve">ven hoog. </w:t>
      </w:r>
    </w:p>
    <w:p w:rsidR="00E50DF6" w:rsidP="00386718" w:rsidRDefault="00E50DF6">
      <w:pPr>
        <w:spacing w:after="0"/>
        <w:rPr>
          <w:lang w:val="nl-NL"/>
        </w:rPr>
      </w:pPr>
    </w:p>
    <w:p w:rsidRPr="00386718" w:rsidR="00386718" w:rsidP="00386718" w:rsidRDefault="00386718">
      <w:pPr>
        <w:spacing w:after="0"/>
        <w:rPr>
          <w:lang w:val="nl-NL"/>
        </w:rPr>
      </w:pPr>
      <w:r w:rsidRPr="00386718">
        <w:rPr>
          <w:lang w:val="nl-NL"/>
        </w:rPr>
        <w:t xml:space="preserve">De ministers dankten </w:t>
      </w:r>
      <w:r w:rsidR="006B0264">
        <w:rPr>
          <w:lang w:val="nl-NL"/>
        </w:rPr>
        <w:t>de Hoge Vertegenwoordiger</w:t>
      </w:r>
      <w:r w:rsidRPr="00360203" w:rsidR="006B0264">
        <w:rPr>
          <w:lang w:val="nl-NL"/>
        </w:rPr>
        <w:t xml:space="preserve"> </w:t>
      </w:r>
      <w:r w:rsidRPr="00386718">
        <w:rPr>
          <w:lang w:val="nl-NL"/>
        </w:rPr>
        <w:t xml:space="preserve">voor haar inzet t.a.v. Egypte en benadrukten het belang van een inclusief proces en het maximaliseren van de </w:t>
      </w:r>
      <w:r w:rsidRPr="00386718">
        <w:rPr>
          <w:i/>
          <w:iCs/>
          <w:lang w:val="nl-NL"/>
        </w:rPr>
        <w:t xml:space="preserve">leverage </w:t>
      </w:r>
      <w:r w:rsidRPr="00386718">
        <w:rPr>
          <w:lang w:val="nl-NL"/>
        </w:rPr>
        <w:t>van de EU op Egypte. Een aantal ministers sprak zorg uit over gevangen genomen leden van de Moslimbroederschap die zonder proces worden vastgehouden.</w:t>
      </w:r>
    </w:p>
    <w:p w:rsidRPr="00386718" w:rsidR="00386718" w:rsidP="00386718" w:rsidRDefault="00386718">
      <w:pPr>
        <w:spacing w:after="0"/>
        <w:rPr>
          <w:lang w:val="nl-NL"/>
        </w:rPr>
      </w:pPr>
    </w:p>
    <w:p w:rsidRPr="00386718" w:rsidR="00386718" w:rsidP="00386718" w:rsidRDefault="00386718">
      <w:pPr>
        <w:spacing w:after="0"/>
        <w:rPr>
          <w:i/>
          <w:iCs/>
          <w:lang w:val="nl-NL"/>
        </w:rPr>
      </w:pPr>
      <w:r w:rsidRPr="00386718">
        <w:rPr>
          <w:i/>
          <w:iCs/>
          <w:lang w:val="nl-NL"/>
        </w:rPr>
        <w:t>Libië</w:t>
      </w:r>
    </w:p>
    <w:p w:rsidRPr="00386718" w:rsidR="00386718" w:rsidP="00386718" w:rsidRDefault="00386718">
      <w:pPr>
        <w:spacing w:after="0"/>
        <w:rPr>
          <w:lang w:val="nl-NL"/>
        </w:rPr>
      </w:pPr>
      <w:r w:rsidRPr="00386718">
        <w:rPr>
          <w:lang w:val="nl-NL"/>
        </w:rPr>
        <w:t xml:space="preserve">De Raad sprak zijn zorgen uit over de ontwikkelingen in Libië, in het bijzonder over de politieke en veiligheidssituatie en de vluchtelingenproblematiek, mede naar aanleiding van de scheepsramp bij Lampedusa. </w:t>
      </w:r>
      <w:r w:rsidR="006B0264">
        <w:rPr>
          <w:lang w:val="nl-NL"/>
        </w:rPr>
        <w:t>De Hoge Vertegenwoordiger</w:t>
      </w:r>
      <w:r w:rsidRPr="00360203" w:rsidR="006B0264">
        <w:rPr>
          <w:lang w:val="nl-NL"/>
        </w:rPr>
        <w:t xml:space="preserve"> </w:t>
      </w:r>
      <w:r w:rsidRPr="00386718">
        <w:rPr>
          <w:lang w:val="nl-NL"/>
        </w:rPr>
        <w:t xml:space="preserve">had deelgenomen aan de Raad Justitie en Binnenlandse Zaken van 7 en 8 oktober jl. in verband met het opzetten van de Mediterrane Task Force waaraan de Europese Commissie, de EDEO en lidstaten deelnemen. </w:t>
      </w:r>
      <w:r w:rsidR="006B0264">
        <w:rPr>
          <w:lang w:val="nl-NL"/>
        </w:rPr>
        <w:t xml:space="preserve">Diverse ministers pleitten voor een nadrukkelijker rol van de EU in het adresseren van diverse aspecten van illegale migratie in het Middellandse Zeegebied. </w:t>
      </w:r>
      <w:r w:rsidRPr="00386718">
        <w:rPr>
          <w:lang w:val="nl-NL"/>
        </w:rPr>
        <w:t xml:space="preserve">Het onderwerp komt ter sprake tijdens de Europese Raad van 24 en 25 oktober </w:t>
      </w:r>
      <w:r w:rsidR="006B0264">
        <w:rPr>
          <w:lang w:val="nl-NL"/>
        </w:rPr>
        <w:t>aanstaande</w:t>
      </w:r>
      <w:r w:rsidRPr="00386718">
        <w:rPr>
          <w:lang w:val="nl-NL"/>
        </w:rPr>
        <w:t xml:space="preserve">. </w:t>
      </w:r>
    </w:p>
    <w:p w:rsidRPr="006F4194" w:rsidR="006F4194" w:rsidP="006F4194" w:rsidRDefault="006F4194">
      <w:pPr>
        <w:spacing w:after="0"/>
        <w:rPr>
          <w:b/>
          <w:szCs w:val="18"/>
          <w:lang w:val="nl-NL"/>
        </w:rPr>
      </w:pPr>
    </w:p>
    <w:p w:rsidRPr="006F4194" w:rsidR="003B6F60" w:rsidP="006F4194" w:rsidRDefault="003B6F60">
      <w:pPr>
        <w:spacing w:after="0"/>
        <w:rPr>
          <w:b/>
          <w:szCs w:val="18"/>
          <w:lang w:val="nl-NL"/>
        </w:rPr>
      </w:pPr>
      <w:r w:rsidRPr="006F4194">
        <w:rPr>
          <w:b/>
          <w:szCs w:val="18"/>
          <w:lang w:val="nl-NL"/>
        </w:rPr>
        <w:t xml:space="preserve">Birma </w:t>
      </w:r>
    </w:p>
    <w:p w:rsidRPr="006F4194" w:rsidR="00101F68" w:rsidP="006F4194" w:rsidRDefault="00101F68">
      <w:pPr>
        <w:spacing w:after="0"/>
        <w:rPr>
          <w:szCs w:val="18"/>
          <w:lang w:val="nl-NL"/>
        </w:rPr>
      </w:pPr>
      <w:r w:rsidRPr="006F4194">
        <w:rPr>
          <w:szCs w:val="18"/>
          <w:lang w:val="nl-NL"/>
        </w:rPr>
        <w:t xml:space="preserve">De ministers spraken over de situatie in Birma, mede </w:t>
      </w:r>
      <w:r w:rsidR="006B0264">
        <w:rPr>
          <w:szCs w:val="18"/>
          <w:lang w:val="nl-NL"/>
        </w:rPr>
        <w:t>in aanwezigheid van</w:t>
      </w:r>
      <w:r w:rsidRPr="006F4194">
        <w:rPr>
          <w:szCs w:val="18"/>
          <w:lang w:val="nl-NL"/>
        </w:rPr>
        <w:t xml:space="preserve"> Aung San Suu Kyi (ASSK)</w:t>
      </w:r>
      <w:r w:rsidR="006B0264">
        <w:rPr>
          <w:szCs w:val="18"/>
          <w:lang w:val="nl-NL"/>
        </w:rPr>
        <w:t xml:space="preserve"> die aan de lunch deelnam</w:t>
      </w:r>
      <w:r w:rsidRPr="006F4194">
        <w:rPr>
          <w:szCs w:val="18"/>
          <w:lang w:val="nl-NL"/>
        </w:rPr>
        <w:t xml:space="preserve">. De ministers deelden de zorgen over het geweld tussen de verschillende </w:t>
      </w:r>
      <w:r w:rsidRPr="006F4194">
        <w:rPr>
          <w:szCs w:val="18"/>
          <w:lang w:val="nl-NL"/>
        </w:rPr>
        <w:lastRenderedPageBreak/>
        <w:t xml:space="preserve">bevolkingsgroepen, waaronder de situatie van de Rohingya-minderheid. De ministers onderstreepten het belang van eerlijke en vrije verkiezingen in 2015. </w:t>
      </w:r>
      <w:r w:rsidR="006B0264">
        <w:rPr>
          <w:lang w:val="nl-NL"/>
        </w:rPr>
        <w:t>De Hoge Vertegenwoordiger</w:t>
      </w:r>
      <w:r w:rsidRPr="00360203" w:rsidR="006B0264">
        <w:rPr>
          <w:lang w:val="nl-NL"/>
        </w:rPr>
        <w:t xml:space="preserve"> </w:t>
      </w:r>
      <w:r w:rsidRPr="006F4194">
        <w:rPr>
          <w:szCs w:val="18"/>
          <w:lang w:val="nl-NL"/>
        </w:rPr>
        <w:t>gaf aan deel te zullen nemen aan de EU-Birma Taskforce bijeenkomst op 14 en 15 november in Yangon, waaraan zowel de regering</w:t>
      </w:r>
      <w:r w:rsidRPr="006F4194" w:rsidR="00F94C56">
        <w:rPr>
          <w:szCs w:val="18"/>
          <w:lang w:val="nl-NL"/>
        </w:rPr>
        <w:t>,</w:t>
      </w:r>
      <w:r w:rsidRPr="006F4194">
        <w:rPr>
          <w:szCs w:val="18"/>
          <w:lang w:val="nl-NL"/>
        </w:rPr>
        <w:t xml:space="preserve"> ASSK</w:t>
      </w:r>
      <w:r w:rsidRPr="006F4194" w:rsidR="00DB34F1">
        <w:rPr>
          <w:szCs w:val="18"/>
          <w:lang w:val="nl-NL"/>
        </w:rPr>
        <w:t xml:space="preserve"> als mensenrechtenorganisaties deel </w:t>
      </w:r>
      <w:proofErr w:type="gramStart"/>
      <w:r w:rsidRPr="006F4194" w:rsidR="00DB34F1">
        <w:rPr>
          <w:szCs w:val="18"/>
          <w:lang w:val="nl-NL"/>
        </w:rPr>
        <w:t>zullen</w:t>
      </w:r>
      <w:proofErr w:type="gramEnd"/>
      <w:r w:rsidRPr="006F4194" w:rsidR="00DB34F1">
        <w:rPr>
          <w:szCs w:val="18"/>
          <w:lang w:val="nl-NL"/>
        </w:rPr>
        <w:t xml:space="preserve"> nemen. </w:t>
      </w:r>
      <w:r w:rsidRPr="006F4194">
        <w:rPr>
          <w:szCs w:val="18"/>
          <w:lang w:val="nl-NL"/>
        </w:rPr>
        <w:t xml:space="preserve"> </w:t>
      </w:r>
    </w:p>
    <w:p w:rsidR="00E50DF6" w:rsidP="006F4194" w:rsidRDefault="00E50DF6">
      <w:pPr>
        <w:spacing w:after="0"/>
        <w:rPr>
          <w:szCs w:val="18"/>
          <w:lang w:val="nl-NL"/>
        </w:rPr>
      </w:pPr>
    </w:p>
    <w:p w:rsidR="00DB34F1" w:rsidP="006F4194" w:rsidRDefault="00DB34F1">
      <w:pPr>
        <w:spacing w:after="0"/>
        <w:rPr>
          <w:szCs w:val="18"/>
          <w:lang w:val="nl-NL"/>
        </w:rPr>
      </w:pPr>
      <w:r w:rsidRPr="006F4194">
        <w:rPr>
          <w:szCs w:val="18"/>
          <w:lang w:val="nl-NL"/>
        </w:rPr>
        <w:t xml:space="preserve">ASSK </w:t>
      </w:r>
      <w:r w:rsidR="006B0264">
        <w:rPr>
          <w:szCs w:val="18"/>
          <w:lang w:val="nl-NL"/>
        </w:rPr>
        <w:t xml:space="preserve">ging tijdens de lunch </w:t>
      </w:r>
      <w:r w:rsidRPr="006F4194">
        <w:rPr>
          <w:szCs w:val="18"/>
          <w:lang w:val="nl-NL"/>
        </w:rPr>
        <w:t xml:space="preserve">nader in op de uitdagingen waar Birma voor staat: consolidatie en </w:t>
      </w:r>
      <w:r w:rsidRPr="006F4194" w:rsidR="00403C3C">
        <w:rPr>
          <w:szCs w:val="18"/>
          <w:lang w:val="nl-NL"/>
        </w:rPr>
        <w:t>verdere</w:t>
      </w:r>
      <w:r w:rsidRPr="006F4194">
        <w:rPr>
          <w:szCs w:val="18"/>
          <w:lang w:val="nl-NL"/>
        </w:rPr>
        <w:t xml:space="preserve"> ontwikkeling van de democratie, </w:t>
      </w:r>
      <w:r w:rsidRPr="006F4194" w:rsidR="00F94C56">
        <w:rPr>
          <w:szCs w:val="18"/>
          <w:lang w:val="nl-NL"/>
        </w:rPr>
        <w:t xml:space="preserve">een </w:t>
      </w:r>
      <w:r w:rsidRPr="006F4194" w:rsidR="00403C3C">
        <w:rPr>
          <w:szCs w:val="18"/>
          <w:lang w:val="nl-NL"/>
        </w:rPr>
        <w:t>grondwetshervorming</w:t>
      </w:r>
      <w:r w:rsidRPr="006F4194">
        <w:rPr>
          <w:szCs w:val="18"/>
          <w:lang w:val="nl-NL"/>
        </w:rPr>
        <w:t xml:space="preserve"> die nodig is om eerlijke verkiezingen te kunnen houden en </w:t>
      </w:r>
      <w:r w:rsidRPr="006F4194" w:rsidR="00F94C56">
        <w:rPr>
          <w:szCs w:val="18"/>
          <w:lang w:val="nl-NL"/>
        </w:rPr>
        <w:t>h</w:t>
      </w:r>
      <w:r w:rsidRPr="006F4194">
        <w:rPr>
          <w:szCs w:val="18"/>
          <w:lang w:val="nl-NL"/>
        </w:rPr>
        <w:t xml:space="preserve">et </w:t>
      </w:r>
      <w:r w:rsidRPr="006F4194" w:rsidR="00F94C56">
        <w:rPr>
          <w:szCs w:val="18"/>
          <w:lang w:val="nl-NL"/>
        </w:rPr>
        <w:t xml:space="preserve">organiseren van </w:t>
      </w:r>
      <w:r w:rsidRPr="006F4194">
        <w:rPr>
          <w:szCs w:val="18"/>
          <w:lang w:val="nl-NL"/>
        </w:rPr>
        <w:t xml:space="preserve">een transparant </w:t>
      </w:r>
      <w:r w:rsidRPr="006F4194" w:rsidR="00403C3C">
        <w:rPr>
          <w:szCs w:val="18"/>
          <w:lang w:val="nl-NL"/>
        </w:rPr>
        <w:t>verkiezingsproces</w:t>
      </w:r>
      <w:r w:rsidRPr="006F4194">
        <w:rPr>
          <w:szCs w:val="18"/>
          <w:lang w:val="nl-NL"/>
        </w:rPr>
        <w:t xml:space="preserve">. </w:t>
      </w:r>
      <w:r w:rsidRPr="006F4194" w:rsidR="00F94C56">
        <w:rPr>
          <w:szCs w:val="18"/>
          <w:lang w:val="nl-NL"/>
        </w:rPr>
        <w:t xml:space="preserve">ASSK </w:t>
      </w:r>
      <w:r w:rsidRPr="006F4194">
        <w:rPr>
          <w:szCs w:val="18"/>
          <w:lang w:val="nl-NL"/>
        </w:rPr>
        <w:t>ging desgevraagd in op het interreligieuze geweld en positie va</w:t>
      </w:r>
      <w:r w:rsidR="006B0264">
        <w:rPr>
          <w:szCs w:val="18"/>
          <w:lang w:val="nl-NL"/>
        </w:rPr>
        <w:t>n</w:t>
      </w:r>
      <w:r w:rsidRPr="006F4194">
        <w:rPr>
          <w:szCs w:val="18"/>
          <w:lang w:val="nl-NL"/>
        </w:rPr>
        <w:t xml:space="preserve"> </w:t>
      </w:r>
      <w:r w:rsidRPr="006F4194" w:rsidR="00403C3C">
        <w:rPr>
          <w:szCs w:val="18"/>
          <w:lang w:val="nl-NL"/>
        </w:rPr>
        <w:t>minderheden</w:t>
      </w:r>
      <w:r w:rsidRPr="006F4194">
        <w:rPr>
          <w:szCs w:val="18"/>
          <w:lang w:val="nl-NL"/>
        </w:rPr>
        <w:t xml:space="preserve"> in Birma en wees hierbij onder andere naar de tekortkomingen in de grondwet die </w:t>
      </w:r>
      <w:r w:rsidRPr="006F4194" w:rsidR="00403C3C">
        <w:rPr>
          <w:szCs w:val="18"/>
          <w:lang w:val="nl-NL"/>
        </w:rPr>
        <w:t>geadresseerd</w:t>
      </w:r>
      <w:r w:rsidRPr="006F4194">
        <w:rPr>
          <w:szCs w:val="18"/>
          <w:lang w:val="nl-NL"/>
        </w:rPr>
        <w:t xml:space="preserve"> moeten worden.</w:t>
      </w:r>
      <w:r w:rsidRPr="006F4194" w:rsidR="00403C3C">
        <w:rPr>
          <w:szCs w:val="18"/>
          <w:lang w:val="nl-NL"/>
        </w:rPr>
        <w:t xml:space="preserve"> ASSK verzocht de EU om blijvende steun voor de verdere ontwikkeling van Birma in aanloop naar het verkiezingsproces, onder andere </w:t>
      </w:r>
      <w:r w:rsidRPr="006F4194" w:rsidR="00F94C56">
        <w:rPr>
          <w:szCs w:val="18"/>
          <w:lang w:val="nl-NL"/>
        </w:rPr>
        <w:t xml:space="preserve">via </w:t>
      </w:r>
      <w:r w:rsidRPr="006F4194" w:rsidR="00403C3C">
        <w:rPr>
          <w:szCs w:val="18"/>
          <w:lang w:val="nl-NL"/>
        </w:rPr>
        <w:t>EU-waarnemers bij de verkiezingen. Daarnaast zou de EU steun kunnen bieden aan de ontwikkeling van de lan</w:t>
      </w:r>
      <w:r w:rsidRPr="006F4194" w:rsidR="001442F4">
        <w:rPr>
          <w:szCs w:val="18"/>
          <w:lang w:val="nl-NL"/>
        </w:rPr>
        <w:t>d</w:t>
      </w:r>
      <w:r w:rsidRPr="006F4194" w:rsidR="00403C3C">
        <w:rPr>
          <w:szCs w:val="18"/>
          <w:lang w:val="nl-NL"/>
        </w:rPr>
        <w:t>bouwsector en het hoger onderwijs.</w:t>
      </w:r>
    </w:p>
    <w:p w:rsidR="00386718" w:rsidP="006F4194" w:rsidRDefault="00386718">
      <w:pPr>
        <w:spacing w:after="0"/>
        <w:rPr>
          <w:szCs w:val="18"/>
          <w:lang w:val="nl-NL"/>
        </w:rPr>
      </w:pPr>
    </w:p>
    <w:p w:rsidRPr="00386718" w:rsidR="00386718" w:rsidP="006F4194" w:rsidRDefault="00386718">
      <w:pPr>
        <w:spacing w:after="0"/>
        <w:rPr>
          <w:i/>
          <w:szCs w:val="18"/>
          <w:lang w:val="nl-NL"/>
        </w:rPr>
      </w:pPr>
      <w:r w:rsidRPr="00386718">
        <w:rPr>
          <w:i/>
          <w:szCs w:val="18"/>
          <w:lang w:val="nl-NL"/>
        </w:rPr>
        <w:t>Cambodja</w:t>
      </w:r>
    </w:p>
    <w:p w:rsidRPr="006F4194" w:rsidR="00403C3C" w:rsidP="006F4194" w:rsidRDefault="00C96F05">
      <w:pPr>
        <w:spacing w:after="0"/>
        <w:rPr>
          <w:szCs w:val="18"/>
          <w:lang w:val="nl-NL"/>
        </w:rPr>
      </w:pPr>
      <w:r>
        <w:rPr>
          <w:szCs w:val="18"/>
          <w:lang w:val="nl-NL"/>
        </w:rPr>
        <w:t>In lijn met de toezegging</w:t>
      </w:r>
      <w:r w:rsidRPr="00C96F05">
        <w:rPr>
          <w:szCs w:val="18"/>
          <w:lang w:val="nl-NL"/>
        </w:rPr>
        <w:t xml:space="preserve"> </w:t>
      </w:r>
      <w:r w:rsidR="0099181E">
        <w:rPr>
          <w:szCs w:val="18"/>
          <w:lang w:val="nl-NL"/>
        </w:rPr>
        <w:t>aan het lid</w:t>
      </w:r>
      <w:r>
        <w:rPr>
          <w:szCs w:val="18"/>
          <w:lang w:val="nl-NL"/>
        </w:rPr>
        <w:t xml:space="preserve"> Ten Broeke, zoals gedaan tijdens het Algemeen Overleg van 16 oktober, </w:t>
      </w:r>
      <w:r w:rsidRPr="006F4194" w:rsidR="00403C3C">
        <w:rPr>
          <w:szCs w:val="18"/>
          <w:lang w:val="nl-NL"/>
        </w:rPr>
        <w:t xml:space="preserve">werd </w:t>
      </w:r>
      <w:r>
        <w:rPr>
          <w:szCs w:val="18"/>
          <w:lang w:val="nl-NL"/>
        </w:rPr>
        <w:t xml:space="preserve">tijdens de lunch met ASSK op </w:t>
      </w:r>
      <w:r w:rsidRPr="006F4194">
        <w:rPr>
          <w:szCs w:val="18"/>
          <w:lang w:val="nl-NL"/>
        </w:rPr>
        <w:t xml:space="preserve">verzoek van Nederland </w:t>
      </w:r>
      <w:r w:rsidRPr="006F4194" w:rsidR="00403C3C">
        <w:rPr>
          <w:szCs w:val="18"/>
          <w:lang w:val="nl-NL"/>
        </w:rPr>
        <w:t xml:space="preserve">eveneens gesproken over regionale ontwikkelingen, in het bijzonder de politieke situatie in Cambodja. </w:t>
      </w:r>
      <w:r w:rsidR="00A01BBF">
        <w:rPr>
          <w:szCs w:val="18"/>
          <w:lang w:val="nl-NL"/>
        </w:rPr>
        <w:t>Geconstateerd werd dat d</w:t>
      </w:r>
      <w:r w:rsidRPr="006F4194" w:rsidR="00403C3C">
        <w:rPr>
          <w:szCs w:val="18"/>
          <w:lang w:val="nl-NL"/>
        </w:rPr>
        <w:t xml:space="preserve">e huidige politieke patstelling schadelijk </w:t>
      </w:r>
      <w:r w:rsidRPr="006F4194" w:rsidR="00A01BBF">
        <w:rPr>
          <w:szCs w:val="18"/>
          <w:lang w:val="nl-NL"/>
        </w:rPr>
        <w:t xml:space="preserve">is </w:t>
      </w:r>
      <w:r w:rsidRPr="006F4194" w:rsidR="00403C3C">
        <w:rPr>
          <w:szCs w:val="18"/>
          <w:lang w:val="nl-NL"/>
        </w:rPr>
        <w:t>voor het democratiseringsproces</w:t>
      </w:r>
      <w:r w:rsidR="00A01BBF">
        <w:rPr>
          <w:szCs w:val="18"/>
          <w:lang w:val="nl-NL"/>
        </w:rPr>
        <w:t xml:space="preserve"> en dat het </w:t>
      </w:r>
      <w:r w:rsidRPr="006F4194" w:rsidR="00403C3C">
        <w:rPr>
          <w:szCs w:val="18"/>
          <w:lang w:val="nl-NL"/>
        </w:rPr>
        <w:t>van belang</w:t>
      </w:r>
      <w:r w:rsidR="00A01BBF">
        <w:rPr>
          <w:szCs w:val="18"/>
          <w:lang w:val="nl-NL"/>
        </w:rPr>
        <w:t xml:space="preserve"> is</w:t>
      </w:r>
      <w:r w:rsidRPr="006F4194" w:rsidR="00403C3C">
        <w:rPr>
          <w:szCs w:val="18"/>
          <w:lang w:val="nl-NL"/>
        </w:rPr>
        <w:t xml:space="preserve"> dat zowel regering als oppositie om tafel </w:t>
      </w:r>
      <w:proofErr w:type="gramStart"/>
      <w:r w:rsidRPr="006F4194" w:rsidR="00403C3C">
        <w:rPr>
          <w:szCs w:val="18"/>
          <w:lang w:val="nl-NL"/>
        </w:rPr>
        <w:t>gaan</w:t>
      </w:r>
      <w:proofErr w:type="gramEnd"/>
      <w:r w:rsidRPr="006F4194" w:rsidR="00403C3C">
        <w:rPr>
          <w:szCs w:val="18"/>
          <w:lang w:val="nl-NL"/>
        </w:rPr>
        <w:t xml:space="preserve"> zitten</w:t>
      </w:r>
      <w:r>
        <w:rPr>
          <w:szCs w:val="18"/>
          <w:lang w:val="nl-NL"/>
        </w:rPr>
        <w:t xml:space="preserve"> en voorkomen moet worden </w:t>
      </w:r>
      <w:r w:rsidRPr="006F4194" w:rsidR="00403C3C">
        <w:rPr>
          <w:szCs w:val="18"/>
          <w:lang w:val="nl-NL"/>
        </w:rPr>
        <w:t xml:space="preserve">dat de regering in oude fouten vervalt. </w:t>
      </w:r>
    </w:p>
    <w:p w:rsidRPr="006F4194" w:rsidR="00403C3C" w:rsidP="006F4194" w:rsidRDefault="00403C3C">
      <w:pPr>
        <w:spacing w:after="0"/>
        <w:rPr>
          <w:szCs w:val="18"/>
          <w:lang w:val="nl-NL"/>
        </w:rPr>
      </w:pPr>
    </w:p>
    <w:p w:rsidRPr="00A01BBF" w:rsidR="006F4194" w:rsidP="006F4194" w:rsidRDefault="00A01BBF">
      <w:pPr>
        <w:spacing w:after="0"/>
        <w:rPr>
          <w:rFonts w:cs="Calibri"/>
          <w:b/>
          <w:szCs w:val="18"/>
          <w:lang w:val="nl-NL"/>
        </w:rPr>
      </w:pPr>
      <w:r w:rsidRPr="00A01BBF">
        <w:rPr>
          <w:rFonts w:cs="Calibri"/>
          <w:b/>
          <w:szCs w:val="18"/>
          <w:lang w:val="nl-NL"/>
        </w:rPr>
        <w:t>EU Speciaal Vertegenwoordiger Soedan</w:t>
      </w:r>
    </w:p>
    <w:p w:rsidR="00A01BBF" w:rsidP="006F4194" w:rsidRDefault="00A01BBF">
      <w:pPr>
        <w:spacing w:after="0"/>
        <w:rPr>
          <w:rFonts w:cs="Calibri"/>
          <w:szCs w:val="18"/>
          <w:lang w:val="nl-NL"/>
        </w:rPr>
      </w:pPr>
      <w:r>
        <w:rPr>
          <w:rFonts w:cs="Calibri"/>
          <w:szCs w:val="18"/>
          <w:lang w:val="nl-NL"/>
        </w:rPr>
        <w:t>Graag maakt de regering van deze gelegenheid gebruik gestand te doen aan de toezegging die tijdens het Algemeen Overleg van 1</w:t>
      </w:r>
      <w:r w:rsidR="00E50DF6">
        <w:rPr>
          <w:rFonts w:cs="Calibri"/>
          <w:szCs w:val="18"/>
          <w:lang w:val="nl-NL"/>
        </w:rPr>
        <w:t>6 oktober j</w:t>
      </w:r>
      <w:r>
        <w:rPr>
          <w:rFonts w:cs="Calibri"/>
          <w:szCs w:val="18"/>
          <w:lang w:val="nl-NL"/>
        </w:rPr>
        <w:t xml:space="preserve">l. is gedaan om in dit verslag in te gaan op de vraag van de heer Omtzigt over de niet-verlenging van de EU Speciaal Vertegenwoordiger (EUSV) Soedan. </w:t>
      </w:r>
    </w:p>
    <w:p w:rsidRPr="006F4194" w:rsidR="00A01BBF" w:rsidP="006F4194" w:rsidRDefault="00A01BBF">
      <w:pPr>
        <w:spacing w:after="0"/>
        <w:rPr>
          <w:rFonts w:cs="Calibri"/>
          <w:szCs w:val="18"/>
          <w:lang w:val="nl-NL"/>
        </w:rPr>
      </w:pPr>
    </w:p>
    <w:p w:rsidRPr="006F4194" w:rsidR="006F4194" w:rsidP="006F4194" w:rsidRDefault="006F4194">
      <w:pPr>
        <w:spacing w:after="0"/>
        <w:rPr>
          <w:rFonts w:cs="Calibri"/>
          <w:szCs w:val="18"/>
          <w:lang w:val="nl-NL"/>
        </w:rPr>
      </w:pPr>
      <w:r w:rsidRPr="006F4194">
        <w:rPr>
          <w:rFonts w:cs="Calibri"/>
          <w:szCs w:val="18"/>
          <w:lang w:val="nl-NL"/>
        </w:rPr>
        <w:t>Nederland heeft ervoor gepleit dat binnen het mandaat van de EUSV voor de Hoorn van Afrika voldoende aandacht wordt gegeven voor de S</w:t>
      </w:r>
      <w:r w:rsidR="00A01BBF">
        <w:rPr>
          <w:rFonts w:cs="Calibri"/>
          <w:szCs w:val="18"/>
          <w:lang w:val="nl-NL"/>
        </w:rPr>
        <w:t>oe</w:t>
      </w:r>
      <w:r w:rsidRPr="006F4194">
        <w:rPr>
          <w:rFonts w:cs="Calibri"/>
          <w:szCs w:val="18"/>
          <w:lang w:val="nl-NL"/>
        </w:rPr>
        <w:t>dans, inclusief onderwerpen als conflictoplossing, Darfur, Zuid-Kordofan en Blue Nile, en humanitaire toegang. Daarnaast heeft Nederland het belang van een goede samenwerking tussen EUSV Rondos en hoofden van de EU-missies in de regio onderstreept. Het concept-mandaat lijkt voldoende aanknopingspunten te bieden voor adequate aandacht voor de S</w:t>
      </w:r>
      <w:r w:rsidR="00A01BBF">
        <w:rPr>
          <w:rFonts w:cs="Calibri"/>
          <w:szCs w:val="18"/>
          <w:lang w:val="nl-NL"/>
        </w:rPr>
        <w:t>oe</w:t>
      </w:r>
      <w:r w:rsidRPr="006F4194">
        <w:rPr>
          <w:rFonts w:cs="Calibri"/>
          <w:szCs w:val="18"/>
          <w:lang w:val="nl-NL"/>
        </w:rPr>
        <w:t>dans, en Nederland zal de EUSV in de uitoefening van zijn mandaat hier op blijven aanspreken.</w:t>
      </w:r>
    </w:p>
    <w:p w:rsidRPr="006F4194" w:rsidR="00403C3C" w:rsidP="006F4194" w:rsidRDefault="00403C3C">
      <w:pPr>
        <w:spacing w:after="0"/>
        <w:rPr>
          <w:szCs w:val="18"/>
          <w:lang w:val="nl-NL"/>
        </w:rPr>
      </w:pPr>
    </w:p>
    <w:sectPr w:rsidRPr="006F4194" w:rsidR="00403C3C">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D7463"/>
    <w:multiLevelType w:val="hybridMultilevel"/>
    <w:tmpl w:val="7D886C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BD"/>
    <w:rsid w:val="00033DF1"/>
    <w:rsid w:val="000E570A"/>
    <w:rsid w:val="00101F68"/>
    <w:rsid w:val="00121CD0"/>
    <w:rsid w:val="001442F4"/>
    <w:rsid w:val="001B430D"/>
    <w:rsid w:val="002C2A47"/>
    <w:rsid w:val="002C67A5"/>
    <w:rsid w:val="00360203"/>
    <w:rsid w:val="00386718"/>
    <w:rsid w:val="003B6F60"/>
    <w:rsid w:val="00403C3C"/>
    <w:rsid w:val="00446664"/>
    <w:rsid w:val="00451E18"/>
    <w:rsid w:val="005D604E"/>
    <w:rsid w:val="006B0264"/>
    <w:rsid w:val="006F4194"/>
    <w:rsid w:val="00723450"/>
    <w:rsid w:val="008E4843"/>
    <w:rsid w:val="0099181E"/>
    <w:rsid w:val="00A01BBF"/>
    <w:rsid w:val="00A37ABF"/>
    <w:rsid w:val="00BA05DE"/>
    <w:rsid w:val="00BB6861"/>
    <w:rsid w:val="00C96F05"/>
    <w:rsid w:val="00CB13BD"/>
    <w:rsid w:val="00D309B7"/>
    <w:rsid w:val="00DB34F1"/>
    <w:rsid w:val="00DD7164"/>
    <w:rsid w:val="00E50DF6"/>
    <w:rsid w:val="00F068D4"/>
    <w:rsid w:val="00F85B6F"/>
    <w:rsid w:val="00F94C56"/>
    <w:rsid w:val="00FF1D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3C"/>
    <w:pPr>
      <w:ind w:left="720"/>
      <w:contextualSpacing/>
    </w:pPr>
  </w:style>
  <w:style w:type="paragraph" w:styleId="BalloonText">
    <w:name w:val="Balloon Text"/>
    <w:basedOn w:val="Normal"/>
    <w:link w:val="BalloonTextChar"/>
    <w:uiPriority w:val="99"/>
    <w:semiHidden/>
    <w:unhideWhenUsed/>
    <w:rsid w:val="00C96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3C"/>
    <w:pPr>
      <w:ind w:left="720"/>
      <w:contextualSpacing/>
    </w:pPr>
  </w:style>
  <w:style w:type="paragraph" w:styleId="BalloonText">
    <w:name w:val="Balloon Text"/>
    <w:basedOn w:val="Normal"/>
    <w:link w:val="BalloonTextChar"/>
    <w:uiPriority w:val="99"/>
    <w:semiHidden/>
    <w:unhideWhenUsed/>
    <w:rsid w:val="00C96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8061">
      <w:bodyDiv w:val="1"/>
      <w:marLeft w:val="0"/>
      <w:marRight w:val="0"/>
      <w:marTop w:val="0"/>
      <w:marBottom w:val="0"/>
      <w:divBdr>
        <w:top w:val="none" w:sz="0" w:space="0" w:color="auto"/>
        <w:left w:val="none" w:sz="0" w:space="0" w:color="auto"/>
        <w:bottom w:val="none" w:sz="0" w:space="0" w:color="auto"/>
        <w:right w:val="none" w:sz="0" w:space="0" w:color="auto"/>
      </w:divBdr>
    </w:div>
    <w:div w:id="230166777">
      <w:bodyDiv w:val="1"/>
      <w:marLeft w:val="0"/>
      <w:marRight w:val="0"/>
      <w:marTop w:val="0"/>
      <w:marBottom w:val="0"/>
      <w:divBdr>
        <w:top w:val="none" w:sz="0" w:space="0" w:color="auto"/>
        <w:left w:val="none" w:sz="0" w:space="0" w:color="auto"/>
        <w:bottom w:val="none" w:sz="0" w:space="0" w:color="auto"/>
        <w:right w:val="none" w:sz="0" w:space="0" w:color="auto"/>
      </w:divBdr>
    </w:div>
    <w:div w:id="513304326">
      <w:bodyDiv w:val="1"/>
      <w:marLeft w:val="0"/>
      <w:marRight w:val="0"/>
      <w:marTop w:val="0"/>
      <w:marBottom w:val="0"/>
      <w:divBdr>
        <w:top w:val="none" w:sz="0" w:space="0" w:color="auto"/>
        <w:left w:val="none" w:sz="0" w:space="0" w:color="auto"/>
        <w:bottom w:val="none" w:sz="0" w:space="0" w:color="auto"/>
        <w:right w:val="none" w:sz="0" w:space="0" w:color="auto"/>
      </w:divBdr>
    </w:div>
    <w:div w:id="922640253">
      <w:bodyDiv w:val="1"/>
      <w:marLeft w:val="0"/>
      <w:marRight w:val="0"/>
      <w:marTop w:val="0"/>
      <w:marBottom w:val="0"/>
      <w:divBdr>
        <w:top w:val="none" w:sz="0" w:space="0" w:color="auto"/>
        <w:left w:val="none" w:sz="0" w:space="0" w:color="auto"/>
        <w:bottom w:val="none" w:sz="0" w:space="0" w:color="auto"/>
        <w:right w:val="none" w:sz="0" w:space="0" w:color="auto"/>
      </w:divBdr>
    </w:div>
    <w:div w:id="14268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1712</ap:Words>
  <ap:Characters>9323</ap:Characters>
  <ap:DocSecurity>0</ap:DocSecurity>
  <ap:Lines>152</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0x010100BCBC35247792824CB04BCF662F557212</vt:lpwstr>
  </property>
</Properties>
</file>