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F7A74" w:rsidR="002D160C" w:rsidP="00FA42A5" w:rsidRDefault="001D6B88">
      <w:pPr>
        <w:spacing w:line="360" w:lineRule="auto"/>
        <w:rPr>
          <w:rFonts w:ascii="Verdana" w:hAnsi="Verdana"/>
          <w:b/>
          <w:sz w:val="18"/>
          <w:szCs w:val="18"/>
          <w:lang w:val="nl-NL"/>
        </w:rPr>
      </w:pPr>
      <w:r w:rsidRPr="001D6B88">
        <w:rPr>
          <w:rFonts w:ascii="Verdana" w:hAnsi="Verdana"/>
          <w:b/>
          <w:sz w:val="18"/>
          <w:szCs w:val="18"/>
          <w:lang w:val="nl-NL"/>
        </w:rPr>
        <w:t>Verdrag tussen de Regering van het Koninkrijk der Nederlanden en de Regering van het Verenigd Koninkrijk van Groot-Brittannië en Noord-Ierland tot het vermijden van dubbele bankenbelasting</w:t>
      </w:r>
      <w:r w:rsidR="00434DA1">
        <w:rPr>
          <w:rFonts w:ascii="Verdana" w:hAnsi="Verdana"/>
          <w:b/>
          <w:sz w:val="18"/>
          <w:szCs w:val="18"/>
          <w:lang w:val="nl-NL"/>
        </w:rPr>
        <w:t xml:space="preserve"> en het voorkomen van het ontgaan van bankenbelasting</w:t>
      </w:r>
      <w:r w:rsidRPr="001D6B88">
        <w:rPr>
          <w:rFonts w:ascii="Verdana" w:hAnsi="Verdana"/>
          <w:b/>
          <w:sz w:val="18"/>
          <w:szCs w:val="18"/>
          <w:lang w:val="nl-NL"/>
        </w:rPr>
        <w:t xml:space="preserve">; </w:t>
      </w:r>
      <w:r w:rsidR="008C3A28">
        <w:rPr>
          <w:rFonts w:ascii="Verdana" w:hAnsi="Verdana"/>
          <w:b/>
          <w:sz w:val="18"/>
          <w:szCs w:val="18"/>
          <w:lang w:val="nl-NL"/>
        </w:rPr>
        <w:br/>
      </w:r>
      <w:r w:rsidRPr="001D6B88">
        <w:rPr>
          <w:rFonts w:ascii="Verdana" w:hAnsi="Verdana"/>
          <w:b/>
          <w:sz w:val="18"/>
          <w:szCs w:val="18"/>
          <w:lang w:val="nl-NL"/>
        </w:rPr>
        <w:t>Londen</w:t>
      </w:r>
      <w:r w:rsidR="00056D47">
        <w:rPr>
          <w:rFonts w:ascii="Verdana" w:hAnsi="Verdana"/>
          <w:b/>
          <w:sz w:val="18"/>
          <w:szCs w:val="18"/>
          <w:lang w:val="nl-NL"/>
        </w:rPr>
        <w:t>,</w:t>
      </w:r>
      <w:r w:rsidRPr="001D6B88">
        <w:rPr>
          <w:rFonts w:ascii="Verdana" w:hAnsi="Verdana"/>
          <w:b/>
          <w:sz w:val="18"/>
          <w:szCs w:val="18"/>
          <w:lang w:val="nl-NL"/>
        </w:rPr>
        <w:t xml:space="preserve"> </w:t>
      </w:r>
      <w:r w:rsidR="00056D47">
        <w:rPr>
          <w:rFonts w:ascii="Verdana" w:hAnsi="Verdana"/>
          <w:b/>
          <w:sz w:val="18"/>
          <w:szCs w:val="18"/>
          <w:lang w:val="nl-NL"/>
        </w:rPr>
        <w:t xml:space="preserve">12 juni </w:t>
      </w:r>
      <w:r w:rsidRPr="001D6B88">
        <w:rPr>
          <w:rFonts w:ascii="Verdana" w:hAnsi="Verdana"/>
          <w:b/>
          <w:sz w:val="18"/>
          <w:szCs w:val="18"/>
          <w:lang w:val="nl-NL"/>
        </w:rPr>
        <w:t>201</w:t>
      </w:r>
      <w:r w:rsidR="0060730F">
        <w:rPr>
          <w:rFonts w:ascii="Verdana" w:hAnsi="Verdana"/>
          <w:b/>
          <w:sz w:val="18"/>
          <w:szCs w:val="18"/>
          <w:lang w:val="nl-NL"/>
        </w:rPr>
        <w:t>3</w:t>
      </w:r>
      <w:r w:rsidR="003707C2">
        <w:rPr>
          <w:rFonts w:ascii="Verdana" w:hAnsi="Verdana"/>
          <w:b/>
          <w:sz w:val="18"/>
          <w:szCs w:val="18"/>
          <w:lang w:val="nl-NL"/>
        </w:rPr>
        <w:t xml:space="preserve"> (</w:t>
      </w:r>
      <w:proofErr w:type="spellStart"/>
      <w:r w:rsidR="003707C2">
        <w:rPr>
          <w:rFonts w:ascii="Verdana" w:hAnsi="Verdana"/>
          <w:b/>
          <w:sz w:val="18"/>
          <w:szCs w:val="18"/>
          <w:lang w:val="nl-NL"/>
        </w:rPr>
        <w:t>Trb</w:t>
      </w:r>
      <w:proofErr w:type="spellEnd"/>
      <w:r w:rsidR="003707C2">
        <w:rPr>
          <w:rFonts w:ascii="Verdana" w:hAnsi="Verdana"/>
          <w:b/>
          <w:sz w:val="18"/>
          <w:szCs w:val="18"/>
          <w:lang w:val="nl-NL"/>
        </w:rPr>
        <w:t xml:space="preserve">. 2013, 112 en </w:t>
      </w:r>
      <w:proofErr w:type="spellStart"/>
      <w:r w:rsidR="003707C2">
        <w:rPr>
          <w:rFonts w:ascii="Verdana" w:hAnsi="Verdana"/>
          <w:b/>
          <w:sz w:val="18"/>
          <w:szCs w:val="18"/>
          <w:lang w:val="nl-NL"/>
        </w:rPr>
        <w:t>Trb</w:t>
      </w:r>
      <w:proofErr w:type="spellEnd"/>
      <w:r w:rsidR="003707C2">
        <w:rPr>
          <w:rFonts w:ascii="Verdana" w:hAnsi="Verdana"/>
          <w:b/>
          <w:sz w:val="18"/>
          <w:szCs w:val="18"/>
          <w:lang w:val="nl-NL"/>
        </w:rPr>
        <w:t>. 2013, 185)</w:t>
      </w:r>
      <w:r w:rsidR="00DC0675">
        <w:rPr>
          <w:rFonts w:ascii="Verdana" w:hAnsi="Verdana"/>
          <w:b/>
          <w:sz w:val="18"/>
          <w:szCs w:val="18"/>
          <w:lang w:val="nl-NL"/>
        </w:rPr>
        <w:t xml:space="preserve"> </w:t>
      </w:r>
      <w:bookmarkStart w:name="_GoBack" w:id="0"/>
      <w:bookmarkEnd w:id="0"/>
    </w:p>
    <w:p w:rsidRPr="009F7A74" w:rsidR="002D160C" w:rsidP="00FA42A5" w:rsidRDefault="002D160C">
      <w:pPr>
        <w:spacing w:line="360" w:lineRule="auto"/>
        <w:rPr>
          <w:rFonts w:ascii="Verdana" w:hAnsi="Verdana"/>
          <w:b/>
          <w:sz w:val="18"/>
          <w:szCs w:val="18"/>
          <w:lang w:val="nl-NL"/>
        </w:rPr>
      </w:pPr>
    </w:p>
    <w:p w:rsidR="002D160C" w:rsidP="00FA42A5" w:rsidRDefault="001D6B88">
      <w:pPr>
        <w:spacing w:line="360" w:lineRule="auto"/>
        <w:rPr>
          <w:rFonts w:ascii="Verdana" w:hAnsi="Verdana"/>
          <w:b/>
          <w:sz w:val="18"/>
          <w:szCs w:val="18"/>
          <w:lang w:val="nl-NL"/>
        </w:rPr>
      </w:pPr>
      <w:r w:rsidRPr="001D6B88">
        <w:rPr>
          <w:rFonts w:ascii="Verdana" w:hAnsi="Verdana"/>
          <w:b/>
          <w:sz w:val="18"/>
          <w:szCs w:val="18"/>
          <w:lang w:val="nl-NL"/>
        </w:rPr>
        <w:t>TOELICHTENDE NOTA</w:t>
      </w:r>
    </w:p>
    <w:p w:rsidRPr="00A3414A" w:rsidR="002D160C" w:rsidP="00FA42A5" w:rsidRDefault="002D160C">
      <w:pPr>
        <w:spacing w:line="360" w:lineRule="auto"/>
        <w:rPr>
          <w:rFonts w:ascii="Verdana" w:hAnsi="Verdana"/>
          <w:b/>
          <w:sz w:val="18"/>
          <w:szCs w:val="18"/>
          <w:lang w:val="nl-NL"/>
        </w:rPr>
      </w:pPr>
    </w:p>
    <w:p w:rsidR="0097545A" w:rsidP="00FA42A5" w:rsidRDefault="007E7343">
      <w:pPr>
        <w:pStyle w:val="Heading1"/>
        <w:numPr>
          <w:ilvl w:val="0"/>
          <w:numId w:val="28"/>
        </w:numPr>
        <w:spacing w:line="360" w:lineRule="auto"/>
        <w:jc w:val="both"/>
        <w:rPr>
          <w:rFonts w:ascii="Verdana" w:hAnsi="Verdana"/>
          <w:sz w:val="18"/>
          <w:szCs w:val="18"/>
        </w:rPr>
      </w:pPr>
      <w:r w:rsidRPr="0097545A">
        <w:rPr>
          <w:rFonts w:ascii="Verdana" w:hAnsi="Verdana"/>
          <w:sz w:val="18"/>
          <w:szCs w:val="18"/>
        </w:rPr>
        <w:t>ALGEMEEN</w:t>
      </w:r>
    </w:p>
    <w:p w:rsidRPr="00FA42A5" w:rsidR="005227D2" w:rsidP="00FA42A5" w:rsidRDefault="001D6B88">
      <w:pPr>
        <w:pStyle w:val="Heading2"/>
        <w:rPr>
          <w:rFonts w:ascii="Verdana" w:hAnsi="Verdana"/>
          <w:sz w:val="18"/>
          <w:szCs w:val="18"/>
          <w:lang w:val="nl-NL"/>
        </w:rPr>
      </w:pPr>
      <w:r w:rsidRPr="00FA42A5">
        <w:rPr>
          <w:rFonts w:ascii="Verdana" w:hAnsi="Verdana"/>
          <w:sz w:val="18"/>
          <w:szCs w:val="18"/>
          <w:lang w:val="nl-NL"/>
        </w:rPr>
        <w:t>Inleiding</w:t>
      </w:r>
    </w:p>
    <w:p w:rsidR="00C779A4"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 xml:space="preserve">Het op </w:t>
      </w:r>
      <w:r w:rsidR="00056D47">
        <w:rPr>
          <w:rFonts w:ascii="Verdana" w:hAnsi="Verdana"/>
          <w:sz w:val="18"/>
          <w:szCs w:val="18"/>
          <w:lang w:val="nl-NL"/>
        </w:rPr>
        <w:t>12 juni 2013</w:t>
      </w:r>
      <w:r w:rsidRPr="001D6B88">
        <w:rPr>
          <w:rFonts w:ascii="Verdana" w:hAnsi="Verdana"/>
          <w:sz w:val="18"/>
          <w:szCs w:val="18"/>
          <w:lang w:val="nl-NL"/>
        </w:rPr>
        <w:t xml:space="preserve"> te </w:t>
      </w:r>
      <w:r w:rsidR="00056D47">
        <w:rPr>
          <w:rFonts w:ascii="Verdana" w:hAnsi="Verdana"/>
          <w:sz w:val="18"/>
          <w:szCs w:val="18"/>
          <w:lang w:val="nl-NL"/>
        </w:rPr>
        <w:t>Londen</w:t>
      </w:r>
      <w:r w:rsidRPr="001D6B88">
        <w:rPr>
          <w:rFonts w:ascii="Verdana" w:hAnsi="Verdana"/>
          <w:b/>
          <w:sz w:val="18"/>
          <w:szCs w:val="18"/>
          <w:lang w:val="nl-NL"/>
        </w:rPr>
        <w:t xml:space="preserve"> </w:t>
      </w:r>
      <w:r w:rsidRPr="001D6B88">
        <w:rPr>
          <w:rFonts w:ascii="Verdana" w:hAnsi="Verdana"/>
          <w:sz w:val="18"/>
          <w:szCs w:val="18"/>
          <w:lang w:val="nl-NL"/>
        </w:rPr>
        <w:t xml:space="preserve">ondertekende Verdrag tussen </w:t>
      </w:r>
      <w:r w:rsidR="00D03163">
        <w:rPr>
          <w:rFonts w:ascii="Verdana" w:hAnsi="Verdana"/>
          <w:sz w:val="18"/>
          <w:szCs w:val="18"/>
          <w:lang w:val="nl-NL"/>
        </w:rPr>
        <w:t xml:space="preserve">de Regering van </w:t>
      </w:r>
      <w:r w:rsidRPr="001D6B88">
        <w:rPr>
          <w:rFonts w:ascii="Verdana" w:hAnsi="Verdana"/>
          <w:sz w:val="18"/>
          <w:szCs w:val="18"/>
          <w:lang w:val="nl-NL"/>
        </w:rPr>
        <w:t xml:space="preserve">het Koninkrijk der Nederlanden en </w:t>
      </w:r>
      <w:r w:rsidR="00D03163">
        <w:rPr>
          <w:rFonts w:ascii="Verdana" w:hAnsi="Verdana"/>
          <w:sz w:val="18"/>
          <w:szCs w:val="18"/>
          <w:lang w:val="nl-NL"/>
        </w:rPr>
        <w:t xml:space="preserve">de Regering van </w:t>
      </w:r>
      <w:r w:rsidRPr="001D6B88">
        <w:rPr>
          <w:rFonts w:ascii="Verdana" w:hAnsi="Verdana"/>
          <w:sz w:val="18"/>
          <w:szCs w:val="18"/>
          <w:lang w:val="nl-NL"/>
        </w:rPr>
        <w:t>het Verenigd Koninkrijk van Groot-Brittannië en Noord</w:t>
      </w:r>
      <w:r>
        <w:rPr>
          <w:rFonts w:ascii="Verdana" w:hAnsi="Verdana"/>
          <w:sz w:val="18"/>
          <w:szCs w:val="18"/>
          <w:lang w:val="nl-NL"/>
        </w:rPr>
        <w:t>-</w:t>
      </w:r>
      <w:r w:rsidRPr="001D6B88">
        <w:rPr>
          <w:rFonts w:ascii="Verdana" w:hAnsi="Verdana"/>
          <w:sz w:val="18"/>
          <w:szCs w:val="18"/>
          <w:lang w:val="nl-NL"/>
        </w:rPr>
        <w:t>Ierland</w:t>
      </w:r>
      <w:r w:rsidR="00D03163">
        <w:rPr>
          <w:rFonts w:ascii="Verdana" w:hAnsi="Verdana"/>
          <w:sz w:val="18"/>
          <w:szCs w:val="18"/>
          <w:lang w:val="nl-NL"/>
        </w:rPr>
        <w:t xml:space="preserve"> tot het vermijden van dubbele bankenbelasting en het voorkomen van het ontgaan van bankenbelasting,</w:t>
      </w:r>
      <w:r w:rsidRPr="001D6B88">
        <w:rPr>
          <w:rFonts w:ascii="Verdana" w:hAnsi="Verdana"/>
          <w:sz w:val="18"/>
          <w:szCs w:val="18"/>
          <w:lang w:val="nl-NL"/>
        </w:rPr>
        <w:t xml:space="preserve"> met Protocol</w:t>
      </w:r>
      <w:r w:rsidR="00D03163">
        <w:rPr>
          <w:rFonts w:ascii="Verdana" w:hAnsi="Verdana"/>
          <w:sz w:val="18"/>
          <w:szCs w:val="18"/>
          <w:lang w:val="nl-NL"/>
        </w:rPr>
        <w:t>,</w:t>
      </w:r>
      <w:r w:rsidRPr="001D6B88">
        <w:rPr>
          <w:rFonts w:ascii="Verdana" w:hAnsi="Verdana"/>
          <w:sz w:val="18"/>
          <w:szCs w:val="18"/>
          <w:lang w:val="nl-NL"/>
        </w:rPr>
        <w:t xml:space="preserve"> (hierna: ‘het Verdrag’) geeft regels </w:t>
      </w:r>
      <w:r w:rsidR="005E40EE">
        <w:rPr>
          <w:rFonts w:ascii="Verdana" w:hAnsi="Verdana"/>
          <w:sz w:val="18"/>
          <w:szCs w:val="18"/>
          <w:lang w:val="nl-NL"/>
        </w:rPr>
        <w:t xml:space="preserve">om </w:t>
      </w:r>
      <w:r w:rsidRPr="001D6B88" w:rsidR="005E40EE">
        <w:rPr>
          <w:rFonts w:ascii="Verdana" w:hAnsi="Verdana"/>
          <w:sz w:val="18"/>
          <w:szCs w:val="18"/>
          <w:lang w:val="nl-NL"/>
        </w:rPr>
        <w:t xml:space="preserve">dubbele </w:t>
      </w:r>
      <w:r w:rsidR="005E40EE">
        <w:rPr>
          <w:rFonts w:ascii="Verdana" w:hAnsi="Verdana"/>
          <w:sz w:val="18"/>
          <w:szCs w:val="18"/>
          <w:lang w:val="nl-NL"/>
        </w:rPr>
        <w:t>banken</w:t>
      </w:r>
      <w:r w:rsidRPr="001D6B88" w:rsidR="005E40EE">
        <w:rPr>
          <w:rFonts w:ascii="Verdana" w:hAnsi="Verdana"/>
          <w:sz w:val="18"/>
          <w:szCs w:val="18"/>
          <w:lang w:val="nl-NL"/>
        </w:rPr>
        <w:t>belasting te v</w:t>
      </w:r>
      <w:r w:rsidR="005E40EE">
        <w:rPr>
          <w:rFonts w:ascii="Verdana" w:hAnsi="Verdana"/>
          <w:sz w:val="18"/>
          <w:szCs w:val="18"/>
          <w:lang w:val="nl-NL"/>
        </w:rPr>
        <w:t>ermijden</w:t>
      </w:r>
      <w:r w:rsidRPr="001D6B88" w:rsidR="005E40EE">
        <w:rPr>
          <w:rFonts w:ascii="Verdana" w:hAnsi="Verdana"/>
          <w:sz w:val="18"/>
          <w:szCs w:val="18"/>
          <w:lang w:val="nl-NL"/>
        </w:rPr>
        <w:t xml:space="preserve"> </w:t>
      </w:r>
      <w:r w:rsidR="005E40EE">
        <w:rPr>
          <w:rFonts w:ascii="Verdana" w:hAnsi="Verdana"/>
          <w:sz w:val="18"/>
          <w:szCs w:val="18"/>
          <w:lang w:val="nl-NL"/>
        </w:rPr>
        <w:t xml:space="preserve">ten aanzien </w:t>
      </w:r>
      <w:r w:rsidRPr="001D6B88">
        <w:rPr>
          <w:rFonts w:ascii="Verdana" w:hAnsi="Verdana"/>
          <w:sz w:val="18"/>
          <w:szCs w:val="18"/>
          <w:lang w:val="nl-NL"/>
        </w:rPr>
        <w:t xml:space="preserve">van inwoners van </w:t>
      </w:r>
      <w:r w:rsidR="000D2464">
        <w:rPr>
          <w:rFonts w:ascii="Verdana" w:hAnsi="Verdana"/>
          <w:sz w:val="18"/>
          <w:szCs w:val="18"/>
          <w:lang w:val="nl-NL"/>
        </w:rPr>
        <w:t>ee</w:t>
      </w:r>
      <w:r w:rsidRPr="001D6B88">
        <w:rPr>
          <w:rFonts w:ascii="Verdana" w:hAnsi="Verdana"/>
          <w:sz w:val="18"/>
          <w:szCs w:val="18"/>
          <w:lang w:val="nl-NL"/>
        </w:rPr>
        <w:t xml:space="preserve">n of </w:t>
      </w:r>
      <w:r w:rsidR="000D2464">
        <w:rPr>
          <w:rFonts w:ascii="Verdana" w:hAnsi="Verdana"/>
          <w:sz w:val="18"/>
          <w:szCs w:val="18"/>
          <w:lang w:val="nl-NL"/>
        </w:rPr>
        <w:t xml:space="preserve">van </w:t>
      </w:r>
      <w:r w:rsidRPr="001D6B88">
        <w:rPr>
          <w:rFonts w:ascii="Verdana" w:hAnsi="Verdana"/>
          <w:sz w:val="18"/>
          <w:szCs w:val="18"/>
          <w:lang w:val="nl-NL"/>
        </w:rPr>
        <w:t xml:space="preserve">beide </w:t>
      </w:r>
      <w:r>
        <w:rPr>
          <w:rFonts w:ascii="Verdana" w:hAnsi="Verdana"/>
          <w:sz w:val="18"/>
          <w:szCs w:val="18"/>
          <w:lang w:val="nl-NL"/>
        </w:rPr>
        <w:t>Verdragsluitende S</w:t>
      </w:r>
      <w:r w:rsidRPr="001D6B88">
        <w:rPr>
          <w:rFonts w:ascii="Verdana" w:hAnsi="Verdana"/>
          <w:sz w:val="18"/>
          <w:szCs w:val="18"/>
          <w:lang w:val="nl-NL"/>
        </w:rPr>
        <w:t>taten.</w:t>
      </w:r>
      <w:r w:rsidR="00D2601B">
        <w:rPr>
          <w:rFonts w:ascii="Verdana" w:hAnsi="Verdana"/>
          <w:sz w:val="18"/>
          <w:szCs w:val="18"/>
          <w:lang w:val="nl-NL"/>
        </w:rPr>
        <w:t xml:space="preserve"> </w:t>
      </w:r>
      <w:r w:rsidRPr="001D6B88">
        <w:rPr>
          <w:rFonts w:ascii="Verdana" w:hAnsi="Verdana"/>
          <w:sz w:val="18"/>
          <w:szCs w:val="18"/>
          <w:lang w:val="nl-NL"/>
        </w:rPr>
        <w:t xml:space="preserve">Daarnaast </w:t>
      </w:r>
      <w:r w:rsidR="005E40EE">
        <w:rPr>
          <w:rFonts w:ascii="Verdana" w:hAnsi="Verdana"/>
          <w:sz w:val="18"/>
          <w:szCs w:val="18"/>
          <w:lang w:val="nl-NL"/>
        </w:rPr>
        <w:t>geeft het Verdrag regels voor de procedure voor onderling overleg en</w:t>
      </w:r>
      <w:r w:rsidRPr="001D6B88">
        <w:rPr>
          <w:rFonts w:ascii="Verdana" w:hAnsi="Verdana"/>
          <w:sz w:val="18"/>
          <w:szCs w:val="18"/>
          <w:lang w:val="nl-NL"/>
        </w:rPr>
        <w:t xml:space="preserve"> de uitwisseling</w:t>
      </w:r>
      <w:r w:rsidR="00F315E8">
        <w:rPr>
          <w:rFonts w:ascii="Verdana" w:hAnsi="Verdana"/>
          <w:sz w:val="18"/>
          <w:szCs w:val="18"/>
          <w:lang w:val="nl-NL"/>
        </w:rPr>
        <w:t xml:space="preserve"> van </w:t>
      </w:r>
      <w:r w:rsidR="00DF1518">
        <w:rPr>
          <w:rFonts w:ascii="Verdana" w:hAnsi="Verdana"/>
          <w:sz w:val="18"/>
          <w:szCs w:val="18"/>
          <w:lang w:val="nl-NL"/>
        </w:rPr>
        <w:t>informatie</w:t>
      </w:r>
      <w:r w:rsidR="00F315E8">
        <w:rPr>
          <w:rFonts w:ascii="Verdana" w:hAnsi="Verdana"/>
          <w:sz w:val="18"/>
          <w:szCs w:val="18"/>
          <w:lang w:val="nl-NL"/>
        </w:rPr>
        <w:t>. Omdat</w:t>
      </w:r>
      <w:r w:rsidRPr="001D6B88">
        <w:rPr>
          <w:rFonts w:ascii="Verdana" w:hAnsi="Verdana"/>
          <w:sz w:val="18"/>
          <w:szCs w:val="18"/>
          <w:lang w:val="nl-NL"/>
        </w:rPr>
        <w:t xml:space="preserve"> de bankenbelasting niet </w:t>
      </w:r>
      <w:r w:rsidR="00F315E8">
        <w:rPr>
          <w:rFonts w:ascii="Verdana" w:hAnsi="Verdana"/>
          <w:sz w:val="18"/>
          <w:szCs w:val="18"/>
          <w:lang w:val="nl-NL"/>
        </w:rPr>
        <w:t xml:space="preserve">is aan te merken als </w:t>
      </w:r>
      <w:r w:rsidRPr="001D6B88">
        <w:rPr>
          <w:rFonts w:ascii="Verdana" w:hAnsi="Verdana"/>
          <w:sz w:val="18"/>
          <w:szCs w:val="18"/>
          <w:lang w:val="nl-NL"/>
        </w:rPr>
        <w:t>een belasting naar het inkomen of naar verm</w:t>
      </w:r>
      <w:r w:rsidR="00F315E8">
        <w:rPr>
          <w:rFonts w:ascii="Verdana" w:hAnsi="Verdana"/>
          <w:sz w:val="18"/>
          <w:szCs w:val="18"/>
          <w:lang w:val="nl-NL"/>
        </w:rPr>
        <w:t>ogen</w:t>
      </w:r>
      <w:r w:rsidR="00F4256E">
        <w:rPr>
          <w:rFonts w:ascii="Verdana" w:hAnsi="Verdana"/>
          <w:sz w:val="18"/>
          <w:szCs w:val="18"/>
          <w:lang w:val="nl-NL"/>
        </w:rPr>
        <w:t>swinsten</w:t>
      </w:r>
      <w:r w:rsidRPr="001D6B88">
        <w:rPr>
          <w:rFonts w:ascii="Verdana" w:hAnsi="Verdana"/>
          <w:sz w:val="18"/>
          <w:szCs w:val="18"/>
          <w:lang w:val="nl-NL"/>
        </w:rPr>
        <w:t xml:space="preserve">, </w:t>
      </w:r>
      <w:r w:rsidR="00A64154">
        <w:rPr>
          <w:rFonts w:ascii="Verdana" w:hAnsi="Verdana"/>
          <w:sz w:val="18"/>
          <w:szCs w:val="18"/>
          <w:lang w:val="nl-NL"/>
        </w:rPr>
        <w:t xml:space="preserve">valt </w:t>
      </w:r>
      <w:r w:rsidRPr="001D6B88">
        <w:rPr>
          <w:rFonts w:ascii="Verdana" w:hAnsi="Verdana"/>
          <w:sz w:val="18"/>
          <w:szCs w:val="18"/>
          <w:lang w:val="nl-NL"/>
        </w:rPr>
        <w:t xml:space="preserve">deze niet onder </w:t>
      </w:r>
      <w:r w:rsidR="00727362">
        <w:rPr>
          <w:rFonts w:ascii="Verdana" w:hAnsi="Verdana"/>
          <w:sz w:val="18"/>
          <w:szCs w:val="18"/>
          <w:lang w:val="nl-NL"/>
        </w:rPr>
        <w:t xml:space="preserve">de </w:t>
      </w:r>
      <w:r w:rsidRPr="001D6B88">
        <w:rPr>
          <w:rFonts w:ascii="Verdana" w:hAnsi="Verdana"/>
          <w:sz w:val="18"/>
          <w:szCs w:val="18"/>
          <w:lang w:val="nl-NL"/>
        </w:rPr>
        <w:t xml:space="preserve">werkingssfeer van </w:t>
      </w:r>
      <w:r w:rsidR="0060730F">
        <w:rPr>
          <w:rFonts w:ascii="Verdana" w:hAnsi="Verdana"/>
          <w:sz w:val="18"/>
          <w:szCs w:val="18"/>
          <w:lang w:val="nl-NL"/>
        </w:rPr>
        <w:t xml:space="preserve">het op 26 september 2008 tot stand gekomen </w:t>
      </w:r>
      <w:r w:rsidRPr="00762BDD" w:rsidR="00762BDD">
        <w:rPr>
          <w:rFonts w:ascii="Verdana" w:hAnsi="Verdana"/>
          <w:sz w:val="18"/>
          <w:szCs w:val="18"/>
          <w:lang w:val="nl-NL"/>
        </w:rPr>
        <w:t xml:space="preserve">Verdrag tussen de Regering van het Koninkrijk der Nederlanden en de Regering van het Verenigd Koninkrijk van Groot-Brittannië en Noord-Ierland tot het vermijden van dubbele belasting en het voorkomen van het ontgaan van belasting met betrekking tot belastingen naar het inkomen en naar vermogenswinsten </w:t>
      </w:r>
      <w:r w:rsidR="00762BDD">
        <w:rPr>
          <w:rFonts w:ascii="Verdana" w:hAnsi="Verdana"/>
          <w:sz w:val="18"/>
          <w:szCs w:val="18"/>
          <w:lang w:val="nl-NL"/>
        </w:rPr>
        <w:t>(</w:t>
      </w:r>
      <w:proofErr w:type="spellStart"/>
      <w:r w:rsidRPr="00762BDD" w:rsidR="00762BDD">
        <w:rPr>
          <w:rFonts w:ascii="Verdana" w:hAnsi="Verdana"/>
          <w:sz w:val="18"/>
          <w:szCs w:val="18"/>
          <w:lang w:val="nl-NL"/>
        </w:rPr>
        <w:t>Trb</w:t>
      </w:r>
      <w:proofErr w:type="spellEnd"/>
      <w:r w:rsidRPr="00762BDD" w:rsidR="00762BDD">
        <w:rPr>
          <w:rFonts w:ascii="Verdana" w:hAnsi="Verdana"/>
          <w:sz w:val="18"/>
          <w:szCs w:val="18"/>
          <w:lang w:val="nl-NL"/>
        </w:rPr>
        <w:t>. 2008, 201</w:t>
      </w:r>
      <w:r w:rsidR="00762BDD">
        <w:rPr>
          <w:rFonts w:ascii="Verdana" w:hAnsi="Verdana"/>
          <w:sz w:val="18"/>
          <w:szCs w:val="18"/>
          <w:lang w:val="nl-NL"/>
        </w:rPr>
        <w:t>)</w:t>
      </w:r>
      <w:r w:rsidRPr="00762BDD" w:rsidDel="00762BDD" w:rsidR="00762BDD">
        <w:rPr>
          <w:rFonts w:ascii="Verdana" w:hAnsi="Verdana"/>
          <w:sz w:val="18"/>
          <w:szCs w:val="18"/>
          <w:lang w:val="nl-NL"/>
        </w:rPr>
        <w:t xml:space="preserve"> </w:t>
      </w:r>
      <w:r w:rsidR="0051516E">
        <w:rPr>
          <w:rFonts w:ascii="Verdana" w:hAnsi="Verdana"/>
          <w:sz w:val="18"/>
          <w:szCs w:val="18"/>
          <w:lang w:val="nl-NL"/>
        </w:rPr>
        <w:t>(hierna: het algemene belastingverdrag tussen Nederland en het VK)</w:t>
      </w:r>
      <w:r w:rsidR="00DF1518">
        <w:rPr>
          <w:rFonts w:ascii="Verdana" w:hAnsi="Verdana"/>
          <w:sz w:val="18"/>
          <w:szCs w:val="18"/>
          <w:lang w:val="nl-NL"/>
        </w:rPr>
        <w:t xml:space="preserve">. </w:t>
      </w:r>
      <w:r w:rsidR="00C779A4">
        <w:rPr>
          <w:rFonts w:ascii="Verdana" w:hAnsi="Verdana"/>
          <w:sz w:val="18"/>
          <w:szCs w:val="18"/>
          <w:lang w:val="nl-NL"/>
        </w:rPr>
        <w:t xml:space="preserve">Overigens is wel op onderdelen aansluiting gezocht bij de bewoordingen van dat </w:t>
      </w:r>
      <w:r w:rsidR="0060730F">
        <w:rPr>
          <w:rFonts w:ascii="Verdana" w:hAnsi="Verdana"/>
          <w:sz w:val="18"/>
          <w:szCs w:val="18"/>
          <w:lang w:val="nl-NL"/>
        </w:rPr>
        <w:t>v</w:t>
      </w:r>
      <w:r w:rsidR="00C779A4">
        <w:rPr>
          <w:rFonts w:ascii="Verdana" w:hAnsi="Verdana"/>
          <w:sz w:val="18"/>
          <w:szCs w:val="18"/>
          <w:lang w:val="nl-NL"/>
        </w:rPr>
        <w:t>erdrag.</w:t>
      </w:r>
    </w:p>
    <w:p w:rsidR="0016635D" w:rsidP="00FA42A5" w:rsidRDefault="00DF1518">
      <w:pPr>
        <w:spacing w:after="240" w:line="360" w:lineRule="auto"/>
        <w:rPr>
          <w:rFonts w:ascii="Verdana" w:hAnsi="Verdana"/>
          <w:sz w:val="18"/>
          <w:szCs w:val="18"/>
          <w:lang w:val="nl-NL"/>
        </w:rPr>
      </w:pPr>
      <w:r>
        <w:rPr>
          <w:rFonts w:ascii="Verdana" w:hAnsi="Verdana"/>
          <w:sz w:val="18"/>
          <w:szCs w:val="18"/>
          <w:lang w:val="nl-NL"/>
        </w:rPr>
        <w:t xml:space="preserve">Het </w:t>
      </w:r>
      <w:r w:rsidR="00A64154">
        <w:rPr>
          <w:rFonts w:ascii="Verdana" w:hAnsi="Verdana"/>
          <w:sz w:val="18"/>
          <w:szCs w:val="18"/>
          <w:lang w:val="nl-NL"/>
        </w:rPr>
        <w:t xml:space="preserve">onderhavige verdrag met het </w:t>
      </w:r>
      <w:r>
        <w:rPr>
          <w:rFonts w:ascii="Verdana" w:hAnsi="Verdana"/>
          <w:sz w:val="18"/>
          <w:szCs w:val="18"/>
          <w:lang w:val="nl-NL"/>
        </w:rPr>
        <w:t>Verenigd Koninkrijk (hierna: het VK)</w:t>
      </w:r>
      <w:r w:rsidR="00D2601B">
        <w:rPr>
          <w:rFonts w:ascii="Verdana" w:hAnsi="Verdana"/>
          <w:sz w:val="18"/>
          <w:szCs w:val="18"/>
          <w:lang w:val="nl-NL"/>
        </w:rPr>
        <w:t xml:space="preserve"> </w:t>
      </w:r>
      <w:r w:rsidRPr="001D6B88" w:rsidR="001D6B88">
        <w:rPr>
          <w:rFonts w:ascii="Verdana" w:hAnsi="Verdana"/>
          <w:sz w:val="18"/>
          <w:szCs w:val="18"/>
          <w:lang w:val="nl-NL"/>
        </w:rPr>
        <w:t xml:space="preserve">is </w:t>
      </w:r>
      <w:r w:rsidR="00A64154">
        <w:rPr>
          <w:rFonts w:ascii="Verdana" w:hAnsi="Verdana"/>
          <w:sz w:val="18"/>
          <w:szCs w:val="18"/>
          <w:lang w:val="nl-NL"/>
        </w:rPr>
        <w:t xml:space="preserve">het eerste </w:t>
      </w:r>
      <w:r w:rsidRPr="001D6B88" w:rsidR="001D6B88">
        <w:rPr>
          <w:rFonts w:ascii="Verdana" w:hAnsi="Verdana"/>
          <w:sz w:val="18"/>
          <w:szCs w:val="18"/>
          <w:lang w:val="nl-NL"/>
        </w:rPr>
        <w:t xml:space="preserve">verdrag ter vermijding van dubbele bankenbelasting </w:t>
      </w:r>
      <w:r w:rsidR="00A64154">
        <w:rPr>
          <w:rFonts w:ascii="Verdana" w:hAnsi="Verdana"/>
          <w:sz w:val="18"/>
          <w:szCs w:val="18"/>
          <w:lang w:val="nl-NL"/>
        </w:rPr>
        <w:t xml:space="preserve">dat Nederland </w:t>
      </w:r>
      <w:r w:rsidRPr="001D6B88" w:rsidR="001D6B88">
        <w:rPr>
          <w:rFonts w:ascii="Verdana" w:hAnsi="Verdana"/>
          <w:sz w:val="18"/>
          <w:szCs w:val="18"/>
          <w:lang w:val="nl-NL"/>
        </w:rPr>
        <w:t>sluit.</w:t>
      </w:r>
    </w:p>
    <w:p w:rsidR="00A64154" w:rsidP="00FA42A5" w:rsidRDefault="001D6B88">
      <w:pPr>
        <w:tabs>
          <w:tab w:val="center" w:pos="6290"/>
        </w:tabs>
        <w:spacing w:line="360" w:lineRule="auto"/>
        <w:rPr>
          <w:rFonts w:ascii="Verdana" w:hAnsi="Verdana"/>
          <w:sz w:val="18"/>
          <w:szCs w:val="18"/>
          <w:lang w:val="nl-NL"/>
        </w:rPr>
      </w:pPr>
      <w:r>
        <w:rPr>
          <w:rFonts w:ascii="Verdana" w:hAnsi="Verdana"/>
          <w:sz w:val="18"/>
          <w:szCs w:val="18"/>
          <w:lang w:val="nl-NL"/>
        </w:rPr>
        <w:t>Onderstaand worden</w:t>
      </w:r>
      <w:r w:rsidRPr="001D6B88">
        <w:rPr>
          <w:rFonts w:ascii="Verdana" w:hAnsi="Verdana"/>
          <w:sz w:val="18"/>
          <w:szCs w:val="18"/>
          <w:lang w:val="nl-NL"/>
        </w:rPr>
        <w:t xml:space="preserve"> eerst de aanleiding</w:t>
      </w:r>
      <w:r w:rsidR="00727362">
        <w:rPr>
          <w:rFonts w:ascii="Verdana" w:hAnsi="Verdana"/>
          <w:sz w:val="18"/>
          <w:szCs w:val="18"/>
          <w:lang w:val="nl-NL"/>
        </w:rPr>
        <w:t xml:space="preserve"> voor</w:t>
      </w:r>
      <w:r w:rsidRPr="001D6B88">
        <w:rPr>
          <w:rFonts w:ascii="Verdana" w:hAnsi="Verdana"/>
          <w:sz w:val="18"/>
          <w:szCs w:val="18"/>
          <w:lang w:val="nl-NL"/>
        </w:rPr>
        <w:t xml:space="preserve"> en het verloop van de onderhandelingen met het </w:t>
      </w:r>
      <w:r>
        <w:rPr>
          <w:rFonts w:ascii="Verdana" w:hAnsi="Verdana"/>
          <w:sz w:val="18"/>
          <w:szCs w:val="18"/>
          <w:lang w:val="nl-NL"/>
        </w:rPr>
        <w:t xml:space="preserve">VK </w:t>
      </w:r>
      <w:r w:rsidRPr="001D6B88">
        <w:rPr>
          <w:rFonts w:ascii="Verdana" w:hAnsi="Verdana"/>
          <w:sz w:val="18"/>
          <w:szCs w:val="18"/>
          <w:lang w:val="nl-NL"/>
        </w:rPr>
        <w:t xml:space="preserve">toegelicht. Daarna </w:t>
      </w:r>
      <w:r w:rsidR="00983046">
        <w:rPr>
          <w:rFonts w:ascii="Verdana" w:hAnsi="Verdana"/>
          <w:sz w:val="18"/>
          <w:szCs w:val="18"/>
          <w:lang w:val="nl-NL"/>
        </w:rPr>
        <w:t xml:space="preserve">wordt </w:t>
      </w:r>
      <w:r w:rsidRPr="001D6B88">
        <w:rPr>
          <w:rFonts w:ascii="Verdana" w:hAnsi="Verdana"/>
          <w:sz w:val="18"/>
          <w:szCs w:val="18"/>
          <w:lang w:val="nl-NL"/>
        </w:rPr>
        <w:t xml:space="preserve">ingegaan op de budgettaire aspecten en </w:t>
      </w:r>
      <w:r>
        <w:rPr>
          <w:rFonts w:ascii="Verdana" w:hAnsi="Verdana"/>
          <w:sz w:val="18"/>
          <w:szCs w:val="18"/>
          <w:lang w:val="nl-NL"/>
        </w:rPr>
        <w:t xml:space="preserve">de </w:t>
      </w:r>
      <w:proofErr w:type="spellStart"/>
      <w:r>
        <w:rPr>
          <w:rFonts w:ascii="Verdana" w:hAnsi="Verdana"/>
          <w:sz w:val="18"/>
          <w:szCs w:val="18"/>
          <w:lang w:val="nl-NL"/>
        </w:rPr>
        <w:t>Koninkrijkspositie</w:t>
      </w:r>
      <w:proofErr w:type="spellEnd"/>
      <w:r>
        <w:rPr>
          <w:rFonts w:ascii="Verdana" w:hAnsi="Verdana"/>
          <w:sz w:val="18"/>
          <w:szCs w:val="18"/>
          <w:lang w:val="nl-NL"/>
        </w:rPr>
        <w:t xml:space="preserve"> van het Verdrag.</w:t>
      </w:r>
      <w:r w:rsidR="00A64154">
        <w:rPr>
          <w:rFonts w:ascii="Verdana" w:hAnsi="Verdana"/>
          <w:sz w:val="18"/>
          <w:szCs w:val="18"/>
          <w:lang w:val="nl-NL"/>
        </w:rPr>
        <w:t xml:space="preserve"> </w:t>
      </w:r>
      <w:r w:rsidRPr="001D6B88">
        <w:rPr>
          <w:rFonts w:ascii="Verdana" w:hAnsi="Verdana"/>
          <w:sz w:val="18"/>
          <w:szCs w:val="18"/>
          <w:lang w:val="nl-NL"/>
        </w:rPr>
        <w:t>In het tweede deel van deze toelichting worden de verdragsartikelen afzonderlijk toegelicht.</w:t>
      </w:r>
    </w:p>
    <w:p w:rsidR="00A64154" w:rsidP="00FA42A5" w:rsidRDefault="00A64154">
      <w:pPr>
        <w:tabs>
          <w:tab w:val="center" w:pos="6290"/>
        </w:tabs>
        <w:spacing w:line="360" w:lineRule="auto"/>
        <w:rPr>
          <w:rFonts w:ascii="Verdana" w:hAnsi="Verdana"/>
          <w:sz w:val="18"/>
          <w:szCs w:val="18"/>
          <w:lang w:val="nl-NL"/>
        </w:rPr>
      </w:pPr>
    </w:p>
    <w:p w:rsidR="00B91918" w:rsidP="00FA42A5" w:rsidRDefault="00A64154">
      <w:pPr>
        <w:tabs>
          <w:tab w:val="center" w:pos="6290"/>
        </w:tabs>
        <w:spacing w:line="360" w:lineRule="auto"/>
        <w:rPr>
          <w:rFonts w:ascii="Verdana" w:hAnsi="Verdana"/>
          <w:sz w:val="18"/>
          <w:szCs w:val="18"/>
          <w:lang w:val="nl-NL"/>
        </w:rPr>
      </w:pPr>
      <w:r w:rsidRPr="00231D27">
        <w:rPr>
          <w:rFonts w:ascii="Verdana" w:hAnsi="Verdana"/>
          <w:sz w:val="18"/>
          <w:szCs w:val="18"/>
          <w:lang w:val="nl-NL"/>
        </w:rPr>
        <w:t>In de bijlage bij deze nota van toelichting is het schema toegevoegd waarin de toetsingscriteria zijn opgenomen voor Nederlandse bilaterale belastingverdragen. Dit schema was gevoegd bij de brief aan de Tweede Kamer van 18 oktober 2011</w:t>
      </w:r>
      <w:r w:rsidRPr="00231D27" w:rsidR="0003546C">
        <w:rPr>
          <w:rFonts w:ascii="Verdana" w:hAnsi="Verdana"/>
          <w:sz w:val="18"/>
          <w:szCs w:val="18"/>
          <w:lang w:val="nl-NL"/>
        </w:rPr>
        <w:t xml:space="preserve"> (Kamerstukken II 2010/11, 25 087, nr. 27)</w:t>
      </w:r>
      <w:r w:rsidRPr="00231D27">
        <w:rPr>
          <w:rFonts w:ascii="Verdana" w:hAnsi="Verdana"/>
          <w:sz w:val="18"/>
          <w:szCs w:val="18"/>
          <w:lang w:val="nl-NL"/>
        </w:rPr>
        <w:t>, ter uitvoering van de motie-Van Vliet</w:t>
      </w:r>
      <w:r w:rsidRPr="00231D27" w:rsidR="0003546C">
        <w:rPr>
          <w:rFonts w:ascii="Verdana" w:hAnsi="Verdana"/>
          <w:sz w:val="18"/>
          <w:szCs w:val="18"/>
          <w:lang w:val="nl-NL"/>
        </w:rPr>
        <w:t xml:space="preserve"> (Kamerstukken II 2010/11, 25 087, nr. 8)</w:t>
      </w:r>
      <w:r w:rsidRPr="00231D27">
        <w:rPr>
          <w:rFonts w:ascii="Verdana" w:hAnsi="Verdana"/>
          <w:sz w:val="18"/>
          <w:szCs w:val="18"/>
          <w:lang w:val="nl-NL"/>
        </w:rPr>
        <w:t xml:space="preserve">. </w:t>
      </w:r>
      <w:proofErr w:type="gramStart"/>
      <w:r w:rsidRPr="00231D27">
        <w:rPr>
          <w:rFonts w:ascii="Verdana" w:hAnsi="Verdana"/>
          <w:sz w:val="18"/>
          <w:szCs w:val="18"/>
          <w:lang w:val="nl-NL"/>
        </w:rPr>
        <w:t>Uit het ingevulde schema blijkt in één oogopslag op welke onderdelen het Verdrag in overeenstemming is met het Nederlandse fiscale verdragsbeleid, zoals neergelegd in de Notitie Fiscaal Verdragsbeleid 2011 (hierna: NFV 2011</w:t>
      </w:r>
      <w:r w:rsidRPr="00231D27" w:rsidR="00144217">
        <w:rPr>
          <w:rFonts w:ascii="Verdana" w:hAnsi="Verdana"/>
          <w:sz w:val="18"/>
          <w:szCs w:val="18"/>
          <w:lang w:val="nl-NL"/>
        </w:rPr>
        <w:t xml:space="preserve">; Kamerstukken II 2010/11, 25 087, bijlage bij nr. </w:t>
      </w:r>
      <w:proofErr w:type="gramEnd"/>
      <w:r w:rsidRPr="00231D27" w:rsidR="00144217">
        <w:rPr>
          <w:rFonts w:ascii="Verdana" w:hAnsi="Verdana"/>
          <w:sz w:val="18"/>
          <w:szCs w:val="18"/>
          <w:lang w:val="nl-NL"/>
        </w:rPr>
        <w:t>7</w:t>
      </w:r>
      <w:r w:rsidRPr="00231D27">
        <w:rPr>
          <w:rFonts w:ascii="Verdana" w:hAnsi="Verdana"/>
          <w:sz w:val="18"/>
          <w:szCs w:val="18"/>
          <w:lang w:val="nl-NL"/>
        </w:rPr>
        <w:t xml:space="preserve">). Daarbij wordt echter opgemerkt dat in die notitie niet is ingegaan op het specifieke onderwerp van het sluiten van verdragen over bankenbelastingen; Nederland </w:t>
      </w:r>
      <w:r w:rsidRPr="00231D27" w:rsidR="0060730F">
        <w:rPr>
          <w:rFonts w:ascii="Verdana" w:hAnsi="Verdana"/>
          <w:sz w:val="18"/>
          <w:szCs w:val="18"/>
          <w:lang w:val="nl-NL"/>
        </w:rPr>
        <w:t xml:space="preserve">kende </w:t>
      </w:r>
      <w:r w:rsidRPr="00231D27">
        <w:rPr>
          <w:rFonts w:ascii="Verdana" w:hAnsi="Verdana"/>
          <w:sz w:val="18"/>
          <w:szCs w:val="18"/>
          <w:lang w:val="nl-NL"/>
        </w:rPr>
        <w:t xml:space="preserve">ten tijde van het opstellen van die notitie nog geen bankenbelasting. </w:t>
      </w:r>
      <w:proofErr w:type="gramStart"/>
      <w:r w:rsidRPr="00231D27">
        <w:rPr>
          <w:rFonts w:ascii="Verdana" w:hAnsi="Verdana"/>
          <w:sz w:val="18"/>
          <w:szCs w:val="18"/>
          <w:lang w:val="nl-NL"/>
        </w:rPr>
        <w:t>Desalniettemin</w:t>
      </w:r>
      <w:proofErr w:type="gramEnd"/>
      <w:r w:rsidRPr="00231D27">
        <w:rPr>
          <w:rFonts w:ascii="Verdana" w:hAnsi="Verdana"/>
          <w:sz w:val="18"/>
          <w:szCs w:val="18"/>
          <w:lang w:val="nl-NL"/>
        </w:rPr>
        <w:t xml:space="preserve"> zijn enkele van de in het schema opgenomen criteria ook </w:t>
      </w:r>
    </w:p>
    <w:p w:rsidR="00B91918" w:rsidP="00FA42A5" w:rsidRDefault="00B91918">
      <w:pPr>
        <w:tabs>
          <w:tab w:val="center" w:pos="6290"/>
        </w:tabs>
        <w:spacing w:line="360" w:lineRule="auto"/>
        <w:rPr>
          <w:rFonts w:ascii="Verdana" w:hAnsi="Verdana"/>
          <w:sz w:val="18"/>
          <w:szCs w:val="18"/>
          <w:lang w:val="nl-NL"/>
        </w:rPr>
      </w:pPr>
    </w:p>
    <w:p w:rsidR="00C702EC" w:rsidP="00FA42A5" w:rsidRDefault="00A64154">
      <w:pPr>
        <w:tabs>
          <w:tab w:val="center" w:pos="6290"/>
        </w:tabs>
        <w:spacing w:line="360" w:lineRule="auto"/>
        <w:rPr>
          <w:rFonts w:ascii="Verdana" w:hAnsi="Verdana"/>
          <w:sz w:val="18"/>
          <w:szCs w:val="18"/>
          <w:lang w:val="nl-NL"/>
        </w:rPr>
      </w:pPr>
      <w:proofErr w:type="gramStart"/>
      <w:r w:rsidRPr="00231D27">
        <w:rPr>
          <w:rFonts w:ascii="Verdana" w:hAnsi="Verdana"/>
          <w:sz w:val="18"/>
          <w:szCs w:val="18"/>
          <w:lang w:val="nl-NL"/>
        </w:rPr>
        <w:t>relevant</w:t>
      </w:r>
      <w:proofErr w:type="gramEnd"/>
      <w:r w:rsidRPr="00231D27">
        <w:rPr>
          <w:rFonts w:ascii="Verdana" w:hAnsi="Verdana"/>
          <w:sz w:val="18"/>
          <w:szCs w:val="18"/>
          <w:lang w:val="nl-NL"/>
        </w:rPr>
        <w:t xml:space="preserve"> voor het </w:t>
      </w:r>
      <w:r w:rsidRPr="00231D27" w:rsidR="0060730F">
        <w:rPr>
          <w:rFonts w:ascii="Verdana" w:hAnsi="Verdana"/>
          <w:sz w:val="18"/>
          <w:szCs w:val="18"/>
          <w:lang w:val="nl-NL"/>
        </w:rPr>
        <w:t>V</w:t>
      </w:r>
      <w:r w:rsidRPr="00231D27">
        <w:rPr>
          <w:rFonts w:ascii="Verdana" w:hAnsi="Verdana"/>
          <w:sz w:val="18"/>
          <w:szCs w:val="18"/>
          <w:lang w:val="nl-NL"/>
        </w:rPr>
        <w:t>erdrag. Bij de artikelsgewijze toelichting zal voor zover van belang hierop worden ingegaan.</w:t>
      </w:r>
    </w:p>
    <w:p w:rsidRPr="00FA42A5" w:rsidR="0097545A" w:rsidP="00FA42A5" w:rsidRDefault="007E7343">
      <w:pPr>
        <w:pStyle w:val="Heading2"/>
        <w:rPr>
          <w:rFonts w:ascii="Verdana" w:hAnsi="Verdana"/>
          <w:sz w:val="18"/>
          <w:szCs w:val="18"/>
          <w:lang w:val="nl-NL"/>
        </w:rPr>
      </w:pPr>
      <w:r w:rsidRPr="00FA42A5">
        <w:rPr>
          <w:rFonts w:ascii="Verdana" w:hAnsi="Verdana"/>
          <w:sz w:val="18"/>
          <w:szCs w:val="18"/>
          <w:lang w:val="nl-NL"/>
        </w:rPr>
        <w:t>Aanleiding voor en verloop van de onderhandelingen</w:t>
      </w:r>
    </w:p>
    <w:p w:rsidR="005335CB" w:rsidP="00FA42A5" w:rsidRDefault="0061011F">
      <w:pPr>
        <w:spacing w:after="240" w:line="360" w:lineRule="auto"/>
        <w:rPr>
          <w:rFonts w:ascii="Verdana" w:hAnsi="Verdana"/>
          <w:sz w:val="18"/>
          <w:szCs w:val="18"/>
          <w:lang w:val="nl-NL"/>
        </w:rPr>
      </w:pPr>
      <w:r w:rsidRPr="0061011F">
        <w:rPr>
          <w:rFonts w:ascii="Verdana" w:hAnsi="Verdana"/>
          <w:sz w:val="18"/>
          <w:szCs w:val="18"/>
          <w:lang w:val="nl-NL"/>
        </w:rPr>
        <w:t>Bij koninklijk besluit van 17 september 2012 (</w:t>
      </w:r>
      <w:r w:rsidR="0060730F">
        <w:rPr>
          <w:rFonts w:ascii="Verdana" w:hAnsi="Verdana"/>
          <w:sz w:val="18"/>
          <w:szCs w:val="18"/>
          <w:lang w:val="nl-NL"/>
        </w:rPr>
        <w:t>S</w:t>
      </w:r>
      <w:r w:rsidRPr="0061011F">
        <w:rPr>
          <w:rFonts w:ascii="Verdana" w:hAnsi="Verdana"/>
          <w:sz w:val="18"/>
          <w:szCs w:val="18"/>
          <w:lang w:val="nl-NL"/>
        </w:rPr>
        <w:t>tb. 2012, 417) is op 1 oktober 2012 de Wet bankenbelasting (Stb. 2012, 325) in werking getreden.</w:t>
      </w:r>
      <w:r>
        <w:rPr>
          <w:rFonts w:ascii="Verdana" w:hAnsi="Verdana"/>
          <w:sz w:val="18"/>
          <w:szCs w:val="18"/>
          <w:lang w:val="nl-NL"/>
        </w:rPr>
        <w:t xml:space="preserve"> </w:t>
      </w:r>
    </w:p>
    <w:p w:rsidR="00762BDD" w:rsidP="00FA42A5" w:rsidRDefault="00CC59C7">
      <w:pPr>
        <w:spacing w:after="240" w:line="360" w:lineRule="auto"/>
        <w:rPr>
          <w:rFonts w:ascii="Verdana" w:hAnsi="Verdana"/>
          <w:sz w:val="18"/>
          <w:szCs w:val="18"/>
          <w:lang w:val="nl-NL"/>
        </w:rPr>
      </w:pPr>
      <w:r w:rsidRPr="00CC59C7">
        <w:rPr>
          <w:rFonts w:ascii="Verdana" w:hAnsi="Verdana"/>
          <w:sz w:val="18"/>
          <w:szCs w:val="18"/>
          <w:lang w:val="nl-NL"/>
        </w:rPr>
        <w:t>De bankenbelasting wordt geheven van lichamen die bevoegd zijn in Nederland het bankbedrijf uit te oefenen. Daarbij kan het gaan om banken met een zetel in Nederland, zoals Nederlandse banken en Nederlandse dochtermaatschappijen van buitenlandse banken. Anderzijds kan het ook gaan om banken die buiten Nederland zijn gevestigd maar die in Nederland actief zijn door middel van een in Nederland</w:t>
      </w:r>
      <w:r w:rsidR="00A107F1">
        <w:rPr>
          <w:rFonts w:ascii="Verdana" w:hAnsi="Verdana"/>
          <w:sz w:val="18"/>
          <w:szCs w:val="18"/>
          <w:lang w:val="nl-NL"/>
        </w:rPr>
        <w:t xml:space="preserve"> gelegen bijkantoor. I</w:t>
      </w:r>
      <w:r w:rsidRPr="00CC59C7">
        <w:rPr>
          <w:rFonts w:ascii="Verdana" w:hAnsi="Verdana"/>
          <w:sz w:val="18"/>
          <w:szCs w:val="18"/>
          <w:lang w:val="nl-NL"/>
        </w:rPr>
        <w:t xml:space="preserve">n </w:t>
      </w:r>
      <w:r w:rsidR="00762BDD">
        <w:rPr>
          <w:rFonts w:ascii="Verdana" w:hAnsi="Verdana"/>
          <w:sz w:val="18"/>
          <w:szCs w:val="18"/>
          <w:lang w:val="nl-NL"/>
        </w:rPr>
        <w:t xml:space="preserve">artikel 4 van </w:t>
      </w:r>
      <w:r w:rsidRPr="00CC59C7">
        <w:rPr>
          <w:rFonts w:ascii="Verdana" w:hAnsi="Verdana"/>
          <w:sz w:val="18"/>
          <w:szCs w:val="18"/>
          <w:lang w:val="nl-NL"/>
        </w:rPr>
        <w:t xml:space="preserve">de Wet bankenbelasting </w:t>
      </w:r>
      <w:r w:rsidR="00A107F1">
        <w:rPr>
          <w:rFonts w:ascii="Verdana" w:hAnsi="Verdana"/>
          <w:sz w:val="18"/>
          <w:szCs w:val="18"/>
          <w:lang w:val="nl-NL"/>
        </w:rPr>
        <w:t xml:space="preserve">is </w:t>
      </w:r>
      <w:r w:rsidRPr="00CC59C7">
        <w:rPr>
          <w:rFonts w:ascii="Verdana" w:hAnsi="Verdana"/>
          <w:sz w:val="18"/>
          <w:szCs w:val="18"/>
          <w:lang w:val="nl-NL"/>
        </w:rPr>
        <w:t xml:space="preserve">bepaald dat als een individuele belastingplichtige al dan niet </w:t>
      </w:r>
      <w:proofErr w:type="gramStart"/>
      <w:r w:rsidRPr="00CC59C7">
        <w:rPr>
          <w:rFonts w:ascii="Verdana" w:hAnsi="Verdana"/>
          <w:sz w:val="18"/>
          <w:szCs w:val="18"/>
          <w:lang w:val="nl-NL"/>
        </w:rPr>
        <w:t>tezamen</w:t>
      </w:r>
      <w:proofErr w:type="gramEnd"/>
      <w:r w:rsidRPr="00CC59C7">
        <w:rPr>
          <w:rFonts w:ascii="Verdana" w:hAnsi="Verdana"/>
          <w:sz w:val="18"/>
          <w:szCs w:val="18"/>
          <w:lang w:val="nl-NL"/>
        </w:rPr>
        <w:t xml:space="preserve"> met één of meer andere individuele belastingplichtigen deel uitmaakt van een commerciële consolidatiekring, de bankenbelasting in beginsel niet geheven wordt van de tot die commerciële consolidatiekring behorende individuele belastingplichtigen, maar van het lichaam dat de geconsolideerde jaarrekening opstelt. In dat geval vindt de heffing plaats over het in de geconsolideerde commerciële jaarrekening </w:t>
      </w:r>
      <w:r>
        <w:rPr>
          <w:rFonts w:ascii="Verdana" w:hAnsi="Verdana"/>
          <w:sz w:val="18"/>
          <w:szCs w:val="18"/>
          <w:lang w:val="nl-NL"/>
        </w:rPr>
        <w:t>verantwoorde balanstotaal. Aldus</w:t>
      </w:r>
      <w:r w:rsidRPr="00CC59C7">
        <w:rPr>
          <w:rFonts w:ascii="Verdana" w:hAnsi="Verdana"/>
          <w:sz w:val="18"/>
          <w:szCs w:val="18"/>
          <w:lang w:val="nl-NL"/>
        </w:rPr>
        <w:t xml:space="preserve"> worden internationale vertakkingen (dochtermaatschappijen) van Nederlandse groepen of Nederlandse groepsdelen meegenomen in de heffingsgrondslag van de bankenbelasting.</w:t>
      </w:r>
      <w:r w:rsidR="00762BDD">
        <w:rPr>
          <w:rFonts w:ascii="Verdana" w:hAnsi="Verdana"/>
          <w:sz w:val="18"/>
          <w:szCs w:val="18"/>
          <w:lang w:val="nl-NL"/>
        </w:rPr>
        <w:t xml:space="preserve"> </w:t>
      </w:r>
      <w:r w:rsidRPr="00CC59C7">
        <w:rPr>
          <w:rFonts w:ascii="Verdana" w:hAnsi="Verdana"/>
          <w:sz w:val="18"/>
          <w:szCs w:val="18"/>
          <w:lang w:val="nl-NL"/>
        </w:rPr>
        <w:t>Als het land van vestiging van die vertakkingen (deels) over dezelfde grondslag heft</w:t>
      </w:r>
      <w:r w:rsidR="00095E4A">
        <w:rPr>
          <w:rFonts w:ascii="Verdana" w:hAnsi="Verdana"/>
          <w:sz w:val="18"/>
          <w:szCs w:val="18"/>
          <w:lang w:val="nl-NL"/>
        </w:rPr>
        <w:t>,</w:t>
      </w:r>
      <w:r w:rsidRPr="00CC59C7">
        <w:rPr>
          <w:rFonts w:ascii="Verdana" w:hAnsi="Verdana"/>
          <w:sz w:val="18"/>
          <w:szCs w:val="18"/>
          <w:lang w:val="nl-NL"/>
        </w:rPr>
        <w:t xml:space="preserve"> kan hierdoor dubbele bankenbelasting ontstaan. </w:t>
      </w:r>
    </w:p>
    <w:p w:rsidR="005335CB" w:rsidP="00FA42A5" w:rsidRDefault="00CC59C7">
      <w:pPr>
        <w:spacing w:after="240" w:line="360" w:lineRule="auto"/>
        <w:rPr>
          <w:rFonts w:ascii="Verdana" w:hAnsi="Verdana"/>
          <w:sz w:val="18"/>
          <w:szCs w:val="18"/>
          <w:lang w:val="nl-NL"/>
        </w:rPr>
      </w:pPr>
      <w:r>
        <w:rPr>
          <w:rFonts w:ascii="Verdana" w:hAnsi="Verdana"/>
          <w:sz w:val="18"/>
          <w:szCs w:val="18"/>
          <w:lang w:val="nl-NL"/>
        </w:rPr>
        <w:t>Voorts kan</w:t>
      </w:r>
      <w:r w:rsidRPr="00CC59C7">
        <w:rPr>
          <w:rFonts w:ascii="Verdana" w:hAnsi="Verdana"/>
          <w:sz w:val="18"/>
          <w:szCs w:val="18"/>
          <w:lang w:val="nl-NL"/>
        </w:rPr>
        <w:t xml:space="preserve"> bij de belastingheffing over bijkantoren dubbele bankenbelasting optreden</w:t>
      </w:r>
      <w:r>
        <w:rPr>
          <w:rFonts w:ascii="Verdana" w:hAnsi="Verdana"/>
          <w:sz w:val="18"/>
          <w:szCs w:val="18"/>
          <w:lang w:val="nl-NL"/>
        </w:rPr>
        <w:t xml:space="preserve"> als het land waar </w:t>
      </w:r>
      <w:r w:rsidR="00762BDD">
        <w:rPr>
          <w:rFonts w:ascii="Verdana" w:hAnsi="Verdana"/>
          <w:sz w:val="18"/>
          <w:szCs w:val="18"/>
          <w:lang w:val="nl-NL"/>
        </w:rPr>
        <w:t>een</w:t>
      </w:r>
      <w:r>
        <w:rPr>
          <w:rFonts w:ascii="Verdana" w:hAnsi="Verdana"/>
          <w:sz w:val="18"/>
          <w:szCs w:val="18"/>
          <w:lang w:val="nl-NL"/>
        </w:rPr>
        <w:t xml:space="preserve"> bank</w:t>
      </w:r>
      <w:r w:rsidR="00093F38">
        <w:rPr>
          <w:rFonts w:ascii="Verdana" w:hAnsi="Verdana"/>
          <w:sz w:val="18"/>
          <w:szCs w:val="18"/>
          <w:lang w:val="nl-NL"/>
        </w:rPr>
        <w:t xml:space="preserve">, met </w:t>
      </w:r>
      <w:r w:rsidR="00762BDD">
        <w:rPr>
          <w:rFonts w:ascii="Verdana" w:hAnsi="Verdana"/>
          <w:sz w:val="18"/>
          <w:szCs w:val="18"/>
          <w:lang w:val="nl-NL"/>
        </w:rPr>
        <w:t xml:space="preserve">een </w:t>
      </w:r>
      <w:r w:rsidR="00093F38">
        <w:rPr>
          <w:rFonts w:ascii="Verdana" w:hAnsi="Verdana"/>
          <w:sz w:val="18"/>
          <w:szCs w:val="18"/>
          <w:lang w:val="nl-NL"/>
        </w:rPr>
        <w:t>bijkantoor in Nederland,</w:t>
      </w:r>
      <w:r w:rsidR="0051516E">
        <w:rPr>
          <w:rFonts w:ascii="Verdana" w:hAnsi="Verdana"/>
          <w:sz w:val="18"/>
          <w:szCs w:val="18"/>
          <w:lang w:val="nl-NL"/>
        </w:rPr>
        <w:t xml:space="preserve"> is gevestigd</w:t>
      </w:r>
      <w:r w:rsidR="00434DA1">
        <w:rPr>
          <w:rFonts w:ascii="Verdana" w:hAnsi="Verdana"/>
          <w:sz w:val="18"/>
          <w:szCs w:val="18"/>
          <w:lang w:val="nl-NL"/>
        </w:rPr>
        <w:t>,</w:t>
      </w:r>
      <w:r w:rsidR="0051516E">
        <w:rPr>
          <w:rFonts w:ascii="Verdana" w:hAnsi="Verdana"/>
          <w:sz w:val="18"/>
          <w:szCs w:val="18"/>
          <w:lang w:val="nl-NL"/>
        </w:rPr>
        <w:t xml:space="preserve"> </w:t>
      </w:r>
      <w:r>
        <w:rPr>
          <w:rFonts w:ascii="Verdana" w:hAnsi="Verdana"/>
          <w:sz w:val="18"/>
          <w:szCs w:val="18"/>
          <w:lang w:val="nl-NL"/>
        </w:rPr>
        <w:t>bankenbelasting heft</w:t>
      </w:r>
      <w:r w:rsidR="00093F38">
        <w:rPr>
          <w:rFonts w:ascii="Verdana" w:hAnsi="Verdana"/>
          <w:sz w:val="18"/>
          <w:szCs w:val="18"/>
          <w:lang w:val="nl-NL"/>
        </w:rPr>
        <w:t xml:space="preserve"> over het </w:t>
      </w:r>
      <w:r w:rsidR="00A107F1">
        <w:rPr>
          <w:rFonts w:ascii="Verdana" w:hAnsi="Verdana"/>
          <w:sz w:val="18"/>
          <w:szCs w:val="18"/>
          <w:lang w:val="nl-NL"/>
        </w:rPr>
        <w:t>balanstotaal van die</w:t>
      </w:r>
      <w:r w:rsidR="00093F38">
        <w:rPr>
          <w:rFonts w:ascii="Verdana" w:hAnsi="Verdana"/>
          <w:sz w:val="18"/>
          <w:szCs w:val="18"/>
          <w:lang w:val="nl-NL"/>
        </w:rPr>
        <w:t xml:space="preserve"> bank</w:t>
      </w:r>
      <w:r w:rsidRPr="00CC59C7">
        <w:rPr>
          <w:rFonts w:ascii="Verdana" w:hAnsi="Verdana"/>
          <w:sz w:val="18"/>
          <w:szCs w:val="18"/>
          <w:lang w:val="nl-NL"/>
        </w:rPr>
        <w:t>. In de memorie van toelichting bij het wetsvoorstel dat heeft ge</w:t>
      </w:r>
      <w:r>
        <w:rPr>
          <w:rFonts w:ascii="Verdana" w:hAnsi="Verdana"/>
          <w:sz w:val="18"/>
          <w:szCs w:val="18"/>
          <w:lang w:val="nl-NL"/>
        </w:rPr>
        <w:t>leid tot de Wet bankenbelasting</w:t>
      </w:r>
      <w:r w:rsidR="00762BDD">
        <w:rPr>
          <w:rFonts w:ascii="Verdana" w:hAnsi="Verdana"/>
          <w:sz w:val="18"/>
          <w:szCs w:val="18"/>
          <w:lang w:val="nl-NL"/>
        </w:rPr>
        <w:t>,</w:t>
      </w:r>
      <w:r w:rsidR="00093F38">
        <w:rPr>
          <w:rFonts w:ascii="Verdana" w:hAnsi="Verdana"/>
          <w:sz w:val="18"/>
          <w:szCs w:val="18"/>
          <w:lang w:val="nl-NL"/>
        </w:rPr>
        <w:t xml:space="preserve"> is </w:t>
      </w:r>
      <w:r w:rsidRPr="00CC59C7">
        <w:rPr>
          <w:rFonts w:ascii="Verdana" w:hAnsi="Verdana"/>
          <w:sz w:val="18"/>
          <w:szCs w:val="18"/>
          <w:lang w:val="nl-NL"/>
        </w:rPr>
        <w:t xml:space="preserve">uitgebreid ingegaan op verschillende </w:t>
      </w:r>
      <w:r w:rsidR="0051516E">
        <w:rPr>
          <w:rFonts w:ascii="Verdana" w:hAnsi="Verdana"/>
          <w:sz w:val="18"/>
          <w:szCs w:val="18"/>
          <w:lang w:val="nl-NL"/>
        </w:rPr>
        <w:t>grensoverschrijdende situaties</w:t>
      </w:r>
      <w:r w:rsidR="006753FC">
        <w:rPr>
          <w:rFonts w:ascii="Verdana" w:hAnsi="Verdana"/>
          <w:sz w:val="18"/>
          <w:szCs w:val="18"/>
          <w:lang w:val="nl-NL"/>
        </w:rPr>
        <w:t xml:space="preserve"> (</w:t>
      </w:r>
      <w:r w:rsidRPr="001E5295" w:rsidR="001E5295">
        <w:rPr>
          <w:rFonts w:ascii="Verdana" w:hAnsi="Verdana"/>
          <w:sz w:val="18"/>
          <w:szCs w:val="18"/>
          <w:lang w:val="nl-NL"/>
        </w:rPr>
        <w:t>Kamerstukken II 2011/12, 33 121, nr. 3, paragraaf 2</w:t>
      </w:r>
      <w:r w:rsidR="003F4FC2">
        <w:rPr>
          <w:rFonts w:ascii="Verdana" w:hAnsi="Verdana"/>
          <w:sz w:val="18"/>
          <w:szCs w:val="18"/>
          <w:lang w:val="nl-NL"/>
        </w:rPr>
        <w:t>)</w:t>
      </w:r>
      <w:r w:rsidR="0051516E">
        <w:rPr>
          <w:rFonts w:ascii="Verdana" w:hAnsi="Verdana"/>
          <w:sz w:val="18"/>
          <w:szCs w:val="18"/>
          <w:lang w:val="nl-NL"/>
        </w:rPr>
        <w:t>.</w:t>
      </w:r>
    </w:p>
    <w:p w:rsidR="005335CB" w:rsidP="00FA42A5" w:rsidRDefault="001076A4">
      <w:pPr>
        <w:spacing w:after="240" w:line="360" w:lineRule="auto"/>
        <w:rPr>
          <w:rFonts w:ascii="Verdana" w:hAnsi="Verdana"/>
          <w:sz w:val="18"/>
          <w:szCs w:val="18"/>
          <w:lang w:val="nl-NL"/>
        </w:rPr>
      </w:pPr>
      <w:r>
        <w:rPr>
          <w:rFonts w:ascii="Verdana" w:hAnsi="Verdana"/>
          <w:sz w:val="18"/>
          <w:szCs w:val="18"/>
          <w:lang w:val="nl-NL"/>
        </w:rPr>
        <w:t>Nederland</w:t>
      </w:r>
      <w:r w:rsidR="00350600">
        <w:rPr>
          <w:rFonts w:ascii="Verdana" w:hAnsi="Verdana"/>
          <w:sz w:val="18"/>
          <w:szCs w:val="18"/>
          <w:lang w:val="nl-NL"/>
        </w:rPr>
        <w:t xml:space="preserve"> betrekt banken op een vergelijkbare wijze</w:t>
      </w:r>
      <w:r w:rsidR="00636934">
        <w:rPr>
          <w:rFonts w:ascii="Verdana" w:hAnsi="Verdana"/>
          <w:sz w:val="18"/>
          <w:szCs w:val="18"/>
          <w:lang w:val="nl-NL"/>
        </w:rPr>
        <w:t xml:space="preserve"> als </w:t>
      </w:r>
      <w:r>
        <w:rPr>
          <w:rFonts w:ascii="Verdana" w:hAnsi="Verdana"/>
          <w:sz w:val="18"/>
          <w:szCs w:val="18"/>
          <w:lang w:val="nl-NL"/>
        </w:rPr>
        <w:t xml:space="preserve">het VK </w:t>
      </w:r>
      <w:r w:rsidR="00350600">
        <w:rPr>
          <w:rFonts w:ascii="Verdana" w:hAnsi="Verdana"/>
          <w:sz w:val="18"/>
          <w:szCs w:val="18"/>
          <w:lang w:val="nl-NL"/>
        </w:rPr>
        <w:t>in de heffing</w:t>
      </w:r>
      <w:r w:rsidR="00636934">
        <w:rPr>
          <w:rFonts w:ascii="Verdana" w:hAnsi="Verdana"/>
          <w:sz w:val="18"/>
          <w:szCs w:val="18"/>
          <w:lang w:val="nl-NL"/>
        </w:rPr>
        <w:t xml:space="preserve"> van bankenbelasting</w:t>
      </w:r>
      <w:r w:rsidR="00A64154">
        <w:rPr>
          <w:rFonts w:ascii="Verdana" w:hAnsi="Verdana"/>
          <w:sz w:val="18"/>
          <w:szCs w:val="18"/>
          <w:lang w:val="nl-NL"/>
        </w:rPr>
        <w:t>; de</w:t>
      </w:r>
      <w:r w:rsidR="00D05C96">
        <w:rPr>
          <w:rFonts w:ascii="Verdana" w:hAnsi="Verdana"/>
          <w:sz w:val="18"/>
          <w:szCs w:val="18"/>
          <w:lang w:val="nl-NL"/>
        </w:rPr>
        <w:t xml:space="preserve"> Nederlandse bankenbelasting is immers gebaseerd op de</w:t>
      </w:r>
      <w:r w:rsidRPr="00CC59C7" w:rsidR="00CC59C7">
        <w:rPr>
          <w:rFonts w:ascii="Verdana" w:hAnsi="Verdana"/>
          <w:sz w:val="18"/>
          <w:szCs w:val="18"/>
          <w:lang w:val="nl-NL"/>
        </w:rPr>
        <w:t xml:space="preserve"> </w:t>
      </w:r>
      <w:r w:rsidR="00D05C96">
        <w:rPr>
          <w:rFonts w:ascii="Verdana" w:hAnsi="Verdana"/>
          <w:sz w:val="18"/>
          <w:szCs w:val="18"/>
          <w:lang w:val="nl-NL"/>
        </w:rPr>
        <w:t xml:space="preserve">in het </w:t>
      </w:r>
      <w:r w:rsidRPr="00CC59C7" w:rsidR="00CC59C7">
        <w:rPr>
          <w:rFonts w:ascii="Verdana" w:hAnsi="Verdana"/>
          <w:sz w:val="18"/>
          <w:szCs w:val="18"/>
          <w:lang w:val="nl-NL"/>
        </w:rPr>
        <w:t>V</w:t>
      </w:r>
      <w:r>
        <w:rPr>
          <w:rFonts w:ascii="Verdana" w:hAnsi="Verdana"/>
          <w:sz w:val="18"/>
          <w:szCs w:val="18"/>
          <w:lang w:val="nl-NL"/>
        </w:rPr>
        <w:t>K</w:t>
      </w:r>
      <w:r w:rsidRPr="00CC59C7" w:rsidR="00CC59C7">
        <w:rPr>
          <w:rFonts w:ascii="Verdana" w:hAnsi="Verdana"/>
          <w:sz w:val="18"/>
          <w:szCs w:val="18"/>
          <w:lang w:val="nl-NL"/>
        </w:rPr>
        <w:t xml:space="preserve"> van toepassing zijnde “Bank </w:t>
      </w:r>
      <w:proofErr w:type="spellStart"/>
      <w:r w:rsidRPr="00CC59C7" w:rsidR="00CC59C7">
        <w:rPr>
          <w:rFonts w:ascii="Verdana" w:hAnsi="Verdana"/>
          <w:sz w:val="18"/>
          <w:szCs w:val="18"/>
          <w:lang w:val="nl-NL"/>
        </w:rPr>
        <w:t>Levy</w:t>
      </w:r>
      <w:proofErr w:type="spellEnd"/>
      <w:r w:rsidRPr="00CC59C7" w:rsidR="00CC59C7">
        <w:rPr>
          <w:rFonts w:ascii="Verdana" w:hAnsi="Verdana"/>
          <w:sz w:val="18"/>
          <w:szCs w:val="18"/>
          <w:lang w:val="nl-NL"/>
        </w:rPr>
        <w:t>” (</w:t>
      </w:r>
      <w:r w:rsidRPr="001E5295" w:rsidR="001E5295">
        <w:rPr>
          <w:rFonts w:ascii="Verdana" w:hAnsi="Verdana"/>
          <w:sz w:val="18"/>
          <w:szCs w:val="18"/>
          <w:lang w:val="nl-NL"/>
        </w:rPr>
        <w:t>Kamerstukken II 2011/12, 33 121, nr. 3, inleiding van paragraaf 2</w:t>
      </w:r>
      <w:r w:rsidRPr="00CC59C7" w:rsidR="00CC59C7">
        <w:rPr>
          <w:rFonts w:ascii="Verdana" w:hAnsi="Verdana"/>
          <w:sz w:val="18"/>
          <w:szCs w:val="18"/>
          <w:lang w:val="nl-NL"/>
        </w:rPr>
        <w:t>)</w:t>
      </w:r>
      <w:r w:rsidR="00636934">
        <w:rPr>
          <w:rFonts w:ascii="Verdana" w:hAnsi="Verdana"/>
          <w:sz w:val="18"/>
          <w:szCs w:val="18"/>
          <w:lang w:val="nl-NL"/>
        </w:rPr>
        <w:t>.</w:t>
      </w:r>
      <w:r w:rsidR="00A332D6">
        <w:rPr>
          <w:rFonts w:ascii="Verdana" w:hAnsi="Verdana"/>
          <w:sz w:val="18"/>
          <w:szCs w:val="18"/>
          <w:lang w:val="nl-NL"/>
        </w:rPr>
        <w:t xml:space="preserve"> </w:t>
      </w:r>
      <w:r w:rsidR="00350600">
        <w:rPr>
          <w:rFonts w:ascii="Verdana" w:hAnsi="Verdana"/>
          <w:sz w:val="18"/>
          <w:szCs w:val="18"/>
          <w:lang w:val="nl-NL"/>
        </w:rPr>
        <w:t xml:space="preserve">De samenloop van de </w:t>
      </w:r>
      <w:r w:rsidR="00636934">
        <w:rPr>
          <w:rFonts w:ascii="Verdana" w:hAnsi="Verdana"/>
          <w:sz w:val="18"/>
          <w:szCs w:val="18"/>
          <w:lang w:val="nl-NL"/>
        </w:rPr>
        <w:t xml:space="preserve">heffing van </w:t>
      </w:r>
      <w:r w:rsidR="00337654">
        <w:rPr>
          <w:rFonts w:ascii="Verdana" w:hAnsi="Verdana"/>
          <w:sz w:val="18"/>
          <w:szCs w:val="18"/>
          <w:lang w:val="nl-NL"/>
        </w:rPr>
        <w:t xml:space="preserve">de Nederlandse </w:t>
      </w:r>
      <w:r w:rsidR="00350600">
        <w:rPr>
          <w:rFonts w:ascii="Verdana" w:hAnsi="Verdana"/>
          <w:sz w:val="18"/>
          <w:szCs w:val="18"/>
          <w:lang w:val="nl-NL"/>
        </w:rPr>
        <w:t xml:space="preserve">bankenbelasting </w:t>
      </w:r>
      <w:r w:rsidR="00337654">
        <w:rPr>
          <w:rFonts w:ascii="Verdana" w:hAnsi="Verdana"/>
          <w:sz w:val="18"/>
          <w:szCs w:val="18"/>
          <w:lang w:val="nl-NL"/>
        </w:rPr>
        <w:t xml:space="preserve">en de heffing van de “Bank </w:t>
      </w:r>
      <w:proofErr w:type="spellStart"/>
      <w:r w:rsidR="00337654">
        <w:rPr>
          <w:rFonts w:ascii="Verdana" w:hAnsi="Verdana"/>
          <w:sz w:val="18"/>
          <w:szCs w:val="18"/>
          <w:lang w:val="nl-NL"/>
        </w:rPr>
        <w:t>Levy</w:t>
      </w:r>
      <w:proofErr w:type="spellEnd"/>
      <w:r w:rsidR="00337654">
        <w:rPr>
          <w:rFonts w:ascii="Verdana" w:hAnsi="Verdana"/>
          <w:sz w:val="18"/>
          <w:szCs w:val="18"/>
          <w:lang w:val="nl-NL"/>
        </w:rPr>
        <w:t>” (</w:t>
      </w:r>
      <w:r w:rsidRPr="00CC59C7" w:rsidR="00337654">
        <w:rPr>
          <w:rFonts w:ascii="Verdana" w:hAnsi="Verdana"/>
          <w:sz w:val="18"/>
          <w:szCs w:val="18"/>
          <w:lang w:val="nl-NL"/>
        </w:rPr>
        <w:t>hierna: Britse bankenbelasting</w:t>
      </w:r>
      <w:r w:rsidR="00337654">
        <w:rPr>
          <w:rFonts w:ascii="Verdana" w:hAnsi="Verdana"/>
          <w:sz w:val="18"/>
          <w:szCs w:val="18"/>
          <w:lang w:val="nl-NL"/>
        </w:rPr>
        <w:t xml:space="preserve">) </w:t>
      </w:r>
      <w:r w:rsidR="00636934">
        <w:rPr>
          <w:rFonts w:ascii="Verdana" w:hAnsi="Verdana"/>
          <w:sz w:val="18"/>
          <w:szCs w:val="18"/>
          <w:lang w:val="nl-NL"/>
        </w:rPr>
        <w:t>door</w:t>
      </w:r>
      <w:r w:rsidR="00350600">
        <w:rPr>
          <w:rFonts w:ascii="Verdana" w:hAnsi="Verdana"/>
          <w:sz w:val="18"/>
          <w:szCs w:val="18"/>
          <w:lang w:val="nl-NL"/>
        </w:rPr>
        <w:t xml:space="preserve"> het VK </w:t>
      </w:r>
      <w:r w:rsidR="00D06CD0">
        <w:rPr>
          <w:rFonts w:ascii="Verdana" w:hAnsi="Verdana"/>
          <w:sz w:val="18"/>
          <w:szCs w:val="18"/>
          <w:lang w:val="nl-NL"/>
        </w:rPr>
        <w:t xml:space="preserve">en de grensoverschrijdende activiteiten van de banken van beide landen </w:t>
      </w:r>
      <w:r w:rsidR="00350600">
        <w:rPr>
          <w:rFonts w:ascii="Verdana" w:hAnsi="Verdana"/>
          <w:sz w:val="18"/>
          <w:szCs w:val="18"/>
          <w:lang w:val="nl-NL"/>
        </w:rPr>
        <w:t>kan</w:t>
      </w:r>
      <w:r w:rsidR="000A1153">
        <w:rPr>
          <w:rFonts w:ascii="Verdana" w:hAnsi="Verdana"/>
          <w:sz w:val="18"/>
          <w:szCs w:val="18"/>
          <w:lang w:val="nl-NL"/>
        </w:rPr>
        <w:t xml:space="preserve"> daarom</w:t>
      </w:r>
      <w:r w:rsidR="00350600">
        <w:rPr>
          <w:rFonts w:ascii="Verdana" w:hAnsi="Verdana"/>
          <w:sz w:val="18"/>
          <w:szCs w:val="18"/>
          <w:lang w:val="nl-NL"/>
        </w:rPr>
        <w:t xml:space="preserve"> leiden tot dubbele bankenbelasting. </w:t>
      </w:r>
    </w:p>
    <w:p w:rsidR="00B91918" w:rsidP="00FA42A5" w:rsidRDefault="0061011F">
      <w:pPr>
        <w:spacing w:after="240" w:line="360" w:lineRule="auto"/>
        <w:rPr>
          <w:rFonts w:ascii="Verdana" w:hAnsi="Verdana"/>
          <w:sz w:val="18"/>
          <w:szCs w:val="18"/>
          <w:lang w:val="nl-NL"/>
        </w:rPr>
      </w:pPr>
      <w:r>
        <w:rPr>
          <w:rFonts w:ascii="Verdana" w:hAnsi="Verdana"/>
          <w:sz w:val="18"/>
          <w:szCs w:val="18"/>
          <w:lang w:val="nl-NL"/>
        </w:rPr>
        <w:t xml:space="preserve">Tijdens de parlementaire behandeling van </w:t>
      </w:r>
      <w:r w:rsidR="00640B53">
        <w:rPr>
          <w:rFonts w:ascii="Verdana" w:hAnsi="Verdana"/>
          <w:sz w:val="18"/>
          <w:szCs w:val="18"/>
          <w:lang w:val="nl-NL"/>
        </w:rPr>
        <w:t xml:space="preserve">het </w:t>
      </w:r>
      <w:r w:rsidR="00D06CD0">
        <w:rPr>
          <w:rFonts w:ascii="Verdana" w:hAnsi="Verdana"/>
          <w:sz w:val="18"/>
          <w:szCs w:val="18"/>
          <w:lang w:val="nl-NL"/>
        </w:rPr>
        <w:t>hiervoor al genoemde wetsvo</w:t>
      </w:r>
      <w:r w:rsidR="00DF3F95">
        <w:rPr>
          <w:rFonts w:ascii="Verdana" w:hAnsi="Verdana"/>
          <w:sz w:val="18"/>
          <w:szCs w:val="18"/>
          <w:lang w:val="nl-NL"/>
        </w:rPr>
        <w:t xml:space="preserve">orstel </w:t>
      </w:r>
      <w:r w:rsidR="004650B4">
        <w:rPr>
          <w:rFonts w:ascii="Verdana" w:hAnsi="Verdana"/>
          <w:sz w:val="18"/>
          <w:szCs w:val="18"/>
          <w:lang w:val="nl-NL"/>
        </w:rPr>
        <w:t>(</w:t>
      </w:r>
      <w:r w:rsidRPr="001E5295" w:rsidR="001E5295">
        <w:rPr>
          <w:rFonts w:ascii="Verdana" w:hAnsi="Verdana"/>
          <w:sz w:val="18"/>
          <w:szCs w:val="18"/>
          <w:lang w:val="nl-NL"/>
        </w:rPr>
        <w:t>Kamerstukken II 2011/12, 33 121, nr. 2</w:t>
      </w:r>
      <w:r w:rsidR="002036A1">
        <w:rPr>
          <w:rFonts w:ascii="Verdana" w:hAnsi="Verdana"/>
          <w:sz w:val="18"/>
          <w:szCs w:val="18"/>
          <w:lang w:val="nl-NL"/>
        </w:rPr>
        <w:t xml:space="preserve"> en </w:t>
      </w:r>
      <w:r w:rsidRPr="001E5295" w:rsidR="001E5295">
        <w:rPr>
          <w:rFonts w:ascii="Verdana" w:hAnsi="Verdana"/>
          <w:sz w:val="18"/>
          <w:szCs w:val="18"/>
          <w:lang w:val="nl-NL"/>
        </w:rPr>
        <w:t>nr. 7)</w:t>
      </w:r>
      <w:r w:rsidR="00640B53">
        <w:rPr>
          <w:rFonts w:ascii="Verdana" w:hAnsi="Verdana"/>
          <w:sz w:val="18"/>
          <w:szCs w:val="18"/>
          <w:lang w:val="nl-NL"/>
        </w:rPr>
        <w:t xml:space="preserve"> is door de Tweede Kamer de wens uitgesproken om dubbele bankenbelasting te vermijden.</w:t>
      </w:r>
      <w:r w:rsidRPr="00EE689D" w:rsidR="00EE689D">
        <w:rPr>
          <w:lang w:val="nl-NL"/>
        </w:rPr>
        <w:t xml:space="preserve"> </w:t>
      </w:r>
      <w:r w:rsidR="00640B53">
        <w:rPr>
          <w:rFonts w:ascii="Verdana" w:hAnsi="Verdana"/>
          <w:sz w:val="18"/>
          <w:szCs w:val="18"/>
          <w:lang w:val="nl-NL"/>
        </w:rPr>
        <w:t xml:space="preserve">Daarbij is het kabinet </w:t>
      </w:r>
      <w:r w:rsidRPr="0061011F">
        <w:rPr>
          <w:rFonts w:ascii="Verdana" w:hAnsi="Verdana"/>
          <w:sz w:val="18"/>
          <w:szCs w:val="18"/>
          <w:lang w:val="nl-NL"/>
        </w:rPr>
        <w:t xml:space="preserve">in de motie </w:t>
      </w:r>
      <w:proofErr w:type="spellStart"/>
      <w:r w:rsidRPr="0061011F">
        <w:rPr>
          <w:rFonts w:ascii="Verdana" w:hAnsi="Verdana"/>
          <w:sz w:val="18"/>
          <w:szCs w:val="18"/>
          <w:lang w:val="nl-NL"/>
        </w:rPr>
        <w:t>Neppérus</w:t>
      </w:r>
      <w:proofErr w:type="spellEnd"/>
      <w:r w:rsidR="002036A1">
        <w:rPr>
          <w:rFonts w:ascii="Verdana" w:hAnsi="Verdana"/>
          <w:sz w:val="18"/>
          <w:szCs w:val="18"/>
          <w:lang w:val="nl-NL"/>
        </w:rPr>
        <w:t xml:space="preserve"> c.s.</w:t>
      </w:r>
      <w:r w:rsidR="00337654">
        <w:rPr>
          <w:rFonts w:ascii="Verdana" w:hAnsi="Verdana"/>
          <w:sz w:val="18"/>
          <w:szCs w:val="18"/>
          <w:lang w:val="nl-NL"/>
        </w:rPr>
        <w:t xml:space="preserve"> (</w:t>
      </w:r>
      <w:r w:rsidRPr="001E5295" w:rsidR="001E5295">
        <w:rPr>
          <w:rFonts w:ascii="Verdana" w:hAnsi="Verdana"/>
          <w:sz w:val="18"/>
          <w:szCs w:val="18"/>
          <w:lang w:val="nl-NL"/>
        </w:rPr>
        <w:t>Kamerstukken II 2011/12, 33 121, nr. 2</w:t>
      </w:r>
      <w:r w:rsidR="002036A1">
        <w:rPr>
          <w:rFonts w:ascii="Verdana" w:hAnsi="Verdana"/>
          <w:sz w:val="18"/>
          <w:szCs w:val="18"/>
          <w:lang w:val="nl-NL"/>
        </w:rPr>
        <w:t>1</w:t>
      </w:r>
      <w:r w:rsidRPr="001E5295" w:rsidR="001E5295">
        <w:rPr>
          <w:rFonts w:ascii="Verdana" w:hAnsi="Verdana"/>
          <w:sz w:val="18"/>
          <w:szCs w:val="18"/>
          <w:lang w:val="nl-NL"/>
        </w:rPr>
        <w:t>)</w:t>
      </w:r>
      <w:r w:rsidRPr="0061011F">
        <w:rPr>
          <w:rFonts w:ascii="Verdana" w:hAnsi="Verdana"/>
          <w:sz w:val="18"/>
          <w:szCs w:val="18"/>
          <w:lang w:val="nl-NL"/>
        </w:rPr>
        <w:t xml:space="preserve"> verzocht om, naast </w:t>
      </w:r>
      <w:r w:rsidR="00D06CD0">
        <w:rPr>
          <w:rFonts w:ascii="Verdana" w:hAnsi="Verdana"/>
          <w:sz w:val="18"/>
          <w:szCs w:val="18"/>
          <w:lang w:val="nl-NL"/>
        </w:rPr>
        <w:t xml:space="preserve">het treffen van </w:t>
      </w:r>
      <w:r w:rsidRPr="0061011F">
        <w:rPr>
          <w:rFonts w:ascii="Verdana" w:hAnsi="Verdana"/>
          <w:sz w:val="18"/>
          <w:szCs w:val="18"/>
          <w:lang w:val="nl-NL"/>
        </w:rPr>
        <w:t>een unilaterale regeling ter voorkoming van dubbele bankenbelasting</w:t>
      </w:r>
      <w:r w:rsidR="00337654">
        <w:rPr>
          <w:rFonts w:ascii="Verdana" w:hAnsi="Verdana"/>
          <w:sz w:val="18"/>
          <w:szCs w:val="18"/>
          <w:lang w:val="nl-NL"/>
        </w:rPr>
        <w:t xml:space="preserve"> (</w:t>
      </w:r>
      <w:r w:rsidR="001076A4">
        <w:rPr>
          <w:rFonts w:ascii="Verdana" w:hAnsi="Verdana"/>
          <w:sz w:val="18"/>
          <w:szCs w:val="18"/>
          <w:lang w:val="nl-NL"/>
        </w:rPr>
        <w:t>d</w:t>
      </w:r>
      <w:r w:rsidRPr="001E5295" w:rsidR="001E5295">
        <w:rPr>
          <w:rFonts w:ascii="Verdana" w:hAnsi="Verdana"/>
          <w:sz w:val="18"/>
          <w:szCs w:val="18"/>
          <w:lang w:val="nl-NL"/>
        </w:rPr>
        <w:t xml:space="preserve">eze regeling is </w:t>
      </w:r>
      <w:proofErr w:type="gramStart"/>
      <w:r w:rsidRPr="001E5295" w:rsidR="001E5295">
        <w:rPr>
          <w:rFonts w:ascii="Verdana" w:hAnsi="Verdana"/>
          <w:sz w:val="18"/>
          <w:szCs w:val="18"/>
          <w:lang w:val="nl-NL"/>
        </w:rPr>
        <w:t>inmiddels</w:t>
      </w:r>
      <w:proofErr w:type="gramEnd"/>
      <w:r w:rsidRPr="001E5295" w:rsidR="001E5295">
        <w:rPr>
          <w:rFonts w:ascii="Verdana" w:hAnsi="Verdana"/>
          <w:sz w:val="18"/>
          <w:szCs w:val="18"/>
          <w:lang w:val="nl-NL"/>
        </w:rPr>
        <w:t xml:space="preserve"> tot stand gekomen</w:t>
      </w:r>
      <w:r w:rsidR="001076A4">
        <w:rPr>
          <w:rFonts w:ascii="Verdana" w:hAnsi="Verdana"/>
          <w:sz w:val="18"/>
          <w:szCs w:val="18"/>
          <w:lang w:val="nl-NL"/>
        </w:rPr>
        <w:t xml:space="preserve"> </w:t>
      </w:r>
      <w:r w:rsidR="003F4FC2">
        <w:rPr>
          <w:rFonts w:ascii="Verdana" w:hAnsi="Verdana"/>
          <w:sz w:val="18"/>
          <w:szCs w:val="18"/>
          <w:lang w:val="nl-NL"/>
        </w:rPr>
        <w:t xml:space="preserve">met het Besluit van 11 augustus 2012 tot wijziging van het Besluit voorkoming dubbele belasting 2001 in verband met de invoering van een bankenbelasting, </w:t>
      </w:r>
      <w:r w:rsidRPr="003F4FC2" w:rsidR="001E5295">
        <w:rPr>
          <w:rFonts w:ascii="Verdana" w:hAnsi="Verdana"/>
          <w:sz w:val="18"/>
          <w:szCs w:val="18"/>
          <w:lang w:val="nl-NL"/>
        </w:rPr>
        <w:t>Stb</w:t>
      </w:r>
      <w:r w:rsidRPr="001E5295" w:rsidR="001E5295">
        <w:rPr>
          <w:rFonts w:ascii="Verdana" w:hAnsi="Verdana"/>
          <w:sz w:val="18"/>
          <w:szCs w:val="18"/>
          <w:lang w:val="nl-NL"/>
        </w:rPr>
        <w:t>. 2012, 365</w:t>
      </w:r>
      <w:r w:rsidR="001076A4">
        <w:rPr>
          <w:rFonts w:ascii="Verdana" w:hAnsi="Verdana"/>
          <w:sz w:val="18"/>
          <w:szCs w:val="18"/>
          <w:lang w:val="nl-NL"/>
        </w:rPr>
        <w:t>)</w:t>
      </w:r>
      <w:r w:rsidRPr="0061011F">
        <w:rPr>
          <w:rFonts w:ascii="Verdana" w:hAnsi="Verdana"/>
          <w:sz w:val="18"/>
          <w:szCs w:val="18"/>
          <w:lang w:val="nl-NL"/>
        </w:rPr>
        <w:t>, te komen tot een bilaterale verdeling van heffingsrechten in grensoverschrijdende situaties en de Tweede Kamer voor 1</w:t>
      </w:r>
      <w:r w:rsidR="0097545A">
        <w:rPr>
          <w:rFonts w:ascii="Verdana" w:hAnsi="Verdana"/>
          <w:sz w:val="18"/>
          <w:szCs w:val="18"/>
          <w:lang w:val="nl-NL"/>
        </w:rPr>
        <w:t xml:space="preserve"> </w:t>
      </w:r>
      <w:r w:rsidRPr="0061011F">
        <w:rPr>
          <w:rFonts w:ascii="Verdana" w:hAnsi="Verdana"/>
          <w:sz w:val="18"/>
          <w:szCs w:val="18"/>
          <w:lang w:val="nl-NL"/>
        </w:rPr>
        <w:t xml:space="preserve">oktober 2012 over de voortgang te rapporteren. Met het </w:t>
      </w:r>
      <w:r w:rsidR="007C5F74">
        <w:rPr>
          <w:rFonts w:ascii="Verdana" w:hAnsi="Verdana"/>
          <w:sz w:val="18"/>
          <w:szCs w:val="18"/>
          <w:lang w:val="nl-NL"/>
        </w:rPr>
        <w:t>voorliggende V</w:t>
      </w:r>
      <w:r w:rsidRPr="0061011F">
        <w:rPr>
          <w:rFonts w:ascii="Verdana" w:hAnsi="Verdana"/>
          <w:sz w:val="18"/>
          <w:szCs w:val="18"/>
          <w:lang w:val="nl-NL"/>
        </w:rPr>
        <w:t xml:space="preserve">erdrag, </w:t>
      </w:r>
      <w:proofErr w:type="gramStart"/>
      <w:r w:rsidRPr="0061011F">
        <w:rPr>
          <w:rFonts w:ascii="Verdana" w:hAnsi="Verdana"/>
          <w:sz w:val="18"/>
          <w:szCs w:val="18"/>
          <w:lang w:val="nl-NL"/>
        </w:rPr>
        <w:t>ter zake</w:t>
      </w:r>
      <w:proofErr w:type="gramEnd"/>
      <w:r w:rsidRPr="0061011F">
        <w:rPr>
          <w:rFonts w:ascii="Verdana" w:hAnsi="Verdana"/>
          <w:sz w:val="18"/>
          <w:szCs w:val="18"/>
          <w:lang w:val="nl-NL"/>
        </w:rPr>
        <w:t xml:space="preserve"> waarvan </w:t>
      </w:r>
    </w:p>
    <w:p w:rsidR="005335CB" w:rsidP="00FA42A5" w:rsidRDefault="0061011F">
      <w:pPr>
        <w:spacing w:after="240" w:line="360" w:lineRule="auto"/>
        <w:rPr>
          <w:rFonts w:ascii="Verdana" w:hAnsi="Verdana"/>
          <w:sz w:val="18"/>
          <w:szCs w:val="18"/>
          <w:lang w:val="nl-NL"/>
        </w:rPr>
      </w:pPr>
      <w:proofErr w:type="gramStart"/>
      <w:r w:rsidRPr="0061011F">
        <w:rPr>
          <w:rFonts w:ascii="Verdana" w:hAnsi="Verdana"/>
          <w:sz w:val="18"/>
          <w:szCs w:val="18"/>
          <w:lang w:val="nl-NL"/>
        </w:rPr>
        <w:lastRenderedPageBreak/>
        <w:t>over</w:t>
      </w:r>
      <w:proofErr w:type="gramEnd"/>
      <w:r w:rsidRPr="0061011F">
        <w:rPr>
          <w:rFonts w:ascii="Verdana" w:hAnsi="Verdana"/>
          <w:sz w:val="18"/>
          <w:szCs w:val="18"/>
          <w:lang w:val="nl-NL"/>
        </w:rPr>
        <w:t xml:space="preserve"> de ambtelijk bereikte overeenstemming reeds is bericht in de </w:t>
      </w:r>
      <w:r w:rsidR="00D06CD0">
        <w:rPr>
          <w:rFonts w:ascii="Verdana" w:hAnsi="Verdana"/>
          <w:sz w:val="18"/>
          <w:szCs w:val="18"/>
          <w:lang w:val="nl-NL"/>
        </w:rPr>
        <w:t>brief van de Staatsecretaris van Financiën van 27 september 2012</w:t>
      </w:r>
      <w:r w:rsidR="00E30452">
        <w:rPr>
          <w:rFonts w:ascii="Verdana" w:hAnsi="Verdana"/>
          <w:sz w:val="18"/>
          <w:szCs w:val="18"/>
          <w:lang w:val="nl-NL"/>
        </w:rPr>
        <w:t xml:space="preserve"> (</w:t>
      </w:r>
      <w:r w:rsidRPr="001E5295" w:rsidR="001E5295">
        <w:rPr>
          <w:rFonts w:ascii="Verdana" w:hAnsi="Verdana"/>
          <w:sz w:val="18"/>
          <w:szCs w:val="18"/>
          <w:lang w:val="nl-NL"/>
        </w:rPr>
        <w:t>Kamerstukken II 2012/13, 33 121, nr. 34)</w:t>
      </w:r>
      <w:r w:rsidRPr="0061011F">
        <w:rPr>
          <w:rFonts w:ascii="Verdana" w:hAnsi="Verdana"/>
          <w:sz w:val="18"/>
          <w:szCs w:val="18"/>
          <w:lang w:val="nl-NL"/>
        </w:rPr>
        <w:t xml:space="preserve">, </w:t>
      </w:r>
      <w:r w:rsidR="00A107F1">
        <w:rPr>
          <w:rFonts w:ascii="Verdana" w:hAnsi="Verdana"/>
          <w:sz w:val="18"/>
          <w:szCs w:val="18"/>
          <w:lang w:val="nl-NL"/>
        </w:rPr>
        <w:t>wordt uitvoering gegeven aan het</w:t>
      </w:r>
      <w:r w:rsidRPr="0061011F">
        <w:rPr>
          <w:rFonts w:ascii="Verdana" w:hAnsi="Verdana"/>
          <w:sz w:val="18"/>
          <w:szCs w:val="18"/>
          <w:lang w:val="nl-NL"/>
        </w:rPr>
        <w:t xml:space="preserve"> streven te komen tot bilaterale regelingen ter vermijding van dubbele bankenbelasting.</w:t>
      </w:r>
    </w:p>
    <w:p w:rsidR="005335CB" w:rsidP="00FA42A5" w:rsidRDefault="001D6B88">
      <w:pPr>
        <w:spacing w:after="240" w:line="360" w:lineRule="auto"/>
        <w:rPr>
          <w:rFonts w:ascii="Verdana" w:hAnsi="Verdana"/>
          <w:sz w:val="18"/>
          <w:szCs w:val="18"/>
          <w:lang w:val="nl-NL"/>
        </w:rPr>
      </w:pPr>
      <w:r>
        <w:rPr>
          <w:rFonts w:ascii="Verdana" w:hAnsi="Verdana"/>
          <w:sz w:val="18"/>
          <w:szCs w:val="18"/>
          <w:lang w:val="nl-NL"/>
        </w:rPr>
        <w:t>Begin</w:t>
      </w:r>
      <w:r w:rsidR="00C43596">
        <w:rPr>
          <w:rFonts w:ascii="Verdana" w:hAnsi="Verdana"/>
          <w:sz w:val="18"/>
          <w:szCs w:val="18"/>
          <w:lang w:val="nl-NL"/>
        </w:rPr>
        <w:t xml:space="preserve"> 2012 is </w:t>
      </w:r>
      <w:r w:rsidRPr="001D6B88">
        <w:rPr>
          <w:rFonts w:ascii="Verdana" w:hAnsi="Verdana"/>
          <w:sz w:val="18"/>
          <w:szCs w:val="18"/>
          <w:lang w:val="nl-NL"/>
        </w:rPr>
        <w:t>voor het eerst met het VK gesproken over de mogelijkheden om tot een verdrag ter v</w:t>
      </w:r>
      <w:r>
        <w:rPr>
          <w:rFonts w:ascii="Verdana" w:hAnsi="Verdana"/>
          <w:sz w:val="18"/>
          <w:szCs w:val="18"/>
          <w:lang w:val="nl-NL"/>
        </w:rPr>
        <w:t>ermijding</w:t>
      </w:r>
      <w:r w:rsidRPr="001D6B88">
        <w:rPr>
          <w:rFonts w:ascii="Verdana" w:hAnsi="Verdana"/>
          <w:sz w:val="18"/>
          <w:szCs w:val="18"/>
          <w:lang w:val="nl-NL"/>
        </w:rPr>
        <w:t xml:space="preserve"> van dubbele bankenbelasting te komen. In de maanden daarna </w:t>
      </w:r>
      <w:r w:rsidR="00C43596">
        <w:rPr>
          <w:rFonts w:ascii="Verdana" w:hAnsi="Verdana"/>
          <w:sz w:val="18"/>
          <w:szCs w:val="18"/>
          <w:lang w:val="nl-NL"/>
        </w:rPr>
        <w:t xml:space="preserve">zijn door beide staten </w:t>
      </w:r>
      <w:r w:rsidR="0024316A">
        <w:rPr>
          <w:rFonts w:ascii="Verdana" w:hAnsi="Verdana"/>
          <w:sz w:val="18"/>
          <w:szCs w:val="18"/>
          <w:lang w:val="nl-NL"/>
        </w:rPr>
        <w:t>ontwerp</w:t>
      </w:r>
      <w:r w:rsidRPr="001D6B88">
        <w:rPr>
          <w:rFonts w:ascii="Verdana" w:hAnsi="Verdana"/>
          <w:sz w:val="18"/>
          <w:szCs w:val="18"/>
          <w:lang w:val="nl-NL"/>
        </w:rPr>
        <w:t>verdragstekst</w:t>
      </w:r>
      <w:r w:rsidR="00C43596">
        <w:rPr>
          <w:rFonts w:ascii="Verdana" w:hAnsi="Verdana"/>
          <w:sz w:val="18"/>
          <w:szCs w:val="18"/>
          <w:lang w:val="nl-NL"/>
        </w:rPr>
        <w:t>en</w:t>
      </w:r>
      <w:r w:rsidRPr="001D6B88">
        <w:rPr>
          <w:rFonts w:ascii="Verdana" w:hAnsi="Verdana"/>
          <w:sz w:val="18"/>
          <w:szCs w:val="18"/>
          <w:lang w:val="nl-NL"/>
        </w:rPr>
        <w:t xml:space="preserve"> uitgewisseld</w:t>
      </w:r>
      <w:r>
        <w:rPr>
          <w:rFonts w:ascii="Verdana" w:hAnsi="Verdana"/>
          <w:sz w:val="18"/>
          <w:szCs w:val="18"/>
          <w:lang w:val="nl-NL"/>
        </w:rPr>
        <w:t xml:space="preserve">. </w:t>
      </w:r>
      <w:r w:rsidR="00C43596">
        <w:rPr>
          <w:rFonts w:ascii="Verdana" w:hAnsi="Verdana"/>
          <w:sz w:val="18"/>
          <w:szCs w:val="18"/>
          <w:lang w:val="nl-NL"/>
        </w:rPr>
        <w:t>Voor beide</w:t>
      </w:r>
      <w:r w:rsidRPr="001D6B88">
        <w:rPr>
          <w:rFonts w:ascii="Verdana" w:hAnsi="Verdana"/>
          <w:sz w:val="18"/>
          <w:szCs w:val="18"/>
          <w:lang w:val="nl-NL"/>
        </w:rPr>
        <w:t xml:space="preserve"> </w:t>
      </w:r>
      <w:r w:rsidR="0024316A">
        <w:rPr>
          <w:rFonts w:ascii="Verdana" w:hAnsi="Verdana"/>
          <w:sz w:val="18"/>
          <w:szCs w:val="18"/>
          <w:lang w:val="nl-NL"/>
        </w:rPr>
        <w:t>ontwerp</w:t>
      </w:r>
      <w:r w:rsidRPr="001D6B88">
        <w:rPr>
          <w:rFonts w:ascii="Verdana" w:hAnsi="Verdana"/>
          <w:sz w:val="18"/>
          <w:szCs w:val="18"/>
          <w:lang w:val="nl-NL"/>
        </w:rPr>
        <w:t xml:space="preserve">teksten </w:t>
      </w:r>
      <w:r w:rsidR="00C43596">
        <w:rPr>
          <w:rFonts w:ascii="Verdana" w:hAnsi="Verdana"/>
          <w:sz w:val="18"/>
          <w:szCs w:val="18"/>
          <w:lang w:val="nl-NL"/>
        </w:rPr>
        <w:t xml:space="preserve">is </w:t>
      </w:r>
      <w:r w:rsidRPr="001D6B88">
        <w:rPr>
          <w:rFonts w:ascii="Verdana" w:hAnsi="Verdana"/>
          <w:sz w:val="18"/>
          <w:szCs w:val="18"/>
          <w:lang w:val="nl-NL"/>
        </w:rPr>
        <w:t>het verdrag ter vermijding van dubbele bankenbelast</w:t>
      </w:r>
      <w:r w:rsidR="00C43596">
        <w:rPr>
          <w:rFonts w:ascii="Verdana" w:hAnsi="Verdana"/>
          <w:sz w:val="18"/>
          <w:szCs w:val="18"/>
          <w:lang w:val="nl-NL"/>
        </w:rPr>
        <w:t xml:space="preserve">ing </w:t>
      </w:r>
      <w:r w:rsidR="00986F00">
        <w:rPr>
          <w:rFonts w:ascii="Verdana" w:hAnsi="Verdana"/>
          <w:sz w:val="18"/>
          <w:szCs w:val="18"/>
          <w:lang w:val="nl-NL"/>
        </w:rPr>
        <w:t xml:space="preserve">dat is gesloten </w:t>
      </w:r>
      <w:r w:rsidR="00C43596">
        <w:rPr>
          <w:rFonts w:ascii="Verdana" w:hAnsi="Verdana"/>
          <w:sz w:val="18"/>
          <w:szCs w:val="18"/>
          <w:lang w:val="nl-NL"/>
        </w:rPr>
        <w:t xml:space="preserve">tussen het VK en Duitsland </w:t>
      </w:r>
      <w:r w:rsidR="0060730F">
        <w:rPr>
          <w:rFonts w:ascii="Verdana" w:hAnsi="Verdana"/>
          <w:sz w:val="18"/>
          <w:szCs w:val="18"/>
          <w:lang w:val="nl-NL"/>
        </w:rPr>
        <w:t xml:space="preserve">op 21 februari 2012 </w:t>
      </w:r>
      <w:r w:rsidR="00C43596">
        <w:rPr>
          <w:rFonts w:ascii="Verdana" w:hAnsi="Verdana"/>
          <w:sz w:val="18"/>
          <w:szCs w:val="18"/>
          <w:lang w:val="nl-NL"/>
        </w:rPr>
        <w:t xml:space="preserve">het </w:t>
      </w:r>
      <w:r w:rsidR="0024316A">
        <w:rPr>
          <w:rFonts w:ascii="Verdana" w:hAnsi="Verdana"/>
          <w:sz w:val="18"/>
          <w:szCs w:val="18"/>
          <w:lang w:val="nl-NL"/>
        </w:rPr>
        <w:t>vertrek</w:t>
      </w:r>
      <w:r w:rsidR="00C43596">
        <w:rPr>
          <w:rFonts w:ascii="Verdana" w:hAnsi="Verdana"/>
          <w:sz w:val="18"/>
          <w:szCs w:val="18"/>
          <w:lang w:val="nl-NL"/>
        </w:rPr>
        <w:t>punt geweest</w:t>
      </w:r>
      <w:r w:rsidR="00E30452">
        <w:rPr>
          <w:rFonts w:ascii="Verdana" w:hAnsi="Verdana"/>
          <w:sz w:val="18"/>
          <w:szCs w:val="18"/>
          <w:lang w:val="nl-NL"/>
        </w:rPr>
        <w:t xml:space="preserve"> </w:t>
      </w:r>
      <w:proofErr w:type="gramStart"/>
      <w:r w:rsidR="00E30452">
        <w:rPr>
          <w:rFonts w:ascii="Verdana" w:hAnsi="Verdana"/>
          <w:sz w:val="18"/>
          <w:szCs w:val="18"/>
          <w:lang w:val="nl-NL"/>
        </w:rPr>
        <w:t>(</w:t>
      </w:r>
      <w:r w:rsidRPr="001E5295" w:rsidR="001E5295">
        <w:rPr>
          <w:rFonts w:ascii="Verdana" w:hAnsi="Verdana"/>
          <w:sz w:val="18"/>
          <w:szCs w:val="18"/>
          <w:lang w:val="nl-NL"/>
        </w:rPr>
        <w:t>http://www.legislation.gov.uk/uksi/2012/459/pdfs/uksi_20120459_en.pdf)</w:t>
      </w:r>
      <w:r w:rsidR="004E3A93">
        <w:rPr>
          <w:rFonts w:ascii="Verdana" w:hAnsi="Verdana"/>
          <w:sz w:val="18"/>
          <w:szCs w:val="18"/>
          <w:lang w:val="nl-NL"/>
        </w:rPr>
        <w:t>.</w:t>
      </w:r>
      <w:r w:rsidR="00227EE0">
        <w:rPr>
          <w:rFonts w:ascii="Verdana" w:hAnsi="Verdana"/>
          <w:sz w:val="18"/>
          <w:szCs w:val="18"/>
          <w:lang w:val="nl-NL"/>
        </w:rPr>
        <w:t xml:space="preserve"> </w:t>
      </w:r>
      <w:r w:rsidR="0069235E">
        <w:rPr>
          <w:rFonts w:ascii="Verdana" w:hAnsi="Verdana"/>
          <w:sz w:val="18"/>
          <w:szCs w:val="18"/>
          <w:lang w:val="nl-NL"/>
        </w:rPr>
        <w:t xml:space="preserve"> </w:t>
      </w:r>
      <w:proofErr w:type="gramEnd"/>
    </w:p>
    <w:p w:rsidR="00C702EC" w:rsidP="00FA42A5" w:rsidRDefault="00CF6973">
      <w:pPr>
        <w:spacing w:after="240" w:line="360" w:lineRule="auto"/>
        <w:rPr>
          <w:rFonts w:ascii="Verdana" w:hAnsi="Verdana"/>
          <w:bCs/>
          <w:iCs/>
          <w:sz w:val="18"/>
          <w:szCs w:val="18"/>
          <w:lang w:val="nl-NL"/>
        </w:rPr>
      </w:pPr>
      <w:r>
        <w:rPr>
          <w:rFonts w:ascii="Verdana" w:hAnsi="Verdana"/>
          <w:bCs/>
          <w:iCs/>
          <w:sz w:val="18"/>
          <w:szCs w:val="18"/>
          <w:lang w:val="nl-NL"/>
        </w:rPr>
        <w:t xml:space="preserve">In juli </w:t>
      </w:r>
      <w:r w:rsidR="0049049C">
        <w:rPr>
          <w:rFonts w:ascii="Verdana" w:hAnsi="Verdana"/>
          <w:bCs/>
          <w:iCs/>
          <w:sz w:val="18"/>
          <w:szCs w:val="18"/>
          <w:lang w:val="nl-NL"/>
        </w:rPr>
        <w:t xml:space="preserve">2012 </w:t>
      </w:r>
      <w:r>
        <w:rPr>
          <w:rFonts w:ascii="Verdana" w:hAnsi="Verdana"/>
          <w:bCs/>
          <w:iCs/>
          <w:sz w:val="18"/>
          <w:szCs w:val="18"/>
          <w:lang w:val="nl-NL"/>
        </w:rPr>
        <w:t xml:space="preserve">hebben in Den Haag onderhandelingen </w:t>
      </w:r>
      <w:r w:rsidR="0049049C">
        <w:rPr>
          <w:rFonts w:ascii="Verdana" w:hAnsi="Verdana"/>
          <w:bCs/>
          <w:iCs/>
          <w:sz w:val="18"/>
          <w:szCs w:val="18"/>
          <w:lang w:val="nl-NL"/>
        </w:rPr>
        <w:t xml:space="preserve">plaatsgevonden </w:t>
      </w:r>
      <w:r>
        <w:rPr>
          <w:rFonts w:ascii="Verdana" w:hAnsi="Verdana"/>
          <w:bCs/>
          <w:iCs/>
          <w:sz w:val="18"/>
          <w:szCs w:val="18"/>
          <w:lang w:val="nl-NL"/>
        </w:rPr>
        <w:t xml:space="preserve">die </w:t>
      </w:r>
      <w:r w:rsidR="002036A1">
        <w:rPr>
          <w:rFonts w:ascii="Verdana" w:hAnsi="Verdana"/>
          <w:bCs/>
          <w:iCs/>
          <w:sz w:val="18"/>
          <w:szCs w:val="18"/>
          <w:lang w:val="nl-NL"/>
        </w:rPr>
        <w:t xml:space="preserve">in het najaar van 2012 </w:t>
      </w:r>
      <w:r>
        <w:rPr>
          <w:rFonts w:ascii="Verdana" w:hAnsi="Verdana"/>
          <w:bCs/>
          <w:iCs/>
          <w:sz w:val="18"/>
          <w:szCs w:val="18"/>
          <w:lang w:val="nl-NL"/>
        </w:rPr>
        <w:t>hebben</w:t>
      </w:r>
      <w:r w:rsidRPr="001D6B88" w:rsidR="001D6B88">
        <w:rPr>
          <w:rFonts w:ascii="Verdana" w:hAnsi="Verdana"/>
          <w:bCs/>
          <w:iCs/>
          <w:sz w:val="18"/>
          <w:szCs w:val="18"/>
          <w:lang w:val="nl-NL"/>
        </w:rPr>
        <w:t xml:space="preserve"> </w:t>
      </w:r>
      <w:r w:rsidR="001D6B88">
        <w:rPr>
          <w:rFonts w:ascii="Verdana" w:hAnsi="Verdana"/>
          <w:sz w:val="18"/>
          <w:szCs w:val="18"/>
          <w:lang w:val="nl-NL"/>
        </w:rPr>
        <w:t xml:space="preserve">geresulteerd </w:t>
      </w:r>
      <w:r w:rsidRPr="001D6B88" w:rsidR="001D6B88">
        <w:rPr>
          <w:rFonts w:ascii="Verdana" w:hAnsi="Verdana"/>
          <w:bCs/>
          <w:iCs/>
          <w:sz w:val="18"/>
          <w:szCs w:val="18"/>
          <w:lang w:val="nl-NL"/>
        </w:rPr>
        <w:t xml:space="preserve">in ambtelijke overeenstemming tussen Nederland en het VK over </w:t>
      </w:r>
      <w:r w:rsidR="006E0EF6">
        <w:rPr>
          <w:rFonts w:ascii="Verdana" w:hAnsi="Verdana"/>
          <w:bCs/>
          <w:iCs/>
          <w:sz w:val="18"/>
          <w:szCs w:val="18"/>
          <w:lang w:val="nl-NL"/>
        </w:rPr>
        <w:t>het V</w:t>
      </w:r>
      <w:r>
        <w:rPr>
          <w:rFonts w:ascii="Verdana" w:hAnsi="Verdana"/>
          <w:bCs/>
          <w:iCs/>
          <w:sz w:val="18"/>
          <w:szCs w:val="18"/>
          <w:lang w:val="nl-NL"/>
        </w:rPr>
        <w:t xml:space="preserve">erdrag. </w:t>
      </w:r>
    </w:p>
    <w:p w:rsidRPr="00525643" w:rsidR="00525643" w:rsidP="00525643" w:rsidRDefault="002036A1">
      <w:pPr>
        <w:pStyle w:val="Heading2"/>
        <w:rPr>
          <w:rFonts w:ascii="Verdana" w:hAnsi="Verdana"/>
          <w:sz w:val="18"/>
          <w:szCs w:val="18"/>
          <w:lang w:val="nl-NL"/>
        </w:rPr>
      </w:pPr>
      <w:r w:rsidRPr="00525643">
        <w:rPr>
          <w:rFonts w:ascii="Verdana" w:hAnsi="Verdana"/>
          <w:sz w:val="18"/>
          <w:szCs w:val="18"/>
          <w:lang w:val="nl-NL"/>
        </w:rPr>
        <w:t>Inhoud van het Verdrag</w:t>
      </w:r>
    </w:p>
    <w:p w:rsidRPr="005227D2" w:rsidR="002036A1" w:rsidP="00525643" w:rsidRDefault="002036A1">
      <w:pPr>
        <w:spacing w:after="240" w:line="360" w:lineRule="auto"/>
        <w:rPr>
          <w:rFonts w:ascii="Verdana" w:hAnsi="Verdana"/>
          <w:b/>
          <w:sz w:val="18"/>
          <w:szCs w:val="18"/>
          <w:lang w:val="nl-NL"/>
        </w:rPr>
      </w:pPr>
      <w:r>
        <w:rPr>
          <w:rFonts w:ascii="Verdana" w:hAnsi="Verdana"/>
          <w:sz w:val="18"/>
          <w:szCs w:val="18"/>
          <w:lang w:val="nl-NL"/>
        </w:rPr>
        <w:t xml:space="preserve">Aan de bankenbelasting ligt in beide staten het beprijzen van de impliciete overheidsgarantie aan de bancaire sector ten grondslag, </w:t>
      </w:r>
      <w:proofErr w:type="gramStart"/>
      <w:r>
        <w:rPr>
          <w:rFonts w:ascii="Verdana" w:hAnsi="Verdana"/>
          <w:sz w:val="18"/>
          <w:szCs w:val="18"/>
          <w:lang w:val="nl-NL"/>
        </w:rPr>
        <w:t>teneinde</w:t>
      </w:r>
      <w:proofErr w:type="gramEnd"/>
      <w:r>
        <w:rPr>
          <w:rFonts w:ascii="Verdana" w:hAnsi="Verdana"/>
          <w:sz w:val="18"/>
          <w:szCs w:val="18"/>
          <w:lang w:val="nl-NL"/>
        </w:rPr>
        <w:t xml:space="preserve"> de financiële stabiliteit in de staat te beschermen. Hierop is het uitgangspunt voor de verdeling van heffingsrechten gebaseerd</w:t>
      </w:r>
      <w:r w:rsidRPr="0069235E">
        <w:rPr>
          <w:rFonts w:ascii="Verdana" w:hAnsi="Verdana"/>
          <w:sz w:val="18"/>
          <w:szCs w:val="18"/>
          <w:lang w:val="nl-NL"/>
        </w:rPr>
        <w:t xml:space="preserve"> dat de </w:t>
      </w:r>
      <w:r>
        <w:rPr>
          <w:rFonts w:ascii="Verdana" w:hAnsi="Verdana"/>
          <w:sz w:val="18"/>
          <w:szCs w:val="18"/>
          <w:lang w:val="nl-NL"/>
        </w:rPr>
        <w:t>s</w:t>
      </w:r>
      <w:r w:rsidRPr="0069235E">
        <w:rPr>
          <w:rFonts w:ascii="Verdana" w:hAnsi="Verdana"/>
          <w:sz w:val="18"/>
          <w:szCs w:val="18"/>
          <w:lang w:val="nl-NL"/>
        </w:rPr>
        <w:t xml:space="preserve">taat waar de moedermaatschappij of het hoofdhuis </w:t>
      </w:r>
      <w:r>
        <w:rPr>
          <w:rFonts w:ascii="Verdana" w:hAnsi="Verdana"/>
          <w:sz w:val="18"/>
          <w:szCs w:val="18"/>
          <w:lang w:val="nl-NL"/>
        </w:rPr>
        <w:t xml:space="preserve">van een bank </w:t>
      </w:r>
      <w:r w:rsidRPr="0069235E">
        <w:rPr>
          <w:rFonts w:ascii="Verdana" w:hAnsi="Verdana"/>
          <w:sz w:val="18"/>
          <w:szCs w:val="18"/>
          <w:lang w:val="nl-NL"/>
        </w:rPr>
        <w:t>is gevestigd het st</w:t>
      </w:r>
      <w:r>
        <w:rPr>
          <w:rFonts w:ascii="Verdana" w:hAnsi="Verdana"/>
          <w:sz w:val="18"/>
          <w:szCs w:val="18"/>
          <w:lang w:val="nl-NL"/>
        </w:rPr>
        <w:t xml:space="preserve">erkste heffingsrecht heeft, omdat die staat </w:t>
      </w:r>
      <w:r w:rsidRPr="0069235E">
        <w:rPr>
          <w:rFonts w:ascii="Verdana" w:hAnsi="Verdana"/>
          <w:sz w:val="18"/>
          <w:szCs w:val="18"/>
          <w:lang w:val="nl-NL"/>
        </w:rPr>
        <w:t>het systeemrisico</w:t>
      </w:r>
      <w:r>
        <w:rPr>
          <w:rFonts w:ascii="Verdana" w:hAnsi="Verdana"/>
          <w:sz w:val="18"/>
          <w:szCs w:val="18"/>
          <w:lang w:val="nl-NL"/>
        </w:rPr>
        <w:t xml:space="preserve"> van de bankactiviteiten draagt. Deze verdeling van heffingsrechten wordt bereikt doordat de</w:t>
      </w:r>
      <w:r w:rsidRPr="0069235E">
        <w:rPr>
          <w:rFonts w:ascii="Verdana" w:hAnsi="Verdana"/>
          <w:sz w:val="18"/>
          <w:szCs w:val="18"/>
          <w:lang w:val="nl-NL"/>
        </w:rPr>
        <w:t xml:space="preserve"> staat waar </w:t>
      </w:r>
      <w:r>
        <w:rPr>
          <w:rFonts w:ascii="Verdana" w:hAnsi="Verdana"/>
          <w:sz w:val="18"/>
          <w:szCs w:val="18"/>
          <w:lang w:val="nl-NL"/>
        </w:rPr>
        <w:t>een</w:t>
      </w:r>
      <w:r w:rsidRPr="0069235E">
        <w:rPr>
          <w:rFonts w:ascii="Verdana" w:hAnsi="Verdana"/>
          <w:sz w:val="18"/>
          <w:szCs w:val="18"/>
          <w:lang w:val="nl-NL"/>
        </w:rPr>
        <w:t xml:space="preserve"> dochtermaatschappij is gevestigd of </w:t>
      </w:r>
      <w:r>
        <w:rPr>
          <w:rFonts w:ascii="Verdana" w:hAnsi="Verdana"/>
          <w:sz w:val="18"/>
          <w:szCs w:val="18"/>
          <w:lang w:val="nl-NL"/>
        </w:rPr>
        <w:t>een</w:t>
      </w:r>
      <w:r w:rsidRPr="0069235E">
        <w:rPr>
          <w:rFonts w:ascii="Verdana" w:hAnsi="Verdana"/>
          <w:sz w:val="18"/>
          <w:szCs w:val="18"/>
          <w:lang w:val="nl-NL"/>
        </w:rPr>
        <w:t xml:space="preserve"> vaste inr</w:t>
      </w:r>
      <w:r>
        <w:rPr>
          <w:rFonts w:ascii="Verdana" w:hAnsi="Verdana"/>
          <w:sz w:val="18"/>
          <w:szCs w:val="18"/>
          <w:lang w:val="nl-NL"/>
        </w:rPr>
        <w:t>ichting is gelegen</w:t>
      </w:r>
      <w:r w:rsidR="00327C35">
        <w:rPr>
          <w:rFonts w:ascii="Verdana" w:hAnsi="Verdana"/>
          <w:sz w:val="18"/>
          <w:szCs w:val="18"/>
          <w:lang w:val="nl-NL"/>
        </w:rPr>
        <w:t>,</w:t>
      </w:r>
      <w:r>
        <w:rPr>
          <w:rFonts w:ascii="Verdana" w:hAnsi="Verdana"/>
          <w:sz w:val="18"/>
          <w:szCs w:val="18"/>
          <w:lang w:val="nl-NL"/>
        </w:rPr>
        <w:t xml:space="preserve"> terugtreedt door (als “bronstaat”) een vermindering van bankenbelasting te verlenen voor de bankenbelasting die wordt geheven door de staat die het systeemrisico van de bankactiviteiten draagt.</w:t>
      </w:r>
    </w:p>
    <w:p w:rsidR="005335CB"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Omdat</w:t>
      </w:r>
      <w:r w:rsidR="0049049C">
        <w:rPr>
          <w:rFonts w:ascii="Verdana" w:hAnsi="Verdana"/>
          <w:sz w:val="18"/>
          <w:szCs w:val="18"/>
          <w:lang w:val="nl-NL"/>
        </w:rPr>
        <w:t>, zoals gezegd,</w:t>
      </w:r>
      <w:r w:rsidRPr="001D6B88">
        <w:rPr>
          <w:rFonts w:ascii="Verdana" w:hAnsi="Verdana"/>
          <w:sz w:val="18"/>
          <w:szCs w:val="18"/>
          <w:lang w:val="nl-NL"/>
        </w:rPr>
        <w:t xml:space="preserve"> de Britse </w:t>
      </w:r>
      <w:r>
        <w:rPr>
          <w:rFonts w:ascii="Verdana" w:hAnsi="Verdana"/>
          <w:sz w:val="18"/>
          <w:szCs w:val="18"/>
          <w:lang w:val="nl-NL"/>
        </w:rPr>
        <w:t>bankenbelasting</w:t>
      </w:r>
      <w:r w:rsidRPr="001D6B88">
        <w:rPr>
          <w:rFonts w:ascii="Verdana" w:hAnsi="Verdana"/>
          <w:sz w:val="18"/>
          <w:szCs w:val="18"/>
          <w:lang w:val="nl-NL"/>
        </w:rPr>
        <w:t xml:space="preserve"> model heeft gestaan voor de Nederlandse bankenbelasting verto</w:t>
      </w:r>
      <w:r>
        <w:rPr>
          <w:rFonts w:ascii="Verdana" w:hAnsi="Verdana"/>
          <w:sz w:val="18"/>
          <w:szCs w:val="18"/>
          <w:lang w:val="nl-NL"/>
        </w:rPr>
        <w:t>nen</w:t>
      </w:r>
      <w:r w:rsidRPr="001D6B88">
        <w:rPr>
          <w:rFonts w:ascii="Verdana" w:hAnsi="Verdana"/>
          <w:sz w:val="18"/>
          <w:szCs w:val="18"/>
          <w:lang w:val="nl-NL"/>
        </w:rPr>
        <w:t xml:space="preserve"> </w:t>
      </w:r>
      <w:r w:rsidR="0049049C">
        <w:rPr>
          <w:rFonts w:ascii="Verdana" w:hAnsi="Verdana"/>
          <w:sz w:val="18"/>
          <w:szCs w:val="18"/>
          <w:lang w:val="nl-NL"/>
        </w:rPr>
        <w:t>beide</w:t>
      </w:r>
      <w:r>
        <w:rPr>
          <w:rFonts w:ascii="Verdana" w:hAnsi="Verdana"/>
          <w:sz w:val="18"/>
          <w:szCs w:val="18"/>
          <w:lang w:val="nl-NL"/>
        </w:rPr>
        <w:t xml:space="preserve"> bankenbelastingen</w:t>
      </w:r>
      <w:r w:rsidRPr="001D6B88">
        <w:rPr>
          <w:rFonts w:ascii="Verdana" w:hAnsi="Verdana"/>
          <w:sz w:val="18"/>
          <w:szCs w:val="18"/>
          <w:lang w:val="nl-NL"/>
        </w:rPr>
        <w:t xml:space="preserve"> grote overeenkomsten. </w:t>
      </w:r>
      <w:r w:rsidR="00A003A2">
        <w:rPr>
          <w:rFonts w:ascii="Verdana" w:hAnsi="Verdana"/>
          <w:sz w:val="18"/>
          <w:szCs w:val="18"/>
          <w:lang w:val="nl-NL"/>
        </w:rPr>
        <w:t>Er bestaan echter wel</w:t>
      </w:r>
      <w:r w:rsidR="002B14F0">
        <w:rPr>
          <w:rFonts w:ascii="Verdana" w:hAnsi="Verdana"/>
          <w:sz w:val="18"/>
          <w:szCs w:val="18"/>
          <w:lang w:val="nl-NL"/>
        </w:rPr>
        <w:t xml:space="preserve"> </w:t>
      </w:r>
      <w:r w:rsidR="00A003A2">
        <w:rPr>
          <w:rFonts w:ascii="Verdana" w:hAnsi="Verdana"/>
          <w:sz w:val="18"/>
          <w:szCs w:val="18"/>
          <w:lang w:val="nl-NL"/>
        </w:rPr>
        <w:t>verschillen. De onderhandelingen concentreerden zich op de</w:t>
      </w:r>
      <w:r w:rsidR="002036A1">
        <w:rPr>
          <w:rFonts w:ascii="Verdana" w:hAnsi="Verdana"/>
          <w:sz w:val="18"/>
          <w:szCs w:val="18"/>
          <w:lang w:val="nl-NL"/>
        </w:rPr>
        <w:t xml:space="preserve"> betekenis van de</w:t>
      </w:r>
      <w:r w:rsidR="00A003A2">
        <w:rPr>
          <w:rFonts w:ascii="Verdana" w:hAnsi="Verdana"/>
          <w:sz w:val="18"/>
          <w:szCs w:val="18"/>
          <w:lang w:val="nl-NL"/>
        </w:rPr>
        <w:t xml:space="preserve"> meest belangrijke</w:t>
      </w:r>
      <w:r w:rsidR="0049049C">
        <w:rPr>
          <w:rFonts w:ascii="Verdana" w:hAnsi="Verdana"/>
          <w:sz w:val="18"/>
          <w:szCs w:val="18"/>
          <w:lang w:val="nl-NL"/>
        </w:rPr>
        <w:t xml:space="preserve"> van deze verschillen</w:t>
      </w:r>
      <w:r w:rsidR="002036A1">
        <w:rPr>
          <w:rFonts w:ascii="Verdana" w:hAnsi="Verdana"/>
          <w:sz w:val="18"/>
          <w:szCs w:val="18"/>
          <w:lang w:val="nl-NL"/>
        </w:rPr>
        <w:t xml:space="preserve"> voor een te sluiten verdrag</w:t>
      </w:r>
      <w:r w:rsidR="00A003A2">
        <w:rPr>
          <w:rFonts w:ascii="Verdana" w:hAnsi="Verdana"/>
          <w:sz w:val="18"/>
          <w:szCs w:val="18"/>
          <w:lang w:val="nl-NL"/>
        </w:rPr>
        <w:t>.</w:t>
      </w:r>
    </w:p>
    <w:p w:rsidR="005335CB"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 xml:space="preserve">Een </w:t>
      </w:r>
      <w:r w:rsidR="0049049C">
        <w:rPr>
          <w:rFonts w:ascii="Verdana" w:hAnsi="Verdana"/>
          <w:sz w:val="18"/>
          <w:szCs w:val="18"/>
          <w:lang w:val="nl-NL"/>
        </w:rPr>
        <w:t>eerste</w:t>
      </w:r>
      <w:r w:rsidR="00A003A2">
        <w:rPr>
          <w:rFonts w:ascii="Verdana" w:hAnsi="Verdana"/>
          <w:sz w:val="18"/>
          <w:szCs w:val="18"/>
          <w:lang w:val="nl-NL"/>
        </w:rPr>
        <w:t xml:space="preserve"> </w:t>
      </w:r>
      <w:r w:rsidRPr="001D6B88">
        <w:rPr>
          <w:rFonts w:ascii="Verdana" w:hAnsi="Verdana"/>
          <w:sz w:val="18"/>
          <w:szCs w:val="18"/>
          <w:lang w:val="nl-NL"/>
        </w:rPr>
        <w:t>verschil betreft het aan</w:t>
      </w:r>
      <w:r w:rsidR="0049049C">
        <w:rPr>
          <w:rFonts w:ascii="Verdana" w:hAnsi="Verdana"/>
          <w:sz w:val="18"/>
          <w:szCs w:val="18"/>
          <w:lang w:val="nl-NL"/>
        </w:rPr>
        <w:t>grij</w:t>
      </w:r>
      <w:r w:rsidRPr="001D6B88">
        <w:rPr>
          <w:rFonts w:ascii="Verdana" w:hAnsi="Verdana"/>
          <w:sz w:val="18"/>
          <w:szCs w:val="18"/>
          <w:lang w:val="nl-NL"/>
        </w:rPr>
        <w:t xml:space="preserve">pingspunt voor </w:t>
      </w:r>
      <w:r>
        <w:rPr>
          <w:rFonts w:ascii="Verdana" w:hAnsi="Verdana"/>
          <w:sz w:val="18"/>
          <w:szCs w:val="18"/>
          <w:lang w:val="nl-NL"/>
        </w:rPr>
        <w:t>het ontstaan van</w:t>
      </w:r>
      <w:r w:rsidRPr="001D6B88">
        <w:rPr>
          <w:rFonts w:ascii="Verdana" w:hAnsi="Verdana"/>
          <w:sz w:val="18"/>
          <w:szCs w:val="18"/>
          <w:lang w:val="nl-NL"/>
        </w:rPr>
        <w:t xml:space="preserve"> belastingplicht. </w:t>
      </w:r>
      <w:r>
        <w:rPr>
          <w:rFonts w:ascii="Verdana" w:hAnsi="Verdana"/>
          <w:sz w:val="18"/>
          <w:szCs w:val="18"/>
          <w:lang w:val="nl-NL"/>
        </w:rPr>
        <w:t>Waar het in</w:t>
      </w:r>
      <w:r w:rsidRPr="001D6B88">
        <w:rPr>
          <w:rFonts w:ascii="Verdana" w:hAnsi="Verdana"/>
          <w:sz w:val="18"/>
          <w:szCs w:val="18"/>
          <w:lang w:val="nl-NL"/>
        </w:rPr>
        <w:t xml:space="preserve"> de </w:t>
      </w:r>
      <w:r>
        <w:rPr>
          <w:rFonts w:ascii="Verdana" w:hAnsi="Verdana"/>
          <w:sz w:val="18"/>
          <w:szCs w:val="18"/>
          <w:lang w:val="nl-NL"/>
        </w:rPr>
        <w:t>Nederlandse</w:t>
      </w:r>
      <w:r w:rsidRPr="001D6B88">
        <w:rPr>
          <w:rFonts w:ascii="Verdana" w:hAnsi="Verdana"/>
          <w:sz w:val="18"/>
          <w:szCs w:val="18"/>
          <w:lang w:val="nl-NL"/>
        </w:rPr>
        <w:t xml:space="preserve"> </w:t>
      </w:r>
      <w:r>
        <w:rPr>
          <w:rFonts w:ascii="Verdana" w:hAnsi="Verdana"/>
          <w:sz w:val="18"/>
          <w:szCs w:val="18"/>
          <w:lang w:val="nl-NL"/>
        </w:rPr>
        <w:t>bankenbelasting relevant is of een lichaam bevoegd is in Nederland</w:t>
      </w:r>
      <w:r w:rsidR="00983046">
        <w:rPr>
          <w:rFonts w:ascii="Verdana" w:hAnsi="Verdana"/>
          <w:sz w:val="18"/>
          <w:szCs w:val="18"/>
          <w:lang w:val="nl-NL"/>
        </w:rPr>
        <w:t xml:space="preserve"> het bankbedrijf uit te oefenen</w:t>
      </w:r>
      <w:r w:rsidR="003A4DE3">
        <w:rPr>
          <w:rFonts w:ascii="Verdana" w:hAnsi="Verdana"/>
          <w:sz w:val="18"/>
          <w:szCs w:val="18"/>
          <w:lang w:val="nl-NL"/>
        </w:rPr>
        <w:t>,</w:t>
      </w:r>
      <w:r>
        <w:rPr>
          <w:rFonts w:ascii="Verdana" w:hAnsi="Verdana"/>
          <w:sz w:val="18"/>
          <w:szCs w:val="18"/>
          <w:lang w:val="nl-NL"/>
        </w:rPr>
        <w:t xml:space="preserve"> is het criterium</w:t>
      </w:r>
      <w:r w:rsidR="00983046">
        <w:rPr>
          <w:rFonts w:ascii="Verdana" w:hAnsi="Verdana"/>
          <w:sz w:val="18"/>
          <w:szCs w:val="18"/>
          <w:lang w:val="nl-NL"/>
        </w:rPr>
        <w:t xml:space="preserve"> voor belastingplicht</w:t>
      </w:r>
      <w:r>
        <w:rPr>
          <w:rFonts w:ascii="Verdana" w:hAnsi="Verdana"/>
          <w:sz w:val="18"/>
          <w:szCs w:val="18"/>
          <w:lang w:val="nl-NL"/>
        </w:rPr>
        <w:t xml:space="preserve"> in de Britse bankenbelasting of er in het VK </w:t>
      </w:r>
      <w:r w:rsidR="0049049C">
        <w:rPr>
          <w:rFonts w:ascii="Verdana" w:hAnsi="Verdana"/>
          <w:sz w:val="18"/>
          <w:szCs w:val="18"/>
          <w:lang w:val="nl-NL"/>
        </w:rPr>
        <w:t xml:space="preserve">feitelijk </w:t>
      </w:r>
      <w:r>
        <w:rPr>
          <w:rFonts w:ascii="Verdana" w:hAnsi="Verdana"/>
          <w:sz w:val="18"/>
          <w:szCs w:val="18"/>
          <w:lang w:val="nl-NL"/>
        </w:rPr>
        <w:t>bancaire activiteiten worden verricht.</w:t>
      </w:r>
      <w:r w:rsidR="003A4DE3">
        <w:rPr>
          <w:rFonts w:ascii="Verdana" w:hAnsi="Verdana"/>
          <w:sz w:val="18"/>
          <w:szCs w:val="18"/>
          <w:lang w:val="nl-NL"/>
        </w:rPr>
        <w:t xml:space="preserve"> </w:t>
      </w:r>
      <w:r w:rsidR="002B14F0">
        <w:rPr>
          <w:rFonts w:ascii="Verdana" w:hAnsi="Verdana"/>
          <w:sz w:val="18"/>
          <w:szCs w:val="18"/>
          <w:lang w:val="nl-NL"/>
        </w:rPr>
        <w:t>Dit verschil in</w:t>
      </w:r>
      <w:r w:rsidR="002C63D6">
        <w:rPr>
          <w:rFonts w:ascii="Verdana" w:hAnsi="Verdana"/>
          <w:sz w:val="18"/>
          <w:szCs w:val="18"/>
          <w:lang w:val="nl-NL"/>
        </w:rPr>
        <w:t xml:space="preserve"> benadering heeft geen consequenties</w:t>
      </w:r>
      <w:r w:rsidR="003A4DE3">
        <w:rPr>
          <w:rFonts w:ascii="Verdana" w:hAnsi="Verdana"/>
          <w:sz w:val="18"/>
          <w:szCs w:val="18"/>
          <w:lang w:val="nl-NL"/>
        </w:rPr>
        <w:t xml:space="preserve"> gehad voor de </w:t>
      </w:r>
      <w:r w:rsidR="00580A4C">
        <w:rPr>
          <w:rFonts w:ascii="Verdana" w:hAnsi="Verdana"/>
          <w:sz w:val="18"/>
          <w:szCs w:val="18"/>
          <w:lang w:val="nl-NL"/>
        </w:rPr>
        <w:t>afspraken die in het Verdrag zijn vastgelegd.</w:t>
      </w:r>
    </w:p>
    <w:p w:rsidR="00FE34D5"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Een ander</w:t>
      </w:r>
      <w:r w:rsidR="003A4DE3">
        <w:rPr>
          <w:rFonts w:ascii="Verdana" w:hAnsi="Verdana"/>
          <w:sz w:val="18"/>
          <w:szCs w:val="18"/>
          <w:lang w:val="nl-NL"/>
        </w:rPr>
        <w:t>, voor de verdragsbepalingen</w:t>
      </w:r>
      <w:r w:rsidR="00580A4C">
        <w:rPr>
          <w:rFonts w:ascii="Verdana" w:hAnsi="Verdana"/>
          <w:sz w:val="18"/>
          <w:szCs w:val="18"/>
          <w:lang w:val="nl-NL"/>
        </w:rPr>
        <w:t xml:space="preserve"> </w:t>
      </w:r>
      <w:r w:rsidR="0049049C">
        <w:rPr>
          <w:rFonts w:ascii="Verdana" w:hAnsi="Verdana"/>
          <w:sz w:val="18"/>
          <w:szCs w:val="18"/>
          <w:lang w:val="nl-NL"/>
        </w:rPr>
        <w:t>relevant</w:t>
      </w:r>
      <w:r w:rsidR="003A4DE3">
        <w:rPr>
          <w:rFonts w:ascii="Verdana" w:hAnsi="Verdana"/>
          <w:sz w:val="18"/>
          <w:szCs w:val="18"/>
          <w:lang w:val="nl-NL"/>
        </w:rPr>
        <w:t>,</w:t>
      </w:r>
      <w:r w:rsidR="0049049C">
        <w:rPr>
          <w:rFonts w:ascii="Verdana" w:hAnsi="Verdana"/>
          <w:sz w:val="18"/>
          <w:szCs w:val="18"/>
          <w:lang w:val="nl-NL"/>
        </w:rPr>
        <w:t xml:space="preserve"> </w:t>
      </w:r>
      <w:r>
        <w:rPr>
          <w:rFonts w:ascii="Verdana" w:hAnsi="Verdana"/>
          <w:sz w:val="18"/>
          <w:szCs w:val="18"/>
          <w:lang w:val="nl-NL"/>
        </w:rPr>
        <w:t xml:space="preserve">verschil </w:t>
      </w:r>
      <w:r w:rsidRPr="001D6B88">
        <w:rPr>
          <w:rFonts w:ascii="Verdana" w:hAnsi="Verdana"/>
          <w:sz w:val="18"/>
          <w:szCs w:val="18"/>
          <w:lang w:val="nl-NL"/>
        </w:rPr>
        <w:t xml:space="preserve">betreft de belastingplicht </w:t>
      </w:r>
      <w:r w:rsidR="00983046">
        <w:rPr>
          <w:rFonts w:ascii="Verdana" w:hAnsi="Verdana"/>
          <w:sz w:val="18"/>
          <w:szCs w:val="18"/>
          <w:lang w:val="nl-NL"/>
        </w:rPr>
        <w:t xml:space="preserve">voor de bankenbelasting </w:t>
      </w:r>
      <w:r w:rsidRPr="001D6B88">
        <w:rPr>
          <w:rFonts w:ascii="Verdana" w:hAnsi="Verdana"/>
          <w:sz w:val="18"/>
          <w:szCs w:val="18"/>
          <w:lang w:val="nl-NL"/>
        </w:rPr>
        <w:t>van samenwerkingsverbanden.</w:t>
      </w:r>
      <w:r w:rsidR="00983046">
        <w:rPr>
          <w:rFonts w:ascii="Verdana" w:hAnsi="Verdana"/>
          <w:sz w:val="18"/>
          <w:szCs w:val="18"/>
          <w:lang w:val="nl-NL"/>
        </w:rPr>
        <w:t xml:space="preserve"> In tegenstelling tot </w:t>
      </w:r>
      <w:r>
        <w:rPr>
          <w:rFonts w:ascii="Verdana" w:hAnsi="Verdana"/>
          <w:sz w:val="18"/>
          <w:szCs w:val="18"/>
          <w:lang w:val="nl-NL"/>
        </w:rPr>
        <w:t>de Britse bankenbelasting</w:t>
      </w:r>
      <w:r w:rsidRPr="001D6B88">
        <w:rPr>
          <w:rFonts w:ascii="Verdana" w:hAnsi="Verdana"/>
          <w:sz w:val="18"/>
          <w:szCs w:val="18"/>
          <w:lang w:val="nl-NL"/>
        </w:rPr>
        <w:t xml:space="preserve"> </w:t>
      </w:r>
      <w:r w:rsidR="00983046">
        <w:rPr>
          <w:rFonts w:ascii="Verdana" w:hAnsi="Verdana"/>
          <w:sz w:val="18"/>
          <w:szCs w:val="18"/>
          <w:lang w:val="nl-NL"/>
        </w:rPr>
        <w:t>zijn</w:t>
      </w:r>
      <w:r>
        <w:rPr>
          <w:rFonts w:ascii="Verdana" w:hAnsi="Verdana"/>
          <w:sz w:val="18"/>
          <w:szCs w:val="18"/>
          <w:lang w:val="nl-NL"/>
        </w:rPr>
        <w:t xml:space="preserve"> samenwerkingsverbanden </w:t>
      </w:r>
      <w:r w:rsidR="003A4DE3">
        <w:rPr>
          <w:rFonts w:ascii="Verdana" w:hAnsi="Verdana"/>
          <w:sz w:val="18"/>
          <w:szCs w:val="18"/>
          <w:lang w:val="nl-NL"/>
        </w:rPr>
        <w:t>voor</w:t>
      </w:r>
      <w:r>
        <w:rPr>
          <w:rFonts w:ascii="Verdana" w:hAnsi="Verdana"/>
          <w:sz w:val="18"/>
          <w:szCs w:val="18"/>
          <w:lang w:val="nl-NL"/>
        </w:rPr>
        <w:t xml:space="preserve"> de</w:t>
      </w:r>
      <w:r w:rsidRPr="001D6B88">
        <w:rPr>
          <w:rFonts w:ascii="Verdana" w:hAnsi="Verdana"/>
          <w:sz w:val="18"/>
          <w:szCs w:val="18"/>
          <w:lang w:val="nl-NL"/>
        </w:rPr>
        <w:t xml:space="preserve"> Nederlandse bankenbelasting</w:t>
      </w:r>
      <w:r w:rsidR="00983046">
        <w:rPr>
          <w:rFonts w:ascii="Verdana" w:hAnsi="Verdana"/>
          <w:sz w:val="18"/>
          <w:szCs w:val="18"/>
          <w:lang w:val="nl-NL"/>
        </w:rPr>
        <w:t xml:space="preserve"> niet belastingplichtig</w:t>
      </w:r>
      <w:r>
        <w:rPr>
          <w:rFonts w:ascii="Verdana" w:hAnsi="Verdana"/>
          <w:sz w:val="18"/>
          <w:szCs w:val="18"/>
          <w:lang w:val="nl-NL"/>
        </w:rPr>
        <w:t xml:space="preserve">. </w:t>
      </w:r>
      <w:r w:rsidR="00983046">
        <w:rPr>
          <w:rFonts w:ascii="Verdana" w:hAnsi="Verdana"/>
          <w:sz w:val="18"/>
          <w:szCs w:val="18"/>
          <w:lang w:val="nl-NL"/>
        </w:rPr>
        <w:t>Voor de</w:t>
      </w:r>
      <w:r>
        <w:rPr>
          <w:rFonts w:ascii="Verdana" w:hAnsi="Verdana"/>
          <w:sz w:val="18"/>
          <w:szCs w:val="18"/>
          <w:lang w:val="nl-NL"/>
        </w:rPr>
        <w:t xml:space="preserve"> </w:t>
      </w:r>
      <w:r w:rsidR="00983046">
        <w:rPr>
          <w:rFonts w:ascii="Verdana" w:hAnsi="Verdana"/>
          <w:sz w:val="18"/>
          <w:szCs w:val="18"/>
          <w:lang w:val="nl-NL"/>
        </w:rPr>
        <w:t xml:space="preserve">Wet </w:t>
      </w:r>
      <w:r>
        <w:rPr>
          <w:rFonts w:ascii="Verdana" w:hAnsi="Verdana"/>
          <w:sz w:val="18"/>
          <w:szCs w:val="18"/>
          <w:lang w:val="nl-NL"/>
        </w:rPr>
        <w:t xml:space="preserve">bankenbelasting </w:t>
      </w:r>
      <w:r w:rsidR="00983046">
        <w:rPr>
          <w:rFonts w:ascii="Verdana" w:hAnsi="Verdana"/>
          <w:sz w:val="18"/>
          <w:szCs w:val="18"/>
          <w:lang w:val="nl-NL"/>
        </w:rPr>
        <w:t>zijn alleen lichamen belastingplichtigen.</w:t>
      </w:r>
      <w:r w:rsidR="000B3DE3">
        <w:rPr>
          <w:rFonts w:ascii="Verdana" w:hAnsi="Verdana"/>
          <w:sz w:val="18"/>
          <w:szCs w:val="18"/>
          <w:lang w:val="nl-NL"/>
        </w:rPr>
        <w:t xml:space="preserve"> Hierop wordt</w:t>
      </w:r>
      <w:r w:rsidR="003A4DE3">
        <w:rPr>
          <w:rFonts w:ascii="Verdana" w:hAnsi="Verdana"/>
          <w:sz w:val="18"/>
          <w:szCs w:val="18"/>
          <w:lang w:val="nl-NL"/>
        </w:rPr>
        <w:t xml:space="preserve"> </w:t>
      </w:r>
      <w:r w:rsidR="002C63D6">
        <w:rPr>
          <w:rFonts w:ascii="Verdana" w:hAnsi="Verdana"/>
          <w:sz w:val="18"/>
          <w:szCs w:val="18"/>
          <w:lang w:val="nl-NL"/>
        </w:rPr>
        <w:t>in</w:t>
      </w:r>
      <w:r w:rsidR="004A3DA5">
        <w:rPr>
          <w:rFonts w:ascii="Verdana" w:hAnsi="Verdana"/>
          <w:sz w:val="18"/>
          <w:szCs w:val="18"/>
          <w:lang w:val="nl-NL"/>
        </w:rPr>
        <w:t xml:space="preserve"> </w:t>
      </w:r>
      <w:r w:rsidR="003A4DE3">
        <w:rPr>
          <w:rFonts w:ascii="Verdana" w:hAnsi="Verdana"/>
          <w:sz w:val="18"/>
          <w:szCs w:val="18"/>
          <w:lang w:val="nl-NL"/>
        </w:rPr>
        <w:t>de toelichting op artikel 1</w:t>
      </w:r>
      <w:r w:rsidR="004F5EB4">
        <w:rPr>
          <w:rFonts w:ascii="Verdana" w:hAnsi="Verdana"/>
          <w:sz w:val="18"/>
          <w:szCs w:val="18"/>
          <w:lang w:val="nl-NL"/>
        </w:rPr>
        <w:t xml:space="preserve"> (</w:t>
      </w:r>
      <w:r w:rsidR="002B312E">
        <w:rPr>
          <w:rFonts w:ascii="Verdana" w:hAnsi="Verdana"/>
          <w:sz w:val="18"/>
          <w:szCs w:val="18"/>
          <w:lang w:val="nl-NL"/>
        </w:rPr>
        <w:t xml:space="preserve">entiteiten waarop het </w:t>
      </w:r>
      <w:r w:rsidR="00580A4C">
        <w:rPr>
          <w:rFonts w:ascii="Verdana" w:hAnsi="Verdana"/>
          <w:sz w:val="18"/>
          <w:szCs w:val="18"/>
          <w:lang w:val="nl-NL"/>
        </w:rPr>
        <w:t>V</w:t>
      </w:r>
      <w:r w:rsidR="004A3DA5">
        <w:rPr>
          <w:rFonts w:ascii="Verdana" w:hAnsi="Verdana"/>
          <w:sz w:val="18"/>
          <w:szCs w:val="18"/>
          <w:lang w:val="nl-NL"/>
        </w:rPr>
        <w:t>erdrag van toepassing is)</w:t>
      </w:r>
      <w:r w:rsidRPr="004A3DA5" w:rsidR="004A3DA5">
        <w:rPr>
          <w:rFonts w:ascii="Verdana" w:hAnsi="Verdana"/>
          <w:sz w:val="18"/>
          <w:szCs w:val="18"/>
          <w:lang w:val="nl-NL"/>
        </w:rPr>
        <w:t xml:space="preserve"> </w:t>
      </w:r>
      <w:r w:rsidR="000B3DE3">
        <w:rPr>
          <w:rFonts w:ascii="Verdana" w:hAnsi="Verdana"/>
          <w:sz w:val="18"/>
          <w:szCs w:val="18"/>
          <w:lang w:val="nl-NL"/>
        </w:rPr>
        <w:t xml:space="preserve">nader </w:t>
      </w:r>
      <w:r w:rsidR="005A3304">
        <w:rPr>
          <w:rFonts w:ascii="Verdana" w:hAnsi="Verdana"/>
          <w:sz w:val="18"/>
          <w:szCs w:val="18"/>
          <w:lang w:val="nl-NL"/>
        </w:rPr>
        <w:t>ingegaan.</w:t>
      </w:r>
    </w:p>
    <w:p w:rsidR="00CF5BF2"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Ook de belastinggrondslag</w:t>
      </w:r>
      <w:r w:rsidR="00D42785">
        <w:rPr>
          <w:rFonts w:ascii="Verdana" w:hAnsi="Verdana"/>
          <w:sz w:val="18"/>
          <w:szCs w:val="18"/>
          <w:lang w:val="nl-NL"/>
        </w:rPr>
        <w:t xml:space="preserve"> v</w:t>
      </w:r>
      <w:r w:rsidR="003A4DE3">
        <w:rPr>
          <w:rFonts w:ascii="Verdana" w:hAnsi="Verdana"/>
          <w:sz w:val="18"/>
          <w:szCs w:val="18"/>
          <w:lang w:val="nl-NL"/>
        </w:rPr>
        <w:t>an</w:t>
      </w:r>
      <w:r w:rsidR="00D42785">
        <w:rPr>
          <w:rFonts w:ascii="Verdana" w:hAnsi="Verdana"/>
          <w:sz w:val="18"/>
          <w:szCs w:val="18"/>
          <w:lang w:val="nl-NL"/>
        </w:rPr>
        <w:t xml:space="preserve"> de bankenbelasting in het VK wijkt af van de Nederlandse</w:t>
      </w:r>
      <w:r w:rsidRPr="001D6B88">
        <w:rPr>
          <w:rFonts w:ascii="Verdana" w:hAnsi="Verdana"/>
          <w:sz w:val="18"/>
          <w:szCs w:val="18"/>
          <w:lang w:val="nl-NL"/>
        </w:rPr>
        <w:t xml:space="preserve">. </w:t>
      </w:r>
      <w:r>
        <w:rPr>
          <w:rFonts w:ascii="Verdana" w:hAnsi="Verdana"/>
          <w:sz w:val="18"/>
          <w:szCs w:val="18"/>
          <w:lang w:val="nl-NL"/>
        </w:rPr>
        <w:t>D</w:t>
      </w:r>
      <w:r w:rsidRPr="001D6B88">
        <w:rPr>
          <w:rFonts w:ascii="Verdana" w:hAnsi="Verdana"/>
          <w:sz w:val="18"/>
          <w:szCs w:val="18"/>
          <w:lang w:val="nl-NL"/>
        </w:rPr>
        <w:t>e Britse bank</w:t>
      </w:r>
      <w:r>
        <w:rPr>
          <w:rFonts w:ascii="Verdana" w:hAnsi="Verdana"/>
          <w:sz w:val="18"/>
          <w:szCs w:val="18"/>
          <w:lang w:val="nl-NL"/>
        </w:rPr>
        <w:t>enbelasting</w:t>
      </w:r>
      <w:r w:rsidRPr="001D6B88">
        <w:rPr>
          <w:rFonts w:ascii="Verdana" w:hAnsi="Verdana"/>
          <w:sz w:val="18"/>
          <w:szCs w:val="18"/>
          <w:lang w:val="nl-NL"/>
        </w:rPr>
        <w:t xml:space="preserve"> </w:t>
      </w:r>
      <w:r>
        <w:rPr>
          <w:rFonts w:ascii="Verdana" w:hAnsi="Verdana"/>
          <w:sz w:val="18"/>
          <w:szCs w:val="18"/>
          <w:lang w:val="nl-NL"/>
        </w:rPr>
        <w:t xml:space="preserve">kent </w:t>
      </w:r>
      <w:r w:rsidRPr="001D6B88">
        <w:rPr>
          <w:rFonts w:ascii="Verdana" w:hAnsi="Verdana"/>
          <w:sz w:val="18"/>
          <w:szCs w:val="18"/>
          <w:lang w:val="nl-NL"/>
        </w:rPr>
        <w:t xml:space="preserve">meer aftrekbare passiva dan de Nederlandse bankenbelasting en kent </w:t>
      </w:r>
      <w:r>
        <w:rPr>
          <w:rFonts w:ascii="Verdana" w:hAnsi="Verdana"/>
          <w:sz w:val="18"/>
          <w:szCs w:val="18"/>
          <w:lang w:val="nl-NL"/>
        </w:rPr>
        <w:t>daarnaast</w:t>
      </w:r>
      <w:r w:rsidRPr="001D6B88">
        <w:rPr>
          <w:rFonts w:ascii="Verdana" w:hAnsi="Verdana"/>
          <w:sz w:val="18"/>
          <w:szCs w:val="18"/>
          <w:lang w:val="nl-NL"/>
        </w:rPr>
        <w:t xml:space="preserve"> ruimere mogelijkheden om activa en passiva </w:t>
      </w:r>
      <w:r>
        <w:rPr>
          <w:rFonts w:ascii="Verdana" w:hAnsi="Verdana"/>
          <w:sz w:val="18"/>
          <w:szCs w:val="18"/>
          <w:lang w:val="nl-NL"/>
        </w:rPr>
        <w:t xml:space="preserve">binnen een concern </w:t>
      </w:r>
      <w:r w:rsidRPr="001D6B88">
        <w:rPr>
          <w:rFonts w:ascii="Verdana" w:hAnsi="Verdana"/>
          <w:sz w:val="18"/>
          <w:szCs w:val="18"/>
          <w:lang w:val="nl-NL"/>
        </w:rPr>
        <w:t xml:space="preserve">te salderen. De </w:t>
      </w:r>
      <w:r w:rsidRPr="001D6B88">
        <w:rPr>
          <w:rFonts w:ascii="Verdana" w:hAnsi="Verdana"/>
          <w:sz w:val="18"/>
          <w:szCs w:val="18"/>
          <w:lang w:val="nl-NL"/>
        </w:rPr>
        <w:lastRenderedPageBreak/>
        <w:t xml:space="preserve">Nederlandse bankenbelasting staat alleen saldering van activa en passiva toe indien de </w:t>
      </w:r>
      <w:proofErr w:type="spellStart"/>
      <w:r w:rsidRPr="001D6B88" w:rsidR="009A52BF">
        <w:rPr>
          <w:rFonts w:ascii="Verdana" w:hAnsi="Verdana"/>
          <w:sz w:val="18"/>
          <w:szCs w:val="18"/>
          <w:lang w:val="nl-NL"/>
        </w:rPr>
        <w:t>jaarverslaggevingregels</w:t>
      </w:r>
      <w:proofErr w:type="spellEnd"/>
      <w:r w:rsidRPr="001D6B88">
        <w:rPr>
          <w:rFonts w:ascii="Verdana" w:hAnsi="Verdana"/>
          <w:sz w:val="18"/>
          <w:szCs w:val="18"/>
          <w:lang w:val="nl-NL"/>
        </w:rPr>
        <w:t xml:space="preserve"> dit toestaan. Hierdoor is de Britse </w:t>
      </w:r>
      <w:r>
        <w:rPr>
          <w:rFonts w:ascii="Verdana" w:hAnsi="Verdana"/>
          <w:sz w:val="18"/>
          <w:szCs w:val="18"/>
          <w:lang w:val="nl-NL"/>
        </w:rPr>
        <w:t>belasting</w:t>
      </w:r>
      <w:r w:rsidRPr="001D6B88">
        <w:rPr>
          <w:rFonts w:ascii="Verdana" w:hAnsi="Verdana"/>
          <w:sz w:val="18"/>
          <w:szCs w:val="18"/>
          <w:lang w:val="nl-NL"/>
        </w:rPr>
        <w:t>grondslag doorgaans lager dan de Nederlandse</w:t>
      </w:r>
      <w:r>
        <w:rPr>
          <w:rFonts w:ascii="Verdana" w:hAnsi="Verdana"/>
          <w:sz w:val="18"/>
          <w:szCs w:val="18"/>
          <w:lang w:val="nl-NL"/>
        </w:rPr>
        <w:t xml:space="preserve"> belastinggrondslag</w:t>
      </w:r>
      <w:r w:rsidRPr="001D6B88">
        <w:rPr>
          <w:rFonts w:ascii="Verdana" w:hAnsi="Verdana"/>
          <w:sz w:val="18"/>
          <w:szCs w:val="18"/>
          <w:lang w:val="nl-NL"/>
        </w:rPr>
        <w:t xml:space="preserve">. Daar staat tegenover dat het </w:t>
      </w:r>
      <w:r w:rsidR="00FE34D5">
        <w:rPr>
          <w:rFonts w:ascii="Verdana" w:hAnsi="Verdana"/>
          <w:sz w:val="18"/>
          <w:szCs w:val="18"/>
          <w:lang w:val="nl-NL"/>
        </w:rPr>
        <w:t>tarief van de Britse bankenbelasting</w:t>
      </w:r>
      <w:r w:rsidR="0005779F">
        <w:rPr>
          <w:rFonts w:ascii="Verdana" w:hAnsi="Verdana"/>
          <w:sz w:val="18"/>
          <w:szCs w:val="18"/>
          <w:lang w:val="nl-NL"/>
        </w:rPr>
        <w:t xml:space="preserve"> </w:t>
      </w:r>
      <w:r w:rsidRPr="001D6B88">
        <w:rPr>
          <w:rFonts w:ascii="Verdana" w:hAnsi="Verdana"/>
          <w:sz w:val="18"/>
          <w:szCs w:val="18"/>
          <w:lang w:val="nl-NL"/>
        </w:rPr>
        <w:t>hoger is dan het Nederlandse</w:t>
      </w:r>
      <w:r>
        <w:rPr>
          <w:rFonts w:ascii="Verdana" w:hAnsi="Verdana"/>
          <w:sz w:val="18"/>
          <w:szCs w:val="18"/>
          <w:lang w:val="nl-NL"/>
        </w:rPr>
        <w:t xml:space="preserve"> tarief</w:t>
      </w:r>
      <w:r w:rsidR="00FE34D5">
        <w:rPr>
          <w:rFonts w:ascii="Verdana" w:hAnsi="Verdana"/>
          <w:sz w:val="18"/>
          <w:szCs w:val="18"/>
          <w:lang w:val="nl-NL"/>
        </w:rPr>
        <w:t xml:space="preserve"> van de bankenbelasting</w:t>
      </w:r>
      <w:r w:rsidRPr="001D6B88">
        <w:rPr>
          <w:rFonts w:ascii="Verdana" w:hAnsi="Verdana"/>
          <w:sz w:val="18"/>
          <w:szCs w:val="18"/>
          <w:lang w:val="nl-NL"/>
        </w:rPr>
        <w:t>.</w:t>
      </w:r>
      <w:r>
        <w:rPr>
          <w:rFonts w:ascii="Verdana" w:hAnsi="Verdana"/>
          <w:sz w:val="18"/>
          <w:szCs w:val="18"/>
          <w:lang w:val="nl-NL"/>
        </w:rPr>
        <w:t xml:space="preserve"> </w:t>
      </w:r>
      <w:r w:rsidR="004A3DA5">
        <w:rPr>
          <w:rFonts w:ascii="Verdana" w:hAnsi="Verdana"/>
          <w:sz w:val="18"/>
          <w:szCs w:val="18"/>
          <w:lang w:val="nl-NL"/>
        </w:rPr>
        <w:t>Met deze verschillen is</w:t>
      </w:r>
      <w:r w:rsidR="00FE34D5">
        <w:rPr>
          <w:rFonts w:ascii="Verdana" w:hAnsi="Verdana"/>
          <w:sz w:val="18"/>
          <w:szCs w:val="18"/>
          <w:lang w:val="nl-NL"/>
        </w:rPr>
        <w:t xml:space="preserve"> rekening gehouden</w:t>
      </w:r>
      <w:r w:rsidR="004A3DA5">
        <w:rPr>
          <w:rFonts w:ascii="Verdana" w:hAnsi="Verdana"/>
          <w:sz w:val="18"/>
          <w:szCs w:val="18"/>
          <w:lang w:val="nl-NL"/>
        </w:rPr>
        <w:t xml:space="preserve"> </w:t>
      </w:r>
      <w:r w:rsidR="00915038">
        <w:rPr>
          <w:rFonts w:ascii="Verdana" w:hAnsi="Verdana"/>
          <w:sz w:val="18"/>
          <w:szCs w:val="18"/>
          <w:lang w:val="nl-NL"/>
        </w:rPr>
        <w:t>in</w:t>
      </w:r>
      <w:r w:rsidR="004A3DA5">
        <w:rPr>
          <w:rFonts w:ascii="Verdana" w:hAnsi="Verdana"/>
          <w:sz w:val="18"/>
          <w:szCs w:val="18"/>
          <w:lang w:val="nl-NL"/>
        </w:rPr>
        <w:t xml:space="preserve"> de</w:t>
      </w:r>
      <w:r w:rsidR="00915038">
        <w:rPr>
          <w:rFonts w:ascii="Verdana" w:hAnsi="Verdana"/>
          <w:sz w:val="18"/>
          <w:szCs w:val="18"/>
          <w:lang w:val="nl-NL"/>
        </w:rPr>
        <w:t xml:space="preserve"> wi</w:t>
      </w:r>
      <w:r w:rsidR="005A3304">
        <w:rPr>
          <w:rFonts w:ascii="Verdana" w:hAnsi="Verdana"/>
          <w:sz w:val="18"/>
          <w:szCs w:val="18"/>
          <w:lang w:val="nl-NL"/>
        </w:rPr>
        <w:t xml:space="preserve">jze waarop Nederland </w:t>
      </w:r>
      <w:r w:rsidR="00105899">
        <w:rPr>
          <w:rFonts w:ascii="Verdana" w:hAnsi="Verdana"/>
          <w:sz w:val="18"/>
          <w:szCs w:val="18"/>
          <w:lang w:val="nl-NL"/>
        </w:rPr>
        <w:t>vermindering van belasting</w:t>
      </w:r>
      <w:r w:rsidR="005A3304">
        <w:rPr>
          <w:rFonts w:ascii="Verdana" w:hAnsi="Verdana"/>
          <w:sz w:val="18"/>
          <w:szCs w:val="18"/>
          <w:lang w:val="nl-NL"/>
        </w:rPr>
        <w:t xml:space="preserve"> </w:t>
      </w:r>
      <w:proofErr w:type="gramStart"/>
      <w:r w:rsidR="005A3304">
        <w:rPr>
          <w:rFonts w:ascii="Verdana" w:hAnsi="Verdana"/>
          <w:sz w:val="18"/>
          <w:szCs w:val="18"/>
          <w:lang w:val="nl-NL"/>
        </w:rPr>
        <w:t>verleent</w:t>
      </w:r>
      <w:proofErr w:type="gramEnd"/>
      <w:r w:rsidR="00915038">
        <w:rPr>
          <w:rFonts w:ascii="Verdana" w:hAnsi="Verdana"/>
          <w:sz w:val="18"/>
          <w:szCs w:val="18"/>
          <w:lang w:val="nl-NL"/>
        </w:rPr>
        <w:t xml:space="preserve"> ter vermijding van dubbele bankenbelasting</w:t>
      </w:r>
      <w:r w:rsidR="004A3DA5">
        <w:rPr>
          <w:rFonts w:ascii="Verdana" w:hAnsi="Verdana"/>
          <w:sz w:val="18"/>
          <w:szCs w:val="18"/>
          <w:lang w:val="nl-NL"/>
        </w:rPr>
        <w:t xml:space="preserve">. In de toelichting </w:t>
      </w:r>
      <w:r w:rsidR="00FE34D5">
        <w:rPr>
          <w:rFonts w:ascii="Verdana" w:hAnsi="Verdana"/>
          <w:sz w:val="18"/>
          <w:szCs w:val="18"/>
          <w:lang w:val="nl-NL"/>
        </w:rPr>
        <w:t xml:space="preserve">op </w:t>
      </w:r>
      <w:r w:rsidR="004A3DA5">
        <w:rPr>
          <w:rFonts w:ascii="Verdana" w:hAnsi="Verdana"/>
          <w:sz w:val="18"/>
          <w:szCs w:val="18"/>
          <w:lang w:val="nl-NL"/>
        </w:rPr>
        <w:t>artikel 5 (vermijding van dubbele belasting)</w:t>
      </w:r>
      <w:r w:rsidR="00422608">
        <w:rPr>
          <w:rFonts w:ascii="Verdana" w:hAnsi="Verdana"/>
          <w:sz w:val="18"/>
          <w:szCs w:val="18"/>
          <w:lang w:val="nl-NL"/>
        </w:rPr>
        <w:t xml:space="preserve"> wordt</w:t>
      </w:r>
      <w:r w:rsidR="004A3DA5">
        <w:rPr>
          <w:rFonts w:ascii="Verdana" w:hAnsi="Verdana"/>
          <w:sz w:val="18"/>
          <w:szCs w:val="18"/>
          <w:lang w:val="nl-NL"/>
        </w:rPr>
        <w:t xml:space="preserve"> hier</w:t>
      </w:r>
      <w:r w:rsidR="00FE34D5">
        <w:rPr>
          <w:rFonts w:ascii="Verdana" w:hAnsi="Verdana"/>
          <w:sz w:val="18"/>
          <w:szCs w:val="18"/>
          <w:lang w:val="nl-NL"/>
        </w:rPr>
        <w:t xml:space="preserve"> nader op ingegaan.</w:t>
      </w:r>
    </w:p>
    <w:p w:rsidRPr="00525643" w:rsidR="00525643" w:rsidP="00525643" w:rsidRDefault="001D6B88">
      <w:pPr>
        <w:pStyle w:val="Heading2"/>
        <w:rPr>
          <w:rFonts w:ascii="Verdana" w:hAnsi="Verdana"/>
          <w:sz w:val="18"/>
          <w:szCs w:val="18"/>
          <w:lang w:val="nl-NL"/>
        </w:rPr>
      </w:pPr>
      <w:r w:rsidRPr="00525643">
        <w:rPr>
          <w:rFonts w:ascii="Verdana" w:hAnsi="Verdana"/>
          <w:sz w:val="18"/>
          <w:szCs w:val="18"/>
          <w:lang w:val="nl-NL"/>
        </w:rPr>
        <w:t>Budgettaire aspecten en administratieve lasten</w:t>
      </w:r>
    </w:p>
    <w:p w:rsidRPr="005227D2" w:rsidR="005335CB" w:rsidP="00525643" w:rsidRDefault="001D6B88">
      <w:pPr>
        <w:spacing w:after="240" w:line="360" w:lineRule="auto"/>
        <w:rPr>
          <w:rFonts w:ascii="Verdana" w:hAnsi="Verdana"/>
          <w:b/>
          <w:sz w:val="18"/>
          <w:szCs w:val="18"/>
          <w:lang w:val="nl-NL"/>
        </w:rPr>
      </w:pPr>
      <w:r>
        <w:rPr>
          <w:rFonts w:ascii="Verdana" w:hAnsi="Verdana"/>
          <w:sz w:val="18"/>
          <w:szCs w:val="18"/>
          <w:lang w:val="nl-NL"/>
        </w:rPr>
        <w:t>Het aantal belastingplichtigen dat een beroep op het Verdrag zal doen</w:t>
      </w:r>
      <w:r w:rsidR="0005779F">
        <w:rPr>
          <w:rFonts w:ascii="Verdana" w:hAnsi="Verdana"/>
          <w:sz w:val="18"/>
          <w:szCs w:val="18"/>
          <w:lang w:val="nl-NL"/>
        </w:rPr>
        <w:t>,</w:t>
      </w:r>
      <w:r>
        <w:rPr>
          <w:rFonts w:ascii="Verdana" w:hAnsi="Verdana"/>
          <w:sz w:val="18"/>
          <w:szCs w:val="18"/>
          <w:lang w:val="nl-NL"/>
        </w:rPr>
        <w:t xml:space="preserve"> is</w:t>
      </w:r>
      <w:r w:rsidR="00D42785">
        <w:rPr>
          <w:rFonts w:ascii="Verdana" w:hAnsi="Verdana"/>
          <w:sz w:val="18"/>
          <w:szCs w:val="18"/>
          <w:lang w:val="nl-NL"/>
        </w:rPr>
        <w:t>,</w:t>
      </w:r>
      <w:r>
        <w:rPr>
          <w:rFonts w:ascii="Verdana" w:hAnsi="Verdana"/>
          <w:sz w:val="18"/>
          <w:szCs w:val="18"/>
          <w:lang w:val="nl-NL"/>
        </w:rPr>
        <w:t xml:space="preserve"> </w:t>
      </w:r>
      <w:r w:rsidR="008B1C57">
        <w:rPr>
          <w:rFonts w:ascii="Verdana" w:hAnsi="Verdana"/>
          <w:sz w:val="18"/>
          <w:szCs w:val="18"/>
          <w:lang w:val="nl-NL"/>
        </w:rPr>
        <w:t xml:space="preserve">als gevolg van de hoogte </w:t>
      </w:r>
      <w:r w:rsidR="0005779F">
        <w:rPr>
          <w:rFonts w:ascii="Verdana" w:hAnsi="Verdana"/>
          <w:sz w:val="18"/>
          <w:szCs w:val="18"/>
          <w:lang w:val="nl-NL"/>
        </w:rPr>
        <w:t xml:space="preserve">van de in de bankenbelasting opgenomen </w:t>
      </w:r>
      <w:r w:rsidR="008B1C57">
        <w:rPr>
          <w:rFonts w:ascii="Verdana" w:hAnsi="Verdana"/>
          <w:sz w:val="18"/>
          <w:szCs w:val="18"/>
          <w:lang w:val="nl-NL"/>
        </w:rPr>
        <w:t>doelmatigheidsvrijstelling</w:t>
      </w:r>
      <w:r w:rsidR="00450437">
        <w:rPr>
          <w:rFonts w:ascii="Verdana" w:hAnsi="Verdana"/>
          <w:sz w:val="18"/>
          <w:szCs w:val="18"/>
          <w:lang w:val="nl-NL"/>
        </w:rPr>
        <w:t>,</w:t>
      </w:r>
      <w:r>
        <w:rPr>
          <w:rFonts w:ascii="Verdana" w:hAnsi="Verdana"/>
          <w:sz w:val="18"/>
          <w:szCs w:val="18"/>
          <w:lang w:val="nl-NL"/>
        </w:rPr>
        <w:t xml:space="preserve"> beperkt, maar de met dubbele bankenbelasting gemoeide bedragen kunnen groot zijn. De budgettaire gevolgen van het Verdrag zullen gematigd negatief zijn, omdat Nederland een deel van haar heffingsrecht opgeef</w:t>
      </w:r>
      <w:r w:rsidR="008B1C57">
        <w:rPr>
          <w:rFonts w:ascii="Verdana" w:hAnsi="Verdana"/>
          <w:sz w:val="18"/>
          <w:szCs w:val="18"/>
          <w:lang w:val="nl-NL"/>
        </w:rPr>
        <w:t xml:space="preserve">t ten aanzien van Britse banken die in Nederland bankenactiviteiten ontplooien door middel van een dochtermaatschappij of een </w:t>
      </w:r>
      <w:r w:rsidR="00664704">
        <w:rPr>
          <w:rFonts w:ascii="Verdana" w:hAnsi="Verdana"/>
          <w:sz w:val="18"/>
          <w:szCs w:val="18"/>
          <w:lang w:val="nl-NL"/>
        </w:rPr>
        <w:t>vaste inrichting</w:t>
      </w:r>
      <w:r w:rsidR="008B1C57">
        <w:rPr>
          <w:rFonts w:ascii="Verdana" w:hAnsi="Verdana"/>
          <w:sz w:val="18"/>
          <w:szCs w:val="18"/>
          <w:lang w:val="nl-NL"/>
        </w:rPr>
        <w:t xml:space="preserve">. Andersom </w:t>
      </w:r>
      <w:r w:rsidR="006E0EF6">
        <w:rPr>
          <w:rFonts w:ascii="Verdana" w:hAnsi="Verdana"/>
          <w:sz w:val="18"/>
          <w:szCs w:val="18"/>
          <w:lang w:val="nl-NL"/>
        </w:rPr>
        <w:t xml:space="preserve">zal het VK terugtreden ten </w:t>
      </w:r>
      <w:r w:rsidR="00D42785">
        <w:rPr>
          <w:rFonts w:ascii="Verdana" w:hAnsi="Verdana"/>
          <w:sz w:val="18"/>
          <w:szCs w:val="18"/>
          <w:lang w:val="nl-NL"/>
        </w:rPr>
        <w:t>aanzien</w:t>
      </w:r>
      <w:r w:rsidR="006E0EF6">
        <w:rPr>
          <w:rFonts w:ascii="Verdana" w:hAnsi="Verdana"/>
          <w:sz w:val="18"/>
          <w:szCs w:val="18"/>
          <w:lang w:val="nl-NL"/>
        </w:rPr>
        <w:t xml:space="preserve"> van Britse</w:t>
      </w:r>
      <w:r w:rsidR="009A52BF">
        <w:rPr>
          <w:rFonts w:ascii="Verdana" w:hAnsi="Verdana"/>
          <w:sz w:val="18"/>
          <w:szCs w:val="18"/>
          <w:lang w:val="nl-NL"/>
        </w:rPr>
        <w:t xml:space="preserve"> </w:t>
      </w:r>
      <w:r w:rsidR="006E0EF6">
        <w:rPr>
          <w:rFonts w:ascii="Verdana" w:hAnsi="Verdana"/>
          <w:sz w:val="18"/>
          <w:szCs w:val="18"/>
          <w:lang w:val="nl-NL"/>
        </w:rPr>
        <w:t xml:space="preserve">dochtermaatschappijen of </w:t>
      </w:r>
      <w:r w:rsidR="00664704">
        <w:rPr>
          <w:rFonts w:ascii="Verdana" w:hAnsi="Verdana"/>
          <w:sz w:val="18"/>
          <w:szCs w:val="18"/>
          <w:lang w:val="nl-NL"/>
        </w:rPr>
        <w:t xml:space="preserve">Britse </w:t>
      </w:r>
      <w:r w:rsidR="006E0EF6">
        <w:rPr>
          <w:rFonts w:ascii="Verdana" w:hAnsi="Verdana"/>
          <w:sz w:val="18"/>
          <w:szCs w:val="18"/>
          <w:lang w:val="nl-NL"/>
        </w:rPr>
        <w:t xml:space="preserve">vaste inrichtingen van Nederlandse banken. Tegenover </w:t>
      </w:r>
      <w:r w:rsidR="0070441D">
        <w:rPr>
          <w:rFonts w:ascii="Verdana" w:hAnsi="Verdana"/>
          <w:sz w:val="18"/>
          <w:szCs w:val="18"/>
          <w:lang w:val="nl-NL"/>
        </w:rPr>
        <w:t xml:space="preserve">het </w:t>
      </w:r>
      <w:r w:rsidR="00884891">
        <w:rPr>
          <w:rFonts w:ascii="Verdana" w:hAnsi="Verdana"/>
          <w:sz w:val="18"/>
          <w:szCs w:val="18"/>
          <w:lang w:val="nl-NL"/>
        </w:rPr>
        <w:t xml:space="preserve">budgettaire </w:t>
      </w:r>
      <w:r w:rsidR="00D42785">
        <w:rPr>
          <w:rFonts w:ascii="Verdana" w:hAnsi="Verdana"/>
          <w:sz w:val="18"/>
          <w:szCs w:val="18"/>
          <w:lang w:val="nl-NL"/>
        </w:rPr>
        <w:t>nadeel</w:t>
      </w:r>
      <w:r w:rsidR="006E0EF6">
        <w:rPr>
          <w:rFonts w:ascii="Verdana" w:hAnsi="Verdana"/>
          <w:sz w:val="18"/>
          <w:szCs w:val="18"/>
          <w:lang w:val="nl-NL"/>
        </w:rPr>
        <w:t xml:space="preserve"> </w:t>
      </w:r>
      <w:r w:rsidR="0005779F">
        <w:rPr>
          <w:rFonts w:ascii="Verdana" w:hAnsi="Verdana"/>
          <w:sz w:val="18"/>
          <w:szCs w:val="18"/>
          <w:lang w:val="nl-NL"/>
        </w:rPr>
        <w:t xml:space="preserve">dat voor Nederland voortvloeit uit het verlenen van een verrekening </w:t>
      </w:r>
      <w:r w:rsidR="00C44122">
        <w:rPr>
          <w:rFonts w:ascii="Verdana" w:hAnsi="Verdana"/>
          <w:sz w:val="18"/>
          <w:szCs w:val="18"/>
          <w:lang w:val="nl-NL"/>
        </w:rPr>
        <w:t xml:space="preserve">voor </w:t>
      </w:r>
      <w:r w:rsidR="0005779F">
        <w:rPr>
          <w:rFonts w:ascii="Verdana" w:hAnsi="Verdana"/>
          <w:sz w:val="18"/>
          <w:szCs w:val="18"/>
          <w:lang w:val="nl-NL"/>
        </w:rPr>
        <w:t xml:space="preserve">Britse bankenbelasting </w:t>
      </w:r>
      <w:r>
        <w:rPr>
          <w:rFonts w:ascii="Verdana" w:hAnsi="Verdana"/>
          <w:sz w:val="18"/>
          <w:szCs w:val="18"/>
          <w:lang w:val="nl-NL"/>
        </w:rPr>
        <w:t>staat</w:t>
      </w:r>
      <w:r w:rsidR="00D42785">
        <w:rPr>
          <w:rFonts w:ascii="Verdana" w:hAnsi="Verdana"/>
          <w:sz w:val="18"/>
          <w:szCs w:val="18"/>
          <w:lang w:val="nl-NL"/>
        </w:rPr>
        <w:t xml:space="preserve"> </w:t>
      </w:r>
      <w:proofErr w:type="gramStart"/>
      <w:r w:rsidR="0005779F">
        <w:rPr>
          <w:rFonts w:ascii="Verdana" w:hAnsi="Verdana"/>
          <w:sz w:val="18"/>
          <w:szCs w:val="18"/>
          <w:lang w:val="nl-NL"/>
        </w:rPr>
        <w:t>derhalve</w:t>
      </w:r>
      <w:proofErr w:type="gramEnd"/>
      <w:r w:rsidR="0005779F">
        <w:rPr>
          <w:rFonts w:ascii="Verdana" w:hAnsi="Verdana"/>
          <w:sz w:val="18"/>
          <w:szCs w:val="18"/>
          <w:lang w:val="nl-NL"/>
        </w:rPr>
        <w:t xml:space="preserve"> </w:t>
      </w:r>
      <w:r>
        <w:rPr>
          <w:rFonts w:ascii="Verdana" w:hAnsi="Verdana"/>
          <w:sz w:val="18"/>
          <w:szCs w:val="18"/>
          <w:lang w:val="nl-NL"/>
        </w:rPr>
        <w:t xml:space="preserve">een voordeel voor </w:t>
      </w:r>
      <w:r w:rsidR="00D42785">
        <w:rPr>
          <w:rFonts w:ascii="Verdana" w:hAnsi="Verdana"/>
          <w:sz w:val="18"/>
          <w:szCs w:val="18"/>
          <w:lang w:val="nl-NL"/>
        </w:rPr>
        <w:t xml:space="preserve">de </w:t>
      </w:r>
      <w:r w:rsidR="002036A1">
        <w:rPr>
          <w:rFonts w:ascii="Verdana" w:hAnsi="Verdana"/>
          <w:sz w:val="18"/>
          <w:szCs w:val="18"/>
          <w:lang w:val="nl-NL"/>
        </w:rPr>
        <w:t xml:space="preserve">onder de Nederlandse bankenbelasting vallende </w:t>
      </w:r>
      <w:r w:rsidR="00D42785">
        <w:rPr>
          <w:rFonts w:ascii="Verdana" w:hAnsi="Verdana"/>
          <w:sz w:val="18"/>
          <w:szCs w:val="18"/>
          <w:lang w:val="nl-NL"/>
        </w:rPr>
        <w:t>belastingplichtigen</w:t>
      </w:r>
      <w:r w:rsidR="00CD747F">
        <w:rPr>
          <w:rFonts w:ascii="Verdana" w:hAnsi="Verdana"/>
          <w:sz w:val="18"/>
          <w:szCs w:val="18"/>
          <w:lang w:val="nl-NL"/>
        </w:rPr>
        <w:t>. Enerzijds</w:t>
      </w:r>
      <w:r w:rsidR="00D42785">
        <w:rPr>
          <w:rFonts w:ascii="Verdana" w:hAnsi="Verdana"/>
          <w:sz w:val="18"/>
          <w:szCs w:val="18"/>
          <w:lang w:val="nl-NL"/>
        </w:rPr>
        <w:t xml:space="preserve"> omdat </w:t>
      </w:r>
      <w:r w:rsidR="00CD747F">
        <w:rPr>
          <w:rFonts w:ascii="Verdana" w:hAnsi="Verdana"/>
          <w:sz w:val="18"/>
          <w:szCs w:val="18"/>
          <w:lang w:val="nl-NL"/>
        </w:rPr>
        <w:t xml:space="preserve">door verrekening in Nederland </w:t>
      </w:r>
      <w:r w:rsidR="00D42785">
        <w:rPr>
          <w:rFonts w:ascii="Verdana" w:hAnsi="Verdana"/>
          <w:sz w:val="18"/>
          <w:szCs w:val="18"/>
          <w:lang w:val="nl-NL"/>
        </w:rPr>
        <w:t>dubbele belastingheffing wordt vermeden</w:t>
      </w:r>
      <w:r w:rsidR="0005779F">
        <w:rPr>
          <w:rFonts w:ascii="Verdana" w:hAnsi="Verdana"/>
          <w:sz w:val="18"/>
          <w:szCs w:val="18"/>
          <w:lang w:val="nl-NL"/>
        </w:rPr>
        <w:t xml:space="preserve"> </w:t>
      </w:r>
      <w:r w:rsidR="00C44122">
        <w:rPr>
          <w:rFonts w:ascii="Verdana" w:hAnsi="Verdana"/>
          <w:sz w:val="18"/>
          <w:szCs w:val="18"/>
          <w:lang w:val="nl-NL"/>
        </w:rPr>
        <w:t>en</w:t>
      </w:r>
      <w:r w:rsidR="00CD747F">
        <w:rPr>
          <w:rFonts w:ascii="Verdana" w:hAnsi="Verdana"/>
          <w:sz w:val="18"/>
          <w:szCs w:val="18"/>
          <w:lang w:val="nl-NL"/>
        </w:rPr>
        <w:t xml:space="preserve"> anderzijds</w:t>
      </w:r>
      <w:r w:rsidR="00C44122">
        <w:rPr>
          <w:rFonts w:ascii="Verdana" w:hAnsi="Verdana"/>
          <w:sz w:val="18"/>
          <w:szCs w:val="18"/>
          <w:lang w:val="nl-NL"/>
        </w:rPr>
        <w:t xml:space="preserve"> </w:t>
      </w:r>
      <w:r w:rsidR="000248D4">
        <w:rPr>
          <w:rFonts w:ascii="Verdana" w:hAnsi="Verdana"/>
          <w:sz w:val="18"/>
          <w:szCs w:val="18"/>
          <w:lang w:val="nl-NL"/>
        </w:rPr>
        <w:t xml:space="preserve">omdat </w:t>
      </w:r>
      <w:r w:rsidR="0005779F">
        <w:rPr>
          <w:rFonts w:ascii="Verdana" w:hAnsi="Verdana"/>
          <w:sz w:val="18"/>
          <w:szCs w:val="18"/>
          <w:lang w:val="nl-NL"/>
        </w:rPr>
        <w:t>ook het VK in spiegelbeeldsituaties een verrekening geeft van Britse bankenbelasting aan Nederlandse banken die in het VK actief zijn</w:t>
      </w:r>
      <w:r>
        <w:rPr>
          <w:rFonts w:ascii="Verdana" w:hAnsi="Verdana"/>
          <w:sz w:val="18"/>
          <w:szCs w:val="18"/>
          <w:lang w:val="nl-NL"/>
        </w:rPr>
        <w:t xml:space="preserve">. </w:t>
      </w:r>
      <w:r w:rsidR="0005779F">
        <w:rPr>
          <w:rFonts w:ascii="Verdana" w:hAnsi="Verdana"/>
          <w:sz w:val="18"/>
          <w:szCs w:val="18"/>
          <w:lang w:val="nl-NL"/>
        </w:rPr>
        <w:t>Een en ander is ook in lijn met</w:t>
      </w:r>
      <w:r w:rsidR="00002EB1">
        <w:rPr>
          <w:rFonts w:ascii="Verdana" w:hAnsi="Verdana"/>
          <w:sz w:val="18"/>
          <w:szCs w:val="18"/>
          <w:lang w:val="nl-NL"/>
        </w:rPr>
        <w:t xml:space="preserve"> de in paragraaf 2 </w:t>
      </w:r>
      <w:proofErr w:type="gramStart"/>
      <w:r w:rsidR="00002EB1">
        <w:rPr>
          <w:rFonts w:ascii="Verdana" w:hAnsi="Verdana"/>
          <w:sz w:val="18"/>
          <w:szCs w:val="18"/>
          <w:lang w:val="nl-NL"/>
        </w:rPr>
        <w:t>reeds</w:t>
      </w:r>
      <w:proofErr w:type="gramEnd"/>
      <w:r w:rsidR="00002EB1">
        <w:rPr>
          <w:rFonts w:ascii="Verdana" w:hAnsi="Verdana"/>
          <w:sz w:val="18"/>
          <w:szCs w:val="18"/>
          <w:lang w:val="nl-NL"/>
        </w:rPr>
        <w:t xml:space="preserve"> aangehaalde regeling die is getroffen in het Besluit voorkoming dubbele belasting 2001</w:t>
      </w:r>
      <w:r w:rsidR="000B2050">
        <w:rPr>
          <w:rFonts w:ascii="Verdana" w:hAnsi="Verdana"/>
          <w:sz w:val="18"/>
          <w:szCs w:val="18"/>
          <w:lang w:val="nl-NL"/>
        </w:rPr>
        <w:t xml:space="preserve"> (verder ‘</w:t>
      </w:r>
      <w:proofErr w:type="spellStart"/>
      <w:r w:rsidR="000B2050">
        <w:rPr>
          <w:rFonts w:ascii="Verdana" w:hAnsi="Verdana"/>
          <w:sz w:val="18"/>
          <w:szCs w:val="18"/>
          <w:lang w:val="nl-NL"/>
        </w:rPr>
        <w:t>Bvdb</w:t>
      </w:r>
      <w:proofErr w:type="spellEnd"/>
      <w:r w:rsidR="000B2050">
        <w:rPr>
          <w:rFonts w:ascii="Verdana" w:hAnsi="Verdana"/>
          <w:sz w:val="18"/>
          <w:szCs w:val="18"/>
          <w:lang w:val="nl-NL"/>
        </w:rPr>
        <w:t xml:space="preserve"> 2001’)</w:t>
      </w:r>
      <w:r w:rsidR="00002EB1">
        <w:rPr>
          <w:rFonts w:ascii="Verdana" w:hAnsi="Verdana"/>
          <w:sz w:val="18"/>
          <w:szCs w:val="18"/>
          <w:lang w:val="nl-NL"/>
        </w:rPr>
        <w:t>.</w:t>
      </w:r>
    </w:p>
    <w:p w:rsidR="005335CB" w:rsidP="00FA42A5" w:rsidRDefault="001D6B88">
      <w:pPr>
        <w:spacing w:after="240" w:line="360" w:lineRule="auto"/>
        <w:rPr>
          <w:rFonts w:ascii="Verdana" w:hAnsi="Verdana"/>
          <w:sz w:val="18"/>
          <w:szCs w:val="18"/>
          <w:lang w:val="nl-NL"/>
        </w:rPr>
      </w:pPr>
      <w:r>
        <w:rPr>
          <w:rFonts w:ascii="Verdana" w:hAnsi="Verdana"/>
          <w:sz w:val="18"/>
          <w:szCs w:val="18"/>
          <w:lang w:val="nl-NL"/>
        </w:rPr>
        <w:t xml:space="preserve">De grenzen van de heffingsbevoegdheden van </w:t>
      </w:r>
      <w:r w:rsidR="00FE25C7">
        <w:rPr>
          <w:rFonts w:ascii="Verdana" w:hAnsi="Verdana"/>
          <w:sz w:val="18"/>
          <w:szCs w:val="18"/>
          <w:lang w:val="nl-NL"/>
        </w:rPr>
        <w:t>de</w:t>
      </w:r>
      <w:r>
        <w:rPr>
          <w:rFonts w:ascii="Verdana" w:hAnsi="Verdana"/>
          <w:sz w:val="18"/>
          <w:szCs w:val="18"/>
          <w:lang w:val="nl-NL"/>
        </w:rPr>
        <w:t xml:space="preserve"> Verd</w:t>
      </w:r>
      <w:r w:rsidR="0071004E">
        <w:rPr>
          <w:rFonts w:ascii="Verdana" w:hAnsi="Verdana"/>
          <w:sz w:val="18"/>
          <w:szCs w:val="18"/>
          <w:lang w:val="nl-NL"/>
        </w:rPr>
        <w:t xml:space="preserve">ragsluitende </w:t>
      </w:r>
      <w:r w:rsidR="00664704">
        <w:rPr>
          <w:rFonts w:ascii="Verdana" w:hAnsi="Verdana"/>
          <w:sz w:val="18"/>
          <w:szCs w:val="18"/>
          <w:lang w:val="nl-NL"/>
        </w:rPr>
        <w:t>S</w:t>
      </w:r>
      <w:r w:rsidR="0071004E">
        <w:rPr>
          <w:rFonts w:ascii="Verdana" w:hAnsi="Verdana"/>
          <w:sz w:val="18"/>
          <w:szCs w:val="18"/>
          <w:lang w:val="nl-NL"/>
        </w:rPr>
        <w:t xml:space="preserve">taten </w:t>
      </w:r>
      <w:r w:rsidR="00D42785">
        <w:rPr>
          <w:rFonts w:ascii="Verdana" w:hAnsi="Verdana"/>
          <w:sz w:val="18"/>
          <w:szCs w:val="18"/>
          <w:lang w:val="nl-NL"/>
        </w:rPr>
        <w:t xml:space="preserve">komen duidelijk tot uiting in </w:t>
      </w:r>
      <w:r w:rsidR="0071004E">
        <w:rPr>
          <w:rFonts w:ascii="Verdana" w:hAnsi="Verdana"/>
          <w:sz w:val="18"/>
          <w:szCs w:val="18"/>
          <w:lang w:val="nl-NL"/>
        </w:rPr>
        <w:t>de wijze</w:t>
      </w:r>
      <w:r>
        <w:rPr>
          <w:rFonts w:ascii="Verdana" w:hAnsi="Verdana"/>
          <w:sz w:val="18"/>
          <w:szCs w:val="18"/>
          <w:lang w:val="nl-NL"/>
        </w:rPr>
        <w:t xml:space="preserve"> waarop dubbele belasting </w:t>
      </w:r>
      <w:r w:rsidR="00D42785">
        <w:rPr>
          <w:rFonts w:ascii="Verdana" w:hAnsi="Verdana"/>
          <w:sz w:val="18"/>
          <w:szCs w:val="18"/>
          <w:lang w:val="nl-NL"/>
        </w:rPr>
        <w:t xml:space="preserve">zal </w:t>
      </w:r>
      <w:r>
        <w:rPr>
          <w:rFonts w:ascii="Verdana" w:hAnsi="Verdana"/>
          <w:sz w:val="18"/>
          <w:szCs w:val="18"/>
          <w:lang w:val="nl-NL"/>
        </w:rPr>
        <w:t>word</w:t>
      </w:r>
      <w:r w:rsidR="00D42785">
        <w:rPr>
          <w:rFonts w:ascii="Verdana" w:hAnsi="Verdana"/>
          <w:sz w:val="18"/>
          <w:szCs w:val="18"/>
          <w:lang w:val="nl-NL"/>
        </w:rPr>
        <w:t>en vermeden</w:t>
      </w:r>
      <w:r>
        <w:rPr>
          <w:rFonts w:ascii="Verdana" w:hAnsi="Verdana"/>
          <w:sz w:val="18"/>
          <w:szCs w:val="18"/>
          <w:lang w:val="nl-NL"/>
        </w:rPr>
        <w:t>. Tevens is er een goede grondslag gelegd voor onderling overleg</w:t>
      </w:r>
      <w:r w:rsidR="0071004E">
        <w:rPr>
          <w:rFonts w:ascii="Verdana" w:hAnsi="Verdana"/>
          <w:sz w:val="18"/>
          <w:szCs w:val="18"/>
          <w:lang w:val="nl-NL"/>
        </w:rPr>
        <w:t xml:space="preserve"> en geschillenbeslechting in</w:t>
      </w:r>
      <w:r>
        <w:rPr>
          <w:rFonts w:ascii="Verdana" w:hAnsi="Verdana"/>
          <w:sz w:val="18"/>
          <w:szCs w:val="18"/>
          <w:lang w:val="nl-NL"/>
        </w:rPr>
        <w:t xml:space="preserve"> situaties waarin de toepassing van het Verdrag </w:t>
      </w:r>
      <w:r w:rsidR="00040699">
        <w:rPr>
          <w:rFonts w:ascii="Verdana" w:hAnsi="Verdana"/>
          <w:sz w:val="18"/>
          <w:szCs w:val="18"/>
          <w:lang w:val="nl-NL"/>
        </w:rPr>
        <w:t xml:space="preserve">toch </w:t>
      </w:r>
      <w:r>
        <w:rPr>
          <w:rFonts w:ascii="Verdana" w:hAnsi="Verdana"/>
          <w:sz w:val="18"/>
          <w:szCs w:val="18"/>
          <w:lang w:val="nl-NL"/>
        </w:rPr>
        <w:t xml:space="preserve">tot problemen leidt. </w:t>
      </w:r>
    </w:p>
    <w:p w:rsidRPr="00ED0EBC" w:rsidR="00ED0EBC" w:rsidP="00FA42A5" w:rsidRDefault="0071004E">
      <w:pPr>
        <w:spacing w:line="360" w:lineRule="auto"/>
        <w:rPr>
          <w:lang w:val="nl-NL"/>
        </w:rPr>
      </w:pPr>
      <w:r>
        <w:rPr>
          <w:rFonts w:ascii="Verdana" w:hAnsi="Verdana" w:cs="Arial"/>
          <w:sz w:val="18"/>
          <w:szCs w:val="18"/>
          <w:lang w:val="nl-NL"/>
        </w:rPr>
        <w:t>De aan</w:t>
      </w:r>
      <w:r w:rsidRPr="001D6B88" w:rsidR="001D6B88">
        <w:rPr>
          <w:rFonts w:ascii="Verdana" w:hAnsi="Verdana" w:cs="Arial"/>
          <w:sz w:val="18"/>
          <w:szCs w:val="18"/>
          <w:lang w:val="nl-NL"/>
        </w:rPr>
        <w:t xml:space="preserve"> het Verdrag </w:t>
      </w:r>
      <w:r>
        <w:rPr>
          <w:rFonts w:ascii="Verdana" w:hAnsi="Verdana" w:cs="Arial"/>
          <w:sz w:val="18"/>
          <w:szCs w:val="18"/>
          <w:lang w:val="nl-NL"/>
        </w:rPr>
        <w:t>voor</w:t>
      </w:r>
      <w:r w:rsidRPr="001D6B88" w:rsidR="001D6B88">
        <w:rPr>
          <w:rFonts w:ascii="Verdana" w:hAnsi="Verdana"/>
          <w:sz w:val="18"/>
          <w:szCs w:val="18"/>
          <w:lang w:val="nl-NL"/>
        </w:rPr>
        <w:t xml:space="preserve"> de Belastingdienst </w:t>
      </w:r>
      <w:r>
        <w:rPr>
          <w:rFonts w:ascii="Verdana" w:hAnsi="Verdana"/>
          <w:sz w:val="18"/>
          <w:szCs w:val="18"/>
          <w:lang w:val="nl-NL"/>
        </w:rPr>
        <w:t>ver</w:t>
      </w:r>
      <w:r w:rsidR="00C5613C">
        <w:rPr>
          <w:rFonts w:ascii="Verdana" w:hAnsi="Verdana"/>
          <w:sz w:val="18"/>
          <w:szCs w:val="18"/>
          <w:lang w:val="nl-NL"/>
        </w:rPr>
        <w:t>bonden</w:t>
      </w:r>
      <w:r>
        <w:rPr>
          <w:rFonts w:ascii="Verdana" w:hAnsi="Verdana"/>
          <w:sz w:val="18"/>
          <w:szCs w:val="18"/>
          <w:lang w:val="nl-NL"/>
        </w:rPr>
        <w:t xml:space="preserve"> uitvoeringskosten en</w:t>
      </w:r>
      <w:r w:rsidRPr="001D6B88" w:rsidR="001D6B88">
        <w:rPr>
          <w:rFonts w:ascii="Verdana" w:hAnsi="Verdana"/>
          <w:sz w:val="18"/>
          <w:szCs w:val="18"/>
          <w:lang w:val="nl-NL"/>
        </w:rPr>
        <w:t xml:space="preserve"> administratieve lasten voor het bedrijfsleven </w:t>
      </w:r>
      <w:r>
        <w:rPr>
          <w:rFonts w:ascii="Verdana" w:hAnsi="Verdana"/>
          <w:sz w:val="18"/>
          <w:szCs w:val="18"/>
          <w:lang w:val="nl-NL"/>
        </w:rPr>
        <w:t>zijn te verwaarlozen.</w:t>
      </w:r>
      <w:r w:rsidRPr="001D6B88" w:rsidR="001D6B88">
        <w:rPr>
          <w:rFonts w:ascii="Verdana" w:hAnsi="Verdana"/>
          <w:sz w:val="18"/>
          <w:szCs w:val="18"/>
          <w:lang w:val="nl-NL"/>
        </w:rPr>
        <w:t xml:space="preserve"> </w:t>
      </w:r>
    </w:p>
    <w:p w:rsidRPr="00525643" w:rsidR="006C176E" w:rsidP="00525643" w:rsidRDefault="00CD747F">
      <w:pPr>
        <w:pStyle w:val="Heading2"/>
        <w:rPr>
          <w:rFonts w:ascii="Verdana" w:hAnsi="Verdana"/>
          <w:sz w:val="18"/>
          <w:szCs w:val="18"/>
          <w:lang w:val="nl-NL"/>
        </w:rPr>
      </w:pPr>
      <w:r w:rsidRPr="00525643">
        <w:rPr>
          <w:rFonts w:ascii="Verdana" w:hAnsi="Verdana"/>
          <w:sz w:val="18"/>
          <w:szCs w:val="18"/>
          <w:lang w:val="nl-NL"/>
        </w:rPr>
        <w:t>Inbreng van derden</w:t>
      </w:r>
    </w:p>
    <w:p w:rsidRPr="00CF5BF2" w:rsidR="00CD747F" w:rsidP="00FA42A5" w:rsidRDefault="00CD747F">
      <w:pPr>
        <w:spacing w:line="360" w:lineRule="auto"/>
        <w:rPr>
          <w:rFonts w:ascii="Verdana" w:hAnsi="Verdana"/>
          <w:sz w:val="18"/>
          <w:szCs w:val="18"/>
          <w:lang w:val="nl-NL"/>
        </w:rPr>
      </w:pPr>
      <w:r w:rsidRPr="00CF5BF2">
        <w:rPr>
          <w:rFonts w:ascii="Verdana" w:hAnsi="Verdana"/>
          <w:sz w:val="18"/>
          <w:szCs w:val="18"/>
          <w:lang w:val="nl-NL"/>
        </w:rPr>
        <w:t>In het kader van de parlementaire behandeling van het wetsvoorstel dat heeft geleid tot de Wet bankenbelasting is het streven om tot het Verdrag te komen aan de orde geweest. Enkele belanghebbenden hebben hierover opmerkingen gemaakt</w:t>
      </w:r>
      <w:r w:rsidRPr="00CF5BF2" w:rsidR="000248D4">
        <w:rPr>
          <w:rFonts w:ascii="Verdana" w:hAnsi="Verdana"/>
          <w:sz w:val="18"/>
          <w:szCs w:val="18"/>
          <w:lang w:val="nl-NL"/>
        </w:rPr>
        <w:t xml:space="preserve">; </w:t>
      </w:r>
      <w:r w:rsidRPr="00CF5BF2" w:rsidR="0070441D">
        <w:rPr>
          <w:rFonts w:ascii="Verdana" w:hAnsi="Verdana"/>
          <w:sz w:val="18"/>
          <w:szCs w:val="18"/>
          <w:lang w:val="nl-NL"/>
        </w:rPr>
        <w:t xml:space="preserve">deze </w:t>
      </w:r>
      <w:r w:rsidRPr="00CF5BF2">
        <w:rPr>
          <w:rFonts w:ascii="Verdana" w:hAnsi="Verdana"/>
          <w:sz w:val="18"/>
          <w:szCs w:val="18"/>
          <w:lang w:val="nl-NL"/>
        </w:rPr>
        <w:t xml:space="preserve">zijn gebruikt bij de (voorbereiding van de) onderhandelingen. </w:t>
      </w:r>
    </w:p>
    <w:p w:rsidRPr="00525643" w:rsidR="006C176E" w:rsidP="00525643" w:rsidRDefault="007E7343">
      <w:pPr>
        <w:pStyle w:val="Heading2"/>
        <w:rPr>
          <w:rFonts w:ascii="Verdana" w:hAnsi="Verdana"/>
          <w:sz w:val="18"/>
          <w:szCs w:val="18"/>
          <w:lang w:val="nl-NL"/>
        </w:rPr>
      </w:pPr>
      <w:proofErr w:type="spellStart"/>
      <w:r w:rsidRPr="00525643">
        <w:rPr>
          <w:rFonts w:ascii="Verdana" w:hAnsi="Verdana"/>
          <w:sz w:val="18"/>
          <w:szCs w:val="18"/>
          <w:lang w:val="nl-NL"/>
        </w:rPr>
        <w:t>Koninkrijkspositie</w:t>
      </w:r>
      <w:proofErr w:type="spellEnd"/>
    </w:p>
    <w:p w:rsidR="00F64821" w:rsidP="00FA42A5" w:rsidRDefault="001D6B88">
      <w:pPr>
        <w:spacing w:line="360" w:lineRule="auto"/>
        <w:rPr>
          <w:rFonts w:ascii="Verdana" w:hAnsi="Verdana"/>
          <w:sz w:val="18"/>
          <w:szCs w:val="18"/>
          <w:lang w:val="nl-NL"/>
        </w:rPr>
      </w:pPr>
      <w:r w:rsidRPr="001D6B88">
        <w:rPr>
          <w:rFonts w:ascii="Verdana" w:hAnsi="Verdana"/>
          <w:sz w:val="18"/>
          <w:szCs w:val="18"/>
          <w:lang w:val="nl-NL"/>
        </w:rPr>
        <w:t xml:space="preserve">Het Verdrag zal, wat het Koninkrijk der Nederlanden betreft, </w:t>
      </w:r>
      <w:r>
        <w:rPr>
          <w:rFonts w:ascii="Verdana" w:hAnsi="Verdana"/>
          <w:sz w:val="18"/>
          <w:szCs w:val="18"/>
          <w:lang w:val="nl-NL"/>
        </w:rPr>
        <w:t>alleen</w:t>
      </w:r>
      <w:r w:rsidRPr="001D6B88">
        <w:rPr>
          <w:rFonts w:ascii="Verdana" w:hAnsi="Verdana"/>
          <w:sz w:val="18"/>
          <w:szCs w:val="18"/>
          <w:lang w:val="nl-NL"/>
        </w:rPr>
        <w:t xml:space="preserve"> gelden voor het </w:t>
      </w:r>
      <w:r w:rsidR="00C52968">
        <w:rPr>
          <w:rFonts w:ascii="Verdana" w:hAnsi="Verdana"/>
          <w:sz w:val="18"/>
          <w:szCs w:val="18"/>
          <w:lang w:val="nl-NL"/>
        </w:rPr>
        <w:t>Europ</w:t>
      </w:r>
      <w:r w:rsidR="00BF429C">
        <w:rPr>
          <w:rFonts w:ascii="Verdana" w:hAnsi="Verdana"/>
          <w:sz w:val="18"/>
          <w:szCs w:val="18"/>
          <w:lang w:val="nl-NL"/>
        </w:rPr>
        <w:t>ese</w:t>
      </w:r>
      <w:r w:rsidR="00C52968">
        <w:rPr>
          <w:rFonts w:ascii="Verdana" w:hAnsi="Verdana"/>
          <w:sz w:val="18"/>
          <w:szCs w:val="18"/>
          <w:lang w:val="nl-NL"/>
        </w:rPr>
        <w:t xml:space="preserve"> deel van Nederland.</w:t>
      </w:r>
      <w:r w:rsidR="00CD747F">
        <w:rPr>
          <w:rFonts w:ascii="Verdana" w:hAnsi="Verdana"/>
          <w:sz w:val="18"/>
          <w:szCs w:val="18"/>
          <w:lang w:val="nl-NL"/>
        </w:rPr>
        <w:t xml:space="preserve"> In de relatie tussen het VK en het </w:t>
      </w:r>
      <w:proofErr w:type="spellStart"/>
      <w:r w:rsidR="00CD747F">
        <w:rPr>
          <w:rFonts w:ascii="Verdana" w:hAnsi="Verdana"/>
          <w:sz w:val="18"/>
          <w:szCs w:val="18"/>
          <w:lang w:val="nl-NL"/>
        </w:rPr>
        <w:t>Caribische</w:t>
      </w:r>
      <w:proofErr w:type="spellEnd"/>
      <w:r w:rsidR="00CD747F">
        <w:rPr>
          <w:rFonts w:ascii="Verdana" w:hAnsi="Verdana"/>
          <w:sz w:val="18"/>
          <w:szCs w:val="18"/>
          <w:lang w:val="nl-NL"/>
        </w:rPr>
        <w:t xml:space="preserve"> deel van Nederland kan zich overigens geen dubbele bankenbelasting voordoen nu in het </w:t>
      </w:r>
      <w:proofErr w:type="spellStart"/>
      <w:r w:rsidR="00CD747F">
        <w:rPr>
          <w:rFonts w:ascii="Verdana" w:hAnsi="Verdana"/>
          <w:sz w:val="18"/>
          <w:szCs w:val="18"/>
          <w:lang w:val="nl-NL"/>
        </w:rPr>
        <w:t>Caribische</w:t>
      </w:r>
      <w:proofErr w:type="spellEnd"/>
      <w:r w:rsidR="00CD747F">
        <w:rPr>
          <w:rFonts w:ascii="Verdana" w:hAnsi="Verdana"/>
          <w:sz w:val="18"/>
          <w:szCs w:val="18"/>
          <w:lang w:val="nl-NL"/>
        </w:rPr>
        <w:t xml:space="preserve"> deel van Nederland geen bankenbelasting wordt geheven.</w:t>
      </w:r>
    </w:p>
    <w:p w:rsidR="00F64821" w:rsidP="00F64821" w:rsidRDefault="00F64821">
      <w:pPr>
        <w:rPr>
          <w:lang w:val="nl-NL"/>
        </w:rPr>
      </w:pPr>
      <w:r>
        <w:rPr>
          <w:lang w:val="nl-NL"/>
        </w:rPr>
        <w:br w:type="page"/>
      </w:r>
    </w:p>
    <w:p w:rsidRPr="00525643" w:rsidR="00525643" w:rsidP="00525643" w:rsidRDefault="007E7343">
      <w:pPr>
        <w:pStyle w:val="Heading1"/>
        <w:rPr>
          <w:rFonts w:ascii="Verdana" w:hAnsi="Verdana"/>
          <w:sz w:val="18"/>
          <w:szCs w:val="18"/>
        </w:rPr>
      </w:pPr>
      <w:r w:rsidRPr="00525643">
        <w:rPr>
          <w:rFonts w:ascii="Verdana" w:hAnsi="Verdana"/>
          <w:sz w:val="18"/>
          <w:szCs w:val="18"/>
        </w:rPr>
        <w:lastRenderedPageBreak/>
        <w:t>ARTIKELSGEWIJZE TOELICHTING</w:t>
      </w:r>
    </w:p>
    <w:p w:rsidRPr="00525643" w:rsidR="00A76163" w:rsidP="00525643" w:rsidRDefault="007E7343">
      <w:pPr>
        <w:pStyle w:val="Heading2"/>
        <w:rPr>
          <w:rFonts w:ascii="Verdana" w:hAnsi="Verdana"/>
          <w:sz w:val="18"/>
          <w:szCs w:val="18"/>
        </w:rPr>
      </w:pPr>
      <w:r w:rsidRPr="00525643">
        <w:rPr>
          <w:rFonts w:ascii="Verdana" w:hAnsi="Verdana"/>
          <w:sz w:val="18"/>
          <w:szCs w:val="18"/>
          <w:lang w:val="nl-NL"/>
        </w:rPr>
        <w:t>Titel en preambule</w:t>
      </w:r>
    </w:p>
    <w:p w:rsidR="006473FC" w:rsidP="00FA42A5" w:rsidRDefault="006473FC">
      <w:pPr>
        <w:tabs>
          <w:tab w:val="center" w:pos="6290"/>
        </w:tabs>
        <w:spacing w:line="360" w:lineRule="auto"/>
        <w:rPr>
          <w:rFonts w:ascii="Verdana" w:hAnsi="Verdana" w:cs="Arial"/>
          <w:sz w:val="18"/>
          <w:szCs w:val="18"/>
          <w:lang w:val="nl-NL"/>
        </w:rPr>
      </w:pPr>
      <w:r>
        <w:rPr>
          <w:rFonts w:ascii="Verdana" w:hAnsi="Verdana" w:cs="Arial"/>
          <w:sz w:val="18"/>
          <w:szCs w:val="18"/>
          <w:lang w:val="nl-NL"/>
        </w:rPr>
        <w:t xml:space="preserve">Op verzoek van het VK wordt, evenals </w:t>
      </w:r>
      <w:r>
        <w:rPr>
          <w:rFonts w:ascii="Verdana" w:hAnsi="Verdana"/>
          <w:sz w:val="18"/>
          <w:szCs w:val="18"/>
          <w:lang w:val="nl-NL"/>
        </w:rPr>
        <w:t>in</w:t>
      </w:r>
      <w:r w:rsidRPr="001D6B88">
        <w:rPr>
          <w:rFonts w:ascii="Verdana" w:hAnsi="Verdana"/>
          <w:sz w:val="18"/>
          <w:szCs w:val="18"/>
          <w:lang w:val="nl-NL"/>
        </w:rPr>
        <w:t xml:space="preserve"> </w:t>
      </w:r>
      <w:r w:rsidR="00E32730">
        <w:rPr>
          <w:rFonts w:ascii="Verdana" w:hAnsi="Verdana"/>
          <w:sz w:val="18"/>
          <w:szCs w:val="18"/>
          <w:lang w:val="nl-NL"/>
        </w:rPr>
        <w:t xml:space="preserve">het algemene belastingverdrag </w:t>
      </w:r>
      <w:r>
        <w:rPr>
          <w:rFonts w:ascii="Verdana" w:hAnsi="Verdana"/>
          <w:sz w:val="18"/>
          <w:szCs w:val="18"/>
          <w:lang w:val="nl-NL"/>
        </w:rPr>
        <w:t>tussen</w:t>
      </w:r>
      <w:r w:rsidRPr="001D6B88">
        <w:rPr>
          <w:rFonts w:ascii="Verdana" w:hAnsi="Verdana"/>
          <w:sz w:val="18"/>
          <w:szCs w:val="18"/>
          <w:lang w:val="nl-NL"/>
        </w:rPr>
        <w:t xml:space="preserve"> Nederland en het V</w:t>
      </w:r>
      <w:r>
        <w:rPr>
          <w:rFonts w:ascii="Verdana" w:hAnsi="Verdana"/>
          <w:sz w:val="18"/>
          <w:szCs w:val="18"/>
          <w:lang w:val="nl-NL"/>
        </w:rPr>
        <w:t xml:space="preserve">K, ook in de titel en preambule van het voorliggende Verdrag gesproken van een verdrag tussen de regeringen van Nederland en het VK. </w:t>
      </w:r>
      <w:r w:rsidR="00002EB1">
        <w:rPr>
          <w:rFonts w:ascii="Verdana" w:hAnsi="Verdana"/>
          <w:sz w:val="18"/>
          <w:szCs w:val="18"/>
          <w:lang w:val="nl-NL"/>
        </w:rPr>
        <w:t xml:space="preserve">Dit doet er niet aan af dat het </w:t>
      </w:r>
      <w:r w:rsidR="00CD747F">
        <w:rPr>
          <w:rFonts w:ascii="Verdana" w:hAnsi="Verdana"/>
          <w:sz w:val="18"/>
          <w:szCs w:val="18"/>
          <w:lang w:val="nl-NL"/>
        </w:rPr>
        <w:t>V</w:t>
      </w:r>
      <w:r w:rsidR="00002EB1">
        <w:rPr>
          <w:rFonts w:ascii="Verdana" w:hAnsi="Verdana"/>
          <w:sz w:val="18"/>
          <w:szCs w:val="18"/>
          <w:lang w:val="nl-NL"/>
        </w:rPr>
        <w:t xml:space="preserve">erdrag </w:t>
      </w:r>
      <w:r w:rsidR="00580A4C">
        <w:rPr>
          <w:rFonts w:ascii="Verdana" w:hAnsi="Verdana"/>
          <w:sz w:val="18"/>
          <w:szCs w:val="18"/>
          <w:lang w:val="nl-NL"/>
        </w:rPr>
        <w:t xml:space="preserve">zal </w:t>
      </w:r>
      <w:r w:rsidR="00002EB1">
        <w:rPr>
          <w:rFonts w:ascii="Verdana" w:hAnsi="Verdana"/>
          <w:sz w:val="18"/>
          <w:szCs w:val="18"/>
          <w:lang w:val="nl-NL"/>
        </w:rPr>
        <w:t>geld</w:t>
      </w:r>
      <w:r w:rsidR="00580A4C">
        <w:rPr>
          <w:rFonts w:ascii="Verdana" w:hAnsi="Verdana"/>
          <w:sz w:val="18"/>
          <w:szCs w:val="18"/>
          <w:lang w:val="nl-NL"/>
        </w:rPr>
        <w:t>en</w:t>
      </w:r>
      <w:r w:rsidR="00002EB1">
        <w:rPr>
          <w:rFonts w:ascii="Verdana" w:hAnsi="Verdana"/>
          <w:sz w:val="18"/>
          <w:szCs w:val="18"/>
          <w:lang w:val="nl-NL"/>
        </w:rPr>
        <w:t xml:space="preserve"> tussen beide staten.</w:t>
      </w:r>
    </w:p>
    <w:p w:rsidRPr="00525643" w:rsidR="00A76163" w:rsidP="00525643" w:rsidRDefault="00CF5BF2">
      <w:pPr>
        <w:pStyle w:val="Heading2"/>
        <w:rPr>
          <w:rFonts w:ascii="Verdana" w:hAnsi="Verdana"/>
          <w:sz w:val="18"/>
          <w:szCs w:val="18"/>
          <w:lang w:val="nl-NL"/>
        </w:rPr>
      </w:pPr>
      <w:r w:rsidRPr="00525643">
        <w:rPr>
          <w:rFonts w:ascii="Verdana" w:hAnsi="Verdana"/>
          <w:sz w:val="18"/>
          <w:szCs w:val="18"/>
          <w:lang w:val="nl-NL"/>
        </w:rPr>
        <w:t xml:space="preserve"> </w:t>
      </w:r>
      <w:r w:rsidRPr="00525643" w:rsidR="007E7343">
        <w:rPr>
          <w:rFonts w:ascii="Verdana" w:hAnsi="Verdana"/>
          <w:sz w:val="18"/>
          <w:szCs w:val="18"/>
          <w:lang w:val="nl-NL"/>
        </w:rPr>
        <w:t>Entiteiten waarop het Verdrag van toepassing is (artikel 1 juncto artikel I van het Protocol)</w:t>
      </w:r>
    </w:p>
    <w:p w:rsidR="005335CB" w:rsidP="00FA42A5" w:rsidRDefault="001D6B88">
      <w:pPr>
        <w:spacing w:after="240" w:line="360" w:lineRule="auto"/>
        <w:rPr>
          <w:rFonts w:ascii="Verdana" w:hAnsi="Verdana"/>
          <w:sz w:val="18"/>
          <w:szCs w:val="18"/>
          <w:lang w:val="nl-NL"/>
        </w:rPr>
      </w:pPr>
      <w:r w:rsidRPr="00771EB8">
        <w:rPr>
          <w:rFonts w:ascii="Verdana" w:hAnsi="Verdana"/>
          <w:sz w:val="18"/>
          <w:szCs w:val="18"/>
          <w:lang w:val="nl-NL"/>
        </w:rPr>
        <w:t>Artikel 1 beschrijft de perso</w:t>
      </w:r>
      <w:r w:rsidR="00E40A21">
        <w:rPr>
          <w:rFonts w:ascii="Verdana" w:hAnsi="Verdana"/>
          <w:sz w:val="18"/>
          <w:szCs w:val="18"/>
          <w:lang w:val="nl-NL"/>
        </w:rPr>
        <w:t>nele</w:t>
      </w:r>
      <w:r w:rsidRPr="00771EB8">
        <w:rPr>
          <w:rFonts w:ascii="Verdana" w:hAnsi="Verdana"/>
          <w:sz w:val="18"/>
          <w:szCs w:val="18"/>
          <w:lang w:val="nl-NL"/>
        </w:rPr>
        <w:t xml:space="preserve"> werkingssfeer van het Verdrag: alleen entiteiten die inwoner zijn van een of </w:t>
      </w:r>
      <w:r w:rsidR="00872274">
        <w:rPr>
          <w:rFonts w:ascii="Verdana" w:hAnsi="Verdana"/>
          <w:sz w:val="18"/>
          <w:szCs w:val="18"/>
          <w:lang w:val="nl-NL"/>
        </w:rPr>
        <w:t xml:space="preserve">van </w:t>
      </w:r>
      <w:r w:rsidRPr="00771EB8">
        <w:rPr>
          <w:rFonts w:ascii="Verdana" w:hAnsi="Verdana"/>
          <w:sz w:val="18"/>
          <w:szCs w:val="18"/>
          <w:lang w:val="nl-NL"/>
        </w:rPr>
        <w:t xml:space="preserve">beide Verdragsluitende Staten kunnen een beroep doen op toepassing van het Verdrag. De </w:t>
      </w:r>
      <w:r w:rsidR="00681704">
        <w:rPr>
          <w:rFonts w:ascii="Verdana" w:hAnsi="Verdana"/>
          <w:sz w:val="18"/>
          <w:szCs w:val="18"/>
          <w:lang w:val="nl-NL"/>
        </w:rPr>
        <w:t>begrippen</w:t>
      </w:r>
      <w:r w:rsidRPr="00771EB8" w:rsidR="00681704">
        <w:rPr>
          <w:rFonts w:ascii="Verdana" w:hAnsi="Verdana"/>
          <w:sz w:val="18"/>
          <w:szCs w:val="18"/>
          <w:lang w:val="nl-NL"/>
        </w:rPr>
        <w:t xml:space="preserve"> </w:t>
      </w:r>
      <w:r w:rsidRPr="00771EB8">
        <w:rPr>
          <w:rFonts w:ascii="Verdana" w:hAnsi="Verdana"/>
          <w:sz w:val="18"/>
          <w:szCs w:val="18"/>
          <w:lang w:val="nl-NL"/>
        </w:rPr>
        <w:t xml:space="preserve">‘entiteit’ en ‘inwoner’ worden omschreven in </w:t>
      </w:r>
      <w:proofErr w:type="gramStart"/>
      <w:r w:rsidR="00E40A21">
        <w:rPr>
          <w:rFonts w:ascii="Verdana" w:hAnsi="Verdana"/>
          <w:sz w:val="18"/>
          <w:szCs w:val="18"/>
          <w:lang w:val="nl-NL"/>
        </w:rPr>
        <w:t>respectievelijk</w:t>
      </w:r>
      <w:proofErr w:type="gramEnd"/>
      <w:r w:rsidR="00E40A21">
        <w:rPr>
          <w:rFonts w:ascii="Verdana" w:hAnsi="Verdana"/>
          <w:sz w:val="18"/>
          <w:szCs w:val="18"/>
          <w:lang w:val="nl-NL"/>
        </w:rPr>
        <w:t xml:space="preserve"> </w:t>
      </w:r>
      <w:r w:rsidRPr="00771EB8">
        <w:rPr>
          <w:rFonts w:ascii="Verdana" w:hAnsi="Verdana"/>
          <w:sz w:val="18"/>
          <w:szCs w:val="18"/>
          <w:lang w:val="nl-NL"/>
        </w:rPr>
        <w:t>artikel 3, eerste lid</w:t>
      </w:r>
      <w:r w:rsidR="00F4256E">
        <w:rPr>
          <w:rFonts w:ascii="Verdana" w:hAnsi="Verdana"/>
          <w:sz w:val="18"/>
          <w:szCs w:val="18"/>
          <w:lang w:val="nl-NL"/>
        </w:rPr>
        <w:t>,</w:t>
      </w:r>
      <w:r w:rsidRPr="00771EB8">
        <w:rPr>
          <w:rFonts w:ascii="Verdana" w:hAnsi="Verdana"/>
          <w:sz w:val="18"/>
          <w:szCs w:val="18"/>
          <w:lang w:val="nl-NL"/>
        </w:rPr>
        <w:t xml:space="preserve"> </w:t>
      </w:r>
      <w:r w:rsidR="00E40A21">
        <w:rPr>
          <w:rFonts w:ascii="Verdana" w:hAnsi="Verdana"/>
          <w:sz w:val="18"/>
          <w:szCs w:val="18"/>
          <w:lang w:val="nl-NL"/>
        </w:rPr>
        <w:t>en</w:t>
      </w:r>
      <w:r w:rsidRPr="00771EB8" w:rsidR="00E40A21">
        <w:rPr>
          <w:rFonts w:ascii="Verdana" w:hAnsi="Verdana"/>
          <w:sz w:val="18"/>
          <w:szCs w:val="18"/>
          <w:lang w:val="nl-NL"/>
        </w:rPr>
        <w:t xml:space="preserve"> </w:t>
      </w:r>
      <w:r w:rsidRPr="00771EB8">
        <w:rPr>
          <w:rFonts w:ascii="Verdana" w:hAnsi="Verdana"/>
          <w:sz w:val="18"/>
          <w:szCs w:val="18"/>
          <w:lang w:val="nl-NL"/>
        </w:rPr>
        <w:t>artikel 4 van het Verdrag.</w:t>
      </w:r>
    </w:p>
    <w:p w:rsidR="005335CB" w:rsidP="00FA42A5" w:rsidRDefault="00E40A21">
      <w:pPr>
        <w:spacing w:before="240" w:after="240" w:line="360" w:lineRule="auto"/>
        <w:rPr>
          <w:rFonts w:ascii="Verdana" w:hAnsi="Verdana"/>
          <w:sz w:val="18"/>
          <w:szCs w:val="18"/>
          <w:lang w:val="nl-NL"/>
        </w:rPr>
      </w:pPr>
      <w:r>
        <w:rPr>
          <w:rFonts w:ascii="Verdana" w:hAnsi="Verdana"/>
          <w:sz w:val="18"/>
          <w:szCs w:val="18"/>
          <w:lang w:val="nl-NL"/>
        </w:rPr>
        <w:t xml:space="preserve">Zoals </w:t>
      </w:r>
      <w:r w:rsidR="00002EB1">
        <w:rPr>
          <w:rFonts w:ascii="Verdana" w:hAnsi="Verdana"/>
          <w:sz w:val="18"/>
          <w:szCs w:val="18"/>
          <w:lang w:val="nl-NL"/>
        </w:rPr>
        <w:t>al</w:t>
      </w:r>
      <w:r w:rsidR="00ED0EBC">
        <w:rPr>
          <w:rFonts w:ascii="Verdana" w:hAnsi="Verdana"/>
          <w:sz w:val="18"/>
          <w:szCs w:val="18"/>
          <w:lang w:val="nl-NL"/>
        </w:rPr>
        <w:t xml:space="preserve"> in paragraaf I.2.</w:t>
      </w:r>
      <w:r w:rsidR="00002EB1">
        <w:rPr>
          <w:rFonts w:ascii="Verdana" w:hAnsi="Verdana"/>
          <w:sz w:val="18"/>
          <w:szCs w:val="18"/>
          <w:lang w:val="nl-NL"/>
        </w:rPr>
        <w:t xml:space="preserve"> is aangegeven, </w:t>
      </w:r>
      <w:r>
        <w:rPr>
          <w:rFonts w:ascii="Verdana" w:hAnsi="Verdana"/>
          <w:sz w:val="18"/>
          <w:szCs w:val="18"/>
          <w:lang w:val="nl-NL"/>
        </w:rPr>
        <w:t>verschilt h</w:t>
      </w:r>
      <w:r w:rsidR="00872274">
        <w:rPr>
          <w:rFonts w:ascii="Verdana" w:hAnsi="Verdana"/>
          <w:sz w:val="18"/>
          <w:szCs w:val="18"/>
          <w:lang w:val="nl-NL"/>
        </w:rPr>
        <w:t xml:space="preserve">et belastingsubject </w:t>
      </w:r>
      <w:r>
        <w:rPr>
          <w:rFonts w:ascii="Verdana" w:hAnsi="Verdana"/>
          <w:sz w:val="18"/>
          <w:szCs w:val="18"/>
          <w:lang w:val="nl-NL"/>
        </w:rPr>
        <w:t>in</w:t>
      </w:r>
      <w:r w:rsidR="00872274">
        <w:rPr>
          <w:rFonts w:ascii="Verdana" w:hAnsi="Verdana"/>
          <w:sz w:val="18"/>
          <w:szCs w:val="18"/>
          <w:lang w:val="nl-NL"/>
        </w:rPr>
        <w:t xml:space="preserve"> </w:t>
      </w:r>
      <w:r w:rsidRPr="00771EB8" w:rsidR="001D6B88">
        <w:rPr>
          <w:rFonts w:ascii="Verdana" w:hAnsi="Verdana"/>
          <w:sz w:val="18"/>
          <w:szCs w:val="18"/>
          <w:lang w:val="nl-NL"/>
        </w:rPr>
        <w:t>de Britse en Nederlandse bankenbelasting</w:t>
      </w:r>
      <w:r w:rsidRPr="00771EB8" w:rsidR="00D95453">
        <w:rPr>
          <w:rFonts w:ascii="Verdana" w:hAnsi="Verdana"/>
          <w:sz w:val="18"/>
          <w:szCs w:val="18"/>
          <w:lang w:val="nl-NL"/>
        </w:rPr>
        <w:t>. De Britse bankenbelasting</w:t>
      </w:r>
      <w:r w:rsidRPr="00771EB8" w:rsidR="001D6B88">
        <w:rPr>
          <w:rFonts w:ascii="Verdana" w:hAnsi="Verdana"/>
          <w:sz w:val="18"/>
          <w:szCs w:val="18"/>
          <w:lang w:val="nl-NL"/>
        </w:rPr>
        <w:t xml:space="preserve"> </w:t>
      </w:r>
      <w:r w:rsidRPr="00771EB8" w:rsidR="00D95453">
        <w:rPr>
          <w:rFonts w:ascii="Verdana" w:hAnsi="Verdana"/>
          <w:sz w:val="18"/>
          <w:szCs w:val="18"/>
          <w:lang w:val="nl-NL"/>
        </w:rPr>
        <w:t xml:space="preserve">sluit aan bij groepen of entiteiten die bancaire activiteiten verrichten. Dit </w:t>
      </w:r>
      <w:r w:rsidRPr="00771EB8" w:rsidR="00786AF4">
        <w:rPr>
          <w:rFonts w:ascii="Verdana" w:hAnsi="Verdana"/>
          <w:sz w:val="18"/>
          <w:szCs w:val="18"/>
          <w:lang w:val="nl-NL"/>
        </w:rPr>
        <w:t>k</w:t>
      </w:r>
      <w:r w:rsidR="00786AF4">
        <w:rPr>
          <w:rFonts w:ascii="Verdana" w:hAnsi="Verdana"/>
          <w:sz w:val="18"/>
          <w:szCs w:val="18"/>
          <w:lang w:val="nl-NL"/>
        </w:rPr>
        <w:t xml:space="preserve">an een </w:t>
      </w:r>
      <w:r w:rsidRPr="00771EB8" w:rsidR="00D95453">
        <w:rPr>
          <w:rFonts w:ascii="Verdana" w:hAnsi="Verdana"/>
          <w:sz w:val="18"/>
          <w:szCs w:val="18"/>
          <w:lang w:val="nl-NL"/>
        </w:rPr>
        <w:t>licha</w:t>
      </w:r>
      <w:r w:rsidR="00786AF4">
        <w:rPr>
          <w:rFonts w:ascii="Verdana" w:hAnsi="Verdana"/>
          <w:sz w:val="18"/>
          <w:szCs w:val="18"/>
          <w:lang w:val="nl-NL"/>
        </w:rPr>
        <w:t>am of een</w:t>
      </w:r>
      <w:r w:rsidRPr="00771EB8" w:rsidR="00D95453">
        <w:rPr>
          <w:rFonts w:ascii="Verdana" w:hAnsi="Verdana"/>
          <w:sz w:val="18"/>
          <w:szCs w:val="18"/>
          <w:lang w:val="nl-NL"/>
        </w:rPr>
        <w:t xml:space="preserve"> </w:t>
      </w:r>
      <w:r w:rsidR="00095E4A">
        <w:rPr>
          <w:rFonts w:ascii="Verdana" w:hAnsi="Verdana"/>
          <w:sz w:val="18"/>
          <w:szCs w:val="18"/>
          <w:lang w:val="nl-NL"/>
        </w:rPr>
        <w:t xml:space="preserve">(transparant) </w:t>
      </w:r>
      <w:r w:rsidRPr="00771EB8" w:rsidR="00D95453">
        <w:rPr>
          <w:rFonts w:ascii="Verdana" w:hAnsi="Verdana"/>
          <w:sz w:val="18"/>
          <w:szCs w:val="18"/>
          <w:lang w:val="nl-NL"/>
        </w:rPr>
        <w:t xml:space="preserve">samenwerkingsverband zijn. </w:t>
      </w:r>
      <w:r w:rsidR="000D2464">
        <w:rPr>
          <w:rFonts w:ascii="Verdana" w:hAnsi="Verdana"/>
          <w:sz w:val="18"/>
          <w:szCs w:val="18"/>
          <w:lang w:val="nl-NL"/>
        </w:rPr>
        <w:t>Voor</w:t>
      </w:r>
      <w:r w:rsidR="00872274">
        <w:rPr>
          <w:rFonts w:ascii="Verdana" w:hAnsi="Verdana"/>
          <w:sz w:val="18"/>
          <w:szCs w:val="18"/>
          <w:lang w:val="nl-NL"/>
        </w:rPr>
        <w:t xml:space="preserve"> </w:t>
      </w:r>
      <w:r w:rsidRPr="00771EB8" w:rsidR="00D95453">
        <w:rPr>
          <w:rFonts w:ascii="Verdana" w:hAnsi="Verdana"/>
          <w:sz w:val="18"/>
          <w:szCs w:val="18"/>
          <w:lang w:val="nl-NL"/>
        </w:rPr>
        <w:t xml:space="preserve">de Nederlandse bankenbelasting </w:t>
      </w:r>
      <w:r w:rsidR="0022630B">
        <w:rPr>
          <w:rFonts w:ascii="Verdana" w:hAnsi="Verdana"/>
          <w:sz w:val="18"/>
          <w:szCs w:val="18"/>
          <w:lang w:val="nl-NL"/>
        </w:rPr>
        <w:t>kunnen</w:t>
      </w:r>
      <w:r w:rsidR="00872274">
        <w:rPr>
          <w:rFonts w:ascii="Verdana" w:hAnsi="Verdana"/>
          <w:sz w:val="18"/>
          <w:szCs w:val="18"/>
          <w:lang w:val="nl-NL"/>
        </w:rPr>
        <w:t xml:space="preserve"> alleen </w:t>
      </w:r>
      <w:r w:rsidRPr="00771EB8" w:rsidR="00872274">
        <w:rPr>
          <w:rFonts w:ascii="Verdana" w:hAnsi="Verdana"/>
          <w:sz w:val="18"/>
          <w:szCs w:val="18"/>
          <w:lang w:val="nl-NL"/>
        </w:rPr>
        <w:t>lichamen</w:t>
      </w:r>
      <w:r w:rsidR="00786AF4">
        <w:rPr>
          <w:rFonts w:ascii="Verdana" w:hAnsi="Verdana"/>
          <w:sz w:val="18"/>
          <w:szCs w:val="18"/>
          <w:lang w:val="nl-NL"/>
        </w:rPr>
        <w:t xml:space="preserve"> </w:t>
      </w:r>
      <w:r w:rsidR="0022630B">
        <w:rPr>
          <w:rFonts w:ascii="Verdana" w:hAnsi="Verdana"/>
          <w:sz w:val="18"/>
          <w:szCs w:val="18"/>
          <w:lang w:val="nl-NL"/>
        </w:rPr>
        <w:t>belastingplichtig zijn</w:t>
      </w:r>
      <w:r w:rsidR="00002EB1">
        <w:rPr>
          <w:rFonts w:ascii="Verdana" w:hAnsi="Verdana"/>
          <w:sz w:val="18"/>
          <w:szCs w:val="18"/>
          <w:lang w:val="nl-NL"/>
        </w:rPr>
        <w:t>;</w:t>
      </w:r>
      <w:r w:rsidR="00095E4A">
        <w:rPr>
          <w:rFonts w:ascii="Verdana" w:hAnsi="Verdana"/>
          <w:sz w:val="18"/>
          <w:szCs w:val="18"/>
          <w:lang w:val="nl-NL"/>
        </w:rPr>
        <w:t xml:space="preserve"> transparante</w:t>
      </w:r>
      <w:r w:rsidR="00002EB1">
        <w:rPr>
          <w:rFonts w:ascii="Verdana" w:hAnsi="Verdana"/>
          <w:sz w:val="18"/>
          <w:szCs w:val="18"/>
          <w:lang w:val="nl-NL"/>
        </w:rPr>
        <w:t xml:space="preserve"> samenwerkingsverbanden zijn in de Nederlandse context als zodanig geen belastingplichtigen voor de bankenbelasting</w:t>
      </w:r>
      <w:r w:rsidRPr="00771EB8" w:rsidR="00D95453">
        <w:rPr>
          <w:rFonts w:ascii="Verdana" w:hAnsi="Verdana"/>
          <w:sz w:val="18"/>
          <w:szCs w:val="18"/>
          <w:lang w:val="nl-NL"/>
        </w:rPr>
        <w:t xml:space="preserve">. </w:t>
      </w:r>
      <w:r w:rsidR="00C37BBE">
        <w:rPr>
          <w:rFonts w:ascii="Verdana" w:hAnsi="Verdana"/>
          <w:sz w:val="18"/>
          <w:szCs w:val="18"/>
          <w:lang w:val="nl-NL"/>
        </w:rPr>
        <w:t xml:space="preserve">Om de belastingsubjecten </w:t>
      </w:r>
      <w:r w:rsidR="00982781">
        <w:rPr>
          <w:rFonts w:ascii="Verdana" w:hAnsi="Verdana"/>
          <w:sz w:val="18"/>
          <w:szCs w:val="18"/>
          <w:lang w:val="nl-NL"/>
        </w:rPr>
        <w:t xml:space="preserve">in </w:t>
      </w:r>
      <w:r w:rsidR="00002EB1">
        <w:rPr>
          <w:rFonts w:ascii="Verdana" w:hAnsi="Verdana"/>
          <w:sz w:val="18"/>
          <w:szCs w:val="18"/>
          <w:lang w:val="nl-NL"/>
        </w:rPr>
        <w:t xml:space="preserve">de zin van </w:t>
      </w:r>
      <w:r w:rsidR="00982781">
        <w:rPr>
          <w:rFonts w:ascii="Verdana" w:hAnsi="Verdana"/>
          <w:sz w:val="18"/>
          <w:szCs w:val="18"/>
          <w:lang w:val="nl-NL"/>
        </w:rPr>
        <w:t xml:space="preserve">zowel de Britse als </w:t>
      </w:r>
      <w:r w:rsidR="00C37BBE">
        <w:rPr>
          <w:rFonts w:ascii="Verdana" w:hAnsi="Verdana"/>
          <w:sz w:val="18"/>
          <w:szCs w:val="18"/>
          <w:lang w:val="nl-NL"/>
        </w:rPr>
        <w:t xml:space="preserve">de </w:t>
      </w:r>
      <w:r w:rsidR="00982781">
        <w:rPr>
          <w:rFonts w:ascii="Verdana" w:hAnsi="Verdana"/>
          <w:sz w:val="18"/>
          <w:szCs w:val="18"/>
          <w:lang w:val="nl-NL"/>
        </w:rPr>
        <w:t xml:space="preserve">Nederlandse </w:t>
      </w:r>
      <w:r w:rsidR="00C37BBE">
        <w:rPr>
          <w:rFonts w:ascii="Verdana" w:hAnsi="Verdana"/>
          <w:sz w:val="18"/>
          <w:szCs w:val="18"/>
          <w:lang w:val="nl-NL"/>
        </w:rPr>
        <w:t xml:space="preserve">bankenbelasting </w:t>
      </w:r>
      <w:r w:rsidR="00982781">
        <w:rPr>
          <w:rFonts w:ascii="Verdana" w:hAnsi="Verdana"/>
          <w:sz w:val="18"/>
          <w:szCs w:val="18"/>
          <w:lang w:val="nl-NL"/>
        </w:rPr>
        <w:t>toegang te geven tot</w:t>
      </w:r>
      <w:r w:rsidR="00C37BBE">
        <w:rPr>
          <w:rFonts w:ascii="Verdana" w:hAnsi="Verdana"/>
          <w:sz w:val="18"/>
          <w:szCs w:val="18"/>
          <w:lang w:val="nl-NL"/>
        </w:rPr>
        <w:t xml:space="preserve"> het Verdrag, </w:t>
      </w:r>
      <w:r w:rsidRPr="00771EB8" w:rsidR="001D6B88">
        <w:rPr>
          <w:rFonts w:ascii="Verdana" w:hAnsi="Verdana"/>
          <w:sz w:val="18"/>
          <w:szCs w:val="18"/>
          <w:lang w:val="nl-NL"/>
        </w:rPr>
        <w:t xml:space="preserve">is er voor gekozen in artikel 1 het </w:t>
      </w:r>
      <w:r w:rsidR="00C37BBE">
        <w:rPr>
          <w:rFonts w:ascii="Verdana" w:hAnsi="Verdana"/>
          <w:sz w:val="18"/>
          <w:szCs w:val="18"/>
          <w:lang w:val="nl-NL"/>
        </w:rPr>
        <w:t xml:space="preserve">neutrale, </w:t>
      </w:r>
      <w:r w:rsidR="00FE34D5">
        <w:rPr>
          <w:rFonts w:ascii="Verdana" w:hAnsi="Verdana"/>
          <w:sz w:val="18"/>
          <w:szCs w:val="18"/>
          <w:lang w:val="nl-NL"/>
        </w:rPr>
        <w:t>meer</w:t>
      </w:r>
      <w:r w:rsidR="00C37BBE">
        <w:rPr>
          <w:rFonts w:ascii="Verdana" w:hAnsi="Verdana"/>
          <w:sz w:val="18"/>
          <w:szCs w:val="18"/>
          <w:lang w:val="nl-NL"/>
        </w:rPr>
        <w:t xml:space="preserve">omvattende </w:t>
      </w:r>
      <w:r w:rsidRPr="00771EB8" w:rsidR="001D6B88">
        <w:rPr>
          <w:rFonts w:ascii="Verdana" w:hAnsi="Verdana"/>
          <w:sz w:val="18"/>
          <w:szCs w:val="18"/>
          <w:lang w:val="nl-NL"/>
        </w:rPr>
        <w:t>begrip ‘entiteit’ te gebruiken</w:t>
      </w:r>
      <w:r w:rsidR="009946F9">
        <w:rPr>
          <w:rFonts w:ascii="Verdana" w:hAnsi="Verdana"/>
          <w:sz w:val="18"/>
          <w:szCs w:val="18"/>
          <w:lang w:val="nl-NL"/>
        </w:rPr>
        <w:t>. Vervolgens is</w:t>
      </w:r>
      <w:r w:rsidRPr="00771EB8" w:rsidR="001D6B88">
        <w:rPr>
          <w:rFonts w:ascii="Verdana" w:hAnsi="Verdana"/>
          <w:sz w:val="18"/>
          <w:szCs w:val="18"/>
          <w:lang w:val="nl-NL"/>
        </w:rPr>
        <w:t xml:space="preserve"> in artikel 3, voor beide Verdragsluitende Staten afzonderlijk, </w:t>
      </w:r>
      <w:r w:rsidR="009946F9">
        <w:rPr>
          <w:rFonts w:ascii="Verdana" w:hAnsi="Verdana"/>
          <w:sz w:val="18"/>
          <w:szCs w:val="18"/>
          <w:lang w:val="nl-NL"/>
        </w:rPr>
        <w:t>bepaald</w:t>
      </w:r>
      <w:r w:rsidRPr="00771EB8" w:rsidR="001D6B88">
        <w:rPr>
          <w:rFonts w:ascii="Verdana" w:hAnsi="Verdana"/>
          <w:sz w:val="18"/>
          <w:szCs w:val="18"/>
          <w:lang w:val="nl-NL"/>
        </w:rPr>
        <w:t xml:space="preserve"> wat </w:t>
      </w:r>
      <w:r w:rsidR="009946F9">
        <w:rPr>
          <w:rFonts w:ascii="Verdana" w:hAnsi="Verdana"/>
          <w:sz w:val="18"/>
          <w:szCs w:val="18"/>
          <w:lang w:val="nl-NL"/>
        </w:rPr>
        <w:t xml:space="preserve">het begrip ‘entiteit’ in het kader van het Verdrag </w:t>
      </w:r>
      <w:r w:rsidRPr="00771EB8" w:rsidR="001D6B88">
        <w:rPr>
          <w:rFonts w:ascii="Verdana" w:hAnsi="Verdana"/>
          <w:sz w:val="18"/>
          <w:szCs w:val="18"/>
          <w:lang w:val="nl-NL"/>
        </w:rPr>
        <w:t>inhoudt.</w:t>
      </w:r>
    </w:p>
    <w:p w:rsidR="007A0F26" w:rsidP="00FA42A5" w:rsidRDefault="00C67932">
      <w:pPr>
        <w:spacing w:line="360" w:lineRule="auto"/>
        <w:rPr>
          <w:rFonts w:ascii="Verdana" w:hAnsi="Verdana"/>
          <w:sz w:val="18"/>
          <w:szCs w:val="18"/>
          <w:lang w:val="nl-NL"/>
        </w:rPr>
      </w:pPr>
      <w:r>
        <w:rPr>
          <w:rFonts w:ascii="Verdana" w:hAnsi="Verdana"/>
          <w:sz w:val="18"/>
          <w:szCs w:val="18"/>
          <w:lang w:val="nl-NL"/>
        </w:rPr>
        <w:t xml:space="preserve">Als bankenbelasting wordt geheven </w:t>
      </w:r>
      <w:r w:rsidR="00681704">
        <w:rPr>
          <w:rFonts w:ascii="Verdana" w:hAnsi="Verdana"/>
          <w:sz w:val="18"/>
          <w:szCs w:val="18"/>
          <w:lang w:val="nl-NL"/>
        </w:rPr>
        <w:t xml:space="preserve">op basis van </w:t>
      </w:r>
      <w:r w:rsidRPr="00681704" w:rsidR="00681704">
        <w:rPr>
          <w:rFonts w:ascii="Verdana" w:hAnsi="Verdana"/>
          <w:sz w:val="18"/>
          <w:szCs w:val="18"/>
          <w:lang w:val="nl-NL"/>
        </w:rPr>
        <w:t>het in de geconsolideerde commerciële jaarrekening verantwoorde balanstotaal</w:t>
      </w:r>
      <w:r w:rsidRPr="00681704" w:rsidDel="00681704" w:rsidR="00681704">
        <w:rPr>
          <w:rFonts w:ascii="Verdana" w:hAnsi="Verdana"/>
          <w:sz w:val="18"/>
          <w:szCs w:val="18"/>
          <w:lang w:val="nl-NL"/>
        </w:rPr>
        <w:t xml:space="preserve"> </w:t>
      </w:r>
      <w:r w:rsidR="00681704">
        <w:rPr>
          <w:rFonts w:ascii="Verdana" w:hAnsi="Verdana"/>
          <w:sz w:val="18"/>
          <w:szCs w:val="18"/>
          <w:lang w:val="nl-NL"/>
        </w:rPr>
        <w:t>kan een</w:t>
      </w:r>
      <w:r>
        <w:rPr>
          <w:rFonts w:ascii="Verdana" w:hAnsi="Verdana"/>
          <w:sz w:val="18"/>
          <w:szCs w:val="18"/>
          <w:lang w:val="nl-NL"/>
        </w:rPr>
        <w:t xml:space="preserve"> internationale vertakking </w:t>
      </w:r>
      <w:r w:rsidR="00FE34D5">
        <w:rPr>
          <w:rFonts w:ascii="Verdana" w:hAnsi="Verdana"/>
          <w:sz w:val="18"/>
          <w:szCs w:val="18"/>
          <w:lang w:val="nl-NL"/>
        </w:rPr>
        <w:t xml:space="preserve">van </w:t>
      </w:r>
      <w:r w:rsidR="00D54880">
        <w:rPr>
          <w:rFonts w:ascii="Verdana" w:hAnsi="Verdana"/>
          <w:sz w:val="18"/>
          <w:szCs w:val="18"/>
          <w:lang w:val="nl-NL"/>
        </w:rPr>
        <w:t xml:space="preserve">een </w:t>
      </w:r>
      <w:r w:rsidR="00FE34D5">
        <w:rPr>
          <w:rFonts w:ascii="Verdana" w:hAnsi="Verdana"/>
          <w:sz w:val="18"/>
          <w:szCs w:val="18"/>
          <w:lang w:val="nl-NL"/>
        </w:rPr>
        <w:t xml:space="preserve">bank eveneens </w:t>
      </w:r>
      <w:r>
        <w:rPr>
          <w:rFonts w:ascii="Verdana" w:hAnsi="Verdana"/>
          <w:sz w:val="18"/>
          <w:szCs w:val="18"/>
          <w:lang w:val="nl-NL"/>
        </w:rPr>
        <w:t xml:space="preserve">in de belastinggrondslag </w:t>
      </w:r>
      <w:r w:rsidR="00681704">
        <w:rPr>
          <w:rFonts w:ascii="Verdana" w:hAnsi="Verdana"/>
          <w:sz w:val="18"/>
          <w:szCs w:val="18"/>
          <w:lang w:val="nl-NL"/>
        </w:rPr>
        <w:t xml:space="preserve">worden </w:t>
      </w:r>
      <w:r>
        <w:rPr>
          <w:rFonts w:ascii="Verdana" w:hAnsi="Verdana"/>
          <w:sz w:val="18"/>
          <w:szCs w:val="18"/>
          <w:lang w:val="nl-NL"/>
        </w:rPr>
        <w:t>betrokken</w:t>
      </w:r>
      <w:r w:rsidR="00681704">
        <w:rPr>
          <w:rFonts w:ascii="Verdana" w:hAnsi="Verdana"/>
          <w:sz w:val="18"/>
          <w:szCs w:val="18"/>
          <w:lang w:val="nl-NL"/>
        </w:rPr>
        <w:t>. In dat geval</w:t>
      </w:r>
      <w:r>
        <w:rPr>
          <w:rFonts w:ascii="Verdana" w:hAnsi="Verdana"/>
          <w:sz w:val="18"/>
          <w:szCs w:val="18"/>
          <w:lang w:val="nl-NL"/>
        </w:rPr>
        <w:t xml:space="preserve"> kan op alle </w:t>
      </w:r>
      <w:r w:rsidR="00BF3862">
        <w:rPr>
          <w:rFonts w:ascii="Verdana" w:hAnsi="Verdana"/>
          <w:sz w:val="18"/>
          <w:szCs w:val="18"/>
          <w:lang w:val="nl-NL"/>
        </w:rPr>
        <w:t>onderliggende niveaus</w:t>
      </w:r>
      <w:r>
        <w:rPr>
          <w:rFonts w:ascii="Verdana" w:hAnsi="Verdana"/>
          <w:sz w:val="18"/>
          <w:szCs w:val="18"/>
          <w:lang w:val="nl-NL"/>
        </w:rPr>
        <w:t xml:space="preserve"> van </w:t>
      </w:r>
      <w:r w:rsidR="00D54880">
        <w:rPr>
          <w:rFonts w:ascii="Verdana" w:hAnsi="Verdana"/>
          <w:sz w:val="18"/>
          <w:szCs w:val="18"/>
          <w:lang w:val="nl-NL"/>
        </w:rPr>
        <w:t>een banken</w:t>
      </w:r>
      <w:r>
        <w:rPr>
          <w:rFonts w:ascii="Verdana" w:hAnsi="Verdana"/>
          <w:sz w:val="18"/>
          <w:szCs w:val="18"/>
          <w:lang w:val="nl-NL"/>
        </w:rPr>
        <w:t xml:space="preserve">concern dubbele bankenbelasting ontstaan </w:t>
      </w:r>
      <w:r w:rsidR="00BF3862">
        <w:rPr>
          <w:rFonts w:ascii="Verdana" w:hAnsi="Verdana"/>
          <w:sz w:val="18"/>
          <w:szCs w:val="18"/>
          <w:lang w:val="nl-NL"/>
        </w:rPr>
        <w:t xml:space="preserve">in de relatie </w:t>
      </w:r>
      <w:r>
        <w:rPr>
          <w:rFonts w:ascii="Verdana" w:hAnsi="Verdana"/>
          <w:sz w:val="18"/>
          <w:szCs w:val="18"/>
          <w:lang w:val="nl-NL"/>
        </w:rPr>
        <w:t xml:space="preserve">tussen Nederland en het VK. </w:t>
      </w:r>
      <w:r w:rsidR="008D6D59">
        <w:rPr>
          <w:rFonts w:ascii="Verdana" w:hAnsi="Verdana"/>
          <w:sz w:val="18"/>
          <w:szCs w:val="18"/>
          <w:lang w:val="nl-NL"/>
        </w:rPr>
        <w:t>Daarbij is het ook mogelijk dat e</w:t>
      </w:r>
      <w:r>
        <w:rPr>
          <w:rFonts w:ascii="Verdana" w:hAnsi="Verdana"/>
          <w:sz w:val="18"/>
          <w:szCs w:val="18"/>
          <w:lang w:val="nl-NL"/>
        </w:rPr>
        <w:t>en dochtermaatschappij of e</w:t>
      </w:r>
      <w:r w:rsidR="00BF3862">
        <w:rPr>
          <w:rFonts w:ascii="Verdana" w:hAnsi="Verdana"/>
          <w:sz w:val="18"/>
          <w:szCs w:val="18"/>
          <w:lang w:val="nl-NL"/>
        </w:rPr>
        <w:t>e</w:t>
      </w:r>
      <w:r>
        <w:rPr>
          <w:rFonts w:ascii="Verdana" w:hAnsi="Verdana"/>
          <w:sz w:val="18"/>
          <w:szCs w:val="18"/>
          <w:lang w:val="nl-NL"/>
        </w:rPr>
        <w:t>n vaste inrichting i</w:t>
      </w:r>
      <w:r w:rsidR="00BF3862">
        <w:rPr>
          <w:rFonts w:ascii="Verdana" w:hAnsi="Verdana"/>
          <w:sz w:val="18"/>
          <w:szCs w:val="18"/>
          <w:lang w:val="nl-NL"/>
        </w:rPr>
        <w:t>n één van de Verdragsluitende S</w:t>
      </w:r>
      <w:r>
        <w:rPr>
          <w:rFonts w:ascii="Verdana" w:hAnsi="Verdana"/>
          <w:sz w:val="18"/>
          <w:szCs w:val="18"/>
          <w:lang w:val="nl-NL"/>
        </w:rPr>
        <w:t>taten</w:t>
      </w:r>
      <w:r w:rsidR="00BF3862">
        <w:rPr>
          <w:rFonts w:ascii="Verdana" w:hAnsi="Verdana"/>
          <w:sz w:val="18"/>
          <w:szCs w:val="18"/>
          <w:lang w:val="nl-NL"/>
        </w:rPr>
        <w:t xml:space="preserve"> van</w:t>
      </w:r>
      <w:r>
        <w:rPr>
          <w:rFonts w:ascii="Verdana" w:hAnsi="Verdana"/>
          <w:sz w:val="18"/>
          <w:szCs w:val="18"/>
          <w:lang w:val="nl-NL"/>
        </w:rPr>
        <w:t xml:space="preserve"> een moeder</w:t>
      </w:r>
      <w:r w:rsidR="00314651">
        <w:rPr>
          <w:rFonts w:ascii="Verdana" w:hAnsi="Verdana"/>
          <w:sz w:val="18"/>
          <w:szCs w:val="18"/>
          <w:lang w:val="nl-NL"/>
        </w:rPr>
        <w:t>maatschappij</w:t>
      </w:r>
      <w:r>
        <w:rPr>
          <w:rFonts w:ascii="Verdana" w:hAnsi="Verdana"/>
          <w:sz w:val="18"/>
          <w:szCs w:val="18"/>
          <w:lang w:val="nl-NL"/>
        </w:rPr>
        <w:t xml:space="preserve"> o</w:t>
      </w:r>
      <w:r w:rsidR="00D54880">
        <w:rPr>
          <w:rFonts w:ascii="Verdana" w:hAnsi="Verdana"/>
          <w:sz w:val="18"/>
          <w:szCs w:val="18"/>
          <w:lang w:val="nl-NL"/>
        </w:rPr>
        <w:t>nderscheidenlijk van een “</w:t>
      </w:r>
      <w:r>
        <w:rPr>
          <w:rFonts w:ascii="Verdana" w:hAnsi="Verdana"/>
          <w:sz w:val="18"/>
          <w:szCs w:val="18"/>
          <w:lang w:val="nl-NL"/>
        </w:rPr>
        <w:t>hoofdhuis</w:t>
      </w:r>
      <w:r w:rsidR="00D54880">
        <w:rPr>
          <w:rFonts w:ascii="Verdana" w:hAnsi="Verdana"/>
          <w:sz w:val="18"/>
          <w:szCs w:val="18"/>
          <w:lang w:val="nl-NL"/>
        </w:rPr>
        <w:t>”</w:t>
      </w:r>
      <w:r>
        <w:rPr>
          <w:rFonts w:ascii="Verdana" w:hAnsi="Verdana"/>
          <w:sz w:val="18"/>
          <w:szCs w:val="18"/>
          <w:lang w:val="nl-NL"/>
        </w:rPr>
        <w:t xml:space="preserve"> in een derde staat </w:t>
      </w:r>
      <w:r w:rsidR="00B856D1">
        <w:rPr>
          <w:rFonts w:ascii="Verdana" w:hAnsi="Verdana"/>
          <w:sz w:val="18"/>
          <w:szCs w:val="18"/>
          <w:lang w:val="nl-NL"/>
        </w:rPr>
        <w:t>in</w:t>
      </w:r>
      <w:r w:rsidR="00D17426">
        <w:rPr>
          <w:rFonts w:ascii="Verdana" w:hAnsi="Verdana"/>
          <w:sz w:val="18"/>
          <w:szCs w:val="18"/>
          <w:lang w:val="nl-NL"/>
        </w:rPr>
        <w:t xml:space="preserve"> de </w:t>
      </w:r>
      <w:r w:rsidRPr="00D17426" w:rsidR="00D17426">
        <w:rPr>
          <w:rFonts w:ascii="Verdana" w:hAnsi="Verdana"/>
          <w:sz w:val="18"/>
          <w:szCs w:val="18"/>
          <w:lang w:val="nl-NL"/>
        </w:rPr>
        <w:t xml:space="preserve">geconsolideerde commerciële jaarrekening </w:t>
      </w:r>
      <w:r w:rsidR="00D17426">
        <w:rPr>
          <w:rFonts w:ascii="Verdana" w:hAnsi="Verdana"/>
          <w:sz w:val="18"/>
          <w:szCs w:val="18"/>
          <w:lang w:val="nl-NL"/>
        </w:rPr>
        <w:t>is opgenomen</w:t>
      </w:r>
      <w:r w:rsidRPr="00D17426" w:rsidDel="00D17426" w:rsidR="00D17426">
        <w:rPr>
          <w:rFonts w:ascii="Verdana" w:hAnsi="Verdana"/>
          <w:sz w:val="18"/>
          <w:szCs w:val="18"/>
          <w:lang w:val="nl-NL"/>
        </w:rPr>
        <w:t xml:space="preserve"> </w:t>
      </w:r>
      <w:r w:rsidR="008D6D59">
        <w:rPr>
          <w:rFonts w:ascii="Verdana" w:hAnsi="Verdana"/>
          <w:sz w:val="18"/>
          <w:szCs w:val="18"/>
          <w:lang w:val="nl-NL"/>
        </w:rPr>
        <w:t xml:space="preserve">en </w:t>
      </w:r>
      <w:r>
        <w:rPr>
          <w:rFonts w:ascii="Verdana" w:hAnsi="Verdana"/>
          <w:sz w:val="18"/>
          <w:szCs w:val="18"/>
          <w:lang w:val="nl-NL"/>
        </w:rPr>
        <w:t xml:space="preserve">met dubbele bankenbelasting </w:t>
      </w:r>
      <w:r w:rsidR="008D6D59">
        <w:rPr>
          <w:rFonts w:ascii="Verdana" w:hAnsi="Verdana"/>
          <w:sz w:val="18"/>
          <w:szCs w:val="18"/>
          <w:lang w:val="nl-NL"/>
        </w:rPr>
        <w:t>word</w:t>
      </w:r>
      <w:r w:rsidR="000865A6">
        <w:rPr>
          <w:rFonts w:ascii="Verdana" w:hAnsi="Verdana"/>
          <w:sz w:val="18"/>
          <w:szCs w:val="18"/>
          <w:lang w:val="nl-NL"/>
        </w:rPr>
        <w:t>t</w:t>
      </w:r>
      <w:r w:rsidR="008D6D59">
        <w:rPr>
          <w:rFonts w:ascii="Verdana" w:hAnsi="Verdana"/>
          <w:sz w:val="18"/>
          <w:szCs w:val="18"/>
          <w:lang w:val="nl-NL"/>
        </w:rPr>
        <w:t xml:space="preserve"> </w:t>
      </w:r>
      <w:r>
        <w:rPr>
          <w:rFonts w:ascii="Verdana" w:hAnsi="Verdana"/>
          <w:sz w:val="18"/>
          <w:szCs w:val="18"/>
          <w:lang w:val="nl-NL"/>
        </w:rPr>
        <w:t xml:space="preserve">geconfronteerd. </w:t>
      </w:r>
      <w:proofErr w:type="gramStart"/>
      <w:r w:rsidR="008D6D59">
        <w:rPr>
          <w:rFonts w:ascii="Verdana" w:hAnsi="Verdana"/>
          <w:sz w:val="18"/>
          <w:szCs w:val="18"/>
          <w:lang w:val="nl-NL"/>
        </w:rPr>
        <w:t>Teneinde</w:t>
      </w:r>
      <w:proofErr w:type="gramEnd"/>
      <w:r w:rsidR="008D6D59">
        <w:rPr>
          <w:rFonts w:ascii="Verdana" w:hAnsi="Verdana"/>
          <w:sz w:val="18"/>
          <w:szCs w:val="18"/>
          <w:lang w:val="nl-NL"/>
        </w:rPr>
        <w:t xml:space="preserve"> elke onduidelijkheid daarover weg te nemen </w:t>
      </w:r>
      <w:r w:rsidR="00A1294E">
        <w:rPr>
          <w:rFonts w:ascii="Verdana" w:hAnsi="Verdana"/>
          <w:sz w:val="18"/>
          <w:szCs w:val="18"/>
          <w:lang w:val="nl-NL"/>
        </w:rPr>
        <w:t>is in</w:t>
      </w:r>
      <w:r w:rsidR="00314651">
        <w:rPr>
          <w:rFonts w:ascii="Verdana" w:hAnsi="Verdana"/>
          <w:sz w:val="18"/>
          <w:szCs w:val="18"/>
          <w:lang w:val="nl-NL"/>
        </w:rPr>
        <w:t xml:space="preserve"> artikel I van h</w:t>
      </w:r>
      <w:r w:rsidR="00A1294E">
        <w:rPr>
          <w:rFonts w:ascii="Verdana" w:hAnsi="Verdana"/>
          <w:sz w:val="18"/>
          <w:szCs w:val="18"/>
          <w:lang w:val="nl-NL"/>
        </w:rPr>
        <w:t xml:space="preserve">et Protocol vastgelegd dat </w:t>
      </w:r>
      <w:r w:rsidR="00AC459A">
        <w:rPr>
          <w:rFonts w:ascii="Verdana" w:hAnsi="Verdana"/>
          <w:sz w:val="18"/>
          <w:szCs w:val="18"/>
          <w:lang w:val="nl-NL"/>
        </w:rPr>
        <w:t xml:space="preserve">het Verdrag ook van toepassing is op gevallen waarin </w:t>
      </w:r>
      <w:r w:rsidR="00A1294E">
        <w:rPr>
          <w:rFonts w:ascii="Verdana" w:hAnsi="Verdana"/>
          <w:sz w:val="18"/>
          <w:szCs w:val="18"/>
          <w:lang w:val="nl-NL"/>
        </w:rPr>
        <w:t xml:space="preserve">de passiva </w:t>
      </w:r>
      <w:r w:rsidR="00D54880">
        <w:rPr>
          <w:rFonts w:ascii="Verdana" w:hAnsi="Verdana"/>
          <w:sz w:val="18"/>
          <w:szCs w:val="18"/>
          <w:lang w:val="nl-NL"/>
        </w:rPr>
        <w:t xml:space="preserve">van een (klein)dochtermaatschappij of </w:t>
      </w:r>
      <w:r w:rsidR="00AC459A">
        <w:rPr>
          <w:rFonts w:ascii="Verdana" w:hAnsi="Verdana"/>
          <w:sz w:val="18"/>
          <w:szCs w:val="18"/>
          <w:lang w:val="nl-NL"/>
        </w:rPr>
        <w:t xml:space="preserve">van een vaste inrichting in </w:t>
      </w:r>
      <w:r w:rsidR="00681704">
        <w:rPr>
          <w:rFonts w:ascii="Verdana" w:hAnsi="Verdana"/>
          <w:sz w:val="18"/>
          <w:szCs w:val="18"/>
          <w:lang w:val="nl-NL"/>
        </w:rPr>
        <w:t>éé</w:t>
      </w:r>
      <w:r w:rsidR="00AC459A">
        <w:rPr>
          <w:rFonts w:ascii="Verdana" w:hAnsi="Verdana"/>
          <w:sz w:val="18"/>
          <w:szCs w:val="18"/>
          <w:lang w:val="nl-NL"/>
        </w:rPr>
        <w:t xml:space="preserve">n van de Verdragsluitende Staten </w:t>
      </w:r>
      <w:r w:rsidR="00A1294E">
        <w:rPr>
          <w:rFonts w:ascii="Verdana" w:hAnsi="Verdana"/>
          <w:sz w:val="18"/>
          <w:szCs w:val="18"/>
          <w:lang w:val="nl-NL"/>
        </w:rPr>
        <w:t xml:space="preserve">zijn opgenomen in een geconsolideerde </w:t>
      </w:r>
      <w:r w:rsidR="00D17426">
        <w:rPr>
          <w:rFonts w:ascii="Verdana" w:hAnsi="Verdana"/>
          <w:sz w:val="18"/>
          <w:szCs w:val="18"/>
          <w:lang w:val="nl-NL"/>
        </w:rPr>
        <w:t xml:space="preserve">commerciële </w:t>
      </w:r>
      <w:r w:rsidR="00A1294E">
        <w:rPr>
          <w:rFonts w:ascii="Verdana" w:hAnsi="Verdana"/>
          <w:sz w:val="18"/>
          <w:szCs w:val="18"/>
          <w:lang w:val="nl-NL"/>
        </w:rPr>
        <w:t xml:space="preserve">jaarrekening </w:t>
      </w:r>
      <w:r w:rsidR="00BF3862">
        <w:rPr>
          <w:rFonts w:ascii="Verdana" w:hAnsi="Verdana"/>
          <w:sz w:val="18"/>
          <w:szCs w:val="18"/>
          <w:lang w:val="nl-NL"/>
        </w:rPr>
        <w:t xml:space="preserve">die is </w:t>
      </w:r>
      <w:r w:rsidR="00A1294E">
        <w:rPr>
          <w:rFonts w:ascii="Verdana" w:hAnsi="Verdana"/>
          <w:sz w:val="18"/>
          <w:szCs w:val="18"/>
          <w:lang w:val="nl-NL"/>
        </w:rPr>
        <w:t xml:space="preserve">opgesteld door een entiteit in </w:t>
      </w:r>
      <w:r w:rsidR="00D54880">
        <w:rPr>
          <w:rFonts w:ascii="Verdana" w:hAnsi="Verdana"/>
          <w:sz w:val="18"/>
          <w:szCs w:val="18"/>
          <w:lang w:val="nl-NL"/>
        </w:rPr>
        <w:t xml:space="preserve">de andere </w:t>
      </w:r>
      <w:r w:rsidR="00A1294E">
        <w:rPr>
          <w:rFonts w:ascii="Verdana" w:hAnsi="Verdana"/>
          <w:sz w:val="18"/>
          <w:szCs w:val="18"/>
          <w:lang w:val="nl-NL"/>
        </w:rPr>
        <w:t>Verdragsluitende Sta</w:t>
      </w:r>
      <w:r w:rsidR="00D54880">
        <w:rPr>
          <w:rFonts w:ascii="Verdana" w:hAnsi="Verdana"/>
          <w:sz w:val="18"/>
          <w:szCs w:val="18"/>
          <w:lang w:val="nl-NL"/>
        </w:rPr>
        <w:t>a</w:t>
      </w:r>
      <w:r w:rsidR="00A1294E">
        <w:rPr>
          <w:rFonts w:ascii="Verdana" w:hAnsi="Verdana"/>
          <w:sz w:val="18"/>
          <w:szCs w:val="18"/>
          <w:lang w:val="nl-NL"/>
        </w:rPr>
        <w:t>t</w:t>
      </w:r>
      <w:r w:rsidR="00070F2B">
        <w:rPr>
          <w:rFonts w:ascii="Verdana" w:hAnsi="Verdana"/>
          <w:sz w:val="18"/>
          <w:szCs w:val="18"/>
          <w:lang w:val="nl-NL"/>
        </w:rPr>
        <w:t>.</w:t>
      </w:r>
      <w:r w:rsidR="00842820">
        <w:rPr>
          <w:rFonts w:ascii="Verdana" w:hAnsi="Verdana"/>
          <w:sz w:val="18"/>
          <w:szCs w:val="18"/>
          <w:lang w:val="nl-NL"/>
        </w:rPr>
        <w:t xml:space="preserve"> </w:t>
      </w:r>
      <w:r w:rsidR="00070F2B">
        <w:rPr>
          <w:rFonts w:ascii="Verdana" w:hAnsi="Verdana"/>
          <w:sz w:val="18"/>
          <w:szCs w:val="18"/>
          <w:lang w:val="nl-NL"/>
        </w:rPr>
        <w:t xml:space="preserve">Daaraan staat niet in de weg dat </w:t>
      </w:r>
      <w:r w:rsidRPr="00EE52F5" w:rsidR="00842820">
        <w:rPr>
          <w:rFonts w:ascii="Verdana" w:hAnsi="Verdana"/>
          <w:sz w:val="18"/>
          <w:szCs w:val="18"/>
          <w:lang w:val="nl-NL"/>
        </w:rPr>
        <w:t xml:space="preserve">die passiva tevens </w:t>
      </w:r>
      <w:r w:rsidR="00070F2B">
        <w:rPr>
          <w:rFonts w:ascii="Verdana" w:hAnsi="Verdana"/>
          <w:sz w:val="18"/>
          <w:szCs w:val="18"/>
          <w:lang w:val="nl-NL"/>
        </w:rPr>
        <w:t xml:space="preserve">kunnen zijn </w:t>
      </w:r>
      <w:r w:rsidRPr="00EE52F5" w:rsidR="00842820">
        <w:rPr>
          <w:rFonts w:ascii="Verdana" w:hAnsi="Verdana"/>
          <w:sz w:val="18"/>
          <w:szCs w:val="18"/>
          <w:lang w:val="nl-NL"/>
        </w:rPr>
        <w:t>opgenomen in een geconsolideerde jaarrekening van een tussen</w:t>
      </w:r>
      <w:r w:rsidR="00070F2B">
        <w:rPr>
          <w:rFonts w:ascii="Verdana" w:hAnsi="Verdana"/>
          <w:sz w:val="18"/>
          <w:szCs w:val="18"/>
          <w:lang w:val="nl-NL"/>
        </w:rPr>
        <w:t xml:space="preserve">gevoegde </w:t>
      </w:r>
      <w:r w:rsidRPr="00EE52F5" w:rsidR="00842820">
        <w:rPr>
          <w:rFonts w:ascii="Verdana" w:hAnsi="Verdana"/>
          <w:sz w:val="18"/>
          <w:szCs w:val="18"/>
          <w:lang w:val="nl-NL"/>
        </w:rPr>
        <w:t>vennootschap die gevestigd is in een derde staat</w:t>
      </w:r>
      <w:r w:rsidR="00842820">
        <w:rPr>
          <w:rFonts w:ascii="Verdana" w:hAnsi="Verdana"/>
          <w:sz w:val="18"/>
          <w:szCs w:val="18"/>
          <w:lang w:val="nl-NL"/>
        </w:rPr>
        <w:t>.</w:t>
      </w:r>
    </w:p>
    <w:p w:rsidR="007A0F26" w:rsidP="00FA42A5" w:rsidRDefault="007A0F26">
      <w:pPr>
        <w:spacing w:line="360" w:lineRule="auto"/>
        <w:rPr>
          <w:rFonts w:ascii="Verdana" w:hAnsi="Verdana"/>
          <w:sz w:val="18"/>
          <w:szCs w:val="18"/>
          <w:lang w:val="nl-NL"/>
        </w:rPr>
      </w:pPr>
    </w:p>
    <w:p w:rsidRPr="00EE52F5" w:rsidR="007A0F26" w:rsidP="00FA42A5" w:rsidRDefault="007A0F26">
      <w:pPr>
        <w:spacing w:line="360" w:lineRule="auto"/>
        <w:rPr>
          <w:rFonts w:ascii="Verdana" w:hAnsi="Verdana"/>
          <w:sz w:val="18"/>
          <w:szCs w:val="18"/>
          <w:lang w:val="nl-NL"/>
        </w:rPr>
      </w:pPr>
      <w:r w:rsidRPr="00EE52F5">
        <w:rPr>
          <w:rFonts w:ascii="Verdana" w:hAnsi="Verdana"/>
          <w:sz w:val="18"/>
          <w:szCs w:val="18"/>
          <w:lang w:val="nl-NL"/>
        </w:rPr>
        <w:t>Ter illustratie wordt in figuur 1 een voorbeeld gegeven van een in het VK gevestigde vennootschap die bancaire activiteiten verricht (vennootschap I)</w:t>
      </w:r>
      <w:r w:rsidR="00210C01">
        <w:rPr>
          <w:rFonts w:ascii="Verdana" w:hAnsi="Verdana"/>
          <w:sz w:val="18"/>
          <w:szCs w:val="18"/>
          <w:lang w:val="nl-NL"/>
        </w:rPr>
        <w:t>,</w:t>
      </w:r>
      <w:r w:rsidRPr="00EE52F5">
        <w:rPr>
          <w:rFonts w:ascii="Verdana" w:hAnsi="Verdana"/>
          <w:sz w:val="18"/>
          <w:szCs w:val="18"/>
          <w:lang w:val="nl-NL"/>
        </w:rPr>
        <w:t xml:space="preserve"> die alle aandelen houdt in een vennootschap in België (vennootschap II), </w:t>
      </w:r>
      <w:r w:rsidR="00210C01">
        <w:rPr>
          <w:rFonts w:ascii="Verdana" w:hAnsi="Verdana"/>
          <w:sz w:val="18"/>
          <w:szCs w:val="18"/>
          <w:lang w:val="nl-NL"/>
        </w:rPr>
        <w:t>welk</w:t>
      </w:r>
      <w:r w:rsidRPr="00EE52F5">
        <w:rPr>
          <w:rFonts w:ascii="Verdana" w:hAnsi="Verdana"/>
          <w:sz w:val="18"/>
          <w:szCs w:val="18"/>
          <w:lang w:val="nl-NL"/>
        </w:rPr>
        <w:t>e op haar beurt alle aandelen houdt in een Nederlandse vennootschap die over een door D</w:t>
      </w:r>
      <w:r w:rsidR="00580A4C">
        <w:rPr>
          <w:rFonts w:ascii="Verdana" w:hAnsi="Verdana"/>
          <w:sz w:val="18"/>
          <w:szCs w:val="18"/>
          <w:lang w:val="nl-NL"/>
        </w:rPr>
        <w:t xml:space="preserve">e </w:t>
      </w:r>
      <w:r w:rsidRPr="00EE52F5">
        <w:rPr>
          <w:rFonts w:ascii="Verdana" w:hAnsi="Verdana"/>
          <w:sz w:val="18"/>
          <w:szCs w:val="18"/>
          <w:lang w:val="nl-NL"/>
        </w:rPr>
        <w:t>N</w:t>
      </w:r>
      <w:r w:rsidR="00580A4C">
        <w:rPr>
          <w:rFonts w:ascii="Verdana" w:hAnsi="Verdana"/>
          <w:sz w:val="18"/>
          <w:szCs w:val="18"/>
          <w:lang w:val="nl-NL"/>
        </w:rPr>
        <w:t xml:space="preserve">ederlandsche </w:t>
      </w:r>
      <w:r w:rsidRPr="00EE52F5">
        <w:rPr>
          <w:rFonts w:ascii="Verdana" w:hAnsi="Verdana"/>
          <w:sz w:val="18"/>
          <w:szCs w:val="18"/>
          <w:lang w:val="nl-NL"/>
        </w:rPr>
        <w:t>B</w:t>
      </w:r>
      <w:r w:rsidR="00580A4C">
        <w:rPr>
          <w:rFonts w:ascii="Verdana" w:hAnsi="Verdana"/>
          <w:sz w:val="18"/>
          <w:szCs w:val="18"/>
          <w:lang w:val="nl-NL"/>
        </w:rPr>
        <w:t>ank</w:t>
      </w:r>
      <w:r w:rsidRPr="00EE52F5">
        <w:rPr>
          <w:rFonts w:ascii="Verdana" w:hAnsi="Verdana"/>
          <w:sz w:val="18"/>
          <w:szCs w:val="18"/>
          <w:lang w:val="nl-NL"/>
        </w:rPr>
        <w:t xml:space="preserve"> afgegeven bankvergunning beschikt. </w:t>
      </w:r>
    </w:p>
    <w:p w:rsidRPr="00EE52F5" w:rsidR="007A0F26" w:rsidP="00EE52F5" w:rsidRDefault="00A06C30">
      <w:pPr>
        <w:spacing w:before="100" w:beforeAutospacing="1" w:after="100" w:afterAutospacing="1"/>
        <w:rPr>
          <w:rFonts w:ascii="Times New Roman" w:hAnsi="Times New Roman"/>
          <w:sz w:val="24"/>
          <w:lang w:val="nl-NL"/>
        </w:rPr>
      </w:pPr>
      <w:r>
        <w:rPr>
          <w:rFonts w:ascii="Times New Roman" w:hAnsi="Times New Roman"/>
          <w:noProof/>
          <w:sz w:val="24"/>
          <w:lang w:val="nl-NL"/>
        </w:rPr>
        <w:lastRenderedPageBreak/>
        <mc:AlternateContent>
          <mc:Choice Requires="wps">
            <w:drawing>
              <wp:anchor distT="4294967294" distB="4294967294" distL="114300" distR="114300" simplePos="0" relativeHeight="251660288" behindDoc="0" locked="0" layoutInCell="1" allowOverlap="1">
                <wp:simplePos x="0" y="0"/>
                <wp:positionH relativeFrom="column">
                  <wp:posOffset>-20955</wp:posOffset>
                </wp:positionH>
                <wp:positionV relativeFrom="paragraph">
                  <wp:posOffset>2043429</wp:posOffset>
                </wp:positionV>
                <wp:extent cx="5824855" cy="0"/>
                <wp:effectExtent l="0" t="0" r="23495" b="19050"/>
                <wp:wrapNone/>
                <wp:docPr id="2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v:path fillok="f" arrowok="t" o:connecttype="none"/>
                <o:lock v:ext="edit" shapetype="t"/>
              </v:shapetype>
              <v:shape id="AutoShape 32" style="position:absolute;margin-left:-1.65pt;margin-top:160.9pt;width:458.6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2IQIAAD0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"/>
            </w:pict>
          </mc:Fallback>
        </mc:AlternateContent>
      </w:r>
      <w:r>
        <w:rPr>
          <w:rFonts w:ascii="Times New Roman" w:hAnsi="Times New Roman"/>
          <w:noProof/>
          <w:sz w:val="24"/>
          <w:lang w:val="nl-NL"/>
        </w:rPr>
        <mc:AlternateContent>
          <mc:Choice Requires="wpc">
            <w:drawing>
              <wp:inline distT="0" distB="0" distL="0" distR="0">
                <wp:extent cx="5760720" cy="3110230"/>
                <wp:effectExtent l="0" t="0" r="11430" b="0"/>
                <wp:docPr id="35" name="Canvas 1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Rectangle 17"/>
                        <wps:cNvSpPr>
                          <a:spLocks noChangeArrowheads="1"/>
                        </wps:cNvSpPr>
                        <wps:spPr bwMode="auto">
                          <a:xfrm>
                            <a:off x="1030605" y="1270635"/>
                            <a:ext cx="1600200" cy="469900"/>
                          </a:xfrm>
                          <a:prstGeom prst="rect">
                            <a:avLst/>
                          </a:prstGeom>
                          <a:solidFill>
                            <a:srgbClr val="FFFFFF"/>
                          </a:solidFill>
                          <a:ln w="9525">
                            <a:solidFill>
                              <a:srgbClr val="000000"/>
                            </a:solidFill>
                            <a:miter lim="800000"/>
                            <a:headEnd/>
                            <a:tailEnd/>
                          </a:ln>
                        </wps:spPr>
                        <wps:txbx>
                          <w:txbxContent>
                            <w:p w:rsidR="00E54942" w:rsidP="00E54942" w:rsidRDefault="00E54942">
                              <w:pPr>
                                <w:jc w:val="center"/>
                              </w:pPr>
                              <w:r w:rsidRPr="00B91868">
                                <w:rPr>
                                  <w:lang w:val="nl-NL"/>
                                </w:rPr>
                                <w:t>Vennootschap</w:t>
                              </w:r>
                              <w:r>
                                <w:t xml:space="preserve"> II</w:t>
                              </w:r>
                            </w:p>
                          </w:txbxContent>
                        </wps:txbx>
                        <wps:bodyPr rot="0" vert="horz" wrap="square" lIns="91440" tIns="45720" rIns="91440" bIns="45720" anchor="t" anchorCtr="0" upright="1">
                          <a:noAutofit/>
                        </wps:bodyPr>
                      </wps:wsp>
                      <wps:wsp>
                        <wps:cNvPr id="14" name="Rectangle 18"/>
                        <wps:cNvSpPr>
                          <a:spLocks noChangeArrowheads="1"/>
                        </wps:cNvSpPr>
                        <wps:spPr bwMode="auto">
                          <a:xfrm>
                            <a:off x="1030605" y="260985"/>
                            <a:ext cx="1600200" cy="468630"/>
                          </a:xfrm>
                          <a:prstGeom prst="rect">
                            <a:avLst/>
                          </a:prstGeom>
                          <a:solidFill>
                            <a:srgbClr val="FFFFFF"/>
                          </a:solidFill>
                          <a:ln w="9525">
                            <a:solidFill>
                              <a:srgbClr val="000000"/>
                            </a:solidFill>
                            <a:miter lim="800000"/>
                            <a:headEnd/>
                            <a:tailEnd/>
                          </a:ln>
                        </wps:spPr>
                        <wps:txbx>
                          <w:txbxContent>
                            <w:p w:rsidR="00E54942" w:rsidP="00E54942" w:rsidRDefault="00E54942">
                              <w:pPr>
                                <w:jc w:val="center"/>
                              </w:pPr>
                              <w:r w:rsidRPr="00B91868">
                                <w:rPr>
                                  <w:lang w:val="nl-NL"/>
                                </w:rPr>
                                <w:t>Vennootschap</w:t>
                              </w:r>
                              <w:r>
                                <w:t xml:space="preserve"> I</w:t>
                              </w:r>
                            </w:p>
                            <w:p w:rsidR="00E54942" w:rsidP="00E54942" w:rsidRDefault="00E54942"/>
                          </w:txbxContent>
                        </wps:txbx>
                        <wps:bodyPr rot="0" vert="horz" wrap="square" lIns="91440" tIns="45720" rIns="91440" bIns="45720" anchor="t" anchorCtr="0" upright="1">
                          <a:noAutofit/>
                        </wps:bodyPr>
                      </wps:wsp>
                      <wps:wsp>
                        <wps:cNvPr id="15" name="Rectangle 19"/>
                        <wps:cNvSpPr>
                          <a:spLocks noChangeArrowheads="1"/>
                        </wps:cNvSpPr>
                        <wps:spPr bwMode="auto">
                          <a:xfrm>
                            <a:off x="1031240" y="2356485"/>
                            <a:ext cx="1599565" cy="468630"/>
                          </a:xfrm>
                          <a:prstGeom prst="rect">
                            <a:avLst/>
                          </a:prstGeom>
                          <a:solidFill>
                            <a:srgbClr val="FFFFFF"/>
                          </a:solidFill>
                          <a:ln w="9525">
                            <a:solidFill>
                              <a:srgbClr val="000000"/>
                            </a:solidFill>
                            <a:miter lim="800000"/>
                            <a:headEnd/>
                            <a:tailEnd/>
                          </a:ln>
                        </wps:spPr>
                        <wps:txbx>
                          <w:txbxContent>
                            <w:p w:rsidR="00E54942" w:rsidP="00E54942" w:rsidRDefault="00E54942">
                              <w:pPr>
                                <w:jc w:val="center"/>
                              </w:pPr>
                              <w:r w:rsidRPr="00B91868">
                                <w:rPr>
                                  <w:lang w:val="nl-NL"/>
                                </w:rPr>
                                <w:t>Vennootschap</w:t>
                              </w:r>
                              <w:r>
                                <w:t xml:space="preserve"> III</w:t>
                              </w:r>
                            </w:p>
                            <w:p w:rsidR="00E54942" w:rsidP="00E54942" w:rsidRDefault="00E54942"/>
                          </w:txbxContent>
                        </wps:txbx>
                        <wps:bodyPr rot="0" vert="horz" wrap="square" lIns="91440" tIns="45720" rIns="91440" bIns="45720" anchor="t" anchorCtr="0" upright="1">
                          <a:noAutofit/>
                        </wps:bodyPr>
                      </wps:wsp>
                      <wps:wsp>
                        <wps:cNvPr id="16" name="AutoShape 20"/>
                        <wps:cNvCnPr>
                          <a:cxnSpLocks noChangeShapeType="1"/>
                          <a:stCxn id="14" idx="2"/>
                          <a:endCxn id="13" idx="0"/>
                        </wps:cNvCnPr>
                        <wps:spPr bwMode="auto">
                          <a:xfrm>
                            <a:off x="1830705" y="729615"/>
                            <a:ext cx="635" cy="54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1"/>
                        <wps:cNvCnPr>
                          <a:cxnSpLocks noChangeShapeType="1"/>
                          <a:stCxn id="13" idx="2"/>
                          <a:endCxn id="15" idx="0"/>
                        </wps:cNvCnPr>
                        <wps:spPr bwMode="auto">
                          <a:xfrm>
                            <a:off x="1830705" y="1740535"/>
                            <a:ext cx="635" cy="615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a:off x="0" y="959485"/>
                            <a:ext cx="5760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Rectangle 23"/>
                        <wps:cNvSpPr>
                          <a:spLocks noChangeArrowheads="1"/>
                        </wps:cNvSpPr>
                        <wps:spPr bwMode="auto">
                          <a:xfrm>
                            <a:off x="4295140" y="43815"/>
                            <a:ext cx="1372235" cy="47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E52F5" w:rsidR="00E54942" w:rsidP="00E54942" w:rsidRDefault="00E54942">
                              <w:pPr>
                                <w:ind w:left="708" w:firstLine="1"/>
                                <w:rPr>
                                  <w:b/>
                                  <w:lang w:val="nl-BE"/>
                                </w:rPr>
                              </w:pPr>
                              <w:r w:rsidRPr="00EE52F5">
                                <w:rPr>
                                  <w:b/>
                                  <w:lang w:val="nl-BE"/>
                                </w:rPr>
                                <w:t>Verenigd Koninkrijk</w:t>
                              </w:r>
                            </w:p>
                          </w:txbxContent>
                        </wps:txbx>
                        <wps:bodyPr rot="0" vert="horz" wrap="square" lIns="91440" tIns="45720" rIns="91440" bIns="45720" anchor="t" anchorCtr="0" upright="1">
                          <a:noAutofit/>
                        </wps:bodyPr>
                      </wps:wsp>
                      <wps:wsp>
                        <wps:cNvPr id="20" name="Rectangle 24"/>
                        <wps:cNvSpPr>
                          <a:spLocks noChangeArrowheads="1"/>
                        </wps:cNvSpPr>
                        <wps:spPr bwMode="auto">
                          <a:xfrm>
                            <a:off x="4317365" y="1061720"/>
                            <a:ext cx="144335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07C3" w:rsidR="00E54942" w:rsidP="00E54942" w:rsidRDefault="00E54942">
                              <w:pPr>
                                <w:rPr>
                                  <w:b/>
                                </w:rPr>
                              </w:pPr>
                              <w:r w:rsidRPr="00B91868">
                                <w:rPr>
                                  <w:b/>
                                  <w:lang w:val="nl-NL"/>
                                </w:rPr>
                                <w:t>België</w:t>
                              </w:r>
                            </w:p>
                          </w:txbxContent>
                        </wps:txbx>
                        <wps:bodyPr rot="0" vert="horz" wrap="square" lIns="91440" tIns="45720" rIns="91440" bIns="45720" anchor="t" anchorCtr="0" upright="1">
                          <a:noAutofit/>
                        </wps:bodyPr>
                      </wps:wsp>
                      <wps:wsp>
                        <wps:cNvPr id="21" name="Rectangle 25"/>
                        <wps:cNvSpPr>
                          <a:spLocks noChangeArrowheads="1"/>
                        </wps:cNvSpPr>
                        <wps:spPr bwMode="auto">
                          <a:xfrm>
                            <a:off x="4317365" y="1969770"/>
                            <a:ext cx="1443355" cy="386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07C3" w:rsidR="00E54942" w:rsidP="00E54942" w:rsidRDefault="00E54942">
                              <w:pPr>
                                <w:rPr>
                                  <w:b/>
                                </w:rPr>
                              </w:pPr>
                              <w:r w:rsidRPr="004707C3">
                                <w:rPr>
                                  <w:b/>
                                </w:rPr>
                                <w:t>Nederland</w:t>
                              </w:r>
                            </w:p>
                          </w:txbxContent>
                        </wps:txbx>
                        <wps:bodyPr rot="0" vert="horz" wrap="square" lIns="91440" tIns="45720" rIns="91440" bIns="45720" anchor="t" anchorCtr="0" upright="1">
                          <a:noAutofit/>
                        </wps:bodyPr>
                      </wps:wsp>
                      <wps:wsp>
                        <wps:cNvPr id="22" name="Rectangle 26"/>
                        <wps:cNvSpPr>
                          <a:spLocks noChangeArrowheads="1"/>
                        </wps:cNvSpPr>
                        <wps:spPr bwMode="auto">
                          <a:xfrm>
                            <a:off x="871855" y="111760"/>
                            <a:ext cx="1917065" cy="28517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0" y="111760"/>
                            <a:ext cx="834390" cy="617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54942" w:rsidR="00E54942" w:rsidP="00E54942" w:rsidRDefault="00E54942">
                              <w:pPr>
                                <w:ind w:firstLine="1"/>
                                <w:jc w:val="right"/>
                                <w:rPr>
                                  <w:b/>
                                  <w:sz w:val="16"/>
                                  <w:lang w:val="nl-BE"/>
                                </w:rPr>
                              </w:pPr>
                              <w:r w:rsidRPr="00E54942">
                                <w:rPr>
                                  <w:b/>
                                  <w:sz w:val="16"/>
                                  <w:lang w:val="nl-BE"/>
                                </w:rPr>
                                <w:t>VK consolidatie</w:t>
                              </w:r>
                            </w:p>
                          </w:txbxContent>
                        </wps:txbx>
                        <wps:bodyPr rot="0" vert="horz" wrap="square" lIns="91440" tIns="45720" rIns="91440" bIns="45720" anchor="t" anchorCtr="0" upright="1">
                          <a:noAutofit/>
                        </wps:bodyPr>
                      </wps:wsp>
                      <wps:wsp>
                        <wps:cNvPr id="24" name="Rectangle 28"/>
                        <wps:cNvSpPr>
                          <a:spLocks noChangeArrowheads="1"/>
                        </wps:cNvSpPr>
                        <wps:spPr bwMode="auto">
                          <a:xfrm>
                            <a:off x="2929255" y="295910"/>
                            <a:ext cx="151066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54942" w:rsidR="00E54942" w:rsidP="00E54942" w:rsidRDefault="00E54942">
                              <w:pPr>
                                <w:ind w:firstLine="1"/>
                                <w:rPr>
                                  <w:b/>
                                  <w:i/>
                                  <w:sz w:val="16"/>
                                  <w:lang w:val="nl-BE"/>
                                </w:rPr>
                              </w:pPr>
                              <w:r w:rsidRPr="00E54942">
                                <w:rPr>
                                  <w:b/>
                                  <w:i/>
                                  <w:sz w:val="16"/>
                                  <w:lang w:val="nl-BE"/>
                                </w:rPr>
                                <w:t>Belastingplichtig voor de bankenbelasting in het VK</w:t>
                              </w:r>
                            </w:p>
                          </w:txbxContent>
                        </wps:txbx>
                        <wps:bodyPr rot="0" vert="horz" wrap="square" lIns="91440" tIns="45720" rIns="91440" bIns="45720" anchor="t" anchorCtr="0" upright="1">
                          <a:noAutofit/>
                        </wps:bodyPr>
                      </wps:wsp>
                      <wps:wsp>
                        <wps:cNvPr id="25" name="Rectangle 29"/>
                        <wps:cNvSpPr>
                          <a:spLocks noChangeArrowheads="1"/>
                        </wps:cNvSpPr>
                        <wps:spPr bwMode="auto">
                          <a:xfrm>
                            <a:off x="2994025" y="2346325"/>
                            <a:ext cx="151003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54942" w:rsidR="00E54942" w:rsidP="00E54942" w:rsidRDefault="00E54942">
                              <w:pPr>
                                <w:ind w:firstLine="1"/>
                                <w:rPr>
                                  <w:b/>
                                  <w:i/>
                                  <w:sz w:val="16"/>
                                  <w:lang w:val="nl-BE"/>
                                </w:rPr>
                              </w:pPr>
                              <w:r w:rsidRPr="00E54942">
                                <w:rPr>
                                  <w:b/>
                                  <w:i/>
                                  <w:sz w:val="16"/>
                                  <w:lang w:val="nl-BE"/>
                                </w:rPr>
                                <w:t>Belastingplichtig voor de bankenbelasting in Nederland</w:t>
                              </w:r>
                            </w:p>
                          </w:txbxContent>
                        </wps:txbx>
                        <wps:bodyPr rot="0" vert="horz" wrap="square" lIns="91440" tIns="45720" rIns="91440" bIns="45720" anchor="t" anchorCtr="0" upright="1">
                          <a:noAutofit/>
                        </wps:bodyPr>
                      </wps:wsp>
                      <wps:wsp>
                        <wps:cNvPr id="26" name="AutoShape 30"/>
                        <wps:cNvCnPr>
                          <a:cxnSpLocks noChangeShapeType="1"/>
                        </wps:cNvCnPr>
                        <wps:spPr bwMode="auto">
                          <a:xfrm flipV="1">
                            <a:off x="2459355" y="2592070"/>
                            <a:ext cx="555625" cy="635"/>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27" name="AutoShape 31"/>
                        <wps:cNvCnPr>
                          <a:cxnSpLocks noChangeShapeType="1"/>
                          <a:endCxn id="24" idx="1"/>
                        </wps:cNvCnPr>
                        <wps:spPr bwMode="auto">
                          <a:xfrm flipV="1">
                            <a:off x="2788920" y="513080"/>
                            <a:ext cx="140335" cy="635"/>
                          </a:xfrm>
                          <a:prstGeom prst="straightConnector1">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5" style="width:453.6pt;height:244.9pt;mso-position-horizontal-relative:char;mso-position-vertical-relative:line" coordsize="57607,31102"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" editas="canvas">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57607;height:31102;visibility:visible;mso-wrap-style:square" type="#_x0000_t75">
                  <v:fill o:detectmouseclick="t"/>
                  <v:path o:connecttype="none"/>
                </v:shape>
                <v:rect id="Rectangle 17" style="position:absolute;left:10306;top:12706;width:16002;height:4699;visibility:visible;mso-wrap-style:square;v-text-anchor:top" o:spid="_x0000_s1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54942" w:rsidP="00E54942" w:rsidRDefault="00E54942">
                        <w:pPr>
                          <w:jc w:val="center"/>
                        </w:pPr>
                        <w:r w:rsidRPr="00B91868">
                          <w:rPr>
                            <w:lang w:val="nl-NL"/>
                          </w:rPr>
                          <w:t>Vennootschap</w:t>
                        </w:r>
                        <w:r>
                          <w:t xml:space="preserve"> II</w:t>
                        </w:r>
                      </w:p>
                    </w:txbxContent>
                  </v:textbox>
                </v:rect>
                <v:rect id="Rectangle 18" style="position:absolute;left:10306;top:2609;width:16002;height:4687;visibility:visible;mso-wrap-style:square;v-text-anchor:top" o:spid="_x0000_s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54942" w:rsidP="00E54942" w:rsidRDefault="00E54942">
                        <w:pPr>
                          <w:jc w:val="center"/>
                        </w:pPr>
                        <w:r w:rsidRPr="00B91868">
                          <w:rPr>
                            <w:lang w:val="nl-NL"/>
                          </w:rPr>
                          <w:t>Vennootschap</w:t>
                        </w:r>
                        <w:r>
                          <w:t xml:space="preserve"> I</w:t>
                        </w:r>
                      </w:p>
                      <w:p w:rsidR="00E54942" w:rsidP="00E54942" w:rsidRDefault="00E54942"/>
                    </w:txbxContent>
                  </v:textbox>
                </v:rect>
                <v:rect id="Rectangle 19" style="position:absolute;left:10312;top:23564;width:15996;height:4687;visibility:visible;mso-wrap-style:square;v-text-anchor:top" o:spid="_x0000_s1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54942" w:rsidP="00E54942" w:rsidRDefault="00E54942">
                        <w:pPr>
                          <w:jc w:val="center"/>
                        </w:pPr>
                        <w:r w:rsidRPr="00B91868">
                          <w:rPr>
                            <w:lang w:val="nl-NL"/>
                          </w:rPr>
                          <w:t>Vennootschap</w:t>
                        </w:r>
                        <w:r>
                          <w:t xml:space="preserve"> III</w:t>
                        </w:r>
                      </w:p>
                      <w:p w:rsidR="00E54942" w:rsidP="00E54942" w:rsidRDefault="00E54942"/>
                    </w:txbxContent>
                  </v:textbox>
                </v:rect>
                <v:shapetype id="_x0000_t32" coordsize="21600,21600" o:oned="t" filled="f" o:spt="32" path="m,l21600,21600e">
                  <v:path fillok="f" arrowok="t" o:connecttype="none"/>
                  <o:lock v:ext="edit" shapetype="t"/>
                </v:shapetype>
                <v:shape id="AutoShape 20" style="position:absolute;left:18307;top:7296;width:6;height:5410;visibility:visible;mso-wrap-style:square" o:spid="_x0000_s103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21" style="position:absolute;left:18307;top:17405;width:6;height:6159;visibility:visible;mso-wrap-style:square" o:spid="_x0000_s1032"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22" style="position:absolute;top:9594;width:57607;height:7;visibility:visible;mso-wrap-style:square" o:spid="_x0000_s103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rect id="Rectangle 23" style="position:absolute;left:42951;top:438;width:13722;height:4737;visibility:visible;mso-wrap-style:square;v-text-anchor:top" o:spid="_x0000_s1034"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v:textbox>
                    <w:txbxContent>
                      <w:p w:rsidRPr="00EE52F5" w:rsidR="00E54942" w:rsidP="00E54942" w:rsidRDefault="00E54942">
                        <w:pPr>
                          <w:ind w:left="708" w:firstLine="1"/>
                          <w:rPr>
                            <w:b/>
                            <w:lang w:val="nl-BE"/>
                          </w:rPr>
                        </w:pPr>
                        <w:r w:rsidRPr="00EE52F5">
                          <w:rPr>
                            <w:b/>
                            <w:lang w:val="nl-BE"/>
                          </w:rPr>
                          <w:t>Verenigd Koninkrijk</w:t>
                        </w:r>
                      </w:p>
                    </w:txbxContent>
                  </v:textbox>
                </v:rect>
                <v:rect id="Rectangle 24" style="position:absolute;left:43173;top:10617;width:14434;height:3727;visibility:visible;mso-wrap-style:square;v-text-anchor:top" o:spid="_x0000_s1035"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v:textbox>
                    <w:txbxContent>
                      <w:p w:rsidRPr="004707C3" w:rsidR="00E54942" w:rsidP="00E54942" w:rsidRDefault="00E54942">
                        <w:pPr>
                          <w:rPr>
                            <w:b/>
                          </w:rPr>
                        </w:pPr>
                        <w:r w:rsidRPr="00B91868">
                          <w:rPr>
                            <w:b/>
                            <w:lang w:val="nl-NL"/>
                          </w:rPr>
                          <w:t>België</w:t>
                        </w:r>
                      </w:p>
                    </w:txbxContent>
                  </v:textbox>
                </v:rect>
                <v:rect id="Rectangle 25" style="position:absolute;left:43173;top:19697;width:14434;height:3867;visibility:visible;mso-wrap-style:square;v-text-anchor:top" o:spid="_x0000_s1036"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v:textbox>
                    <w:txbxContent>
                      <w:p w:rsidRPr="004707C3" w:rsidR="00E54942" w:rsidP="00E54942" w:rsidRDefault="00E54942">
                        <w:pPr>
                          <w:rPr>
                            <w:b/>
                          </w:rPr>
                        </w:pPr>
                        <w:r w:rsidRPr="004707C3">
                          <w:rPr>
                            <w:b/>
                          </w:rPr>
                          <w:t>Nederland</w:t>
                        </w:r>
                      </w:p>
                    </w:txbxContent>
                  </v:textbox>
                </v:rect>
                <v:rect id="Rectangle 26" style="position:absolute;left:8718;top:1117;width:19171;height:28518;visibility:visible;mso-wrap-style:square;v-text-anchor:top" o:spid="_x0000_s1037" fill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SnO8EA&#10;AADbAAAADwAAAGRycy9kb3ducmV2LnhtbESPS2sCMRSF9wX/Q7hCN0UzHWSQqVGKKLgSfIDbS3I7&#10;MzS5GZKo4783hYLLw3l8nMVqcFbcKMTOs4LPaQGCWHvTcaPgfNpO5iBiQjZoPZOCB0VYLUdvC6yN&#10;v/OBbsfUiDzCsUYFbUp9LWXULTmMU98TZ+/HB4cpy9BIE/Cex52VZVFU0mHHmdBiT+uW9O/x6jJE&#10;b66F3dn9lh+XKlUzHT54rtT7ePj+ApFoSK/wf3tnFJQl/H3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UpzvBAAAA2wAAAA8AAAAAAAAAAAAAAAAAmAIAAGRycy9kb3du&#10;cmV2LnhtbFBLBQYAAAAABAAEAPUAAACGAwAAAAA=&#10;">
                  <v:stroke dashstyle="dash"/>
                </v:rect>
                <v:rect id="Rectangle 27" style="position:absolute;top:1117;width:8343;height:6179;visibility:visible;mso-wrap-style:square;v-text-anchor:top" o:spid="_x0000_s1038"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v:textbox>
                    <w:txbxContent>
                      <w:p w:rsidRPr="00E54942" w:rsidR="00E54942" w:rsidP="00E54942" w:rsidRDefault="00E54942">
                        <w:pPr>
                          <w:ind w:firstLine="1"/>
                          <w:jc w:val="right"/>
                          <w:rPr>
                            <w:b/>
                            <w:sz w:val="16"/>
                            <w:lang w:val="nl-BE"/>
                          </w:rPr>
                        </w:pPr>
                        <w:r w:rsidRPr="00E54942">
                          <w:rPr>
                            <w:b/>
                            <w:sz w:val="16"/>
                            <w:lang w:val="nl-BE"/>
                          </w:rPr>
                          <w:t>VK consolidatie</w:t>
                        </w:r>
                      </w:p>
                    </w:txbxContent>
                  </v:textbox>
                </v:rect>
                <v:rect id="Rectangle 28" style="position:absolute;left:29292;top:2959;width:15107;height:4337;visibility:visible;mso-wrap-style:square;v-text-anchor:top" o:spid="_x0000_s103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v:textbox>
                    <w:txbxContent>
                      <w:p w:rsidRPr="00E54942" w:rsidR="00E54942" w:rsidP="00E54942" w:rsidRDefault="00E54942">
                        <w:pPr>
                          <w:ind w:firstLine="1"/>
                          <w:rPr>
                            <w:b/>
                            <w:i/>
                            <w:sz w:val="16"/>
                            <w:lang w:val="nl-BE"/>
                          </w:rPr>
                        </w:pPr>
                        <w:r w:rsidRPr="00E54942">
                          <w:rPr>
                            <w:b/>
                            <w:i/>
                            <w:sz w:val="16"/>
                            <w:lang w:val="nl-BE"/>
                          </w:rPr>
                          <w:t>Belastingplichtig voor de bankenbelasting in het VK</w:t>
                        </w:r>
                      </w:p>
                    </w:txbxContent>
                  </v:textbox>
                </v:rect>
                <v:rect id="Rectangle 29" style="position:absolute;left:29940;top:23463;width:15100;height:6172;visibility:visible;mso-wrap-style:square;v-text-anchor:top" o:spid="_x0000_s1040"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v:textbox>
                    <w:txbxContent>
                      <w:p w:rsidRPr="00E54942" w:rsidR="00E54942" w:rsidP="00E54942" w:rsidRDefault="00E54942">
                        <w:pPr>
                          <w:ind w:firstLine="1"/>
                          <w:rPr>
                            <w:b/>
                            <w:i/>
                            <w:sz w:val="16"/>
                            <w:lang w:val="nl-BE"/>
                          </w:rPr>
                        </w:pPr>
                        <w:r w:rsidRPr="00E54942">
                          <w:rPr>
                            <w:b/>
                            <w:i/>
                            <w:sz w:val="16"/>
                            <w:lang w:val="nl-BE"/>
                          </w:rPr>
                          <w:t>Belastingplichtig voor de bankenbelasting in Nederland</w:t>
                        </w:r>
                      </w:p>
                    </w:txbxContent>
                  </v:textbox>
                </v:rect>
                <v:shape id="AutoShape 30" style="position:absolute;left:24593;top:25920;width:5556;height:7;flip:y;visibility:visible;mso-wrap-style:square" o:spid="_x0000_s104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63sMAAADbAAAADwAAAGRycy9kb3ducmV2LnhtbESPT4vCMBTE78J+h/AWvGnqX6QaZVlU&#10;PKq7qx4fzbMtbV5qE7V+eyMIexxm5jfMbNGYUtyodrllBb1uBII4sTrnVMHvz6ozAeE8ssbSMil4&#10;kIPF/KM1w1jbO+/otvepCBB2MSrIvK9iKV2SkUHXtRVx8M62NuiDrFOpa7wHuCllP4rG0mDOYSHD&#10;ir4zSor91SjAU+EvveF6uzxQOlgfi7/hKFkp1f5svqYgPDX+P/xub7SC/hheX8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t7DAAAA2wAAAA8AAAAAAAAAAAAA&#10;AAAAoQIAAGRycy9kb3ducmV2LnhtbFBLBQYAAAAABAAEAPkAAACRAwAAAAA=&#10;">
                  <v:stroke startarrow="oval"/>
                </v:shape>
                <v:shape id="AutoShape 31" style="position:absolute;left:27889;top:5130;width:1403;height:7;flip:y;visibility:visible;mso-wrap-style:square" o:spid="_x0000_s1042"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ZfRcUAAADbAAAADwAAAGRycy9kb3ducmV2LnhtbESPT2vCQBTE7wW/w/KE3ppNrFZJ3Ugp&#10;VXpUW/8cH9nXJCT7Ns1uNX57VxB6HGbmN8x80ZtGnKhzlWUFSRSDIM6trrhQ8P21fJqBcB5ZY2OZ&#10;FFzIwSIbPMwx1fbMGzptfSEChF2KCkrv21RKl5dk0EW2JQ7ej+0M+iC7QuoOzwFuGjmK4xdpsOKw&#10;UGJL7yXl9fbPKMBj7X+T8Wr9safieXWod+NJvlTqcdi/vYLw1Pv/8L39qRWMpnD7En6AzK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ZfRcUAAADbAAAADwAAAAAAAAAA&#10;AAAAAAChAgAAZHJzL2Rvd25yZXYueG1sUEsFBgAAAAAEAAQA+QAAAJMDAAAAAA==&#10;">
                  <v:stroke startarrow="oval"/>
                </v:shape>
                <w10:anchorlock/>
              </v:group>
            </w:pict>
          </mc:Fallback>
        </mc:AlternateContent>
      </w:r>
    </w:p>
    <w:p w:rsidRPr="00F458B0" w:rsidR="00B91868" w:rsidRDefault="00B943DF">
      <w:pPr>
        <w:rPr>
          <w:rFonts w:ascii="Verdana" w:hAnsi="Verdana"/>
          <w:i/>
          <w:sz w:val="16"/>
          <w:szCs w:val="16"/>
          <w:lang w:val="nl-NL"/>
        </w:rPr>
      </w:pPr>
      <w:r>
        <w:rPr>
          <w:rFonts w:ascii="Verdana" w:hAnsi="Verdana"/>
          <w:i/>
          <w:sz w:val="16"/>
          <w:szCs w:val="16"/>
          <w:lang w:val="nl-NL"/>
        </w:rPr>
        <w:br/>
      </w:r>
      <w:r w:rsidRPr="006C176E" w:rsidR="006C176E">
        <w:rPr>
          <w:rFonts w:ascii="Verdana" w:hAnsi="Verdana"/>
          <w:i/>
          <w:sz w:val="16"/>
          <w:szCs w:val="16"/>
          <w:lang w:val="nl-NL"/>
        </w:rPr>
        <w:t xml:space="preserve">Figuur 1: Voorbeeld van in het VK gevestigde vennootschap die bancaire activiteiten verricht met dochter in België en kleindochter in Nederland die over een door </w:t>
      </w:r>
      <w:r w:rsidR="00580A4C">
        <w:rPr>
          <w:rFonts w:ascii="Verdana" w:hAnsi="Verdana"/>
          <w:i/>
          <w:sz w:val="16"/>
          <w:szCs w:val="16"/>
          <w:lang w:val="nl-NL"/>
        </w:rPr>
        <w:t>D</w:t>
      </w:r>
      <w:r w:rsidRPr="006C176E" w:rsidR="006C176E">
        <w:rPr>
          <w:rFonts w:ascii="Verdana" w:hAnsi="Verdana"/>
          <w:i/>
          <w:sz w:val="16"/>
          <w:szCs w:val="16"/>
          <w:lang w:val="nl-NL"/>
        </w:rPr>
        <w:t>e Nederlandsche Bank afgegeven bankvergunning beschikt.</w:t>
      </w:r>
    </w:p>
    <w:p w:rsidR="00B91868" w:rsidRDefault="00B91868">
      <w:pPr>
        <w:rPr>
          <w:rFonts w:ascii="Verdana" w:hAnsi="Verdana"/>
          <w:sz w:val="18"/>
          <w:szCs w:val="18"/>
          <w:lang w:val="nl-NL"/>
        </w:rPr>
      </w:pPr>
    </w:p>
    <w:p w:rsidRPr="00944EF3" w:rsidR="0016635D" w:rsidP="00FA42A5" w:rsidRDefault="001E5295">
      <w:pPr>
        <w:spacing w:line="360" w:lineRule="auto"/>
        <w:rPr>
          <w:rFonts w:ascii="Verdana" w:hAnsi="Verdana"/>
          <w:sz w:val="18"/>
          <w:szCs w:val="18"/>
          <w:lang w:val="nl-NL"/>
        </w:rPr>
      </w:pPr>
      <w:r w:rsidRPr="001E5295">
        <w:rPr>
          <w:rFonts w:ascii="Verdana" w:hAnsi="Verdana"/>
          <w:sz w:val="18"/>
          <w:szCs w:val="18"/>
          <w:lang w:val="nl-NL"/>
        </w:rPr>
        <w:t xml:space="preserve">In dit voorbeeld is vennootschap I belastingplichtig voor de </w:t>
      </w:r>
      <w:r w:rsidRPr="00CC59C7" w:rsidR="00D12761">
        <w:rPr>
          <w:rFonts w:ascii="Verdana" w:hAnsi="Verdana"/>
          <w:sz w:val="18"/>
          <w:szCs w:val="18"/>
          <w:lang w:val="nl-NL"/>
        </w:rPr>
        <w:t>Britse bankenbelasting</w:t>
      </w:r>
      <w:r w:rsidRPr="00EE52F5" w:rsidR="00D12761">
        <w:rPr>
          <w:rFonts w:ascii="Verdana" w:hAnsi="Verdana"/>
          <w:sz w:val="18"/>
          <w:szCs w:val="18"/>
          <w:lang w:val="nl-NL"/>
        </w:rPr>
        <w:t xml:space="preserve"> </w:t>
      </w:r>
      <w:r w:rsidRPr="001E5295">
        <w:rPr>
          <w:rFonts w:ascii="Verdana" w:hAnsi="Verdana"/>
          <w:sz w:val="18"/>
          <w:szCs w:val="18"/>
          <w:lang w:val="nl-NL"/>
        </w:rPr>
        <w:t xml:space="preserve">omdat deze vennootschap </w:t>
      </w:r>
      <w:r w:rsidR="00210C01">
        <w:rPr>
          <w:rFonts w:ascii="Verdana" w:hAnsi="Verdana"/>
          <w:sz w:val="18"/>
          <w:szCs w:val="18"/>
          <w:lang w:val="nl-NL"/>
        </w:rPr>
        <w:t xml:space="preserve">in het VK </w:t>
      </w:r>
      <w:r w:rsidRPr="001E5295">
        <w:rPr>
          <w:rFonts w:ascii="Verdana" w:hAnsi="Verdana"/>
          <w:sz w:val="18"/>
          <w:szCs w:val="18"/>
          <w:lang w:val="nl-NL"/>
        </w:rPr>
        <w:t xml:space="preserve">bancaire activiteiten verricht. De financiële gegevens van </w:t>
      </w:r>
      <w:r w:rsidR="00210C01">
        <w:rPr>
          <w:rFonts w:ascii="Verdana" w:hAnsi="Verdana"/>
          <w:sz w:val="18"/>
          <w:szCs w:val="18"/>
          <w:lang w:val="nl-NL"/>
        </w:rPr>
        <w:t xml:space="preserve">de </w:t>
      </w:r>
      <w:r w:rsidRPr="001E5295">
        <w:rPr>
          <w:rFonts w:ascii="Verdana" w:hAnsi="Verdana"/>
          <w:sz w:val="18"/>
          <w:szCs w:val="18"/>
          <w:lang w:val="nl-NL"/>
        </w:rPr>
        <w:t xml:space="preserve">vennootschappen II en III zijn meegeconsolideerd in de financiële gegevens van vennootschap I. Hierdoor maken de financiële gegevens van </w:t>
      </w:r>
      <w:r w:rsidR="00210C01">
        <w:rPr>
          <w:rFonts w:ascii="Verdana" w:hAnsi="Verdana"/>
          <w:sz w:val="18"/>
          <w:szCs w:val="18"/>
          <w:lang w:val="nl-NL"/>
        </w:rPr>
        <w:t xml:space="preserve">de </w:t>
      </w:r>
      <w:r w:rsidRPr="001E5295">
        <w:rPr>
          <w:rFonts w:ascii="Verdana" w:hAnsi="Verdana"/>
          <w:sz w:val="18"/>
          <w:szCs w:val="18"/>
          <w:lang w:val="nl-NL"/>
        </w:rPr>
        <w:t>vennootschap</w:t>
      </w:r>
      <w:r w:rsidR="00210C01">
        <w:rPr>
          <w:rFonts w:ascii="Verdana" w:hAnsi="Verdana"/>
          <w:sz w:val="18"/>
          <w:szCs w:val="18"/>
          <w:lang w:val="nl-NL"/>
        </w:rPr>
        <w:t>pen II en</w:t>
      </w:r>
      <w:r w:rsidRPr="001E5295">
        <w:rPr>
          <w:rFonts w:ascii="Verdana" w:hAnsi="Verdana"/>
          <w:sz w:val="18"/>
          <w:szCs w:val="18"/>
          <w:lang w:val="nl-NL"/>
        </w:rPr>
        <w:t xml:space="preserve"> III deel uit van de belastbare grondslag v</w:t>
      </w:r>
      <w:r w:rsidR="00210C01">
        <w:rPr>
          <w:rFonts w:ascii="Verdana" w:hAnsi="Verdana"/>
          <w:sz w:val="18"/>
          <w:szCs w:val="18"/>
          <w:lang w:val="nl-NL"/>
        </w:rPr>
        <w:t>oor</w:t>
      </w:r>
      <w:r w:rsidRPr="001E5295">
        <w:rPr>
          <w:rFonts w:ascii="Verdana" w:hAnsi="Verdana"/>
          <w:sz w:val="18"/>
          <w:szCs w:val="18"/>
          <w:lang w:val="nl-NL"/>
        </w:rPr>
        <w:t xml:space="preserve"> de </w:t>
      </w:r>
      <w:r w:rsidRPr="00CC59C7" w:rsidR="00D12761">
        <w:rPr>
          <w:rFonts w:ascii="Verdana" w:hAnsi="Verdana"/>
          <w:sz w:val="18"/>
          <w:szCs w:val="18"/>
          <w:lang w:val="nl-NL"/>
        </w:rPr>
        <w:t>Britse bankenbelasting</w:t>
      </w:r>
      <w:r w:rsidRPr="001E5295">
        <w:rPr>
          <w:rFonts w:ascii="Verdana" w:hAnsi="Verdana"/>
          <w:sz w:val="18"/>
          <w:szCs w:val="18"/>
          <w:lang w:val="nl-NL"/>
        </w:rPr>
        <w:t xml:space="preserve">. Aangezien vennootschap III over een door </w:t>
      </w:r>
      <w:r w:rsidR="00580A4C">
        <w:rPr>
          <w:rFonts w:ascii="Verdana" w:hAnsi="Verdana"/>
          <w:sz w:val="18"/>
          <w:szCs w:val="18"/>
          <w:lang w:val="nl-NL"/>
        </w:rPr>
        <w:t>D</w:t>
      </w:r>
      <w:r w:rsidRPr="00210C01" w:rsidR="00B12D23">
        <w:rPr>
          <w:rFonts w:ascii="Verdana" w:hAnsi="Verdana"/>
          <w:sz w:val="18"/>
          <w:szCs w:val="18"/>
          <w:lang w:val="nl-NL"/>
        </w:rPr>
        <w:t>e Nederlandsche Bank</w:t>
      </w:r>
      <w:r w:rsidRPr="001E5295">
        <w:rPr>
          <w:rFonts w:ascii="Verdana" w:hAnsi="Verdana"/>
          <w:sz w:val="18"/>
          <w:szCs w:val="18"/>
          <w:lang w:val="nl-NL"/>
        </w:rPr>
        <w:t xml:space="preserve"> afgegeven bankvergunning beschikt</w:t>
      </w:r>
      <w:r w:rsidR="00305433">
        <w:rPr>
          <w:rFonts w:ascii="Verdana" w:hAnsi="Verdana"/>
          <w:sz w:val="18"/>
          <w:szCs w:val="18"/>
          <w:lang w:val="nl-NL"/>
        </w:rPr>
        <w:t>,</w:t>
      </w:r>
      <w:r w:rsidRPr="001E5295">
        <w:rPr>
          <w:rFonts w:ascii="Verdana" w:hAnsi="Verdana"/>
          <w:sz w:val="18"/>
          <w:szCs w:val="18"/>
          <w:lang w:val="nl-NL"/>
        </w:rPr>
        <w:t xml:space="preserve"> maken de financiële gegevens van deze vennootschap tevens deel uit van de belastbare grondslag v</w:t>
      </w:r>
      <w:r w:rsidR="00210C01">
        <w:rPr>
          <w:rFonts w:ascii="Verdana" w:hAnsi="Verdana"/>
          <w:sz w:val="18"/>
          <w:szCs w:val="18"/>
          <w:lang w:val="nl-NL"/>
        </w:rPr>
        <w:t>oor</w:t>
      </w:r>
      <w:r w:rsidRPr="001E5295">
        <w:rPr>
          <w:rFonts w:ascii="Verdana" w:hAnsi="Verdana"/>
          <w:sz w:val="18"/>
          <w:szCs w:val="18"/>
          <w:lang w:val="nl-NL"/>
        </w:rPr>
        <w:t xml:space="preserve"> de Nederlandse bankenbelasting</w:t>
      </w:r>
      <w:proofErr w:type="gramStart"/>
      <w:r w:rsidRPr="001E5295">
        <w:rPr>
          <w:rFonts w:ascii="Verdana" w:hAnsi="Verdana"/>
          <w:sz w:val="18"/>
          <w:szCs w:val="18"/>
          <w:lang w:val="nl-NL"/>
        </w:rPr>
        <w:t>, wat</w:t>
      </w:r>
      <w:proofErr w:type="gramEnd"/>
      <w:r w:rsidRPr="001E5295">
        <w:rPr>
          <w:rFonts w:ascii="Verdana" w:hAnsi="Verdana"/>
          <w:sz w:val="18"/>
          <w:szCs w:val="18"/>
          <w:lang w:val="nl-NL"/>
        </w:rPr>
        <w:t xml:space="preserve"> tot dubbele </w:t>
      </w:r>
      <w:r w:rsidR="00210C01">
        <w:rPr>
          <w:rFonts w:ascii="Verdana" w:hAnsi="Verdana"/>
          <w:sz w:val="18"/>
          <w:szCs w:val="18"/>
          <w:lang w:val="nl-NL"/>
        </w:rPr>
        <w:t xml:space="preserve">heffing van </w:t>
      </w:r>
      <w:r w:rsidRPr="001E5295">
        <w:rPr>
          <w:rFonts w:ascii="Verdana" w:hAnsi="Verdana"/>
          <w:sz w:val="18"/>
          <w:szCs w:val="18"/>
          <w:lang w:val="nl-NL"/>
        </w:rPr>
        <w:t xml:space="preserve">bankenbelasting kan leiden. Ondanks het feit dat vennootschap III een dochtermaatschappij is van de in een derde staat </w:t>
      </w:r>
      <w:r w:rsidR="00210C01">
        <w:rPr>
          <w:rFonts w:ascii="Verdana" w:hAnsi="Verdana"/>
          <w:sz w:val="18"/>
          <w:szCs w:val="18"/>
          <w:lang w:val="nl-NL"/>
        </w:rPr>
        <w:t xml:space="preserve">(in dit geval België) </w:t>
      </w:r>
      <w:r w:rsidRPr="001E5295">
        <w:rPr>
          <w:rFonts w:ascii="Verdana" w:hAnsi="Verdana"/>
          <w:sz w:val="18"/>
          <w:szCs w:val="18"/>
          <w:lang w:val="nl-NL"/>
        </w:rPr>
        <w:t xml:space="preserve">gevestigde vennootschap II, is het </w:t>
      </w:r>
      <w:r w:rsidR="00070F2B">
        <w:rPr>
          <w:rFonts w:ascii="Verdana" w:hAnsi="Verdana"/>
          <w:sz w:val="18"/>
          <w:szCs w:val="18"/>
          <w:lang w:val="nl-NL"/>
        </w:rPr>
        <w:t>V</w:t>
      </w:r>
      <w:r w:rsidRPr="001E5295">
        <w:rPr>
          <w:rFonts w:ascii="Verdana" w:hAnsi="Verdana"/>
          <w:sz w:val="18"/>
          <w:szCs w:val="18"/>
          <w:lang w:val="nl-NL"/>
        </w:rPr>
        <w:t xml:space="preserve">erdrag ook van toepassing op vennootschap III, omdat </w:t>
      </w:r>
      <w:r w:rsidR="00070F2B">
        <w:rPr>
          <w:rFonts w:ascii="Verdana" w:hAnsi="Verdana"/>
          <w:sz w:val="18"/>
          <w:szCs w:val="18"/>
          <w:lang w:val="nl-NL"/>
        </w:rPr>
        <w:t xml:space="preserve">het balanstotaal van deze vennootschap </w:t>
      </w:r>
      <w:r w:rsidRPr="001E5295">
        <w:rPr>
          <w:rFonts w:ascii="Verdana" w:hAnsi="Verdana"/>
          <w:sz w:val="18"/>
          <w:szCs w:val="18"/>
          <w:lang w:val="nl-NL"/>
        </w:rPr>
        <w:t xml:space="preserve">ook </w:t>
      </w:r>
      <w:r w:rsidR="00070F2B">
        <w:rPr>
          <w:rFonts w:ascii="Verdana" w:hAnsi="Verdana"/>
          <w:sz w:val="18"/>
          <w:szCs w:val="18"/>
          <w:lang w:val="nl-NL"/>
        </w:rPr>
        <w:t xml:space="preserve">is </w:t>
      </w:r>
      <w:r w:rsidRPr="001E5295">
        <w:rPr>
          <w:rFonts w:ascii="Verdana" w:hAnsi="Verdana"/>
          <w:sz w:val="18"/>
          <w:szCs w:val="18"/>
          <w:lang w:val="nl-NL"/>
        </w:rPr>
        <w:t>opgenomen in de geconsolideerde commerciële jaarrekening van de in het VK gevestigde vennootschap I.</w:t>
      </w:r>
    </w:p>
    <w:p w:rsidRPr="00525643" w:rsidR="00A76163" w:rsidP="00525643" w:rsidRDefault="001D6B88">
      <w:pPr>
        <w:pStyle w:val="Heading2"/>
        <w:rPr>
          <w:rFonts w:ascii="Verdana" w:hAnsi="Verdana"/>
          <w:sz w:val="18"/>
          <w:szCs w:val="18"/>
          <w:lang w:val="nl-NL"/>
        </w:rPr>
      </w:pPr>
      <w:r w:rsidRPr="00525643">
        <w:rPr>
          <w:rFonts w:ascii="Verdana" w:hAnsi="Verdana"/>
          <w:sz w:val="18"/>
          <w:szCs w:val="18"/>
          <w:lang w:val="nl-NL"/>
        </w:rPr>
        <w:t>Belastingen waarop het Verdrag van toepassing is (artikel 2)</w:t>
      </w:r>
    </w:p>
    <w:p w:rsidR="0016635D" w:rsidP="00FA42A5" w:rsidRDefault="001D6B88">
      <w:pPr>
        <w:spacing w:line="360" w:lineRule="auto"/>
        <w:rPr>
          <w:rFonts w:ascii="Verdana" w:hAnsi="Verdana"/>
          <w:sz w:val="18"/>
          <w:szCs w:val="18"/>
          <w:lang w:val="nl-NL"/>
        </w:rPr>
      </w:pPr>
      <w:r w:rsidRPr="00944EF3">
        <w:rPr>
          <w:rFonts w:ascii="Verdana" w:hAnsi="Verdana"/>
          <w:sz w:val="18"/>
          <w:szCs w:val="18"/>
          <w:lang w:val="nl-NL"/>
        </w:rPr>
        <w:t>In het eerste lid</w:t>
      </w:r>
      <w:r w:rsidRPr="00944EF3" w:rsidR="00AF6704">
        <w:rPr>
          <w:rFonts w:ascii="Verdana" w:hAnsi="Verdana"/>
          <w:sz w:val="18"/>
          <w:szCs w:val="18"/>
          <w:lang w:val="nl-NL"/>
        </w:rPr>
        <w:t xml:space="preserve"> van artikel</w:t>
      </w:r>
      <w:r w:rsidR="00AF6704">
        <w:rPr>
          <w:rFonts w:ascii="Verdana" w:hAnsi="Verdana"/>
          <w:sz w:val="18"/>
          <w:szCs w:val="18"/>
          <w:lang w:val="nl-NL"/>
        </w:rPr>
        <w:t xml:space="preserve"> 2</w:t>
      </w:r>
      <w:r w:rsidRPr="001D6B88">
        <w:rPr>
          <w:rFonts w:ascii="Verdana" w:hAnsi="Verdana"/>
          <w:sz w:val="18"/>
          <w:szCs w:val="18"/>
          <w:lang w:val="nl-NL"/>
        </w:rPr>
        <w:t xml:space="preserve"> is de materiële werkingssfeer van het Verdrag neergelegd.</w:t>
      </w:r>
      <w:r w:rsidR="00AF6704">
        <w:rPr>
          <w:rFonts w:ascii="Verdana" w:hAnsi="Verdana"/>
          <w:sz w:val="18"/>
          <w:szCs w:val="18"/>
          <w:lang w:val="nl-NL"/>
        </w:rPr>
        <w:t xml:space="preserve"> Het Verdrag is van toepassing op bankenbelastingen die worden gehe</w:t>
      </w:r>
      <w:r w:rsidR="000058F7">
        <w:rPr>
          <w:rFonts w:ascii="Verdana" w:hAnsi="Verdana"/>
          <w:sz w:val="18"/>
          <w:szCs w:val="18"/>
          <w:lang w:val="nl-NL"/>
        </w:rPr>
        <w:t>ven ten behoeve van een Verdrag</w:t>
      </w:r>
      <w:r w:rsidR="00AF6704">
        <w:rPr>
          <w:rFonts w:ascii="Verdana" w:hAnsi="Verdana"/>
          <w:sz w:val="18"/>
          <w:szCs w:val="18"/>
          <w:lang w:val="nl-NL"/>
        </w:rPr>
        <w:t>sluitende Staat, ongeacht de wijze van heffing.</w:t>
      </w:r>
      <w:r w:rsidRPr="001D6B88">
        <w:rPr>
          <w:rFonts w:ascii="Verdana" w:hAnsi="Verdana"/>
          <w:sz w:val="18"/>
          <w:szCs w:val="18"/>
          <w:lang w:val="nl-NL"/>
        </w:rPr>
        <w:t xml:space="preserve"> In het tweede lid </w:t>
      </w:r>
      <w:r>
        <w:rPr>
          <w:rFonts w:ascii="Verdana" w:hAnsi="Verdana"/>
          <w:sz w:val="18"/>
          <w:szCs w:val="18"/>
          <w:lang w:val="nl-NL"/>
        </w:rPr>
        <w:t xml:space="preserve">zijn de huidige </w:t>
      </w:r>
      <w:r w:rsidR="00D54880">
        <w:rPr>
          <w:rFonts w:ascii="Verdana" w:hAnsi="Verdana"/>
          <w:sz w:val="18"/>
          <w:szCs w:val="18"/>
          <w:lang w:val="nl-NL"/>
        </w:rPr>
        <w:t xml:space="preserve">Nederlandse en </w:t>
      </w:r>
      <w:r>
        <w:rPr>
          <w:rFonts w:ascii="Verdana" w:hAnsi="Verdana"/>
          <w:sz w:val="18"/>
          <w:szCs w:val="18"/>
          <w:lang w:val="nl-NL"/>
        </w:rPr>
        <w:t xml:space="preserve">Britse </w:t>
      </w:r>
      <w:r w:rsidRPr="001D6B88">
        <w:rPr>
          <w:rFonts w:ascii="Verdana" w:hAnsi="Verdana"/>
          <w:sz w:val="18"/>
          <w:szCs w:val="18"/>
          <w:lang w:val="nl-NL"/>
        </w:rPr>
        <w:t xml:space="preserve">bankenbelasting </w:t>
      </w:r>
      <w:r w:rsidR="00AC459A">
        <w:rPr>
          <w:rFonts w:ascii="Verdana" w:hAnsi="Verdana"/>
          <w:sz w:val="18"/>
          <w:szCs w:val="18"/>
          <w:lang w:val="nl-NL"/>
        </w:rPr>
        <w:t>vermeld</w:t>
      </w:r>
      <w:r w:rsidRPr="001D6B88">
        <w:rPr>
          <w:rFonts w:ascii="Verdana" w:hAnsi="Verdana"/>
          <w:sz w:val="18"/>
          <w:szCs w:val="18"/>
          <w:lang w:val="nl-NL"/>
        </w:rPr>
        <w:t xml:space="preserve">. Het derde lid bepaalt dat het Verdrag ook van toepassing is op alle gelijke of in wezen gelijksoortige belastingen die na de datum van ondertekening van het Verdrag naast of in de plaats van de in het </w:t>
      </w:r>
      <w:r>
        <w:rPr>
          <w:rFonts w:ascii="Verdana" w:hAnsi="Verdana"/>
          <w:sz w:val="18"/>
          <w:szCs w:val="18"/>
          <w:lang w:val="nl-NL"/>
        </w:rPr>
        <w:t>tweede</w:t>
      </w:r>
      <w:r w:rsidRPr="001D6B88">
        <w:rPr>
          <w:rFonts w:ascii="Verdana" w:hAnsi="Verdana"/>
          <w:sz w:val="18"/>
          <w:szCs w:val="18"/>
          <w:lang w:val="nl-NL"/>
        </w:rPr>
        <w:t xml:space="preserve"> lid opgesomde belastingen worden geheven. De bevoegde autoriteiten van de Verdragsluitende Staten zijn gehouden om elkaar te informeren over alle wezenlijke wijzigingen die in hun belastingwet</w:t>
      </w:r>
      <w:r w:rsidR="00AF6704">
        <w:rPr>
          <w:rFonts w:ascii="Verdana" w:hAnsi="Verdana"/>
          <w:sz w:val="18"/>
          <w:szCs w:val="18"/>
          <w:lang w:val="nl-NL"/>
        </w:rPr>
        <w:t xml:space="preserve">geving </w:t>
      </w:r>
      <w:r w:rsidRPr="001D6B88">
        <w:rPr>
          <w:rFonts w:ascii="Verdana" w:hAnsi="Verdana"/>
          <w:sz w:val="18"/>
          <w:szCs w:val="18"/>
          <w:lang w:val="nl-NL"/>
        </w:rPr>
        <w:t>zijn aangebracht</w:t>
      </w:r>
      <w:r w:rsidR="00AF6704">
        <w:rPr>
          <w:rFonts w:ascii="Verdana" w:hAnsi="Verdana"/>
          <w:sz w:val="18"/>
          <w:szCs w:val="18"/>
          <w:lang w:val="nl-NL"/>
        </w:rPr>
        <w:t xml:space="preserve">, </w:t>
      </w:r>
      <w:r w:rsidR="00AC459A">
        <w:rPr>
          <w:rFonts w:ascii="Verdana" w:hAnsi="Verdana"/>
          <w:sz w:val="18"/>
          <w:szCs w:val="18"/>
          <w:lang w:val="nl-NL"/>
        </w:rPr>
        <w:t xml:space="preserve">voor zover </w:t>
      </w:r>
      <w:r w:rsidR="00AF6704">
        <w:rPr>
          <w:rFonts w:ascii="Verdana" w:hAnsi="Verdana"/>
          <w:sz w:val="18"/>
          <w:szCs w:val="18"/>
          <w:lang w:val="nl-NL"/>
        </w:rPr>
        <w:t xml:space="preserve">het de bankenbelasting </w:t>
      </w:r>
      <w:r w:rsidR="00AC459A">
        <w:rPr>
          <w:rFonts w:ascii="Verdana" w:hAnsi="Verdana"/>
          <w:sz w:val="18"/>
          <w:szCs w:val="18"/>
          <w:lang w:val="nl-NL"/>
        </w:rPr>
        <w:t>betreft</w:t>
      </w:r>
      <w:r w:rsidRPr="001D6B88">
        <w:rPr>
          <w:rFonts w:ascii="Verdana" w:hAnsi="Verdana"/>
          <w:sz w:val="18"/>
          <w:szCs w:val="18"/>
          <w:lang w:val="nl-NL"/>
        </w:rPr>
        <w:t>.</w:t>
      </w:r>
    </w:p>
    <w:p w:rsidRPr="00525643" w:rsidR="00A76163" w:rsidP="00525643" w:rsidRDefault="007E7343">
      <w:pPr>
        <w:pStyle w:val="Heading2"/>
        <w:rPr>
          <w:rFonts w:ascii="Verdana" w:hAnsi="Verdana"/>
          <w:sz w:val="18"/>
          <w:szCs w:val="18"/>
        </w:rPr>
      </w:pPr>
      <w:proofErr w:type="spellStart"/>
      <w:r w:rsidRPr="00525643">
        <w:rPr>
          <w:rFonts w:ascii="Verdana" w:hAnsi="Verdana"/>
          <w:sz w:val="18"/>
          <w:szCs w:val="18"/>
        </w:rPr>
        <w:lastRenderedPageBreak/>
        <w:t>Algemene</w:t>
      </w:r>
      <w:proofErr w:type="spellEnd"/>
      <w:r w:rsidRPr="00525643">
        <w:rPr>
          <w:rFonts w:ascii="Verdana" w:hAnsi="Verdana"/>
          <w:sz w:val="18"/>
          <w:szCs w:val="18"/>
        </w:rPr>
        <w:t xml:space="preserve"> </w:t>
      </w:r>
      <w:proofErr w:type="spellStart"/>
      <w:r w:rsidRPr="00525643">
        <w:rPr>
          <w:rFonts w:ascii="Verdana" w:hAnsi="Verdana"/>
          <w:sz w:val="18"/>
          <w:szCs w:val="18"/>
        </w:rPr>
        <w:t>begripsbepalingen</w:t>
      </w:r>
      <w:proofErr w:type="spellEnd"/>
      <w:r w:rsidRPr="00525643">
        <w:rPr>
          <w:rFonts w:ascii="Verdana" w:hAnsi="Verdana"/>
          <w:sz w:val="18"/>
          <w:szCs w:val="18"/>
        </w:rPr>
        <w:t xml:space="preserve"> (</w:t>
      </w:r>
      <w:proofErr w:type="spellStart"/>
      <w:r w:rsidRPr="00525643">
        <w:rPr>
          <w:rFonts w:ascii="Verdana" w:hAnsi="Verdana"/>
          <w:sz w:val="18"/>
          <w:szCs w:val="18"/>
        </w:rPr>
        <w:t>artikel</w:t>
      </w:r>
      <w:proofErr w:type="spellEnd"/>
      <w:r w:rsidRPr="00525643">
        <w:rPr>
          <w:rFonts w:ascii="Verdana" w:hAnsi="Verdana"/>
          <w:sz w:val="18"/>
          <w:szCs w:val="18"/>
        </w:rPr>
        <w:t xml:space="preserve"> 3)</w:t>
      </w:r>
    </w:p>
    <w:p w:rsidR="005335CB"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Artikel 3 bevat definities v</w:t>
      </w:r>
      <w:r w:rsidR="003A53BE">
        <w:rPr>
          <w:rFonts w:ascii="Verdana" w:hAnsi="Verdana"/>
          <w:sz w:val="18"/>
          <w:szCs w:val="18"/>
          <w:lang w:val="nl-NL"/>
        </w:rPr>
        <w:t>an</w:t>
      </w:r>
      <w:r w:rsidRPr="001D6B88">
        <w:rPr>
          <w:rFonts w:ascii="Verdana" w:hAnsi="Verdana"/>
          <w:sz w:val="18"/>
          <w:szCs w:val="18"/>
          <w:lang w:val="nl-NL"/>
        </w:rPr>
        <w:t xml:space="preserve"> uitdrukkingen die in het Verdrag voorkomen. </w:t>
      </w:r>
      <w:proofErr w:type="gramStart"/>
      <w:r w:rsidR="00FE34D5">
        <w:rPr>
          <w:rFonts w:ascii="Verdana" w:hAnsi="Verdana"/>
          <w:sz w:val="18"/>
          <w:szCs w:val="18"/>
          <w:lang w:val="nl-NL"/>
        </w:rPr>
        <w:t>Ingevolge</w:t>
      </w:r>
      <w:proofErr w:type="gramEnd"/>
      <w:r w:rsidRPr="001D6B88" w:rsidR="00FE34D5">
        <w:rPr>
          <w:rFonts w:ascii="Verdana" w:hAnsi="Verdana"/>
          <w:sz w:val="18"/>
          <w:szCs w:val="18"/>
          <w:lang w:val="nl-NL"/>
        </w:rPr>
        <w:t xml:space="preserve"> </w:t>
      </w:r>
      <w:r w:rsidRPr="001D6B88">
        <w:rPr>
          <w:rFonts w:ascii="Verdana" w:hAnsi="Verdana"/>
          <w:sz w:val="18"/>
          <w:szCs w:val="18"/>
          <w:lang w:val="nl-NL"/>
        </w:rPr>
        <w:t xml:space="preserve">het eerste lid, onderdeel a, wordt onder de uitdrukkingen </w:t>
      </w:r>
      <w:r>
        <w:rPr>
          <w:rFonts w:ascii="Verdana" w:hAnsi="Verdana"/>
          <w:sz w:val="18"/>
          <w:szCs w:val="18"/>
          <w:lang w:val="nl-NL"/>
        </w:rPr>
        <w:t>‘</w:t>
      </w:r>
      <w:r w:rsidRPr="001D6B88">
        <w:rPr>
          <w:rFonts w:ascii="Verdana" w:hAnsi="Verdana"/>
          <w:sz w:val="18"/>
          <w:szCs w:val="18"/>
          <w:lang w:val="nl-NL"/>
        </w:rPr>
        <w:t>een Verdragsluitende Staat</w:t>
      </w:r>
      <w:r>
        <w:rPr>
          <w:rFonts w:ascii="Verdana" w:hAnsi="Verdana"/>
          <w:sz w:val="18"/>
          <w:szCs w:val="18"/>
          <w:lang w:val="nl-NL"/>
        </w:rPr>
        <w:t>’</w:t>
      </w:r>
      <w:r w:rsidRPr="001D6B88">
        <w:rPr>
          <w:rFonts w:ascii="Verdana" w:hAnsi="Verdana"/>
          <w:sz w:val="18"/>
          <w:szCs w:val="18"/>
          <w:lang w:val="nl-NL"/>
        </w:rPr>
        <w:t xml:space="preserve"> en </w:t>
      </w:r>
      <w:r>
        <w:rPr>
          <w:rFonts w:ascii="Verdana" w:hAnsi="Verdana"/>
          <w:sz w:val="18"/>
          <w:szCs w:val="18"/>
          <w:lang w:val="nl-NL"/>
        </w:rPr>
        <w:t>‘</w:t>
      </w:r>
      <w:r w:rsidRPr="001D6B88">
        <w:rPr>
          <w:rFonts w:ascii="Verdana" w:hAnsi="Verdana"/>
          <w:sz w:val="18"/>
          <w:szCs w:val="18"/>
          <w:lang w:val="nl-NL"/>
        </w:rPr>
        <w:t>de andere Verdragsluitende Staat</w:t>
      </w:r>
      <w:r>
        <w:rPr>
          <w:rFonts w:ascii="Verdana" w:hAnsi="Verdana"/>
          <w:sz w:val="18"/>
          <w:szCs w:val="18"/>
          <w:lang w:val="nl-NL"/>
        </w:rPr>
        <w:t>’,</w:t>
      </w:r>
      <w:r w:rsidRPr="001D6B88">
        <w:rPr>
          <w:rFonts w:ascii="Verdana" w:hAnsi="Verdana"/>
          <w:sz w:val="18"/>
          <w:szCs w:val="18"/>
          <w:lang w:val="nl-NL"/>
        </w:rPr>
        <w:t xml:space="preserve"> afhankelijk van de context</w:t>
      </w:r>
      <w:r>
        <w:rPr>
          <w:rFonts w:ascii="Verdana" w:hAnsi="Verdana"/>
          <w:sz w:val="18"/>
          <w:szCs w:val="18"/>
          <w:lang w:val="nl-NL"/>
        </w:rPr>
        <w:t>,</w:t>
      </w:r>
      <w:r w:rsidRPr="001D6B88">
        <w:rPr>
          <w:rFonts w:ascii="Verdana" w:hAnsi="Verdana"/>
          <w:sz w:val="18"/>
          <w:szCs w:val="18"/>
          <w:lang w:val="nl-NL"/>
        </w:rPr>
        <w:t xml:space="preserve"> verstaan</w:t>
      </w:r>
      <w:r>
        <w:rPr>
          <w:rFonts w:ascii="Verdana" w:hAnsi="Verdana"/>
          <w:sz w:val="18"/>
          <w:szCs w:val="18"/>
          <w:lang w:val="nl-NL"/>
        </w:rPr>
        <w:t>:</w:t>
      </w:r>
      <w:r w:rsidRPr="001D6B88">
        <w:rPr>
          <w:rFonts w:ascii="Verdana" w:hAnsi="Verdana"/>
          <w:sz w:val="18"/>
          <w:szCs w:val="18"/>
          <w:lang w:val="nl-NL"/>
        </w:rPr>
        <w:t xml:space="preserve"> </w:t>
      </w:r>
      <w:r w:rsidR="00580A4C">
        <w:rPr>
          <w:rFonts w:ascii="Verdana" w:hAnsi="Verdana"/>
          <w:sz w:val="18"/>
          <w:szCs w:val="18"/>
          <w:lang w:val="nl-NL"/>
        </w:rPr>
        <w:t xml:space="preserve">het Koninkrijk der </w:t>
      </w:r>
      <w:r w:rsidRPr="001D6B88">
        <w:rPr>
          <w:rFonts w:ascii="Verdana" w:hAnsi="Verdana"/>
          <w:sz w:val="18"/>
          <w:szCs w:val="18"/>
          <w:lang w:val="nl-NL"/>
        </w:rPr>
        <w:t>Nederland</w:t>
      </w:r>
      <w:r w:rsidR="00580A4C">
        <w:rPr>
          <w:rFonts w:ascii="Verdana" w:hAnsi="Verdana"/>
          <w:sz w:val="18"/>
          <w:szCs w:val="18"/>
          <w:lang w:val="nl-NL"/>
        </w:rPr>
        <w:t>en</w:t>
      </w:r>
      <w:r w:rsidRPr="001D6B88">
        <w:rPr>
          <w:rFonts w:ascii="Verdana" w:hAnsi="Verdana"/>
          <w:sz w:val="18"/>
          <w:szCs w:val="18"/>
          <w:lang w:val="nl-NL"/>
        </w:rPr>
        <w:t xml:space="preserve"> of het VK.</w:t>
      </w:r>
      <w:r w:rsidR="000866AD">
        <w:rPr>
          <w:rFonts w:ascii="Verdana" w:hAnsi="Verdana"/>
          <w:sz w:val="18"/>
          <w:szCs w:val="18"/>
          <w:lang w:val="nl-NL"/>
        </w:rPr>
        <w:t xml:space="preserve"> </w:t>
      </w:r>
      <w:r w:rsidRPr="001D6B88">
        <w:rPr>
          <w:rFonts w:ascii="Verdana" w:hAnsi="Verdana" w:cs="Arial"/>
          <w:sz w:val="18"/>
          <w:szCs w:val="18"/>
          <w:lang w:val="nl-NL"/>
        </w:rPr>
        <w:t xml:space="preserve">De definitie van de uitdrukking ‘Nederland’ is opgenomen in </w:t>
      </w:r>
      <w:r w:rsidRPr="001D6B88">
        <w:rPr>
          <w:rFonts w:ascii="Verdana" w:hAnsi="Verdana"/>
          <w:sz w:val="18"/>
          <w:szCs w:val="18"/>
          <w:lang w:val="nl-NL"/>
        </w:rPr>
        <w:t>onderdeel b</w:t>
      </w:r>
      <w:r>
        <w:rPr>
          <w:rFonts w:ascii="Verdana" w:hAnsi="Verdana"/>
          <w:sz w:val="18"/>
          <w:szCs w:val="18"/>
          <w:lang w:val="nl-NL"/>
        </w:rPr>
        <w:t xml:space="preserve"> van het eerste lid. </w:t>
      </w:r>
      <w:r w:rsidRPr="001D6B88">
        <w:rPr>
          <w:rFonts w:ascii="Verdana" w:hAnsi="Verdana"/>
          <w:sz w:val="18"/>
          <w:szCs w:val="18"/>
          <w:lang w:val="nl-NL"/>
        </w:rPr>
        <w:t xml:space="preserve">Volgens deze bepaling wordt </w:t>
      </w:r>
      <w:r>
        <w:rPr>
          <w:rFonts w:ascii="Verdana" w:hAnsi="Verdana"/>
          <w:sz w:val="18"/>
          <w:szCs w:val="18"/>
          <w:lang w:val="nl-NL"/>
        </w:rPr>
        <w:t>voor toepassing van het Verdrag onder Nederland</w:t>
      </w:r>
      <w:r w:rsidRPr="001D6B88">
        <w:rPr>
          <w:rFonts w:ascii="Verdana" w:hAnsi="Verdana"/>
          <w:sz w:val="18"/>
          <w:szCs w:val="18"/>
          <w:lang w:val="nl-NL"/>
        </w:rPr>
        <w:t xml:space="preserve"> verstaan het in Europa gelegen deel </w:t>
      </w:r>
      <w:r w:rsidRPr="001D6B88">
        <w:rPr>
          <w:rFonts w:ascii="Verdana" w:hAnsi="Verdana" w:cs="Arial"/>
          <w:sz w:val="18"/>
          <w:szCs w:val="18"/>
          <w:lang w:val="nl-NL"/>
        </w:rPr>
        <w:t>van Nederland.</w:t>
      </w:r>
      <w:r>
        <w:rPr>
          <w:rFonts w:ascii="Verdana" w:hAnsi="Verdana"/>
          <w:sz w:val="18"/>
          <w:szCs w:val="18"/>
          <w:lang w:val="nl-NL"/>
        </w:rPr>
        <w:t xml:space="preserve"> </w:t>
      </w:r>
      <w:r w:rsidR="00D63FD8">
        <w:rPr>
          <w:rFonts w:ascii="Verdana" w:hAnsi="Verdana"/>
          <w:sz w:val="18"/>
          <w:szCs w:val="18"/>
          <w:lang w:val="nl-NL"/>
        </w:rPr>
        <w:t>Het</w:t>
      </w:r>
      <w:r w:rsidR="003A53BE">
        <w:rPr>
          <w:rFonts w:ascii="Verdana" w:hAnsi="Verdana"/>
          <w:sz w:val="18"/>
          <w:szCs w:val="18"/>
          <w:lang w:val="nl-NL"/>
        </w:rPr>
        <w:t xml:space="preserve"> Verdrag</w:t>
      </w:r>
      <w:r w:rsidR="005A32B1">
        <w:rPr>
          <w:rFonts w:ascii="Verdana" w:hAnsi="Verdana"/>
          <w:sz w:val="18"/>
          <w:szCs w:val="18"/>
          <w:lang w:val="nl-NL"/>
        </w:rPr>
        <w:t xml:space="preserve"> </w:t>
      </w:r>
      <w:r w:rsidR="00D63FD8">
        <w:rPr>
          <w:rFonts w:ascii="Verdana" w:hAnsi="Verdana"/>
          <w:sz w:val="18"/>
          <w:szCs w:val="18"/>
          <w:lang w:val="nl-NL"/>
        </w:rPr>
        <w:t xml:space="preserve">is </w:t>
      </w:r>
      <w:r w:rsidR="003A53BE">
        <w:rPr>
          <w:rFonts w:ascii="Verdana" w:hAnsi="Verdana"/>
          <w:sz w:val="18"/>
          <w:szCs w:val="18"/>
          <w:lang w:val="nl-NL"/>
        </w:rPr>
        <w:t xml:space="preserve">niet van toepassing op het </w:t>
      </w:r>
      <w:proofErr w:type="spellStart"/>
      <w:r w:rsidR="003A53BE">
        <w:rPr>
          <w:rFonts w:ascii="Verdana" w:hAnsi="Verdana"/>
          <w:sz w:val="18"/>
          <w:szCs w:val="18"/>
          <w:lang w:val="nl-NL"/>
        </w:rPr>
        <w:t>Caribische</w:t>
      </w:r>
      <w:proofErr w:type="spellEnd"/>
      <w:r w:rsidR="003A53BE">
        <w:rPr>
          <w:rFonts w:ascii="Verdana" w:hAnsi="Verdana"/>
          <w:sz w:val="18"/>
          <w:szCs w:val="18"/>
          <w:lang w:val="nl-NL"/>
        </w:rPr>
        <w:t xml:space="preserve"> deel van Nederland. </w:t>
      </w:r>
      <w:r w:rsidR="00FE34D5">
        <w:rPr>
          <w:rFonts w:ascii="Verdana" w:hAnsi="Verdana"/>
          <w:sz w:val="18"/>
          <w:szCs w:val="18"/>
          <w:lang w:val="nl-NL"/>
        </w:rPr>
        <w:t>De reden hiervoor is dat</w:t>
      </w:r>
      <w:r w:rsidR="005A32B1">
        <w:rPr>
          <w:rFonts w:ascii="Verdana" w:hAnsi="Verdana"/>
          <w:sz w:val="18"/>
          <w:szCs w:val="18"/>
          <w:lang w:val="nl-NL"/>
        </w:rPr>
        <w:t xml:space="preserve"> lichamen</w:t>
      </w:r>
      <w:r w:rsidR="00FE34D5">
        <w:rPr>
          <w:rFonts w:ascii="Verdana" w:hAnsi="Verdana"/>
          <w:sz w:val="18"/>
          <w:szCs w:val="18"/>
          <w:lang w:val="nl-NL"/>
        </w:rPr>
        <w:t xml:space="preserve"> die zijn</w:t>
      </w:r>
      <w:r w:rsidR="005A32B1">
        <w:rPr>
          <w:rFonts w:ascii="Verdana" w:hAnsi="Verdana"/>
          <w:sz w:val="18"/>
          <w:szCs w:val="18"/>
          <w:lang w:val="nl-NL"/>
        </w:rPr>
        <w:t xml:space="preserve"> gevestigd </w:t>
      </w:r>
      <w:r w:rsidR="002B393E">
        <w:rPr>
          <w:rFonts w:ascii="Verdana" w:hAnsi="Verdana"/>
          <w:sz w:val="18"/>
          <w:szCs w:val="18"/>
          <w:lang w:val="nl-NL"/>
        </w:rPr>
        <w:t>in</w:t>
      </w:r>
      <w:r w:rsidR="005A32B1">
        <w:rPr>
          <w:rFonts w:ascii="Verdana" w:hAnsi="Verdana"/>
          <w:sz w:val="18"/>
          <w:szCs w:val="18"/>
          <w:lang w:val="nl-NL"/>
        </w:rPr>
        <w:t xml:space="preserve"> het </w:t>
      </w:r>
      <w:proofErr w:type="spellStart"/>
      <w:r w:rsidR="005A32B1">
        <w:rPr>
          <w:rFonts w:ascii="Verdana" w:hAnsi="Verdana"/>
          <w:sz w:val="18"/>
          <w:szCs w:val="18"/>
          <w:lang w:val="nl-NL"/>
        </w:rPr>
        <w:t>Caribische</w:t>
      </w:r>
      <w:proofErr w:type="spellEnd"/>
      <w:r w:rsidR="005A32B1">
        <w:rPr>
          <w:rFonts w:ascii="Verdana" w:hAnsi="Verdana"/>
          <w:sz w:val="18"/>
          <w:szCs w:val="18"/>
          <w:lang w:val="nl-NL"/>
        </w:rPr>
        <w:t xml:space="preserve"> deel van Nederland niet </w:t>
      </w:r>
      <w:r w:rsidRPr="005A32B1" w:rsidR="005A32B1">
        <w:rPr>
          <w:rFonts w:ascii="Verdana" w:hAnsi="Verdana"/>
          <w:sz w:val="18"/>
          <w:szCs w:val="18"/>
          <w:lang w:val="nl-NL"/>
        </w:rPr>
        <w:t xml:space="preserve">belastingplichtig zijn </w:t>
      </w:r>
      <w:r w:rsidR="002B393E">
        <w:rPr>
          <w:rFonts w:ascii="Verdana" w:hAnsi="Verdana"/>
          <w:sz w:val="18"/>
          <w:szCs w:val="18"/>
          <w:lang w:val="nl-NL"/>
        </w:rPr>
        <w:t>voor</w:t>
      </w:r>
      <w:r w:rsidRPr="005A32B1" w:rsidR="005A32B1">
        <w:rPr>
          <w:rFonts w:ascii="Verdana" w:hAnsi="Verdana"/>
          <w:sz w:val="18"/>
          <w:szCs w:val="18"/>
          <w:lang w:val="nl-NL"/>
        </w:rPr>
        <w:t xml:space="preserve"> de N</w:t>
      </w:r>
      <w:r w:rsidR="005A32B1">
        <w:rPr>
          <w:rFonts w:ascii="Verdana" w:hAnsi="Verdana"/>
          <w:sz w:val="18"/>
          <w:szCs w:val="18"/>
          <w:lang w:val="nl-NL"/>
        </w:rPr>
        <w:t xml:space="preserve">ederlandse bankenbelasting. Daarnaast </w:t>
      </w:r>
      <w:r w:rsidR="004B006C">
        <w:rPr>
          <w:rFonts w:ascii="Verdana" w:hAnsi="Verdana"/>
          <w:sz w:val="18"/>
          <w:szCs w:val="18"/>
          <w:lang w:val="nl-NL"/>
        </w:rPr>
        <w:t>zijn</w:t>
      </w:r>
      <w:r w:rsidRPr="005A32B1" w:rsidR="005A32B1">
        <w:rPr>
          <w:rFonts w:ascii="Verdana" w:hAnsi="Verdana"/>
          <w:sz w:val="18"/>
          <w:szCs w:val="18"/>
          <w:lang w:val="nl-NL"/>
        </w:rPr>
        <w:t xml:space="preserve"> bank</w:t>
      </w:r>
      <w:r w:rsidR="004B006C">
        <w:rPr>
          <w:rFonts w:ascii="Verdana" w:hAnsi="Verdana"/>
          <w:sz w:val="18"/>
          <w:szCs w:val="18"/>
          <w:lang w:val="nl-NL"/>
        </w:rPr>
        <w:t>en</w:t>
      </w:r>
      <w:r w:rsidRPr="005A32B1" w:rsidR="005A32B1">
        <w:rPr>
          <w:rFonts w:ascii="Verdana" w:hAnsi="Verdana"/>
          <w:sz w:val="18"/>
          <w:szCs w:val="18"/>
          <w:lang w:val="nl-NL"/>
        </w:rPr>
        <w:t xml:space="preserve"> </w:t>
      </w:r>
      <w:r w:rsidR="002B393E">
        <w:rPr>
          <w:rFonts w:ascii="Verdana" w:hAnsi="Verdana"/>
          <w:sz w:val="18"/>
          <w:szCs w:val="18"/>
          <w:lang w:val="nl-NL"/>
        </w:rPr>
        <w:t>gevestigd in</w:t>
      </w:r>
      <w:r w:rsidR="005A32B1">
        <w:rPr>
          <w:rFonts w:ascii="Verdana" w:hAnsi="Verdana"/>
          <w:sz w:val="18"/>
          <w:szCs w:val="18"/>
          <w:lang w:val="nl-NL"/>
        </w:rPr>
        <w:t xml:space="preserve"> het </w:t>
      </w:r>
      <w:proofErr w:type="spellStart"/>
      <w:r w:rsidR="005A32B1">
        <w:rPr>
          <w:rFonts w:ascii="Verdana" w:hAnsi="Verdana"/>
          <w:sz w:val="18"/>
          <w:szCs w:val="18"/>
          <w:lang w:val="nl-NL"/>
        </w:rPr>
        <w:t>Caribische</w:t>
      </w:r>
      <w:proofErr w:type="spellEnd"/>
      <w:r w:rsidR="005A32B1">
        <w:rPr>
          <w:rFonts w:ascii="Verdana" w:hAnsi="Verdana"/>
          <w:sz w:val="18"/>
          <w:szCs w:val="18"/>
          <w:lang w:val="nl-NL"/>
        </w:rPr>
        <w:t xml:space="preserve"> deel van Nederland </w:t>
      </w:r>
      <w:r w:rsidR="004B006C">
        <w:rPr>
          <w:rFonts w:ascii="Verdana" w:hAnsi="Verdana"/>
          <w:sz w:val="18"/>
          <w:szCs w:val="18"/>
          <w:lang w:val="nl-NL"/>
        </w:rPr>
        <w:t xml:space="preserve">niet bevoegd </w:t>
      </w:r>
      <w:r w:rsidRPr="005A32B1" w:rsidR="005A32B1">
        <w:rPr>
          <w:rFonts w:ascii="Verdana" w:hAnsi="Verdana"/>
          <w:sz w:val="18"/>
          <w:szCs w:val="18"/>
          <w:lang w:val="nl-NL"/>
        </w:rPr>
        <w:t xml:space="preserve">bankactiviteiten </w:t>
      </w:r>
      <w:r w:rsidR="004B006C">
        <w:rPr>
          <w:rFonts w:ascii="Verdana" w:hAnsi="Verdana"/>
          <w:sz w:val="18"/>
          <w:szCs w:val="18"/>
          <w:lang w:val="nl-NL"/>
        </w:rPr>
        <w:t xml:space="preserve">te </w:t>
      </w:r>
      <w:r w:rsidRPr="005A32B1" w:rsidR="005A32B1">
        <w:rPr>
          <w:rFonts w:ascii="Verdana" w:hAnsi="Verdana"/>
          <w:sz w:val="18"/>
          <w:szCs w:val="18"/>
          <w:lang w:val="nl-NL"/>
        </w:rPr>
        <w:t xml:space="preserve">ontplooien in </w:t>
      </w:r>
      <w:r w:rsidR="004B006C">
        <w:rPr>
          <w:rFonts w:ascii="Verdana" w:hAnsi="Verdana"/>
          <w:sz w:val="18"/>
          <w:szCs w:val="18"/>
          <w:lang w:val="nl-NL"/>
        </w:rPr>
        <w:t xml:space="preserve">het Europese deel van </w:t>
      </w:r>
      <w:r w:rsidRPr="005A32B1" w:rsidR="005A32B1">
        <w:rPr>
          <w:rFonts w:ascii="Verdana" w:hAnsi="Verdana"/>
          <w:sz w:val="18"/>
          <w:szCs w:val="18"/>
          <w:lang w:val="nl-NL"/>
        </w:rPr>
        <w:t>Nederland</w:t>
      </w:r>
      <w:r w:rsidR="00070F2B">
        <w:rPr>
          <w:rFonts w:ascii="Verdana" w:hAnsi="Verdana"/>
          <w:sz w:val="18"/>
          <w:szCs w:val="18"/>
          <w:lang w:val="nl-NL"/>
        </w:rPr>
        <w:t xml:space="preserve">, omdat voor de daarvoor vereiste </w:t>
      </w:r>
      <w:r w:rsidRPr="005A32B1" w:rsidR="005A32B1">
        <w:rPr>
          <w:rFonts w:ascii="Verdana" w:hAnsi="Verdana"/>
          <w:sz w:val="18"/>
          <w:szCs w:val="18"/>
          <w:lang w:val="nl-NL"/>
        </w:rPr>
        <w:t xml:space="preserve">vergunning </w:t>
      </w:r>
      <w:r w:rsidR="00070F2B">
        <w:rPr>
          <w:rFonts w:ascii="Verdana" w:hAnsi="Verdana"/>
          <w:sz w:val="18"/>
          <w:szCs w:val="18"/>
          <w:lang w:val="nl-NL"/>
        </w:rPr>
        <w:t xml:space="preserve">door </w:t>
      </w:r>
      <w:r w:rsidR="005A32B1">
        <w:rPr>
          <w:rFonts w:ascii="Verdana" w:hAnsi="Verdana"/>
          <w:sz w:val="18"/>
          <w:szCs w:val="18"/>
          <w:lang w:val="nl-NL"/>
        </w:rPr>
        <w:t>de Nederlandsche Bank</w:t>
      </w:r>
      <w:r w:rsidR="00C40E74">
        <w:rPr>
          <w:rFonts w:ascii="Verdana" w:hAnsi="Verdana"/>
          <w:sz w:val="18"/>
          <w:szCs w:val="18"/>
          <w:lang w:val="nl-NL"/>
        </w:rPr>
        <w:t xml:space="preserve"> </w:t>
      </w:r>
      <w:r w:rsidR="00D63FD8">
        <w:rPr>
          <w:rFonts w:ascii="Verdana" w:hAnsi="Verdana"/>
          <w:sz w:val="18"/>
          <w:szCs w:val="18"/>
          <w:lang w:val="nl-NL"/>
        </w:rPr>
        <w:t xml:space="preserve">een vestiging in Nederland </w:t>
      </w:r>
      <w:r w:rsidR="008B3747">
        <w:rPr>
          <w:rFonts w:ascii="Verdana" w:hAnsi="Verdana"/>
          <w:sz w:val="18"/>
          <w:szCs w:val="18"/>
          <w:lang w:val="nl-NL"/>
        </w:rPr>
        <w:t xml:space="preserve">is </w:t>
      </w:r>
      <w:r w:rsidR="00D63FD8">
        <w:rPr>
          <w:rFonts w:ascii="Verdana" w:hAnsi="Verdana"/>
          <w:sz w:val="18"/>
          <w:szCs w:val="18"/>
          <w:lang w:val="nl-NL"/>
        </w:rPr>
        <w:t>vereist.</w:t>
      </w:r>
    </w:p>
    <w:p w:rsidR="00C779A4" w:rsidP="00FA42A5" w:rsidRDefault="002B393E">
      <w:pPr>
        <w:spacing w:before="240" w:after="240" w:line="360" w:lineRule="auto"/>
        <w:rPr>
          <w:rFonts w:ascii="Verdana" w:hAnsi="Verdana"/>
          <w:sz w:val="18"/>
          <w:szCs w:val="18"/>
          <w:lang w:val="nl-NL"/>
        </w:rPr>
      </w:pPr>
      <w:r>
        <w:rPr>
          <w:rFonts w:ascii="Verdana" w:hAnsi="Verdana"/>
          <w:sz w:val="18"/>
          <w:szCs w:val="18"/>
          <w:lang w:val="nl-NL"/>
        </w:rPr>
        <w:t>Onderdeel</w:t>
      </w:r>
      <w:r w:rsidR="00FD77C9">
        <w:rPr>
          <w:rFonts w:ascii="Verdana" w:hAnsi="Verdana"/>
          <w:sz w:val="18"/>
          <w:szCs w:val="18"/>
          <w:lang w:val="nl-NL"/>
        </w:rPr>
        <w:t xml:space="preserve"> c</w:t>
      </w:r>
      <w:r w:rsidR="00FE34D5">
        <w:rPr>
          <w:rFonts w:ascii="Verdana" w:hAnsi="Verdana"/>
          <w:sz w:val="18"/>
          <w:szCs w:val="18"/>
          <w:lang w:val="nl-NL"/>
        </w:rPr>
        <w:t xml:space="preserve"> van het eerste lid</w:t>
      </w:r>
      <w:r>
        <w:rPr>
          <w:rFonts w:ascii="Verdana" w:hAnsi="Verdana"/>
          <w:sz w:val="18"/>
          <w:szCs w:val="18"/>
          <w:lang w:val="nl-NL"/>
        </w:rPr>
        <w:t xml:space="preserve"> definieert </w:t>
      </w:r>
      <w:r w:rsidRPr="001D6B88" w:rsidR="005A32B1">
        <w:rPr>
          <w:rFonts w:ascii="Verdana" w:hAnsi="Verdana"/>
          <w:sz w:val="18"/>
          <w:szCs w:val="18"/>
          <w:lang w:val="nl-NL"/>
        </w:rPr>
        <w:t xml:space="preserve">de uitdrukking </w:t>
      </w:r>
      <w:r w:rsidR="005A32B1">
        <w:rPr>
          <w:rFonts w:ascii="Verdana" w:hAnsi="Verdana"/>
          <w:sz w:val="18"/>
          <w:szCs w:val="18"/>
          <w:lang w:val="nl-NL"/>
        </w:rPr>
        <w:t>’Verenigd Koninkrijk’</w:t>
      </w:r>
      <w:r w:rsidRPr="001D6B88" w:rsidR="005A32B1">
        <w:rPr>
          <w:rFonts w:ascii="Verdana" w:hAnsi="Verdana"/>
          <w:sz w:val="18"/>
          <w:szCs w:val="18"/>
          <w:lang w:val="nl-NL"/>
        </w:rPr>
        <w:t>.</w:t>
      </w:r>
    </w:p>
    <w:p w:rsidR="005335CB" w:rsidP="00FA42A5" w:rsidRDefault="00FE34D5">
      <w:pPr>
        <w:spacing w:before="240" w:after="240" w:line="360" w:lineRule="auto"/>
        <w:rPr>
          <w:rFonts w:ascii="Verdana" w:hAnsi="Verdana"/>
          <w:sz w:val="18"/>
          <w:szCs w:val="18"/>
          <w:lang w:val="nl-NL"/>
        </w:rPr>
      </w:pPr>
      <w:r>
        <w:rPr>
          <w:rFonts w:ascii="Verdana" w:hAnsi="Verdana"/>
          <w:sz w:val="18"/>
          <w:szCs w:val="18"/>
          <w:lang w:val="nl-NL"/>
        </w:rPr>
        <w:t>Beide</w:t>
      </w:r>
      <w:r w:rsidR="001D6B88">
        <w:rPr>
          <w:rFonts w:ascii="Verdana" w:hAnsi="Verdana"/>
          <w:sz w:val="18"/>
          <w:szCs w:val="18"/>
          <w:lang w:val="nl-NL"/>
        </w:rPr>
        <w:t xml:space="preserve"> </w:t>
      </w:r>
      <w:r w:rsidR="008A2054">
        <w:rPr>
          <w:rFonts w:ascii="Verdana" w:hAnsi="Verdana"/>
          <w:sz w:val="18"/>
          <w:szCs w:val="18"/>
          <w:lang w:val="nl-NL"/>
        </w:rPr>
        <w:t>staten</w:t>
      </w:r>
      <w:r w:rsidRPr="001D6B88" w:rsidR="001D6B88">
        <w:rPr>
          <w:rFonts w:ascii="Verdana" w:hAnsi="Verdana"/>
          <w:sz w:val="18"/>
          <w:szCs w:val="18"/>
          <w:lang w:val="nl-NL"/>
        </w:rPr>
        <w:t>definities zijn gelijk aan d</w:t>
      </w:r>
      <w:r w:rsidR="008C3710">
        <w:rPr>
          <w:rFonts w:ascii="Verdana" w:hAnsi="Verdana"/>
          <w:sz w:val="18"/>
          <w:szCs w:val="18"/>
          <w:lang w:val="nl-NL"/>
        </w:rPr>
        <w:t>e definities die zijn opgenomen</w:t>
      </w:r>
      <w:r w:rsidR="001D6B88">
        <w:rPr>
          <w:rFonts w:ascii="Verdana" w:hAnsi="Verdana"/>
          <w:sz w:val="18"/>
          <w:szCs w:val="18"/>
          <w:lang w:val="nl-NL"/>
        </w:rPr>
        <w:t xml:space="preserve"> in</w:t>
      </w:r>
      <w:r w:rsidRPr="001D6B88" w:rsidR="001D6B88">
        <w:rPr>
          <w:rFonts w:ascii="Verdana" w:hAnsi="Verdana"/>
          <w:sz w:val="18"/>
          <w:szCs w:val="18"/>
          <w:lang w:val="nl-NL"/>
        </w:rPr>
        <w:t xml:space="preserve"> het</w:t>
      </w:r>
      <w:r w:rsidR="001D6B88">
        <w:rPr>
          <w:rFonts w:ascii="Verdana" w:hAnsi="Verdana"/>
          <w:sz w:val="18"/>
          <w:szCs w:val="18"/>
          <w:lang w:val="nl-NL"/>
        </w:rPr>
        <w:t xml:space="preserve"> algemene belastingverdrag tussen</w:t>
      </w:r>
      <w:r w:rsidRPr="001D6B88" w:rsidR="001D6B88">
        <w:rPr>
          <w:rFonts w:ascii="Verdana" w:hAnsi="Verdana"/>
          <w:sz w:val="18"/>
          <w:szCs w:val="18"/>
          <w:lang w:val="nl-NL"/>
        </w:rPr>
        <w:t xml:space="preserve"> Nederland en het V</w:t>
      </w:r>
      <w:r w:rsidR="001D6B88">
        <w:rPr>
          <w:rFonts w:ascii="Verdana" w:hAnsi="Verdana"/>
          <w:sz w:val="18"/>
          <w:szCs w:val="18"/>
          <w:lang w:val="nl-NL"/>
        </w:rPr>
        <w:t>K</w:t>
      </w:r>
      <w:r w:rsidRPr="001D6B88" w:rsidR="001D6B88">
        <w:rPr>
          <w:rFonts w:ascii="Verdana" w:hAnsi="Verdana"/>
          <w:sz w:val="18"/>
          <w:szCs w:val="18"/>
          <w:lang w:val="nl-NL"/>
        </w:rPr>
        <w:t>.</w:t>
      </w:r>
    </w:p>
    <w:p w:rsidR="00C779A4" w:rsidP="00FA42A5" w:rsidRDefault="00075786">
      <w:pPr>
        <w:spacing w:after="240" w:line="360" w:lineRule="auto"/>
        <w:rPr>
          <w:rFonts w:ascii="Verdana" w:hAnsi="Verdana"/>
          <w:sz w:val="18"/>
          <w:szCs w:val="18"/>
          <w:lang w:val="nl-NL"/>
        </w:rPr>
      </w:pPr>
      <w:r w:rsidRPr="00075786">
        <w:rPr>
          <w:rFonts w:ascii="Verdana" w:hAnsi="Verdana" w:cs="Arial"/>
          <w:sz w:val="18"/>
          <w:szCs w:val="18"/>
          <w:lang w:val="nl-NL"/>
        </w:rPr>
        <w:t xml:space="preserve">In onderdeel d </w:t>
      </w:r>
      <w:r w:rsidR="00FE34D5">
        <w:rPr>
          <w:rFonts w:ascii="Verdana" w:hAnsi="Verdana" w:cs="Arial"/>
          <w:sz w:val="18"/>
          <w:szCs w:val="18"/>
          <w:lang w:val="nl-NL"/>
        </w:rPr>
        <w:t xml:space="preserve">van het eerste lid </w:t>
      </w:r>
      <w:r w:rsidRPr="00075786">
        <w:rPr>
          <w:rFonts w:ascii="Verdana" w:hAnsi="Verdana" w:cs="Arial"/>
          <w:sz w:val="18"/>
          <w:szCs w:val="18"/>
          <w:lang w:val="nl-NL"/>
        </w:rPr>
        <w:t xml:space="preserve">wordt de uitdrukking ‘entiteit’ </w:t>
      </w:r>
      <w:r w:rsidR="002A5E1E">
        <w:rPr>
          <w:rFonts w:ascii="Verdana" w:hAnsi="Verdana" w:cs="Arial"/>
          <w:sz w:val="18"/>
          <w:szCs w:val="18"/>
          <w:lang w:val="nl-NL"/>
        </w:rPr>
        <w:t xml:space="preserve">voor beide Verdragsluitende Staten afzonderlijk </w:t>
      </w:r>
      <w:r w:rsidRPr="002A5E1E" w:rsidR="00010CC8">
        <w:rPr>
          <w:rFonts w:ascii="Verdana" w:hAnsi="Verdana" w:cs="Arial"/>
          <w:sz w:val="18"/>
          <w:szCs w:val="18"/>
          <w:lang w:val="nl-NL"/>
        </w:rPr>
        <w:t xml:space="preserve">ingevuld door </w:t>
      </w:r>
      <w:r w:rsidR="002A5E1E">
        <w:rPr>
          <w:rFonts w:ascii="Verdana" w:hAnsi="Verdana" w:cs="Arial"/>
          <w:sz w:val="18"/>
          <w:szCs w:val="18"/>
          <w:lang w:val="nl-NL"/>
        </w:rPr>
        <w:t>een verwijzing</w:t>
      </w:r>
      <w:r w:rsidRPr="002A5E1E" w:rsidR="001D6B88">
        <w:rPr>
          <w:rFonts w:ascii="Verdana" w:hAnsi="Verdana" w:cs="Arial"/>
          <w:sz w:val="18"/>
          <w:szCs w:val="18"/>
          <w:lang w:val="nl-NL"/>
        </w:rPr>
        <w:t xml:space="preserve"> naar de </w:t>
      </w:r>
      <w:r w:rsidRPr="002A5E1E" w:rsidR="00010CC8">
        <w:rPr>
          <w:rFonts w:ascii="Verdana" w:hAnsi="Verdana" w:cs="Arial"/>
          <w:sz w:val="18"/>
          <w:szCs w:val="18"/>
          <w:lang w:val="nl-NL"/>
        </w:rPr>
        <w:t>nationale wet</w:t>
      </w:r>
      <w:r w:rsidRPr="002A5E1E" w:rsidR="001D6B88">
        <w:rPr>
          <w:rFonts w:ascii="Verdana" w:hAnsi="Verdana" w:cs="Arial"/>
          <w:sz w:val="18"/>
          <w:szCs w:val="18"/>
          <w:lang w:val="nl-NL"/>
        </w:rPr>
        <w:t xml:space="preserve">. </w:t>
      </w:r>
      <w:r w:rsidR="00616234">
        <w:rPr>
          <w:rFonts w:ascii="Verdana" w:hAnsi="Verdana" w:cs="Arial"/>
          <w:sz w:val="18"/>
          <w:szCs w:val="18"/>
          <w:lang w:val="nl-NL"/>
        </w:rPr>
        <w:t>Voor wat betreft</w:t>
      </w:r>
      <w:r w:rsidRPr="001D6B88" w:rsidR="001D6B88">
        <w:rPr>
          <w:rFonts w:ascii="Verdana" w:hAnsi="Verdana" w:cs="Arial"/>
          <w:sz w:val="18"/>
          <w:szCs w:val="18"/>
          <w:lang w:val="nl-NL"/>
        </w:rPr>
        <w:t xml:space="preserve"> Nederland </w:t>
      </w:r>
      <w:r w:rsidR="00FE34D5">
        <w:rPr>
          <w:rFonts w:ascii="Verdana" w:hAnsi="Verdana" w:cs="Arial"/>
          <w:sz w:val="18"/>
          <w:szCs w:val="18"/>
          <w:lang w:val="nl-NL"/>
        </w:rPr>
        <w:t>betekent d</w:t>
      </w:r>
      <w:r w:rsidR="00C779A4">
        <w:rPr>
          <w:rFonts w:ascii="Verdana" w:hAnsi="Verdana" w:cs="Arial"/>
          <w:sz w:val="18"/>
          <w:szCs w:val="18"/>
          <w:lang w:val="nl-NL"/>
        </w:rPr>
        <w:t>i</w:t>
      </w:r>
      <w:r w:rsidR="00FE34D5">
        <w:rPr>
          <w:rFonts w:ascii="Verdana" w:hAnsi="Verdana" w:cs="Arial"/>
          <w:sz w:val="18"/>
          <w:szCs w:val="18"/>
          <w:lang w:val="nl-NL"/>
        </w:rPr>
        <w:t>t</w:t>
      </w:r>
      <w:r w:rsidR="002F2B60">
        <w:rPr>
          <w:rFonts w:ascii="Verdana" w:hAnsi="Verdana" w:cs="Arial"/>
          <w:sz w:val="18"/>
          <w:szCs w:val="18"/>
          <w:lang w:val="nl-NL"/>
        </w:rPr>
        <w:t xml:space="preserve"> dat onder</w:t>
      </w:r>
      <w:r w:rsidR="00FE34D5">
        <w:rPr>
          <w:rFonts w:ascii="Verdana" w:hAnsi="Verdana" w:cs="Arial"/>
          <w:sz w:val="18"/>
          <w:szCs w:val="18"/>
          <w:lang w:val="nl-NL"/>
        </w:rPr>
        <w:t xml:space="preserve"> </w:t>
      </w:r>
      <w:r w:rsidR="002A5E1E">
        <w:rPr>
          <w:rFonts w:ascii="Verdana" w:hAnsi="Verdana" w:cs="Arial"/>
          <w:sz w:val="18"/>
          <w:szCs w:val="18"/>
          <w:lang w:val="nl-NL"/>
        </w:rPr>
        <w:t>de uitdrukking</w:t>
      </w:r>
      <w:r w:rsidRPr="001D6B88" w:rsidR="001D6B88">
        <w:rPr>
          <w:rFonts w:ascii="Verdana" w:hAnsi="Verdana" w:cs="Arial"/>
          <w:sz w:val="18"/>
          <w:szCs w:val="18"/>
          <w:lang w:val="nl-NL"/>
        </w:rPr>
        <w:t xml:space="preserve"> ‘entiteit’ </w:t>
      </w:r>
      <w:r w:rsidR="008B3747">
        <w:rPr>
          <w:rFonts w:ascii="Verdana" w:hAnsi="Verdana" w:cs="Arial"/>
          <w:sz w:val="18"/>
          <w:szCs w:val="18"/>
          <w:lang w:val="nl-NL"/>
        </w:rPr>
        <w:t xml:space="preserve">voor de toepassing van het onderhavige Verdrag </w:t>
      </w:r>
      <w:r w:rsidR="002F2B60">
        <w:rPr>
          <w:rFonts w:ascii="Verdana" w:hAnsi="Verdana"/>
          <w:sz w:val="18"/>
          <w:szCs w:val="18"/>
          <w:lang w:val="nl-NL"/>
        </w:rPr>
        <w:t>wordt verstaan</w:t>
      </w:r>
      <w:r w:rsidRPr="001D6B88" w:rsidR="001D6B88">
        <w:rPr>
          <w:rFonts w:ascii="Verdana" w:hAnsi="Verdana"/>
          <w:sz w:val="18"/>
          <w:szCs w:val="18"/>
          <w:lang w:val="nl-NL"/>
        </w:rPr>
        <w:t xml:space="preserve"> een lichaam </w:t>
      </w:r>
      <w:r w:rsidR="003A53BE">
        <w:rPr>
          <w:rFonts w:ascii="Verdana" w:hAnsi="Verdana"/>
          <w:sz w:val="18"/>
          <w:szCs w:val="18"/>
          <w:lang w:val="nl-NL"/>
        </w:rPr>
        <w:t xml:space="preserve">dat </w:t>
      </w:r>
      <w:r w:rsidRPr="001D6B88" w:rsidR="003A53BE">
        <w:rPr>
          <w:rFonts w:ascii="Verdana" w:hAnsi="Verdana"/>
          <w:sz w:val="18"/>
          <w:szCs w:val="18"/>
          <w:lang w:val="nl-NL"/>
        </w:rPr>
        <w:t xml:space="preserve">belastingplichtig </w:t>
      </w:r>
      <w:r w:rsidR="003A53BE">
        <w:rPr>
          <w:rFonts w:ascii="Verdana" w:hAnsi="Verdana"/>
          <w:sz w:val="18"/>
          <w:szCs w:val="18"/>
          <w:lang w:val="nl-NL"/>
        </w:rPr>
        <w:t>is voor de</w:t>
      </w:r>
      <w:r w:rsidR="00F86E44">
        <w:rPr>
          <w:rFonts w:ascii="Verdana" w:hAnsi="Verdana"/>
          <w:sz w:val="18"/>
          <w:szCs w:val="18"/>
          <w:lang w:val="nl-NL"/>
        </w:rPr>
        <w:t xml:space="preserve"> Nederlandse</w:t>
      </w:r>
      <w:r w:rsidR="003A53BE">
        <w:rPr>
          <w:rFonts w:ascii="Verdana" w:hAnsi="Verdana"/>
          <w:sz w:val="18"/>
          <w:szCs w:val="18"/>
          <w:lang w:val="nl-NL"/>
        </w:rPr>
        <w:t xml:space="preserve"> </w:t>
      </w:r>
      <w:r w:rsidRPr="001D6B88" w:rsidR="003A53BE">
        <w:rPr>
          <w:rFonts w:ascii="Verdana" w:hAnsi="Verdana"/>
          <w:sz w:val="18"/>
          <w:szCs w:val="18"/>
          <w:lang w:val="nl-NL"/>
        </w:rPr>
        <w:t>banken</w:t>
      </w:r>
      <w:r w:rsidR="003A53BE">
        <w:rPr>
          <w:rFonts w:ascii="Verdana" w:hAnsi="Verdana"/>
          <w:sz w:val="18"/>
          <w:szCs w:val="18"/>
          <w:lang w:val="nl-NL"/>
        </w:rPr>
        <w:t xml:space="preserve">belasting </w:t>
      </w:r>
      <w:r w:rsidRPr="001D6B88" w:rsidR="001D6B88">
        <w:rPr>
          <w:rFonts w:ascii="Verdana" w:hAnsi="Verdana"/>
          <w:sz w:val="18"/>
          <w:szCs w:val="18"/>
          <w:lang w:val="nl-NL"/>
        </w:rPr>
        <w:t xml:space="preserve">in de zin van de artikelen 3, 4 of 5 van de </w:t>
      </w:r>
      <w:r w:rsidR="00AF6704">
        <w:rPr>
          <w:rFonts w:ascii="Verdana" w:hAnsi="Verdana"/>
          <w:sz w:val="18"/>
          <w:szCs w:val="18"/>
          <w:lang w:val="nl-NL"/>
        </w:rPr>
        <w:t>Wet</w:t>
      </w:r>
      <w:r w:rsidRPr="001D6B88" w:rsidR="001D6B88">
        <w:rPr>
          <w:rFonts w:ascii="Verdana" w:hAnsi="Verdana"/>
          <w:sz w:val="18"/>
          <w:szCs w:val="18"/>
          <w:lang w:val="nl-NL"/>
        </w:rPr>
        <w:t xml:space="preserve"> bankenbelasting</w:t>
      </w:r>
      <w:r w:rsidR="00EC23B5">
        <w:rPr>
          <w:rFonts w:ascii="Verdana" w:hAnsi="Verdana"/>
          <w:sz w:val="18"/>
          <w:szCs w:val="18"/>
          <w:lang w:val="nl-NL"/>
        </w:rPr>
        <w:t xml:space="preserve"> </w:t>
      </w:r>
      <w:r w:rsidRPr="008B3747" w:rsidR="00EC23B5">
        <w:rPr>
          <w:rFonts w:ascii="Verdana" w:hAnsi="Verdana"/>
          <w:sz w:val="18"/>
          <w:szCs w:val="18"/>
          <w:lang w:val="nl-NL"/>
        </w:rPr>
        <w:t>(</w:t>
      </w:r>
      <w:r w:rsidRPr="008B3747" w:rsidR="001E5295">
        <w:rPr>
          <w:rFonts w:ascii="Verdana" w:hAnsi="Verdana"/>
          <w:i/>
          <w:sz w:val="18"/>
          <w:szCs w:val="18"/>
          <w:lang w:val="nl-NL"/>
        </w:rPr>
        <w:t>Stb</w:t>
      </w:r>
      <w:r w:rsidRPr="008B3747" w:rsidR="001E5295">
        <w:rPr>
          <w:rFonts w:ascii="Verdana" w:hAnsi="Verdana"/>
          <w:sz w:val="18"/>
          <w:szCs w:val="18"/>
          <w:lang w:val="nl-NL"/>
        </w:rPr>
        <w:t>. 2012, 325</w:t>
      </w:r>
      <w:r w:rsidRPr="008B3747" w:rsidR="00EC23B5">
        <w:rPr>
          <w:rFonts w:ascii="Verdana" w:hAnsi="Verdana"/>
          <w:sz w:val="18"/>
          <w:szCs w:val="18"/>
          <w:lang w:val="nl-NL"/>
        </w:rPr>
        <w:t>)</w:t>
      </w:r>
      <w:r w:rsidRPr="008B3747" w:rsidR="001D6B88">
        <w:rPr>
          <w:rFonts w:ascii="Verdana" w:hAnsi="Verdana"/>
          <w:sz w:val="18"/>
          <w:szCs w:val="18"/>
          <w:lang w:val="nl-NL"/>
        </w:rPr>
        <w:t>.</w:t>
      </w:r>
    </w:p>
    <w:p w:rsidR="0016635D" w:rsidP="00FA42A5" w:rsidRDefault="00C779A4">
      <w:pPr>
        <w:spacing w:after="240" w:line="360" w:lineRule="auto"/>
        <w:rPr>
          <w:rFonts w:ascii="Verdana" w:hAnsi="Verdana" w:cs="Arial"/>
          <w:sz w:val="18"/>
          <w:szCs w:val="18"/>
          <w:lang w:val="nl-NL"/>
        </w:rPr>
      </w:pPr>
      <w:r>
        <w:rPr>
          <w:rFonts w:ascii="Verdana" w:hAnsi="Verdana"/>
          <w:sz w:val="18"/>
          <w:szCs w:val="18"/>
          <w:lang w:val="nl-NL"/>
        </w:rPr>
        <w:t xml:space="preserve">Door verwijzing naar de </w:t>
      </w:r>
      <w:proofErr w:type="spellStart"/>
      <w:r>
        <w:rPr>
          <w:rFonts w:ascii="Verdana" w:hAnsi="Verdana"/>
          <w:sz w:val="18"/>
          <w:szCs w:val="18"/>
          <w:lang w:val="nl-NL"/>
        </w:rPr>
        <w:t>werkingsfeer</w:t>
      </w:r>
      <w:proofErr w:type="spellEnd"/>
      <w:r>
        <w:rPr>
          <w:rFonts w:ascii="Verdana" w:hAnsi="Verdana"/>
          <w:sz w:val="18"/>
          <w:szCs w:val="18"/>
          <w:lang w:val="nl-NL"/>
        </w:rPr>
        <w:t xml:space="preserve"> van de bankenbelasting van beide Verdragsluitende Staten </w:t>
      </w:r>
      <w:r w:rsidR="002A5E1E">
        <w:rPr>
          <w:rFonts w:ascii="Verdana" w:hAnsi="Verdana"/>
          <w:sz w:val="18"/>
          <w:szCs w:val="18"/>
          <w:lang w:val="nl-NL"/>
        </w:rPr>
        <w:t>is gewaarborgd dat alle belastingplichtigen voor de Nederlandse en Britse bankenbelasting aanspraak kunnen maken op toepassing van het Verdrag, mits aan de overige gestelde voorwaarden is voldaan.</w:t>
      </w:r>
    </w:p>
    <w:p w:rsidR="005335CB" w:rsidP="00FA42A5" w:rsidRDefault="002D1ABA">
      <w:pPr>
        <w:spacing w:after="240" w:line="360" w:lineRule="auto"/>
        <w:rPr>
          <w:rFonts w:ascii="Verdana" w:hAnsi="Verdana" w:cs="Arial"/>
          <w:sz w:val="18"/>
          <w:szCs w:val="18"/>
          <w:lang w:val="nl-NL"/>
        </w:rPr>
      </w:pPr>
      <w:r>
        <w:rPr>
          <w:rFonts w:ascii="Verdana" w:hAnsi="Verdana"/>
          <w:sz w:val="18"/>
          <w:szCs w:val="18"/>
          <w:lang w:val="nl-NL"/>
        </w:rPr>
        <w:t xml:space="preserve">Nederland en het VK hebben er, vanwege de verwaarloosbare verschillen als het enkel de uitoefening van het bankbedrijf betreft, van afgezien om een afzonderlijke omschrijving van het begrip ‘vaste inrichting’ in het Verdrag op te nemen. </w:t>
      </w:r>
      <w:r w:rsidR="008B3747">
        <w:rPr>
          <w:rFonts w:ascii="Verdana" w:hAnsi="Verdana"/>
          <w:sz w:val="18"/>
          <w:szCs w:val="18"/>
          <w:lang w:val="nl-NL"/>
        </w:rPr>
        <w:t>Voor de betekenis van het begrip ‘vaste inrichting</w:t>
      </w:r>
      <w:r w:rsidR="00305433">
        <w:rPr>
          <w:rFonts w:ascii="Verdana" w:hAnsi="Verdana"/>
          <w:sz w:val="18"/>
          <w:szCs w:val="18"/>
          <w:lang w:val="nl-NL"/>
        </w:rPr>
        <w:t>’</w:t>
      </w:r>
      <w:r w:rsidR="008B3747">
        <w:rPr>
          <w:rFonts w:ascii="Verdana" w:hAnsi="Verdana"/>
          <w:sz w:val="18"/>
          <w:szCs w:val="18"/>
          <w:lang w:val="nl-NL"/>
        </w:rPr>
        <w:t xml:space="preserve"> </w:t>
      </w:r>
      <w:r w:rsidR="00F86E44">
        <w:rPr>
          <w:rFonts w:ascii="Verdana" w:hAnsi="Verdana"/>
          <w:sz w:val="18"/>
          <w:szCs w:val="18"/>
          <w:lang w:val="nl-NL"/>
        </w:rPr>
        <w:t xml:space="preserve">is </w:t>
      </w:r>
      <w:r w:rsidR="008B3747">
        <w:rPr>
          <w:rFonts w:ascii="Verdana" w:hAnsi="Verdana"/>
          <w:sz w:val="18"/>
          <w:szCs w:val="18"/>
          <w:lang w:val="nl-NL"/>
        </w:rPr>
        <w:t xml:space="preserve">in artikel 3, eerste lid, onderdeel e, </w:t>
      </w:r>
      <w:r w:rsidR="00305433">
        <w:rPr>
          <w:rFonts w:ascii="Verdana" w:hAnsi="Verdana"/>
          <w:sz w:val="18"/>
          <w:szCs w:val="18"/>
          <w:lang w:val="nl-NL"/>
        </w:rPr>
        <w:t xml:space="preserve">daarom </w:t>
      </w:r>
      <w:r w:rsidR="008B3747">
        <w:rPr>
          <w:rFonts w:ascii="Verdana" w:hAnsi="Verdana"/>
          <w:sz w:val="18"/>
          <w:szCs w:val="18"/>
          <w:lang w:val="nl-NL"/>
        </w:rPr>
        <w:t xml:space="preserve">volstaan met een verwijzing naar de Nederlandse Wet bankenbelasting onderscheidenlijk de Britse Corporation Tax Act 2010. </w:t>
      </w:r>
      <w:r w:rsidR="005E42B7">
        <w:rPr>
          <w:rFonts w:ascii="Verdana" w:hAnsi="Verdana" w:cs="Arial"/>
          <w:sz w:val="18"/>
          <w:szCs w:val="18"/>
          <w:lang w:val="nl-NL"/>
        </w:rPr>
        <w:t xml:space="preserve">Wat Nederland betreft wordt aangesloten bij het begrip </w:t>
      </w:r>
      <w:r w:rsidR="000C0D88">
        <w:rPr>
          <w:rFonts w:ascii="Verdana" w:hAnsi="Verdana" w:cs="Arial"/>
          <w:sz w:val="18"/>
          <w:szCs w:val="18"/>
          <w:lang w:val="nl-NL"/>
        </w:rPr>
        <w:t>‘</w:t>
      </w:r>
      <w:r w:rsidR="005E42B7">
        <w:rPr>
          <w:rFonts w:ascii="Verdana" w:hAnsi="Verdana" w:cs="Arial"/>
          <w:sz w:val="18"/>
          <w:szCs w:val="18"/>
          <w:lang w:val="nl-NL"/>
        </w:rPr>
        <w:t>bijkantoor</w:t>
      </w:r>
      <w:r w:rsidR="000C0D88">
        <w:rPr>
          <w:rFonts w:ascii="Verdana" w:hAnsi="Verdana" w:cs="Arial"/>
          <w:sz w:val="18"/>
          <w:szCs w:val="18"/>
          <w:lang w:val="nl-NL"/>
        </w:rPr>
        <w:t>’</w:t>
      </w:r>
      <w:r w:rsidR="005E42B7">
        <w:rPr>
          <w:rFonts w:ascii="Verdana" w:hAnsi="Verdana" w:cs="Arial"/>
          <w:sz w:val="18"/>
          <w:szCs w:val="18"/>
          <w:lang w:val="nl-NL"/>
        </w:rPr>
        <w:t xml:space="preserve"> in </w:t>
      </w:r>
      <w:r w:rsidR="005377DC">
        <w:rPr>
          <w:rFonts w:ascii="Verdana" w:hAnsi="Verdana" w:cs="Arial"/>
          <w:sz w:val="18"/>
          <w:szCs w:val="18"/>
          <w:lang w:val="nl-NL"/>
        </w:rPr>
        <w:t xml:space="preserve">de zin van artikel 2 van de Wet </w:t>
      </w:r>
      <w:r w:rsidR="005E42B7">
        <w:rPr>
          <w:rFonts w:ascii="Verdana" w:hAnsi="Verdana" w:cs="Arial"/>
          <w:sz w:val="18"/>
          <w:szCs w:val="18"/>
          <w:lang w:val="nl-NL"/>
        </w:rPr>
        <w:t xml:space="preserve">bankenbelasting. In de Wet bankenbelasting wordt voor </w:t>
      </w:r>
      <w:r w:rsidR="000C0D88">
        <w:rPr>
          <w:rFonts w:ascii="Verdana" w:hAnsi="Verdana" w:cs="Arial"/>
          <w:sz w:val="18"/>
          <w:szCs w:val="18"/>
          <w:lang w:val="nl-NL"/>
        </w:rPr>
        <w:t>de definitie van het begrip</w:t>
      </w:r>
      <w:r w:rsidR="005E42B7">
        <w:rPr>
          <w:rFonts w:ascii="Verdana" w:hAnsi="Verdana" w:cs="Arial"/>
          <w:sz w:val="18"/>
          <w:szCs w:val="18"/>
          <w:lang w:val="nl-NL"/>
        </w:rPr>
        <w:t xml:space="preserve"> </w:t>
      </w:r>
      <w:r w:rsidR="000C0D88">
        <w:rPr>
          <w:rFonts w:ascii="Verdana" w:hAnsi="Verdana" w:cs="Arial"/>
          <w:sz w:val="18"/>
          <w:szCs w:val="18"/>
          <w:lang w:val="nl-NL"/>
        </w:rPr>
        <w:t>‘</w:t>
      </w:r>
      <w:r w:rsidR="005E42B7">
        <w:rPr>
          <w:rFonts w:ascii="Verdana" w:hAnsi="Verdana" w:cs="Arial"/>
          <w:sz w:val="18"/>
          <w:szCs w:val="18"/>
          <w:lang w:val="nl-NL"/>
        </w:rPr>
        <w:t>bijkantoor</w:t>
      </w:r>
      <w:r w:rsidR="000C0D88">
        <w:rPr>
          <w:rFonts w:ascii="Verdana" w:hAnsi="Verdana" w:cs="Arial"/>
          <w:sz w:val="18"/>
          <w:szCs w:val="18"/>
          <w:lang w:val="nl-NL"/>
        </w:rPr>
        <w:t>’</w:t>
      </w:r>
      <w:r w:rsidR="005E42B7">
        <w:rPr>
          <w:rFonts w:ascii="Verdana" w:hAnsi="Verdana" w:cs="Arial"/>
          <w:sz w:val="18"/>
          <w:szCs w:val="18"/>
          <w:lang w:val="nl-NL"/>
        </w:rPr>
        <w:t xml:space="preserve"> </w:t>
      </w:r>
      <w:r>
        <w:rPr>
          <w:rFonts w:ascii="Verdana" w:hAnsi="Verdana" w:cs="Arial"/>
          <w:sz w:val="18"/>
          <w:szCs w:val="18"/>
          <w:lang w:val="nl-NL"/>
        </w:rPr>
        <w:t xml:space="preserve">vervolgens </w:t>
      </w:r>
      <w:r w:rsidR="005E42B7">
        <w:rPr>
          <w:rFonts w:ascii="Verdana" w:hAnsi="Verdana" w:cs="Arial"/>
          <w:sz w:val="18"/>
          <w:szCs w:val="18"/>
          <w:lang w:val="nl-NL"/>
        </w:rPr>
        <w:t xml:space="preserve">verwezen naar de Wet </w:t>
      </w:r>
      <w:r w:rsidR="000C0D88">
        <w:rPr>
          <w:rFonts w:ascii="Verdana" w:hAnsi="Verdana" w:cs="Arial"/>
          <w:sz w:val="18"/>
          <w:szCs w:val="18"/>
          <w:lang w:val="nl-NL"/>
        </w:rPr>
        <w:t xml:space="preserve">op het financieel toezicht (hierna: </w:t>
      </w:r>
      <w:proofErr w:type="spellStart"/>
      <w:r w:rsidR="000C0D88">
        <w:rPr>
          <w:rFonts w:ascii="Verdana" w:hAnsi="Verdana" w:cs="Arial"/>
          <w:sz w:val="18"/>
          <w:szCs w:val="18"/>
          <w:lang w:val="nl-NL"/>
        </w:rPr>
        <w:t>Wft</w:t>
      </w:r>
      <w:proofErr w:type="spellEnd"/>
      <w:r w:rsidR="000C0D88">
        <w:rPr>
          <w:rFonts w:ascii="Verdana" w:hAnsi="Verdana" w:cs="Arial"/>
          <w:sz w:val="18"/>
          <w:szCs w:val="18"/>
          <w:lang w:val="nl-NL"/>
        </w:rPr>
        <w:t xml:space="preserve">). </w:t>
      </w:r>
      <w:r w:rsidR="00040699">
        <w:rPr>
          <w:rFonts w:ascii="Verdana" w:hAnsi="Verdana" w:cs="Arial"/>
          <w:sz w:val="18"/>
          <w:szCs w:val="18"/>
          <w:lang w:val="nl-NL"/>
        </w:rPr>
        <w:t>Hoewel</w:t>
      </w:r>
      <w:r w:rsidR="00F86E44">
        <w:rPr>
          <w:rFonts w:ascii="Verdana" w:hAnsi="Verdana" w:cs="Arial"/>
          <w:sz w:val="18"/>
          <w:szCs w:val="18"/>
          <w:lang w:val="nl-NL"/>
        </w:rPr>
        <w:t xml:space="preserve"> de fiscale uitdrukking</w:t>
      </w:r>
      <w:r w:rsidR="000C0D88">
        <w:rPr>
          <w:rFonts w:ascii="Verdana" w:hAnsi="Verdana" w:cs="Arial"/>
          <w:sz w:val="18"/>
          <w:szCs w:val="18"/>
          <w:lang w:val="nl-NL"/>
        </w:rPr>
        <w:t xml:space="preserve"> ‘vaste inrichting’ niet per definitie hetzelfde is als het begrip ‘bijkantoor’ in de zin van de </w:t>
      </w:r>
      <w:proofErr w:type="spellStart"/>
      <w:r w:rsidR="000C0D88">
        <w:rPr>
          <w:rFonts w:ascii="Verdana" w:hAnsi="Verdana" w:cs="Arial"/>
          <w:sz w:val="18"/>
          <w:szCs w:val="18"/>
          <w:lang w:val="nl-NL"/>
        </w:rPr>
        <w:t>Wft</w:t>
      </w:r>
      <w:proofErr w:type="spellEnd"/>
      <w:r w:rsidR="000C0D88">
        <w:rPr>
          <w:rFonts w:ascii="Verdana" w:hAnsi="Verdana" w:cs="Arial"/>
          <w:sz w:val="18"/>
          <w:szCs w:val="18"/>
          <w:lang w:val="nl-NL"/>
        </w:rPr>
        <w:t xml:space="preserve">, </w:t>
      </w:r>
      <w:r w:rsidR="00160EC7">
        <w:rPr>
          <w:rFonts w:ascii="Verdana" w:hAnsi="Verdana" w:cs="Arial"/>
          <w:sz w:val="18"/>
          <w:szCs w:val="18"/>
          <w:lang w:val="nl-NL"/>
        </w:rPr>
        <w:t xml:space="preserve">zal </w:t>
      </w:r>
      <w:r>
        <w:rPr>
          <w:rFonts w:ascii="Verdana" w:hAnsi="Verdana" w:cs="Arial"/>
          <w:sz w:val="18"/>
          <w:szCs w:val="18"/>
          <w:lang w:val="nl-NL"/>
        </w:rPr>
        <w:t xml:space="preserve">in praktische zin </w:t>
      </w:r>
      <w:r w:rsidR="002F2B60">
        <w:rPr>
          <w:rFonts w:ascii="Verdana" w:hAnsi="Verdana" w:cs="Arial"/>
          <w:sz w:val="18"/>
          <w:szCs w:val="18"/>
          <w:lang w:val="nl-NL"/>
        </w:rPr>
        <w:t xml:space="preserve">een ‘bijkantoor’ in de zin van de </w:t>
      </w:r>
      <w:proofErr w:type="spellStart"/>
      <w:r w:rsidR="002F2B60">
        <w:rPr>
          <w:rFonts w:ascii="Verdana" w:hAnsi="Verdana" w:cs="Arial"/>
          <w:sz w:val="18"/>
          <w:szCs w:val="18"/>
          <w:lang w:val="nl-NL"/>
        </w:rPr>
        <w:t>Wft</w:t>
      </w:r>
      <w:proofErr w:type="spellEnd"/>
      <w:r w:rsidR="002F2B60">
        <w:rPr>
          <w:rFonts w:ascii="Verdana" w:hAnsi="Verdana" w:cs="Arial"/>
          <w:sz w:val="18"/>
          <w:szCs w:val="18"/>
          <w:lang w:val="nl-NL"/>
        </w:rPr>
        <w:t xml:space="preserve"> </w:t>
      </w:r>
      <w:r w:rsidR="00210C01">
        <w:rPr>
          <w:rFonts w:ascii="Verdana" w:hAnsi="Verdana" w:cs="Arial"/>
          <w:sz w:val="18"/>
          <w:szCs w:val="18"/>
          <w:lang w:val="nl-NL"/>
        </w:rPr>
        <w:t xml:space="preserve">wel </w:t>
      </w:r>
      <w:r w:rsidR="002F2B60">
        <w:rPr>
          <w:rFonts w:ascii="Verdana" w:hAnsi="Verdana" w:cs="Arial"/>
          <w:sz w:val="18"/>
          <w:szCs w:val="18"/>
          <w:lang w:val="nl-NL"/>
        </w:rPr>
        <w:t>altijd een vaste inrichting</w:t>
      </w:r>
      <w:r w:rsidR="00160EC7">
        <w:rPr>
          <w:rFonts w:ascii="Verdana" w:hAnsi="Verdana" w:cs="Arial"/>
          <w:sz w:val="18"/>
          <w:szCs w:val="18"/>
          <w:lang w:val="nl-NL"/>
        </w:rPr>
        <w:t xml:space="preserve"> zijn</w:t>
      </w:r>
      <w:r w:rsidR="002F2B60">
        <w:rPr>
          <w:rFonts w:ascii="Verdana" w:hAnsi="Verdana" w:cs="Arial"/>
          <w:sz w:val="18"/>
          <w:szCs w:val="18"/>
          <w:lang w:val="nl-NL"/>
        </w:rPr>
        <w:t>.</w:t>
      </w:r>
    </w:p>
    <w:p w:rsidR="0016635D" w:rsidP="00FA42A5" w:rsidRDefault="001D6B88">
      <w:pPr>
        <w:spacing w:after="240" w:line="360" w:lineRule="auto"/>
        <w:rPr>
          <w:rFonts w:ascii="Verdana" w:hAnsi="Verdana" w:cs="Arial"/>
          <w:sz w:val="18"/>
          <w:szCs w:val="18"/>
          <w:lang w:val="nl-NL"/>
        </w:rPr>
      </w:pPr>
      <w:r w:rsidRPr="001D6B88">
        <w:rPr>
          <w:rFonts w:ascii="Verdana" w:hAnsi="Verdana" w:cs="Arial"/>
          <w:sz w:val="18"/>
          <w:szCs w:val="18"/>
          <w:lang w:val="nl-NL"/>
        </w:rPr>
        <w:t xml:space="preserve">Onderdeel </w:t>
      </w:r>
      <w:r w:rsidR="001C30D1">
        <w:rPr>
          <w:rFonts w:ascii="Verdana" w:hAnsi="Verdana" w:cs="Arial"/>
          <w:sz w:val="18"/>
          <w:szCs w:val="18"/>
          <w:lang w:val="nl-NL"/>
        </w:rPr>
        <w:t>f</w:t>
      </w:r>
      <w:r w:rsidRPr="001D6B88">
        <w:rPr>
          <w:rFonts w:ascii="Verdana" w:hAnsi="Verdana" w:cs="Arial"/>
          <w:sz w:val="18"/>
          <w:szCs w:val="18"/>
          <w:lang w:val="nl-NL"/>
        </w:rPr>
        <w:t xml:space="preserve"> </w:t>
      </w:r>
      <w:r w:rsidR="00F256A5">
        <w:rPr>
          <w:rFonts w:ascii="Verdana" w:hAnsi="Verdana" w:cs="Arial"/>
          <w:sz w:val="18"/>
          <w:szCs w:val="18"/>
          <w:lang w:val="nl-NL"/>
        </w:rPr>
        <w:t xml:space="preserve">van het eerste lid </w:t>
      </w:r>
      <w:r w:rsidRPr="001D6B88">
        <w:rPr>
          <w:rFonts w:ascii="Verdana" w:hAnsi="Verdana" w:cs="Arial"/>
          <w:sz w:val="18"/>
          <w:szCs w:val="18"/>
          <w:lang w:val="nl-NL"/>
        </w:rPr>
        <w:t xml:space="preserve">bevat </w:t>
      </w:r>
      <w:r w:rsidR="00F86E44">
        <w:rPr>
          <w:rFonts w:ascii="Verdana" w:hAnsi="Verdana" w:cs="Arial"/>
          <w:sz w:val="18"/>
          <w:szCs w:val="18"/>
          <w:lang w:val="nl-NL"/>
        </w:rPr>
        <w:t>een</w:t>
      </w:r>
      <w:r w:rsidRPr="001D6B88">
        <w:rPr>
          <w:rFonts w:ascii="Verdana" w:hAnsi="Verdana" w:cs="Arial"/>
          <w:sz w:val="18"/>
          <w:szCs w:val="18"/>
          <w:lang w:val="nl-NL"/>
        </w:rPr>
        <w:t xml:space="preserve"> definitie van de </w:t>
      </w:r>
      <w:r w:rsidR="00F256A5">
        <w:rPr>
          <w:rFonts w:ascii="Verdana" w:hAnsi="Verdana" w:cs="Arial"/>
          <w:sz w:val="18"/>
          <w:szCs w:val="18"/>
          <w:lang w:val="nl-NL"/>
        </w:rPr>
        <w:t xml:space="preserve">bevoegde </w:t>
      </w:r>
      <w:r w:rsidRPr="001D6B88">
        <w:rPr>
          <w:rFonts w:ascii="Verdana" w:hAnsi="Verdana" w:cs="Arial"/>
          <w:sz w:val="18"/>
          <w:szCs w:val="18"/>
          <w:lang w:val="nl-NL"/>
        </w:rPr>
        <w:t>autoriteiten</w:t>
      </w:r>
      <w:r w:rsidR="00F256A5">
        <w:rPr>
          <w:rFonts w:ascii="Verdana" w:hAnsi="Verdana" w:cs="Arial"/>
          <w:sz w:val="18"/>
          <w:szCs w:val="18"/>
          <w:lang w:val="nl-NL"/>
        </w:rPr>
        <w:t xml:space="preserve"> van de beide Verdragsluitende Staten</w:t>
      </w:r>
      <w:r w:rsidR="00C779A4">
        <w:rPr>
          <w:rFonts w:ascii="Verdana" w:hAnsi="Verdana" w:cs="Arial"/>
          <w:sz w:val="18"/>
          <w:szCs w:val="18"/>
          <w:lang w:val="nl-NL"/>
        </w:rPr>
        <w:t xml:space="preserve">, conform het </w:t>
      </w:r>
      <w:r w:rsidR="00C779A4">
        <w:rPr>
          <w:rFonts w:ascii="Verdana" w:hAnsi="Verdana"/>
          <w:sz w:val="18"/>
          <w:szCs w:val="18"/>
          <w:lang w:val="nl-NL"/>
        </w:rPr>
        <w:t>algemene belastingverdrag tussen</w:t>
      </w:r>
      <w:r w:rsidRPr="001D6B88" w:rsidR="00C779A4">
        <w:rPr>
          <w:rFonts w:ascii="Verdana" w:hAnsi="Verdana"/>
          <w:sz w:val="18"/>
          <w:szCs w:val="18"/>
          <w:lang w:val="nl-NL"/>
        </w:rPr>
        <w:t xml:space="preserve"> Nederland en het V</w:t>
      </w:r>
      <w:r w:rsidR="00C779A4">
        <w:rPr>
          <w:rFonts w:ascii="Verdana" w:hAnsi="Verdana"/>
          <w:sz w:val="18"/>
          <w:szCs w:val="18"/>
          <w:lang w:val="nl-NL"/>
        </w:rPr>
        <w:t>K</w:t>
      </w:r>
      <w:r w:rsidR="000C1094">
        <w:rPr>
          <w:rFonts w:ascii="Verdana" w:hAnsi="Verdana" w:cs="Arial"/>
          <w:sz w:val="18"/>
          <w:szCs w:val="18"/>
          <w:lang w:val="nl-NL"/>
        </w:rPr>
        <w:t>.</w:t>
      </w:r>
      <w:r w:rsidRPr="001D6B88">
        <w:rPr>
          <w:rFonts w:ascii="Verdana" w:hAnsi="Verdana" w:cs="Arial"/>
          <w:sz w:val="18"/>
          <w:szCs w:val="18"/>
          <w:lang w:val="nl-NL"/>
        </w:rPr>
        <w:t xml:space="preserve"> </w:t>
      </w:r>
    </w:p>
    <w:p w:rsidR="001C2B34" w:rsidP="00FA42A5" w:rsidRDefault="00F256A5">
      <w:pPr>
        <w:spacing w:line="360" w:lineRule="auto"/>
        <w:rPr>
          <w:rFonts w:ascii="Verdana" w:hAnsi="Verdana" w:cs="Arial"/>
          <w:sz w:val="18"/>
          <w:szCs w:val="18"/>
          <w:lang w:val="nl-NL"/>
        </w:rPr>
      </w:pPr>
      <w:r>
        <w:rPr>
          <w:rFonts w:ascii="Verdana" w:hAnsi="Verdana"/>
          <w:sz w:val="18"/>
          <w:szCs w:val="18"/>
          <w:lang w:val="nl-NL"/>
        </w:rPr>
        <w:t>In h</w:t>
      </w:r>
      <w:r w:rsidRPr="001D6B88" w:rsidR="001D6B88">
        <w:rPr>
          <w:rFonts w:ascii="Verdana" w:hAnsi="Verdana"/>
          <w:sz w:val="18"/>
          <w:szCs w:val="18"/>
          <w:lang w:val="nl-NL"/>
        </w:rPr>
        <w:t xml:space="preserve">et tweede lid van artikel 3 </w:t>
      </w:r>
      <w:r>
        <w:rPr>
          <w:rFonts w:ascii="Verdana" w:hAnsi="Verdana" w:cs="Arial"/>
          <w:sz w:val="18"/>
          <w:szCs w:val="18"/>
          <w:lang w:val="nl-NL"/>
        </w:rPr>
        <w:t xml:space="preserve">is </w:t>
      </w:r>
      <w:r w:rsidRPr="001D6B88" w:rsidR="001D6B88">
        <w:rPr>
          <w:rFonts w:ascii="Verdana" w:hAnsi="Verdana" w:cs="Arial"/>
          <w:sz w:val="18"/>
          <w:szCs w:val="18"/>
          <w:lang w:val="nl-NL"/>
        </w:rPr>
        <w:t xml:space="preserve">een algemene regel </w:t>
      </w:r>
      <w:r>
        <w:rPr>
          <w:rFonts w:ascii="Verdana" w:hAnsi="Verdana" w:cs="Arial"/>
          <w:sz w:val="18"/>
          <w:szCs w:val="18"/>
          <w:lang w:val="nl-NL"/>
        </w:rPr>
        <w:t xml:space="preserve">opgenomen </w:t>
      </w:r>
      <w:r w:rsidRPr="001D6B88" w:rsidR="001D6B88">
        <w:rPr>
          <w:rFonts w:ascii="Verdana" w:hAnsi="Verdana" w:cs="Arial"/>
          <w:sz w:val="18"/>
          <w:szCs w:val="18"/>
          <w:lang w:val="nl-NL"/>
        </w:rPr>
        <w:t xml:space="preserve">voor de uitleg van uitdrukkingen die niet in het Verdrag </w:t>
      </w:r>
      <w:r w:rsidR="00DB6F9E">
        <w:rPr>
          <w:rFonts w:ascii="Verdana" w:hAnsi="Verdana" w:cs="Arial"/>
          <w:sz w:val="18"/>
          <w:szCs w:val="18"/>
          <w:lang w:val="nl-NL"/>
        </w:rPr>
        <w:t>zijn omschreven</w:t>
      </w:r>
      <w:r w:rsidR="0078529F">
        <w:rPr>
          <w:rFonts w:ascii="Verdana" w:hAnsi="Verdana" w:cs="Arial"/>
          <w:sz w:val="18"/>
          <w:szCs w:val="18"/>
          <w:lang w:val="nl-NL"/>
        </w:rPr>
        <w:t>.</w:t>
      </w:r>
      <w:r w:rsidRPr="001D6B88" w:rsidR="001D6B88">
        <w:rPr>
          <w:rFonts w:ascii="Verdana" w:hAnsi="Verdana" w:cs="Arial"/>
          <w:sz w:val="18"/>
          <w:szCs w:val="18"/>
          <w:lang w:val="nl-NL"/>
        </w:rPr>
        <w:t xml:space="preserve"> </w:t>
      </w:r>
      <w:r w:rsidR="00DB6F9E">
        <w:rPr>
          <w:rFonts w:ascii="Verdana" w:hAnsi="Verdana" w:cs="Arial"/>
          <w:sz w:val="18"/>
          <w:szCs w:val="18"/>
          <w:lang w:val="nl-NL"/>
        </w:rPr>
        <w:t>In voorkomend geval wordt a</w:t>
      </w:r>
      <w:r w:rsidR="0078529F">
        <w:rPr>
          <w:rFonts w:ascii="Verdana" w:hAnsi="Verdana" w:cs="Arial"/>
          <w:sz w:val="18"/>
          <w:szCs w:val="18"/>
          <w:lang w:val="nl-NL"/>
        </w:rPr>
        <w:t>an een dergelijke uitdrukking</w:t>
      </w:r>
      <w:r w:rsidRPr="001D6B88" w:rsidR="001D6B88">
        <w:rPr>
          <w:rFonts w:ascii="Verdana" w:hAnsi="Verdana" w:cs="Arial"/>
          <w:sz w:val="18"/>
          <w:szCs w:val="18"/>
          <w:lang w:val="nl-NL"/>
        </w:rPr>
        <w:t xml:space="preserve"> </w:t>
      </w:r>
    </w:p>
    <w:p w:rsidRPr="00933B4B" w:rsidR="002D160C" w:rsidP="00FA42A5" w:rsidRDefault="001D6B88">
      <w:pPr>
        <w:spacing w:line="360" w:lineRule="auto"/>
        <w:rPr>
          <w:rFonts w:ascii="Verdana" w:hAnsi="Verdana" w:cs="Arial"/>
          <w:sz w:val="18"/>
          <w:szCs w:val="18"/>
          <w:lang w:val="nl-NL"/>
        </w:rPr>
      </w:pPr>
      <w:proofErr w:type="gramStart"/>
      <w:r w:rsidRPr="001D6B88">
        <w:rPr>
          <w:rFonts w:ascii="Verdana" w:hAnsi="Verdana" w:cs="Arial"/>
          <w:sz w:val="18"/>
          <w:szCs w:val="18"/>
          <w:lang w:val="nl-NL"/>
        </w:rPr>
        <w:lastRenderedPageBreak/>
        <w:t>de</w:t>
      </w:r>
      <w:proofErr w:type="gramEnd"/>
      <w:r w:rsidRPr="001D6B88">
        <w:rPr>
          <w:rFonts w:ascii="Verdana" w:hAnsi="Verdana" w:cs="Arial"/>
          <w:sz w:val="18"/>
          <w:szCs w:val="18"/>
          <w:lang w:val="nl-NL"/>
        </w:rPr>
        <w:t xml:space="preserve"> betekenis toegekend die </w:t>
      </w:r>
      <w:r w:rsidR="0078529F">
        <w:rPr>
          <w:rFonts w:ascii="Verdana" w:hAnsi="Verdana" w:cs="Arial"/>
          <w:sz w:val="18"/>
          <w:szCs w:val="18"/>
          <w:lang w:val="nl-NL"/>
        </w:rPr>
        <w:t>de</w:t>
      </w:r>
      <w:r w:rsidRPr="001D6B88">
        <w:rPr>
          <w:rFonts w:ascii="Verdana" w:hAnsi="Verdana" w:cs="Arial"/>
          <w:sz w:val="18"/>
          <w:szCs w:val="18"/>
          <w:lang w:val="nl-NL"/>
        </w:rPr>
        <w:t xml:space="preserve"> uitdrukking </w:t>
      </w:r>
      <w:r w:rsidR="0078529F">
        <w:rPr>
          <w:rFonts w:ascii="Verdana" w:hAnsi="Verdana" w:cs="Arial"/>
          <w:sz w:val="18"/>
          <w:szCs w:val="18"/>
          <w:lang w:val="nl-NL"/>
        </w:rPr>
        <w:t>op dat moment heeft volge</w:t>
      </w:r>
      <w:r w:rsidR="000058F7">
        <w:rPr>
          <w:rFonts w:ascii="Verdana" w:hAnsi="Verdana" w:cs="Arial"/>
          <w:sz w:val="18"/>
          <w:szCs w:val="18"/>
          <w:lang w:val="nl-NL"/>
        </w:rPr>
        <w:t>ns de wetgeving van een Verdrag</w:t>
      </w:r>
      <w:r w:rsidR="0078529F">
        <w:rPr>
          <w:rFonts w:ascii="Verdana" w:hAnsi="Verdana" w:cs="Arial"/>
          <w:sz w:val="18"/>
          <w:szCs w:val="18"/>
          <w:lang w:val="nl-NL"/>
        </w:rPr>
        <w:t xml:space="preserve">sluitende Staat </w:t>
      </w:r>
      <w:r w:rsidR="00933B4B">
        <w:rPr>
          <w:rFonts w:ascii="Verdana" w:hAnsi="Verdana" w:cs="Arial"/>
          <w:sz w:val="18"/>
          <w:szCs w:val="18"/>
          <w:lang w:val="nl-NL"/>
        </w:rPr>
        <w:t>met betrekking tot de bankenbelasting</w:t>
      </w:r>
      <w:r w:rsidRPr="001D6B88">
        <w:rPr>
          <w:rFonts w:ascii="Verdana" w:hAnsi="Verdana" w:cs="Arial"/>
          <w:sz w:val="18"/>
          <w:szCs w:val="18"/>
          <w:lang w:val="nl-NL"/>
        </w:rPr>
        <w:t xml:space="preserve">, tenzij de context van het Verdrag </w:t>
      </w:r>
      <w:r w:rsidR="00DB6F9E">
        <w:rPr>
          <w:rFonts w:ascii="Verdana" w:hAnsi="Verdana" w:cs="Arial"/>
          <w:sz w:val="18"/>
          <w:szCs w:val="18"/>
          <w:lang w:val="nl-NL"/>
        </w:rPr>
        <w:t>een andere uitleg</w:t>
      </w:r>
      <w:r w:rsidRPr="001D6B88">
        <w:rPr>
          <w:rFonts w:ascii="Verdana" w:hAnsi="Verdana" w:cs="Arial"/>
          <w:sz w:val="18"/>
          <w:szCs w:val="18"/>
          <w:lang w:val="nl-NL"/>
        </w:rPr>
        <w:t xml:space="preserve"> vereist.</w:t>
      </w:r>
    </w:p>
    <w:p w:rsidRPr="00525643" w:rsidR="00CF5BF2" w:rsidP="00525643" w:rsidRDefault="007E7343">
      <w:pPr>
        <w:pStyle w:val="Heading2"/>
        <w:rPr>
          <w:rFonts w:ascii="Verdana" w:hAnsi="Verdana"/>
          <w:sz w:val="18"/>
          <w:szCs w:val="18"/>
          <w:lang w:val="nl-NL"/>
        </w:rPr>
      </w:pPr>
      <w:r w:rsidRPr="00525643">
        <w:rPr>
          <w:rFonts w:ascii="Verdana" w:hAnsi="Verdana"/>
          <w:sz w:val="18"/>
          <w:szCs w:val="18"/>
          <w:lang w:val="nl-NL"/>
        </w:rPr>
        <w:t>Woonplaats (artikel 4)</w:t>
      </w:r>
    </w:p>
    <w:p w:rsidR="0016635D" w:rsidP="00FA42A5" w:rsidRDefault="001D6B88">
      <w:pPr>
        <w:spacing w:line="360" w:lineRule="auto"/>
        <w:rPr>
          <w:rFonts w:ascii="Verdana" w:hAnsi="Verdana" w:cs="Arial"/>
          <w:sz w:val="18"/>
          <w:szCs w:val="18"/>
          <w:lang w:val="nl-NL"/>
        </w:rPr>
      </w:pPr>
      <w:r w:rsidRPr="001D6B88">
        <w:rPr>
          <w:rFonts w:ascii="Verdana" w:hAnsi="Verdana"/>
          <w:sz w:val="18"/>
          <w:szCs w:val="18"/>
          <w:lang w:val="nl-NL"/>
        </w:rPr>
        <w:t xml:space="preserve">In artikel 4 is </w:t>
      </w:r>
      <w:r w:rsidRPr="001D6B88">
        <w:rPr>
          <w:rFonts w:ascii="Verdana" w:hAnsi="Verdana" w:cs="Arial"/>
          <w:sz w:val="18"/>
          <w:szCs w:val="18"/>
          <w:lang w:val="nl-NL"/>
        </w:rPr>
        <w:t xml:space="preserve">neergelegd </w:t>
      </w:r>
      <w:r w:rsidR="00003DF7">
        <w:rPr>
          <w:rFonts w:ascii="Verdana" w:hAnsi="Verdana"/>
          <w:sz w:val="18"/>
          <w:szCs w:val="18"/>
          <w:lang w:val="nl-NL"/>
        </w:rPr>
        <w:t>dat d</w:t>
      </w:r>
      <w:r w:rsidRPr="001D6B88">
        <w:rPr>
          <w:rFonts w:ascii="Verdana" w:hAnsi="Verdana"/>
          <w:sz w:val="18"/>
          <w:szCs w:val="18"/>
          <w:lang w:val="nl-NL"/>
        </w:rPr>
        <w:t xml:space="preserve">e woonplaats van </w:t>
      </w:r>
      <w:r w:rsidR="00DB6F9E">
        <w:rPr>
          <w:rFonts w:ascii="Verdana" w:hAnsi="Verdana"/>
          <w:sz w:val="18"/>
          <w:szCs w:val="18"/>
          <w:lang w:val="nl-NL"/>
        </w:rPr>
        <w:t xml:space="preserve">een </w:t>
      </w:r>
      <w:r w:rsidRPr="001D6B88">
        <w:rPr>
          <w:rFonts w:ascii="Verdana" w:hAnsi="Verdana"/>
          <w:sz w:val="18"/>
          <w:szCs w:val="18"/>
          <w:lang w:val="nl-NL"/>
        </w:rPr>
        <w:t xml:space="preserve">entiteit in beginsel </w:t>
      </w:r>
      <w:r w:rsidRPr="001D6B88" w:rsidR="00003DF7">
        <w:rPr>
          <w:rFonts w:ascii="Verdana" w:hAnsi="Verdana"/>
          <w:sz w:val="18"/>
          <w:szCs w:val="18"/>
          <w:lang w:val="nl-NL"/>
        </w:rPr>
        <w:t xml:space="preserve">wordt </w:t>
      </w:r>
      <w:r w:rsidRPr="001D6B88">
        <w:rPr>
          <w:rFonts w:ascii="Verdana" w:hAnsi="Verdana"/>
          <w:sz w:val="18"/>
          <w:szCs w:val="18"/>
          <w:lang w:val="nl-NL"/>
        </w:rPr>
        <w:t xml:space="preserve">bepaald op basis van de nationale wetgeving van de Verdragsluitende Staten. </w:t>
      </w:r>
      <w:r w:rsidR="002D1ABA">
        <w:rPr>
          <w:rFonts w:ascii="Verdana" w:hAnsi="Verdana"/>
          <w:sz w:val="18"/>
          <w:szCs w:val="18"/>
          <w:lang w:val="nl-NL"/>
        </w:rPr>
        <w:t xml:space="preserve">Voor de goede orde zij hierbij opgemerkt dat dit de fiscale wetgeving van de Verdragsluitende Staten betreft; specifiek wat Nederland betreft </w:t>
      </w:r>
      <w:r w:rsidR="00F861DB">
        <w:rPr>
          <w:rFonts w:ascii="Verdana" w:hAnsi="Verdana"/>
          <w:sz w:val="18"/>
          <w:szCs w:val="18"/>
          <w:lang w:val="nl-NL"/>
        </w:rPr>
        <w:t xml:space="preserve">gaat het hierbij om de Algemene wet </w:t>
      </w:r>
      <w:proofErr w:type="gramStart"/>
      <w:r w:rsidR="00F861DB">
        <w:rPr>
          <w:rFonts w:ascii="Verdana" w:hAnsi="Verdana"/>
          <w:sz w:val="18"/>
          <w:szCs w:val="18"/>
          <w:lang w:val="nl-NL"/>
        </w:rPr>
        <w:t>inzake</w:t>
      </w:r>
      <w:proofErr w:type="gramEnd"/>
      <w:r w:rsidR="00F861DB">
        <w:rPr>
          <w:rFonts w:ascii="Verdana" w:hAnsi="Verdana"/>
          <w:sz w:val="18"/>
          <w:szCs w:val="18"/>
          <w:lang w:val="nl-NL"/>
        </w:rPr>
        <w:t xml:space="preserve"> </w:t>
      </w:r>
      <w:r w:rsidR="0070441D">
        <w:rPr>
          <w:rFonts w:ascii="Verdana" w:hAnsi="Verdana"/>
          <w:sz w:val="18"/>
          <w:szCs w:val="18"/>
          <w:lang w:val="nl-NL"/>
        </w:rPr>
        <w:t xml:space="preserve">rijksbelastingen </w:t>
      </w:r>
      <w:r w:rsidR="00F861DB">
        <w:rPr>
          <w:rFonts w:ascii="Verdana" w:hAnsi="Verdana"/>
          <w:sz w:val="18"/>
          <w:szCs w:val="18"/>
          <w:lang w:val="nl-NL"/>
        </w:rPr>
        <w:t xml:space="preserve">en </w:t>
      </w:r>
      <w:r w:rsidR="002D1ABA">
        <w:rPr>
          <w:rFonts w:ascii="Verdana" w:hAnsi="Verdana"/>
          <w:sz w:val="18"/>
          <w:szCs w:val="18"/>
          <w:lang w:val="nl-NL"/>
        </w:rPr>
        <w:t>de Wet op de vennootschapsbelasting 1969</w:t>
      </w:r>
      <w:r w:rsidR="00FF3E1E">
        <w:rPr>
          <w:rFonts w:ascii="Verdana" w:hAnsi="Verdana"/>
          <w:sz w:val="18"/>
          <w:szCs w:val="18"/>
          <w:lang w:val="nl-NL"/>
        </w:rPr>
        <w:t>.</w:t>
      </w:r>
    </w:p>
    <w:p w:rsidR="00CF5BF2" w:rsidP="00FA42A5" w:rsidRDefault="00003DF7">
      <w:pPr>
        <w:spacing w:after="240" w:line="360" w:lineRule="auto"/>
        <w:rPr>
          <w:rFonts w:ascii="Verdana" w:hAnsi="Verdana" w:cs="Arial"/>
          <w:sz w:val="18"/>
          <w:szCs w:val="18"/>
          <w:lang w:val="nl-NL"/>
        </w:rPr>
      </w:pPr>
      <w:r w:rsidRPr="001D6B88">
        <w:rPr>
          <w:rFonts w:ascii="Verdana" w:hAnsi="Verdana"/>
          <w:sz w:val="18"/>
          <w:szCs w:val="18"/>
          <w:lang w:val="nl-NL"/>
        </w:rPr>
        <w:t>In het geval een entiteit door beide Verdragsluitende Staten als inwoner wordt beschouwd, is op wens van Nederland</w:t>
      </w:r>
      <w:r w:rsidR="00C779A4">
        <w:rPr>
          <w:rFonts w:ascii="Verdana" w:hAnsi="Verdana"/>
          <w:sz w:val="18"/>
          <w:szCs w:val="18"/>
          <w:lang w:val="nl-NL"/>
        </w:rPr>
        <w:t>, in lijn met paragraaf 2.2.2 van de NFV 2011,</w:t>
      </w:r>
      <w:r w:rsidRPr="001D6B88">
        <w:rPr>
          <w:rFonts w:ascii="Verdana" w:hAnsi="Verdana"/>
          <w:sz w:val="18"/>
          <w:szCs w:val="18"/>
          <w:lang w:val="nl-NL"/>
        </w:rPr>
        <w:t xml:space="preserve"> als beslissend criterium (de zogenoemde '</w:t>
      </w:r>
      <w:proofErr w:type="spellStart"/>
      <w:r w:rsidRPr="001D6B88">
        <w:rPr>
          <w:rFonts w:ascii="Verdana" w:hAnsi="Verdana"/>
          <w:sz w:val="18"/>
          <w:szCs w:val="18"/>
          <w:lang w:val="nl-NL"/>
        </w:rPr>
        <w:t>tiebreaker</w:t>
      </w:r>
      <w:proofErr w:type="spellEnd"/>
      <w:r w:rsidRPr="001D6B88">
        <w:rPr>
          <w:rFonts w:ascii="Verdana" w:hAnsi="Verdana"/>
          <w:sz w:val="18"/>
          <w:szCs w:val="18"/>
          <w:lang w:val="nl-NL"/>
        </w:rPr>
        <w:t xml:space="preserve">') gekozen voor de plaats </w:t>
      </w:r>
      <w:r w:rsidRPr="001D6B88">
        <w:rPr>
          <w:rFonts w:ascii="Verdana" w:hAnsi="Verdana" w:cs="Arial"/>
          <w:sz w:val="18"/>
          <w:szCs w:val="18"/>
          <w:lang w:val="nl-NL"/>
        </w:rPr>
        <w:t>waar</w:t>
      </w:r>
      <w:r w:rsidRPr="001D6B88">
        <w:rPr>
          <w:rFonts w:ascii="Verdana" w:hAnsi="Verdana"/>
          <w:sz w:val="18"/>
          <w:szCs w:val="18"/>
          <w:lang w:val="nl-NL"/>
        </w:rPr>
        <w:t xml:space="preserve"> de werkelijke leiding van </w:t>
      </w:r>
      <w:r w:rsidR="00160EC7">
        <w:rPr>
          <w:rFonts w:ascii="Verdana" w:hAnsi="Verdana"/>
          <w:sz w:val="18"/>
          <w:szCs w:val="18"/>
          <w:lang w:val="nl-NL"/>
        </w:rPr>
        <w:t>een</w:t>
      </w:r>
      <w:r w:rsidRPr="001D6B88" w:rsidR="00160EC7">
        <w:rPr>
          <w:rFonts w:ascii="Verdana" w:hAnsi="Verdana"/>
          <w:sz w:val="18"/>
          <w:szCs w:val="18"/>
          <w:lang w:val="nl-NL"/>
        </w:rPr>
        <w:t xml:space="preserve"> </w:t>
      </w:r>
      <w:r w:rsidR="00305433">
        <w:rPr>
          <w:rFonts w:ascii="Verdana" w:hAnsi="Verdana"/>
          <w:sz w:val="18"/>
          <w:szCs w:val="18"/>
          <w:lang w:val="nl-NL"/>
        </w:rPr>
        <w:t>en</w:t>
      </w:r>
      <w:r w:rsidRPr="001D6B88">
        <w:rPr>
          <w:rFonts w:ascii="Verdana" w:hAnsi="Verdana"/>
          <w:sz w:val="18"/>
          <w:szCs w:val="18"/>
          <w:lang w:val="nl-NL"/>
        </w:rPr>
        <w:t>titeit</w:t>
      </w:r>
      <w:r w:rsidRPr="00DB6F9E">
        <w:rPr>
          <w:rFonts w:ascii="Verdana" w:hAnsi="Verdana" w:cs="Arial"/>
          <w:sz w:val="18"/>
          <w:szCs w:val="18"/>
          <w:lang w:val="nl-NL"/>
        </w:rPr>
        <w:t xml:space="preserve"> </w:t>
      </w:r>
      <w:r w:rsidRPr="001D6B88">
        <w:rPr>
          <w:rFonts w:ascii="Verdana" w:hAnsi="Verdana" w:cs="Arial"/>
          <w:sz w:val="18"/>
          <w:szCs w:val="18"/>
          <w:lang w:val="nl-NL"/>
        </w:rPr>
        <w:t>wordt uitgeoefend</w:t>
      </w:r>
      <w:r w:rsidRPr="001D6B88">
        <w:rPr>
          <w:rFonts w:ascii="Verdana" w:hAnsi="Verdana"/>
          <w:sz w:val="18"/>
          <w:szCs w:val="18"/>
          <w:lang w:val="nl-NL"/>
        </w:rPr>
        <w:t>.</w:t>
      </w:r>
      <w:r w:rsidR="00CA5702">
        <w:rPr>
          <w:rFonts w:ascii="Verdana" w:hAnsi="Verdana" w:cs="Arial"/>
          <w:sz w:val="18"/>
          <w:szCs w:val="18"/>
          <w:lang w:val="nl-NL"/>
        </w:rPr>
        <w:t xml:space="preserve"> </w:t>
      </w:r>
    </w:p>
    <w:p w:rsidRPr="00525643" w:rsidR="005227D2" w:rsidP="00525643" w:rsidRDefault="007E7343">
      <w:pPr>
        <w:pStyle w:val="Heading2"/>
        <w:rPr>
          <w:rFonts w:ascii="Verdana" w:hAnsi="Verdana"/>
          <w:sz w:val="18"/>
          <w:szCs w:val="18"/>
          <w:lang w:val="nl-NL"/>
        </w:rPr>
      </w:pPr>
      <w:r w:rsidRPr="00525643">
        <w:rPr>
          <w:rFonts w:ascii="Verdana" w:hAnsi="Verdana"/>
          <w:sz w:val="18"/>
          <w:szCs w:val="18"/>
          <w:lang w:val="nl-NL"/>
        </w:rPr>
        <w:t>Vermijding van dubbele belasting (artikel 5 juncto artikel II van het Protocol)</w:t>
      </w:r>
    </w:p>
    <w:p w:rsidR="005335CB" w:rsidP="00FA42A5" w:rsidRDefault="00075786">
      <w:pPr>
        <w:spacing w:after="240" w:line="360" w:lineRule="auto"/>
        <w:rPr>
          <w:rFonts w:ascii="Verdana" w:hAnsi="Verdana"/>
          <w:sz w:val="18"/>
          <w:szCs w:val="18"/>
          <w:lang w:val="nl-NL"/>
        </w:rPr>
      </w:pPr>
      <w:r w:rsidRPr="00075786">
        <w:rPr>
          <w:rFonts w:ascii="Verdana" w:hAnsi="Verdana"/>
          <w:sz w:val="18"/>
          <w:szCs w:val="18"/>
          <w:lang w:val="nl-NL"/>
        </w:rPr>
        <w:t xml:space="preserve">In artikel 5 </w:t>
      </w:r>
      <w:r w:rsidR="0007045A">
        <w:rPr>
          <w:rFonts w:ascii="Verdana" w:hAnsi="Verdana"/>
          <w:sz w:val="18"/>
          <w:szCs w:val="18"/>
          <w:lang w:val="nl-NL"/>
        </w:rPr>
        <w:t>is</w:t>
      </w:r>
      <w:r w:rsidRPr="00075786">
        <w:rPr>
          <w:rFonts w:ascii="Verdana" w:hAnsi="Verdana"/>
          <w:sz w:val="18"/>
          <w:szCs w:val="18"/>
          <w:lang w:val="nl-NL"/>
        </w:rPr>
        <w:t xml:space="preserve"> bepaald hoe door de </w:t>
      </w:r>
      <w:r w:rsidR="00FF3E1E">
        <w:rPr>
          <w:rFonts w:ascii="Verdana" w:hAnsi="Verdana"/>
          <w:sz w:val="18"/>
          <w:szCs w:val="18"/>
          <w:lang w:val="nl-NL"/>
        </w:rPr>
        <w:t>V</w:t>
      </w:r>
      <w:r w:rsidRPr="00075786">
        <w:rPr>
          <w:rFonts w:ascii="Verdana" w:hAnsi="Verdana"/>
          <w:sz w:val="18"/>
          <w:szCs w:val="18"/>
          <w:lang w:val="nl-NL"/>
        </w:rPr>
        <w:t xml:space="preserve">erdragsluitende </w:t>
      </w:r>
      <w:r w:rsidR="00F861DB">
        <w:rPr>
          <w:rFonts w:ascii="Verdana" w:hAnsi="Verdana"/>
          <w:sz w:val="18"/>
          <w:szCs w:val="18"/>
          <w:lang w:val="nl-NL"/>
        </w:rPr>
        <w:t>Staten</w:t>
      </w:r>
      <w:r w:rsidRPr="00075786">
        <w:rPr>
          <w:rFonts w:ascii="Verdana" w:hAnsi="Verdana"/>
          <w:sz w:val="18"/>
          <w:szCs w:val="18"/>
          <w:lang w:val="nl-NL"/>
        </w:rPr>
        <w:t xml:space="preserve"> wordt voorzien in het vermijden van dubbele bankenbelasting.</w:t>
      </w:r>
    </w:p>
    <w:p w:rsidRPr="002F2B60" w:rsidR="002F2B60" w:rsidP="00FA42A5" w:rsidRDefault="0026179C">
      <w:pPr>
        <w:spacing w:after="240" w:line="360" w:lineRule="auto"/>
        <w:rPr>
          <w:rFonts w:ascii="Verdana" w:hAnsi="Verdana"/>
          <w:sz w:val="18"/>
          <w:szCs w:val="18"/>
          <w:lang w:val="nl-NL"/>
        </w:rPr>
      </w:pPr>
      <w:r>
        <w:rPr>
          <w:rFonts w:ascii="Verdana" w:hAnsi="Verdana"/>
          <w:sz w:val="18"/>
          <w:szCs w:val="18"/>
          <w:lang w:val="nl-NL"/>
        </w:rPr>
        <w:t xml:space="preserve">De Nederlandse </w:t>
      </w:r>
      <w:r w:rsidR="00880F0A">
        <w:rPr>
          <w:rFonts w:ascii="Verdana" w:hAnsi="Verdana"/>
          <w:sz w:val="18"/>
          <w:szCs w:val="18"/>
          <w:lang w:val="nl-NL"/>
        </w:rPr>
        <w:t>wijze van v</w:t>
      </w:r>
      <w:r w:rsidR="0007045A">
        <w:rPr>
          <w:rFonts w:ascii="Verdana" w:hAnsi="Verdana"/>
          <w:sz w:val="18"/>
          <w:szCs w:val="18"/>
          <w:lang w:val="nl-NL"/>
        </w:rPr>
        <w:t>ermijding</w:t>
      </w:r>
      <w:r w:rsidR="00880F0A">
        <w:rPr>
          <w:rFonts w:ascii="Verdana" w:hAnsi="Verdana"/>
          <w:sz w:val="18"/>
          <w:szCs w:val="18"/>
          <w:lang w:val="nl-NL"/>
        </w:rPr>
        <w:t xml:space="preserve"> </w:t>
      </w:r>
      <w:r w:rsidR="002F2B60">
        <w:rPr>
          <w:rFonts w:ascii="Verdana" w:hAnsi="Verdana"/>
          <w:sz w:val="18"/>
          <w:szCs w:val="18"/>
          <w:lang w:val="nl-NL"/>
        </w:rPr>
        <w:t xml:space="preserve">van dubbele belasting </w:t>
      </w:r>
      <w:r>
        <w:rPr>
          <w:rFonts w:ascii="Verdana" w:hAnsi="Verdana"/>
          <w:sz w:val="18"/>
          <w:szCs w:val="18"/>
          <w:lang w:val="nl-NL"/>
        </w:rPr>
        <w:t xml:space="preserve">is neergelegd in het eerste lid van artikel 5. </w:t>
      </w:r>
      <w:r w:rsidRPr="00075786" w:rsidR="00075786">
        <w:rPr>
          <w:rFonts w:ascii="Verdana" w:hAnsi="Verdana"/>
          <w:sz w:val="18"/>
          <w:szCs w:val="18"/>
          <w:lang w:val="nl-NL"/>
        </w:rPr>
        <w:t xml:space="preserve">In aansluiting bij de in Hoofdstuk </w:t>
      </w:r>
      <w:proofErr w:type="spellStart"/>
      <w:r w:rsidRPr="00075786" w:rsidR="00075786">
        <w:rPr>
          <w:rFonts w:ascii="Verdana" w:hAnsi="Verdana"/>
          <w:sz w:val="18"/>
          <w:szCs w:val="18"/>
          <w:lang w:val="nl-NL"/>
        </w:rPr>
        <w:t>VIa</w:t>
      </w:r>
      <w:proofErr w:type="spellEnd"/>
      <w:r w:rsidRPr="00075786" w:rsidR="00075786">
        <w:rPr>
          <w:rFonts w:ascii="Verdana" w:hAnsi="Verdana"/>
          <w:sz w:val="18"/>
          <w:szCs w:val="18"/>
          <w:lang w:val="nl-NL"/>
        </w:rPr>
        <w:t xml:space="preserve"> van het </w:t>
      </w:r>
      <w:proofErr w:type="spellStart"/>
      <w:r w:rsidR="0007045A">
        <w:rPr>
          <w:rFonts w:ascii="Verdana" w:hAnsi="Verdana"/>
          <w:sz w:val="18"/>
          <w:szCs w:val="18"/>
          <w:lang w:val="nl-NL"/>
        </w:rPr>
        <w:t>B</w:t>
      </w:r>
      <w:r w:rsidR="00701C29">
        <w:rPr>
          <w:rFonts w:ascii="Verdana" w:hAnsi="Verdana"/>
          <w:sz w:val="18"/>
          <w:szCs w:val="18"/>
          <w:lang w:val="nl-NL"/>
        </w:rPr>
        <w:t>vdb</w:t>
      </w:r>
      <w:proofErr w:type="spellEnd"/>
      <w:r w:rsidR="008B3088">
        <w:rPr>
          <w:rFonts w:ascii="Verdana" w:hAnsi="Verdana"/>
          <w:sz w:val="18"/>
          <w:szCs w:val="18"/>
          <w:lang w:val="nl-NL"/>
        </w:rPr>
        <w:t xml:space="preserve"> </w:t>
      </w:r>
      <w:r w:rsidR="0007045A">
        <w:rPr>
          <w:rFonts w:ascii="Verdana" w:hAnsi="Verdana"/>
          <w:sz w:val="18"/>
          <w:szCs w:val="18"/>
          <w:lang w:val="nl-NL"/>
        </w:rPr>
        <w:t xml:space="preserve">2001 </w:t>
      </w:r>
      <w:r w:rsidRPr="00075786" w:rsidR="00075786">
        <w:rPr>
          <w:rFonts w:ascii="Verdana" w:hAnsi="Verdana"/>
          <w:sz w:val="18"/>
          <w:szCs w:val="18"/>
          <w:lang w:val="nl-NL"/>
        </w:rPr>
        <w:t xml:space="preserve">opgenomen bepaling </w:t>
      </w:r>
      <w:r w:rsidR="003C6B17">
        <w:rPr>
          <w:rFonts w:ascii="Verdana" w:hAnsi="Verdana"/>
          <w:sz w:val="18"/>
          <w:szCs w:val="18"/>
          <w:lang w:val="nl-NL"/>
        </w:rPr>
        <w:t xml:space="preserve">voorziet </w:t>
      </w:r>
      <w:r w:rsidRPr="00075786" w:rsidR="00075786">
        <w:rPr>
          <w:rFonts w:ascii="Verdana" w:hAnsi="Verdana"/>
          <w:sz w:val="18"/>
          <w:szCs w:val="18"/>
          <w:lang w:val="nl-NL"/>
        </w:rPr>
        <w:t xml:space="preserve">de onderhavige bepaling in een verrekening van de door het </w:t>
      </w:r>
      <w:r w:rsidR="0007045A">
        <w:rPr>
          <w:rFonts w:ascii="Verdana" w:hAnsi="Verdana"/>
          <w:sz w:val="18"/>
          <w:szCs w:val="18"/>
          <w:lang w:val="nl-NL"/>
        </w:rPr>
        <w:t>VK</w:t>
      </w:r>
      <w:r w:rsidRPr="00075786" w:rsidR="00075786">
        <w:rPr>
          <w:rFonts w:ascii="Verdana" w:hAnsi="Verdana"/>
          <w:sz w:val="18"/>
          <w:szCs w:val="18"/>
          <w:lang w:val="nl-NL"/>
        </w:rPr>
        <w:t xml:space="preserve"> geheven bankenbelasting (eerste lid, onderdeel a)</w:t>
      </w:r>
      <w:r w:rsidR="00394DBE">
        <w:rPr>
          <w:rFonts w:ascii="Verdana" w:hAnsi="Verdana"/>
          <w:sz w:val="18"/>
          <w:szCs w:val="18"/>
          <w:lang w:val="nl-NL"/>
        </w:rPr>
        <w:t xml:space="preserve">, waarbij </w:t>
      </w:r>
      <w:r w:rsidRPr="00394DBE" w:rsidR="00394DBE">
        <w:rPr>
          <w:rFonts w:ascii="Verdana" w:hAnsi="Verdana"/>
          <w:sz w:val="18"/>
          <w:szCs w:val="18"/>
          <w:lang w:val="nl-NL"/>
        </w:rPr>
        <w:t xml:space="preserve">het ter verrekening in aanmerking te nemen bedrag afhangt van de mate waarin de in het buitenland geheven belasting betrekking heeft op de passiva van </w:t>
      </w:r>
      <w:r w:rsidR="00363380">
        <w:rPr>
          <w:rFonts w:ascii="Verdana" w:hAnsi="Verdana"/>
          <w:sz w:val="18"/>
          <w:szCs w:val="18"/>
          <w:lang w:val="nl-NL"/>
        </w:rPr>
        <w:t xml:space="preserve">een </w:t>
      </w:r>
      <w:r w:rsidRPr="00394DBE" w:rsidR="00394DBE">
        <w:rPr>
          <w:rFonts w:ascii="Verdana" w:hAnsi="Verdana"/>
          <w:sz w:val="18"/>
          <w:szCs w:val="18"/>
          <w:lang w:val="nl-NL"/>
        </w:rPr>
        <w:t xml:space="preserve">in Nederland gevestigde </w:t>
      </w:r>
      <w:r w:rsidR="00363380">
        <w:rPr>
          <w:rFonts w:ascii="Verdana" w:hAnsi="Verdana"/>
          <w:sz w:val="18"/>
          <w:szCs w:val="18"/>
          <w:lang w:val="nl-NL"/>
        </w:rPr>
        <w:t>dochtermaatschappij of vaste inrichting van een Britse bankenentiteit</w:t>
      </w:r>
      <w:r w:rsidRPr="00075786" w:rsidR="00075786">
        <w:rPr>
          <w:rFonts w:ascii="Verdana" w:hAnsi="Verdana"/>
          <w:sz w:val="18"/>
          <w:szCs w:val="18"/>
          <w:lang w:val="nl-NL"/>
        </w:rPr>
        <w:t xml:space="preserve">. </w:t>
      </w:r>
      <w:r w:rsidR="002F2B60">
        <w:rPr>
          <w:rFonts w:ascii="Verdana" w:hAnsi="Verdana"/>
          <w:sz w:val="18"/>
          <w:szCs w:val="18"/>
          <w:lang w:val="nl-NL"/>
        </w:rPr>
        <w:t xml:space="preserve">De toepassing van de </w:t>
      </w:r>
      <w:proofErr w:type="spellStart"/>
      <w:r w:rsidR="002F2B60">
        <w:rPr>
          <w:rFonts w:ascii="Verdana" w:hAnsi="Verdana"/>
          <w:sz w:val="18"/>
          <w:szCs w:val="18"/>
          <w:lang w:val="nl-NL"/>
        </w:rPr>
        <w:t>verrekeningsmethode</w:t>
      </w:r>
      <w:proofErr w:type="spellEnd"/>
      <w:r w:rsidR="002F2B60">
        <w:rPr>
          <w:rFonts w:ascii="Verdana" w:hAnsi="Verdana"/>
          <w:sz w:val="18"/>
          <w:szCs w:val="18"/>
          <w:lang w:val="nl-NL"/>
        </w:rPr>
        <w:t xml:space="preserve"> beoogt te voorkomen dat in Nederland gevestigde dochter</w:t>
      </w:r>
      <w:r w:rsidR="00F10D15">
        <w:rPr>
          <w:rFonts w:ascii="Verdana" w:hAnsi="Verdana"/>
          <w:sz w:val="18"/>
          <w:szCs w:val="18"/>
          <w:lang w:val="nl-NL"/>
        </w:rPr>
        <w:t>maatschappijen</w:t>
      </w:r>
      <w:r w:rsidR="002F2B60">
        <w:rPr>
          <w:rFonts w:ascii="Verdana" w:hAnsi="Verdana"/>
          <w:sz w:val="18"/>
          <w:szCs w:val="18"/>
          <w:lang w:val="nl-NL"/>
        </w:rPr>
        <w:t xml:space="preserve"> van een Britse entiteit een concurrentievoordeel zouden kunnen hebben ten opzichte van andere in Nederland actieve banken.</w:t>
      </w:r>
      <w:r w:rsidR="00FF3E1E">
        <w:rPr>
          <w:rFonts w:ascii="Verdana" w:hAnsi="Verdana"/>
          <w:sz w:val="18"/>
          <w:szCs w:val="18"/>
          <w:lang w:val="nl-NL"/>
        </w:rPr>
        <w:t xml:space="preserve"> Dit uitgangspunt </w:t>
      </w:r>
      <w:proofErr w:type="gramStart"/>
      <w:r w:rsidR="00FF3E1E">
        <w:rPr>
          <w:rFonts w:ascii="Verdana" w:hAnsi="Verdana"/>
          <w:sz w:val="18"/>
          <w:szCs w:val="18"/>
          <w:lang w:val="nl-NL"/>
        </w:rPr>
        <w:t>hebben</w:t>
      </w:r>
      <w:proofErr w:type="gramEnd"/>
      <w:r w:rsidR="00FF3E1E">
        <w:rPr>
          <w:rFonts w:ascii="Verdana" w:hAnsi="Verdana"/>
          <w:sz w:val="18"/>
          <w:szCs w:val="18"/>
          <w:lang w:val="nl-NL"/>
        </w:rPr>
        <w:t xml:space="preserve"> het Verdrag en het </w:t>
      </w:r>
      <w:proofErr w:type="spellStart"/>
      <w:r w:rsidR="00FF3E1E">
        <w:rPr>
          <w:rFonts w:ascii="Verdana" w:hAnsi="Verdana"/>
          <w:sz w:val="18"/>
          <w:szCs w:val="18"/>
          <w:lang w:val="nl-NL"/>
        </w:rPr>
        <w:t>Bvdb</w:t>
      </w:r>
      <w:proofErr w:type="spellEnd"/>
      <w:r w:rsidR="00FF3E1E">
        <w:rPr>
          <w:rFonts w:ascii="Verdana" w:hAnsi="Verdana"/>
          <w:sz w:val="18"/>
          <w:szCs w:val="18"/>
          <w:lang w:val="nl-NL"/>
        </w:rPr>
        <w:t xml:space="preserve"> 2001 gemeen.</w:t>
      </w:r>
      <w:r w:rsidR="002F2B60">
        <w:rPr>
          <w:rFonts w:ascii="Verdana" w:hAnsi="Verdana"/>
          <w:sz w:val="18"/>
          <w:szCs w:val="18"/>
          <w:lang w:val="nl-NL"/>
        </w:rPr>
        <w:t xml:space="preserve"> </w:t>
      </w:r>
      <w:r w:rsidRPr="00075786" w:rsidR="00075786">
        <w:rPr>
          <w:rFonts w:ascii="Verdana" w:hAnsi="Verdana"/>
          <w:sz w:val="18"/>
          <w:szCs w:val="18"/>
          <w:lang w:val="nl-NL"/>
        </w:rPr>
        <w:t xml:space="preserve">De </w:t>
      </w:r>
      <w:proofErr w:type="spellStart"/>
      <w:r w:rsidRPr="00075786" w:rsidR="00075786">
        <w:rPr>
          <w:rFonts w:ascii="Verdana" w:hAnsi="Verdana"/>
          <w:sz w:val="18"/>
          <w:szCs w:val="18"/>
          <w:lang w:val="nl-NL"/>
        </w:rPr>
        <w:t>verrekeningsmethode</w:t>
      </w:r>
      <w:proofErr w:type="spellEnd"/>
      <w:r w:rsidRPr="00075786" w:rsidR="00075786">
        <w:rPr>
          <w:rFonts w:ascii="Verdana" w:hAnsi="Verdana"/>
          <w:sz w:val="18"/>
          <w:szCs w:val="18"/>
          <w:lang w:val="nl-NL"/>
        </w:rPr>
        <w:t xml:space="preserve"> </w:t>
      </w:r>
      <w:r w:rsidR="003C6B17">
        <w:rPr>
          <w:rFonts w:ascii="Verdana" w:hAnsi="Verdana"/>
          <w:sz w:val="18"/>
          <w:szCs w:val="18"/>
          <w:lang w:val="nl-NL"/>
        </w:rPr>
        <w:t xml:space="preserve">bewerkstelligt </w:t>
      </w:r>
      <w:r w:rsidR="0007045A">
        <w:rPr>
          <w:rFonts w:ascii="Verdana" w:hAnsi="Verdana"/>
          <w:sz w:val="18"/>
          <w:szCs w:val="18"/>
          <w:lang w:val="nl-NL"/>
        </w:rPr>
        <w:t xml:space="preserve">een </w:t>
      </w:r>
      <w:r w:rsidR="003C6B17">
        <w:rPr>
          <w:rFonts w:ascii="Verdana" w:hAnsi="Verdana"/>
          <w:sz w:val="18"/>
          <w:szCs w:val="18"/>
          <w:lang w:val="nl-NL"/>
        </w:rPr>
        <w:t>gelijk</w:t>
      </w:r>
      <w:r w:rsidR="0007045A">
        <w:rPr>
          <w:rFonts w:ascii="Verdana" w:hAnsi="Verdana"/>
          <w:sz w:val="18"/>
          <w:szCs w:val="18"/>
          <w:lang w:val="nl-NL"/>
        </w:rPr>
        <w:t xml:space="preserve"> speelveld</w:t>
      </w:r>
      <w:r w:rsidR="003C6B17">
        <w:rPr>
          <w:rFonts w:ascii="Verdana" w:hAnsi="Verdana"/>
          <w:sz w:val="18"/>
          <w:szCs w:val="18"/>
          <w:lang w:val="nl-NL"/>
        </w:rPr>
        <w:t xml:space="preserve"> voor </w:t>
      </w:r>
      <w:r w:rsidRPr="0007045A" w:rsidR="003C6B17">
        <w:rPr>
          <w:rFonts w:ascii="Verdana" w:hAnsi="Verdana"/>
          <w:sz w:val="18"/>
          <w:szCs w:val="18"/>
          <w:lang w:val="nl-NL"/>
        </w:rPr>
        <w:t>in Nederland gevestigde dochtermaatschappijen van een Britse entiteit</w:t>
      </w:r>
      <w:r w:rsidRPr="003C6B17" w:rsidR="003C6B17">
        <w:rPr>
          <w:rFonts w:ascii="Verdana" w:hAnsi="Verdana"/>
          <w:sz w:val="18"/>
          <w:szCs w:val="18"/>
          <w:lang w:val="nl-NL"/>
        </w:rPr>
        <w:t xml:space="preserve"> </w:t>
      </w:r>
      <w:r w:rsidR="003C6B17">
        <w:rPr>
          <w:rFonts w:ascii="Verdana" w:hAnsi="Verdana"/>
          <w:sz w:val="18"/>
          <w:szCs w:val="18"/>
          <w:lang w:val="nl-NL"/>
        </w:rPr>
        <w:t xml:space="preserve">en </w:t>
      </w:r>
      <w:r w:rsidRPr="0007045A" w:rsidR="003C6B17">
        <w:rPr>
          <w:rFonts w:ascii="Verdana" w:hAnsi="Verdana"/>
          <w:sz w:val="18"/>
          <w:szCs w:val="18"/>
          <w:lang w:val="nl-NL"/>
        </w:rPr>
        <w:t xml:space="preserve">andere in Nederland actieve banken </w:t>
      </w:r>
      <w:r w:rsidR="003C6B17">
        <w:rPr>
          <w:rFonts w:ascii="Verdana" w:hAnsi="Verdana"/>
          <w:sz w:val="18"/>
          <w:szCs w:val="18"/>
          <w:lang w:val="nl-NL"/>
        </w:rPr>
        <w:t>(</w:t>
      </w:r>
      <w:r w:rsidRPr="0007045A" w:rsidR="003C6B17">
        <w:rPr>
          <w:rFonts w:ascii="Verdana" w:hAnsi="Verdana"/>
          <w:sz w:val="18"/>
          <w:szCs w:val="18"/>
          <w:lang w:val="nl-NL"/>
        </w:rPr>
        <w:t>die geen dochtermaatschappij zijn van een Britse entiteit</w:t>
      </w:r>
      <w:r w:rsidR="003C6B17">
        <w:rPr>
          <w:rFonts w:ascii="Verdana" w:hAnsi="Verdana"/>
          <w:sz w:val="18"/>
          <w:szCs w:val="18"/>
          <w:lang w:val="nl-NL"/>
        </w:rPr>
        <w:t xml:space="preserve">) door te zorgen voor een gelijke Nederlandse belastingdruk na </w:t>
      </w:r>
      <w:r w:rsidR="00F861DB">
        <w:rPr>
          <w:rFonts w:ascii="Verdana" w:hAnsi="Verdana"/>
          <w:sz w:val="18"/>
          <w:szCs w:val="18"/>
          <w:lang w:val="nl-NL"/>
        </w:rPr>
        <w:t xml:space="preserve">het verlenen van een vermindering ter </w:t>
      </w:r>
      <w:r w:rsidR="003C6B17">
        <w:rPr>
          <w:rFonts w:ascii="Verdana" w:hAnsi="Verdana"/>
          <w:sz w:val="18"/>
          <w:szCs w:val="18"/>
          <w:lang w:val="nl-NL"/>
        </w:rPr>
        <w:t>vermijding van dubbele belasting.</w:t>
      </w:r>
    </w:p>
    <w:p w:rsidR="001C2B34" w:rsidP="00FA42A5" w:rsidRDefault="004E2C83">
      <w:pPr>
        <w:spacing w:after="240" w:line="360" w:lineRule="auto"/>
        <w:rPr>
          <w:rFonts w:ascii="Verdana" w:hAnsi="Verdana"/>
          <w:sz w:val="18"/>
          <w:szCs w:val="18"/>
          <w:lang w:val="nl-NL"/>
        </w:rPr>
      </w:pPr>
      <w:r>
        <w:rPr>
          <w:rFonts w:ascii="Verdana" w:hAnsi="Verdana"/>
          <w:sz w:val="18"/>
          <w:szCs w:val="18"/>
          <w:lang w:val="nl-NL"/>
        </w:rPr>
        <w:t xml:space="preserve">Het is mogelijk dat </w:t>
      </w:r>
      <w:r w:rsidR="00F10D15">
        <w:rPr>
          <w:rFonts w:ascii="Verdana" w:hAnsi="Verdana"/>
          <w:sz w:val="18"/>
          <w:szCs w:val="18"/>
          <w:lang w:val="nl-NL"/>
        </w:rPr>
        <w:t>een</w:t>
      </w:r>
      <w:r w:rsidR="0026179C">
        <w:rPr>
          <w:rFonts w:ascii="Verdana" w:hAnsi="Verdana"/>
          <w:sz w:val="18"/>
          <w:szCs w:val="18"/>
          <w:lang w:val="nl-NL"/>
        </w:rPr>
        <w:t xml:space="preserve"> in Nederland gevestigde dochtermaatschappij </w:t>
      </w:r>
      <w:r w:rsidR="00FF3E1E">
        <w:rPr>
          <w:rFonts w:ascii="Verdana" w:hAnsi="Verdana"/>
          <w:sz w:val="18"/>
          <w:szCs w:val="18"/>
          <w:lang w:val="nl-NL"/>
        </w:rPr>
        <w:t xml:space="preserve">van een Britse entiteit </w:t>
      </w:r>
      <w:r w:rsidR="0026179C">
        <w:rPr>
          <w:rFonts w:ascii="Verdana" w:hAnsi="Verdana"/>
          <w:sz w:val="18"/>
          <w:szCs w:val="18"/>
          <w:lang w:val="nl-NL"/>
        </w:rPr>
        <w:t>deel uitmaakt van een</w:t>
      </w:r>
      <w:r w:rsidR="005179A7">
        <w:rPr>
          <w:rFonts w:ascii="Verdana" w:hAnsi="Verdana"/>
          <w:sz w:val="18"/>
          <w:szCs w:val="18"/>
          <w:lang w:val="nl-NL"/>
        </w:rPr>
        <w:t xml:space="preserve"> </w:t>
      </w:r>
      <w:r w:rsidR="00C31D53">
        <w:rPr>
          <w:rFonts w:ascii="Verdana" w:hAnsi="Verdana"/>
          <w:sz w:val="18"/>
          <w:szCs w:val="18"/>
          <w:lang w:val="nl-NL"/>
        </w:rPr>
        <w:t>(</w:t>
      </w:r>
      <w:r>
        <w:rPr>
          <w:rFonts w:ascii="Verdana" w:hAnsi="Verdana"/>
          <w:sz w:val="18"/>
          <w:szCs w:val="18"/>
          <w:lang w:val="nl-NL"/>
        </w:rPr>
        <w:t>internationale</w:t>
      </w:r>
      <w:r w:rsidR="00C31D53">
        <w:rPr>
          <w:rFonts w:ascii="Verdana" w:hAnsi="Verdana"/>
          <w:sz w:val="18"/>
          <w:szCs w:val="18"/>
          <w:lang w:val="nl-NL"/>
        </w:rPr>
        <w:t>)</w:t>
      </w:r>
      <w:r>
        <w:rPr>
          <w:rFonts w:ascii="Verdana" w:hAnsi="Verdana"/>
          <w:sz w:val="18"/>
          <w:szCs w:val="18"/>
          <w:lang w:val="nl-NL"/>
        </w:rPr>
        <w:t xml:space="preserve"> </w:t>
      </w:r>
      <w:r w:rsidR="00846767">
        <w:rPr>
          <w:rFonts w:ascii="Verdana" w:hAnsi="Verdana"/>
          <w:sz w:val="18"/>
          <w:szCs w:val="18"/>
          <w:lang w:val="nl-NL"/>
        </w:rPr>
        <w:t>commerciële</w:t>
      </w:r>
      <w:r w:rsidR="00C31D53">
        <w:rPr>
          <w:rFonts w:ascii="Verdana" w:hAnsi="Verdana"/>
          <w:sz w:val="18"/>
          <w:szCs w:val="18"/>
          <w:lang w:val="nl-NL"/>
        </w:rPr>
        <w:t xml:space="preserve"> consolidatiekring</w:t>
      </w:r>
      <w:r w:rsidR="005179A7">
        <w:rPr>
          <w:rFonts w:ascii="Verdana" w:hAnsi="Verdana"/>
          <w:sz w:val="18"/>
          <w:szCs w:val="18"/>
          <w:lang w:val="nl-NL"/>
        </w:rPr>
        <w:t xml:space="preserve"> </w:t>
      </w:r>
      <w:r w:rsidR="003E3DB1">
        <w:rPr>
          <w:rFonts w:ascii="Verdana" w:hAnsi="Verdana"/>
          <w:sz w:val="18"/>
          <w:szCs w:val="18"/>
          <w:lang w:val="nl-NL"/>
        </w:rPr>
        <w:t>met als groepshoofd een</w:t>
      </w:r>
      <w:r>
        <w:rPr>
          <w:rFonts w:ascii="Verdana" w:hAnsi="Verdana"/>
          <w:sz w:val="18"/>
          <w:szCs w:val="18"/>
          <w:lang w:val="nl-NL"/>
        </w:rPr>
        <w:t xml:space="preserve"> ander Nederlands lichaam</w:t>
      </w:r>
      <w:r w:rsidR="0070441D">
        <w:rPr>
          <w:rFonts w:ascii="Verdana" w:hAnsi="Verdana"/>
          <w:sz w:val="18"/>
          <w:szCs w:val="18"/>
          <w:lang w:val="nl-NL"/>
        </w:rPr>
        <w:t xml:space="preserve"> die</w:t>
      </w:r>
      <w:r>
        <w:rPr>
          <w:rFonts w:ascii="Verdana" w:hAnsi="Verdana"/>
          <w:sz w:val="18"/>
          <w:szCs w:val="18"/>
          <w:lang w:val="nl-NL"/>
        </w:rPr>
        <w:t xml:space="preserve"> voor de groep een geconsolideerde jaarrekening opstelt. In dergelijke gevallen is niet de in Nederland gevestigde dochter</w:t>
      </w:r>
      <w:r w:rsidR="00733402">
        <w:rPr>
          <w:rFonts w:ascii="Verdana" w:hAnsi="Verdana"/>
          <w:sz w:val="18"/>
          <w:szCs w:val="18"/>
          <w:lang w:val="nl-NL"/>
        </w:rPr>
        <w:t>maatschappij</w:t>
      </w:r>
      <w:r>
        <w:rPr>
          <w:rFonts w:ascii="Verdana" w:hAnsi="Verdana"/>
          <w:sz w:val="18"/>
          <w:szCs w:val="18"/>
          <w:lang w:val="nl-NL"/>
        </w:rPr>
        <w:t xml:space="preserve"> van de Britse entiteit belastingplichtig voor de Nederlandse bankenbelasting, maar het Nederlandse lichaam dat de geconsolideerde jaarrekening opstelt</w:t>
      </w:r>
      <w:r w:rsidR="00855757">
        <w:rPr>
          <w:rFonts w:ascii="Verdana" w:hAnsi="Verdana"/>
          <w:sz w:val="18"/>
          <w:szCs w:val="18"/>
          <w:lang w:val="nl-NL"/>
        </w:rPr>
        <w:t xml:space="preserve"> (artikel 4, eerste lid, Wet bankenbelasting)</w:t>
      </w:r>
      <w:r>
        <w:rPr>
          <w:rFonts w:ascii="Verdana" w:hAnsi="Verdana"/>
          <w:sz w:val="18"/>
          <w:szCs w:val="18"/>
          <w:lang w:val="nl-NL"/>
        </w:rPr>
        <w:t xml:space="preserve">. </w:t>
      </w:r>
      <w:r w:rsidR="007E4C18">
        <w:rPr>
          <w:rFonts w:ascii="Verdana" w:hAnsi="Verdana"/>
          <w:sz w:val="18"/>
          <w:szCs w:val="18"/>
          <w:lang w:val="nl-NL"/>
        </w:rPr>
        <w:t>In dat geval verleent Nederland geen vermindering ter vermijding van dubbele belasting, maar zal het VK een verrekening verlenen voor de</w:t>
      </w:r>
      <w:r w:rsidR="0021134F">
        <w:rPr>
          <w:rFonts w:ascii="Verdana" w:hAnsi="Verdana"/>
          <w:sz w:val="18"/>
          <w:szCs w:val="18"/>
          <w:lang w:val="nl-NL"/>
        </w:rPr>
        <w:t xml:space="preserve"> in</w:t>
      </w:r>
      <w:r w:rsidR="007E4C18">
        <w:rPr>
          <w:rFonts w:ascii="Verdana" w:hAnsi="Verdana"/>
          <w:sz w:val="18"/>
          <w:szCs w:val="18"/>
          <w:lang w:val="nl-NL"/>
        </w:rPr>
        <w:t xml:space="preserve"> Neder</w:t>
      </w:r>
      <w:r w:rsidR="009D03DC">
        <w:rPr>
          <w:rFonts w:ascii="Verdana" w:hAnsi="Verdana"/>
          <w:sz w:val="18"/>
          <w:szCs w:val="18"/>
          <w:lang w:val="nl-NL"/>
        </w:rPr>
        <w:t>land</w:t>
      </w:r>
      <w:r w:rsidR="0021134F">
        <w:rPr>
          <w:rFonts w:ascii="Verdana" w:hAnsi="Verdana"/>
          <w:sz w:val="18"/>
          <w:szCs w:val="18"/>
          <w:lang w:val="nl-NL"/>
        </w:rPr>
        <w:t xml:space="preserve"> geheven</w:t>
      </w:r>
      <w:r w:rsidR="009D03DC">
        <w:rPr>
          <w:rFonts w:ascii="Verdana" w:hAnsi="Verdana"/>
          <w:sz w:val="18"/>
          <w:szCs w:val="18"/>
          <w:lang w:val="nl-NL"/>
        </w:rPr>
        <w:t xml:space="preserve"> bankenbelasting</w:t>
      </w:r>
      <w:r w:rsidR="00F7623F">
        <w:rPr>
          <w:rFonts w:ascii="Verdana" w:hAnsi="Verdana"/>
          <w:sz w:val="18"/>
          <w:szCs w:val="18"/>
          <w:lang w:val="nl-NL"/>
        </w:rPr>
        <w:t>.</w:t>
      </w:r>
      <w:r w:rsidR="009D03DC">
        <w:rPr>
          <w:rFonts w:ascii="Verdana" w:hAnsi="Verdana"/>
          <w:sz w:val="18"/>
          <w:szCs w:val="18"/>
          <w:lang w:val="nl-NL"/>
        </w:rPr>
        <w:t xml:space="preserve"> </w:t>
      </w:r>
      <w:r w:rsidR="004946FA">
        <w:rPr>
          <w:rFonts w:ascii="Verdana" w:hAnsi="Verdana"/>
          <w:sz w:val="18"/>
          <w:szCs w:val="18"/>
          <w:lang w:val="nl-NL"/>
        </w:rPr>
        <w:t xml:space="preserve">Deze systematiek van vermijding van dubbele </w:t>
      </w:r>
      <w:r w:rsidR="0021134F">
        <w:rPr>
          <w:rFonts w:ascii="Verdana" w:hAnsi="Verdana"/>
          <w:sz w:val="18"/>
          <w:szCs w:val="18"/>
          <w:lang w:val="nl-NL"/>
        </w:rPr>
        <w:t>banken</w:t>
      </w:r>
      <w:r w:rsidR="004946FA">
        <w:rPr>
          <w:rFonts w:ascii="Verdana" w:hAnsi="Verdana"/>
          <w:sz w:val="18"/>
          <w:szCs w:val="18"/>
          <w:lang w:val="nl-NL"/>
        </w:rPr>
        <w:t xml:space="preserve">belasting sluit aan bij </w:t>
      </w:r>
      <w:r w:rsidR="0021134F">
        <w:rPr>
          <w:rFonts w:ascii="Verdana" w:hAnsi="Verdana"/>
          <w:sz w:val="18"/>
          <w:szCs w:val="18"/>
          <w:lang w:val="nl-NL"/>
        </w:rPr>
        <w:t>het</w:t>
      </w:r>
      <w:r w:rsidR="00F10D15">
        <w:rPr>
          <w:rFonts w:ascii="Verdana" w:hAnsi="Verdana"/>
          <w:sz w:val="18"/>
          <w:szCs w:val="18"/>
          <w:lang w:val="nl-NL"/>
        </w:rPr>
        <w:t xml:space="preserve">, in paragraaf 2 van deze nota van </w:t>
      </w:r>
    </w:p>
    <w:p w:rsidR="00F10D15" w:rsidP="00FA42A5" w:rsidRDefault="00F10D15">
      <w:pPr>
        <w:spacing w:after="240" w:line="360" w:lineRule="auto"/>
        <w:rPr>
          <w:rFonts w:ascii="Verdana" w:hAnsi="Verdana"/>
          <w:sz w:val="18"/>
          <w:szCs w:val="18"/>
          <w:lang w:val="nl-NL"/>
        </w:rPr>
      </w:pPr>
      <w:proofErr w:type="gramStart"/>
      <w:r>
        <w:rPr>
          <w:rFonts w:ascii="Verdana" w:hAnsi="Verdana"/>
          <w:sz w:val="18"/>
          <w:szCs w:val="18"/>
          <w:lang w:val="nl-NL"/>
        </w:rPr>
        <w:lastRenderedPageBreak/>
        <w:t>toelichting</w:t>
      </w:r>
      <w:proofErr w:type="gramEnd"/>
      <w:r>
        <w:rPr>
          <w:rFonts w:ascii="Verdana" w:hAnsi="Verdana"/>
          <w:sz w:val="18"/>
          <w:szCs w:val="18"/>
          <w:lang w:val="nl-NL"/>
        </w:rPr>
        <w:t xml:space="preserve"> reeds aangehaalde,</w:t>
      </w:r>
      <w:r w:rsidR="0021134F">
        <w:rPr>
          <w:rFonts w:ascii="Verdana" w:hAnsi="Verdana"/>
          <w:sz w:val="18"/>
          <w:szCs w:val="18"/>
          <w:lang w:val="nl-NL"/>
        </w:rPr>
        <w:t xml:space="preserve"> uitgangspunt dat</w:t>
      </w:r>
      <w:r w:rsidR="004946FA">
        <w:rPr>
          <w:rFonts w:ascii="Verdana" w:hAnsi="Verdana"/>
          <w:sz w:val="18"/>
          <w:szCs w:val="18"/>
          <w:lang w:val="nl-NL"/>
        </w:rPr>
        <w:t xml:space="preserve"> </w:t>
      </w:r>
      <w:r w:rsidR="0021134F">
        <w:rPr>
          <w:rFonts w:ascii="Verdana" w:hAnsi="Verdana"/>
          <w:sz w:val="18"/>
          <w:szCs w:val="18"/>
          <w:lang w:val="nl-NL"/>
        </w:rPr>
        <w:t>de staat die het systeemrisico van de bankactiviteiten draagt het sterkste heffingsrecht heeft</w:t>
      </w:r>
      <w:r w:rsidR="00F7623F">
        <w:rPr>
          <w:rFonts w:ascii="Verdana" w:hAnsi="Verdana"/>
          <w:sz w:val="18"/>
          <w:szCs w:val="18"/>
          <w:lang w:val="nl-NL"/>
        </w:rPr>
        <w:t xml:space="preserve"> en is zowel geregeld in de Nederlandse wijze van vermijding van dubbele belasting (artike</w:t>
      </w:r>
      <w:r w:rsidR="00C0253A">
        <w:rPr>
          <w:rFonts w:ascii="Verdana" w:hAnsi="Verdana"/>
          <w:sz w:val="18"/>
          <w:szCs w:val="18"/>
          <w:lang w:val="nl-NL"/>
        </w:rPr>
        <w:t>l 5, eerste lid, onderdeel a) als</w:t>
      </w:r>
      <w:r w:rsidR="00F7623F">
        <w:rPr>
          <w:rFonts w:ascii="Verdana" w:hAnsi="Verdana"/>
          <w:sz w:val="18"/>
          <w:szCs w:val="18"/>
          <w:lang w:val="nl-NL"/>
        </w:rPr>
        <w:t xml:space="preserve"> de </w:t>
      </w:r>
      <w:r w:rsidR="00C0253A">
        <w:rPr>
          <w:rFonts w:ascii="Verdana" w:hAnsi="Verdana"/>
          <w:sz w:val="18"/>
          <w:szCs w:val="18"/>
          <w:lang w:val="nl-NL"/>
        </w:rPr>
        <w:t>Britse</w:t>
      </w:r>
      <w:r w:rsidR="00F7623F">
        <w:rPr>
          <w:rFonts w:ascii="Verdana" w:hAnsi="Verdana"/>
          <w:sz w:val="18"/>
          <w:szCs w:val="18"/>
          <w:lang w:val="nl-NL"/>
        </w:rPr>
        <w:t xml:space="preserve"> wijze van vermijding</w:t>
      </w:r>
      <w:r w:rsidR="00C0253A">
        <w:rPr>
          <w:rFonts w:ascii="Verdana" w:hAnsi="Verdana"/>
          <w:sz w:val="18"/>
          <w:szCs w:val="18"/>
          <w:lang w:val="nl-NL"/>
        </w:rPr>
        <w:t xml:space="preserve"> van dubbele belasting (artikel 5, tweede lid, onderdeel a).</w:t>
      </w:r>
    </w:p>
    <w:p w:rsidRPr="000B6745" w:rsidR="00C0253A" w:rsidP="00FA42A5" w:rsidRDefault="000B6745">
      <w:pPr>
        <w:spacing w:after="240" w:line="360" w:lineRule="auto"/>
        <w:rPr>
          <w:rFonts w:ascii="Verdana" w:hAnsi="Verdana"/>
          <w:sz w:val="18"/>
          <w:szCs w:val="18"/>
          <w:lang w:val="nl-NL"/>
        </w:rPr>
      </w:pPr>
      <w:r>
        <w:rPr>
          <w:rFonts w:ascii="Verdana" w:hAnsi="Verdana"/>
          <w:sz w:val="18"/>
          <w:szCs w:val="18"/>
          <w:lang w:val="nl-NL"/>
        </w:rPr>
        <w:t xml:space="preserve">Waar </w:t>
      </w:r>
      <w:r w:rsidR="00C0253A">
        <w:rPr>
          <w:rFonts w:ascii="Verdana" w:hAnsi="Verdana"/>
          <w:sz w:val="18"/>
          <w:szCs w:val="18"/>
          <w:lang w:val="nl-NL"/>
        </w:rPr>
        <w:t xml:space="preserve">in de </w:t>
      </w:r>
      <w:r w:rsidR="00F10D15">
        <w:rPr>
          <w:rFonts w:ascii="Verdana" w:hAnsi="Verdana"/>
          <w:sz w:val="18"/>
          <w:szCs w:val="18"/>
          <w:lang w:val="nl-NL"/>
        </w:rPr>
        <w:t xml:space="preserve">bepalingen over </w:t>
      </w:r>
      <w:r w:rsidR="00160EC7">
        <w:rPr>
          <w:rFonts w:ascii="Verdana" w:hAnsi="Verdana"/>
          <w:sz w:val="18"/>
          <w:szCs w:val="18"/>
          <w:lang w:val="nl-NL"/>
        </w:rPr>
        <w:t xml:space="preserve">de </w:t>
      </w:r>
      <w:r w:rsidR="00C0253A">
        <w:rPr>
          <w:rFonts w:ascii="Verdana" w:hAnsi="Verdana"/>
          <w:sz w:val="18"/>
          <w:szCs w:val="18"/>
          <w:lang w:val="nl-NL"/>
        </w:rPr>
        <w:t>Nederlandse wijze van vermijding van dubbele belasting wordt gesproken over “</w:t>
      </w:r>
      <w:proofErr w:type="spellStart"/>
      <w:r w:rsidR="00C0253A">
        <w:rPr>
          <w:rFonts w:ascii="Verdana" w:hAnsi="Verdana"/>
          <w:sz w:val="18"/>
          <w:szCs w:val="18"/>
          <w:lang w:val="nl-NL"/>
        </w:rPr>
        <w:t>head</w:t>
      </w:r>
      <w:proofErr w:type="spellEnd"/>
      <w:r w:rsidR="00C0253A">
        <w:rPr>
          <w:rFonts w:ascii="Verdana" w:hAnsi="Verdana"/>
          <w:sz w:val="18"/>
          <w:szCs w:val="18"/>
          <w:lang w:val="nl-NL"/>
        </w:rPr>
        <w:t xml:space="preserve"> of the </w:t>
      </w:r>
      <w:proofErr w:type="spellStart"/>
      <w:r w:rsidR="00C0253A">
        <w:rPr>
          <w:rFonts w:ascii="Verdana" w:hAnsi="Verdana"/>
          <w:sz w:val="18"/>
          <w:szCs w:val="18"/>
          <w:lang w:val="nl-NL"/>
        </w:rPr>
        <w:t>group</w:t>
      </w:r>
      <w:proofErr w:type="spellEnd"/>
      <w:r w:rsidR="00C0253A">
        <w:rPr>
          <w:rFonts w:ascii="Verdana" w:hAnsi="Verdana"/>
          <w:sz w:val="18"/>
          <w:szCs w:val="18"/>
          <w:lang w:val="nl-NL"/>
        </w:rPr>
        <w:t xml:space="preserve">”, wordt in de </w:t>
      </w:r>
      <w:r w:rsidR="00F10D15">
        <w:rPr>
          <w:rFonts w:ascii="Verdana" w:hAnsi="Verdana"/>
          <w:sz w:val="18"/>
          <w:szCs w:val="18"/>
          <w:lang w:val="nl-NL"/>
        </w:rPr>
        <w:t xml:space="preserve">bepalingen over de </w:t>
      </w:r>
      <w:r w:rsidR="00C0253A">
        <w:rPr>
          <w:rFonts w:ascii="Verdana" w:hAnsi="Verdana"/>
          <w:sz w:val="18"/>
          <w:szCs w:val="18"/>
          <w:lang w:val="nl-NL"/>
        </w:rPr>
        <w:t>Britse wijze van vermijding van dubbele belasting de uitdrukking</w:t>
      </w:r>
      <w:r w:rsidRPr="00C0253A" w:rsidR="00C0253A">
        <w:rPr>
          <w:rFonts w:ascii="Verdana" w:hAnsi="Verdana"/>
          <w:sz w:val="18"/>
          <w:szCs w:val="18"/>
          <w:lang w:val="nl-NL"/>
        </w:rPr>
        <w:t xml:space="preserve"> “</w:t>
      </w:r>
      <w:proofErr w:type="spellStart"/>
      <w:r w:rsidRPr="00C0253A" w:rsidR="00C0253A">
        <w:rPr>
          <w:rFonts w:ascii="Verdana" w:hAnsi="Verdana"/>
          <w:sz w:val="18"/>
          <w:szCs w:val="18"/>
          <w:lang w:val="nl-NL"/>
        </w:rPr>
        <w:t>parent</w:t>
      </w:r>
      <w:proofErr w:type="spellEnd"/>
      <w:r w:rsidRPr="00C0253A" w:rsidR="00C0253A">
        <w:rPr>
          <w:rFonts w:ascii="Verdana" w:hAnsi="Verdana"/>
          <w:sz w:val="18"/>
          <w:szCs w:val="18"/>
          <w:lang w:val="nl-NL"/>
        </w:rPr>
        <w:t xml:space="preserve"> of the </w:t>
      </w:r>
      <w:proofErr w:type="spellStart"/>
      <w:r w:rsidRPr="00C0253A" w:rsidR="00C0253A">
        <w:rPr>
          <w:rFonts w:ascii="Verdana" w:hAnsi="Verdana"/>
          <w:sz w:val="18"/>
          <w:szCs w:val="18"/>
          <w:lang w:val="nl-NL"/>
        </w:rPr>
        <w:t>group</w:t>
      </w:r>
      <w:proofErr w:type="spellEnd"/>
      <w:r w:rsidRPr="00C0253A" w:rsidR="00C0253A">
        <w:rPr>
          <w:rFonts w:ascii="Verdana" w:hAnsi="Verdana"/>
          <w:sz w:val="18"/>
          <w:szCs w:val="18"/>
          <w:lang w:val="nl-NL"/>
        </w:rPr>
        <w:t>”</w:t>
      </w:r>
      <w:r w:rsidR="00C0253A">
        <w:rPr>
          <w:rFonts w:ascii="Verdana" w:hAnsi="Verdana"/>
          <w:sz w:val="18"/>
          <w:szCs w:val="18"/>
          <w:lang w:val="nl-NL"/>
        </w:rPr>
        <w:t xml:space="preserve"> gebruikt</w:t>
      </w:r>
      <w:r w:rsidRPr="00C0253A" w:rsidR="00C0253A">
        <w:rPr>
          <w:rFonts w:ascii="Verdana" w:hAnsi="Verdana"/>
          <w:sz w:val="18"/>
          <w:szCs w:val="18"/>
          <w:lang w:val="nl-NL"/>
        </w:rPr>
        <w:t xml:space="preserve">. Beide landen hebben zo dicht mogelijk bij </w:t>
      </w:r>
      <w:r w:rsidR="00F10D15">
        <w:rPr>
          <w:rFonts w:ascii="Verdana" w:hAnsi="Verdana"/>
          <w:sz w:val="18"/>
          <w:szCs w:val="18"/>
          <w:lang w:val="nl-NL"/>
        </w:rPr>
        <w:t xml:space="preserve">hun </w:t>
      </w:r>
      <w:r w:rsidRPr="00C0253A" w:rsidR="00C0253A">
        <w:rPr>
          <w:rFonts w:ascii="Verdana" w:hAnsi="Verdana"/>
          <w:sz w:val="18"/>
          <w:szCs w:val="18"/>
          <w:lang w:val="nl-NL"/>
        </w:rPr>
        <w:t>nationale wetgeving willen aansluiten.</w:t>
      </w:r>
      <w:r>
        <w:rPr>
          <w:rFonts w:ascii="Verdana" w:hAnsi="Verdana"/>
          <w:sz w:val="18"/>
          <w:szCs w:val="18"/>
          <w:lang w:val="nl-NL"/>
        </w:rPr>
        <w:t xml:space="preserve"> </w:t>
      </w:r>
      <w:r w:rsidRPr="00C0253A" w:rsidR="00C0253A">
        <w:rPr>
          <w:rFonts w:ascii="Verdana" w:hAnsi="Verdana"/>
          <w:sz w:val="18"/>
          <w:szCs w:val="18"/>
          <w:lang w:val="nl-NL"/>
        </w:rPr>
        <w:t>De uitdrukking “</w:t>
      </w:r>
      <w:proofErr w:type="spellStart"/>
      <w:r w:rsidRPr="00C0253A" w:rsidR="00C0253A">
        <w:rPr>
          <w:rFonts w:ascii="Verdana" w:hAnsi="Verdana"/>
          <w:sz w:val="18"/>
          <w:szCs w:val="18"/>
          <w:lang w:val="nl-NL"/>
        </w:rPr>
        <w:t>head</w:t>
      </w:r>
      <w:proofErr w:type="spellEnd"/>
      <w:r w:rsidRPr="00C0253A" w:rsidR="00C0253A">
        <w:rPr>
          <w:rFonts w:ascii="Verdana" w:hAnsi="Verdana"/>
          <w:sz w:val="18"/>
          <w:szCs w:val="18"/>
          <w:lang w:val="nl-NL"/>
        </w:rPr>
        <w:t xml:space="preserve"> of the </w:t>
      </w:r>
      <w:proofErr w:type="spellStart"/>
      <w:r w:rsidR="00FF3E1E">
        <w:rPr>
          <w:rFonts w:ascii="Verdana" w:hAnsi="Verdana"/>
          <w:sz w:val="18"/>
          <w:szCs w:val="18"/>
          <w:lang w:val="nl-NL"/>
        </w:rPr>
        <w:t>g</w:t>
      </w:r>
      <w:r w:rsidRPr="00C0253A" w:rsidR="00C0253A">
        <w:rPr>
          <w:rFonts w:ascii="Verdana" w:hAnsi="Verdana"/>
          <w:sz w:val="18"/>
          <w:szCs w:val="18"/>
          <w:lang w:val="nl-NL"/>
        </w:rPr>
        <w:t>roup</w:t>
      </w:r>
      <w:proofErr w:type="spellEnd"/>
      <w:r w:rsidRPr="00C0253A" w:rsidR="00C0253A">
        <w:rPr>
          <w:rFonts w:ascii="Verdana" w:hAnsi="Verdana"/>
          <w:sz w:val="18"/>
          <w:szCs w:val="18"/>
          <w:lang w:val="nl-NL"/>
        </w:rPr>
        <w:t>” is de vertaling van de in de memorie van toelichting bij de Wet bankenbelasting</w:t>
      </w:r>
      <w:r w:rsidR="00160EC7">
        <w:rPr>
          <w:rFonts w:ascii="Verdana" w:hAnsi="Verdana"/>
          <w:sz w:val="18"/>
          <w:szCs w:val="18"/>
          <w:lang w:val="nl-NL"/>
        </w:rPr>
        <w:t xml:space="preserve"> (</w:t>
      </w:r>
      <w:r w:rsidRPr="001E5295" w:rsidR="001E5295">
        <w:rPr>
          <w:rFonts w:ascii="Verdana" w:hAnsi="Verdana"/>
          <w:sz w:val="18"/>
          <w:szCs w:val="18"/>
          <w:lang w:val="nl-NL"/>
        </w:rPr>
        <w:t>Kamerstukken II 2011/12, 33 121, nr. 3, artikelsgewijze toelichting bij artikel 4)</w:t>
      </w:r>
      <w:r w:rsidRPr="00C0253A" w:rsidR="00C0253A">
        <w:rPr>
          <w:rFonts w:ascii="Verdana" w:hAnsi="Verdana"/>
          <w:sz w:val="18"/>
          <w:szCs w:val="18"/>
          <w:lang w:val="nl-NL"/>
        </w:rPr>
        <w:t xml:space="preserve"> gebruikte uitdrukking “groepshoofd”. In</w:t>
      </w:r>
      <w:r>
        <w:rPr>
          <w:rFonts w:ascii="Verdana" w:hAnsi="Verdana"/>
          <w:sz w:val="18"/>
          <w:szCs w:val="18"/>
          <w:lang w:val="nl-NL"/>
        </w:rPr>
        <w:t xml:space="preserve"> d</w:t>
      </w:r>
      <w:r w:rsidR="00F10D15">
        <w:rPr>
          <w:rFonts w:ascii="Verdana" w:hAnsi="Verdana"/>
          <w:sz w:val="18"/>
          <w:szCs w:val="18"/>
          <w:lang w:val="nl-NL"/>
        </w:rPr>
        <w:t>ie</w:t>
      </w:r>
      <w:r w:rsidRPr="00C0253A" w:rsidR="00C0253A">
        <w:rPr>
          <w:rFonts w:ascii="Verdana" w:hAnsi="Verdana"/>
          <w:sz w:val="18"/>
          <w:szCs w:val="18"/>
          <w:lang w:val="nl-NL"/>
        </w:rPr>
        <w:t xml:space="preserve"> memorie van toelichting is “groepshoofd” omschreven als een in Nederland gevestigd lichaam dat de financiële gegevens van een of meerdere lichamen die op zich zelf bezien op grond van artikel 3 </w:t>
      </w:r>
      <w:r w:rsidR="00C0253A">
        <w:rPr>
          <w:rFonts w:ascii="Verdana" w:hAnsi="Verdana"/>
          <w:sz w:val="18"/>
          <w:szCs w:val="18"/>
          <w:lang w:val="nl-NL"/>
        </w:rPr>
        <w:t xml:space="preserve">van de </w:t>
      </w:r>
      <w:r w:rsidRPr="00C0253A" w:rsidR="00C0253A">
        <w:rPr>
          <w:rFonts w:ascii="Verdana" w:hAnsi="Verdana"/>
          <w:sz w:val="18"/>
          <w:szCs w:val="18"/>
          <w:lang w:val="nl-NL"/>
        </w:rPr>
        <w:t>Wet bankenbelasting als belastingplichtige zouden kwalificeren</w:t>
      </w:r>
      <w:r w:rsidR="004E2B8F">
        <w:rPr>
          <w:rFonts w:ascii="Verdana" w:hAnsi="Verdana"/>
          <w:sz w:val="18"/>
          <w:szCs w:val="18"/>
          <w:lang w:val="nl-NL"/>
        </w:rPr>
        <w:t>,</w:t>
      </w:r>
      <w:r w:rsidRPr="00C0253A" w:rsidR="00C0253A">
        <w:rPr>
          <w:rFonts w:ascii="Verdana" w:hAnsi="Verdana"/>
          <w:sz w:val="18"/>
          <w:szCs w:val="18"/>
          <w:lang w:val="nl-NL"/>
        </w:rPr>
        <w:t xml:space="preserve"> in de door haar opgestelde geconsolideerde jaarrekening heeft opgenomen.</w:t>
      </w:r>
      <w:r>
        <w:rPr>
          <w:rFonts w:ascii="Verdana" w:hAnsi="Verdana"/>
          <w:sz w:val="18"/>
          <w:szCs w:val="18"/>
          <w:lang w:val="nl-NL"/>
        </w:rPr>
        <w:t xml:space="preserve"> </w:t>
      </w:r>
      <w:r w:rsidRPr="00C0253A" w:rsidR="00C0253A">
        <w:rPr>
          <w:rFonts w:ascii="Verdana" w:hAnsi="Verdana"/>
          <w:sz w:val="18"/>
          <w:szCs w:val="18"/>
          <w:lang w:val="nl-NL"/>
        </w:rPr>
        <w:t xml:space="preserve">In de Britse bankenbelasting </w:t>
      </w:r>
      <w:r w:rsidR="004E2B8F">
        <w:rPr>
          <w:rFonts w:ascii="Verdana" w:hAnsi="Verdana"/>
          <w:sz w:val="18"/>
          <w:szCs w:val="18"/>
          <w:lang w:val="nl-NL"/>
        </w:rPr>
        <w:t>zel</w:t>
      </w:r>
      <w:r w:rsidR="00FF3E1E">
        <w:rPr>
          <w:rFonts w:ascii="Verdana" w:hAnsi="Verdana"/>
          <w:sz w:val="18"/>
          <w:szCs w:val="18"/>
          <w:lang w:val="nl-NL"/>
        </w:rPr>
        <w:t>f</w:t>
      </w:r>
      <w:r w:rsidR="004E2B8F">
        <w:rPr>
          <w:rFonts w:ascii="Verdana" w:hAnsi="Verdana"/>
          <w:sz w:val="18"/>
          <w:szCs w:val="18"/>
          <w:lang w:val="nl-NL"/>
        </w:rPr>
        <w:t xml:space="preserve"> </w:t>
      </w:r>
      <w:r w:rsidRPr="00C0253A" w:rsidR="00C0253A">
        <w:rPr>
          <w:rFonts w:ascii="Verdana" w:hAnsi="Verdana"/>
          <w:sz w:val="18"/>
          <w:szCs w:val="18"/>
          <w:lang w:val="nl-NL"/>
        </w:rPr>
        <w:t>wordt de uitdrukking “</w:t>
      </w:r>
      <w:proofErr w:type="spellStart"/>
      <w:r w:rsidRPr="00C0253A" w:rsidR="00C0253A">
        <w:rPr>
          <w:rFonts w:ascii="Verdana" w:hAnsi="Verdana"/>
          <w:sz w:val="18"/>
          <w:szCs w:val="18"/>
          <w:lang w:val="nl-NL"/>
        </w:rPr>
        <w:t>parent</w:t>
      </w:r>
      <w:proofErr w:type="spellEnd"/>
      <w:r w:rsidRPr="00C0253A" w:rsidR="00C0253A">
        <w:rPr>
          <w:rFonts w:ascii="Verdana" w:hAnsi="Verdana"/>
          <w:sz w:val="18"/>
          <w:szCs w:val="18"/>
          <w:lang w:val="nl-NL"/>
        </w:rPr>
        <w:t xml:space="preserve"> of the </w:t>
      </w:r>
      <w:proofErr w:type="spellStart"/>
      <w:r w:rsidRPr="00C0253A" w:rsidR="00C0253A">
        <w:rPr>
          <w:rFonts w:ascii="Verdana" w:hAnsi="Verdana"/>
          <w:sz w:val="18"/>
          <w:szCs w:val="18"/>
          <w:lang w:val="nl-NL"/>
        </w:rPr>
        <w:t>group</w:t>
      </w:r>
      <w:proofErr w:type="spellEnd"/>
      <w:r w:rsidRPr="00C0253A" w:rsidR="00C0253A">
        <w:rPr>
          <w:rFonts w:ascii="Verdana" w:hAnsi="Verdana"/>
          <w:sz w:val="18"/>
          <w:szCs w:val="18"/>
          <w:lang w:val="nl-NL"/>
        </w:rPr>
        <w:t>” niet ge</w:t>
      </w:r>
      <w:r w:rsidR="004E2B8F">
        <w:rPr>
          <w:rFonts w:ascii="Verdana" w:hAnsi="Verdana"/>
          <w:sz w:val="18"/>
          <w:szCs w:val="18"/>
          <w:lang w:val="nl-NL"/>
        </w:rPr>
        <w:t>definieerd, maar is m</w:t>
      </w:r>
      <w:r w:rsidRPr="00C0253A" w:rsidR="00C0253A">
        <w:rPr>
          <w:rFonts w:ascii="Verdana" w:hAnsi="Verdana"/>
          <w:sz w:val="18"/>
          <w:szCs w:val="18"/>
          <w:lang w:val="nl-NL"/>
        </w:rPr>
        <w:t>et betrekking tot de uitdrukkingen “</w:t>
      </w:r>
      <w:proofErr w:type="spellStart"/>
      <w:r w:rsidRPr="00C0253A" w:rsidR="00C0253A">
        <w:rPr>
          <w:rFonts w:ascii="Verdana" w:hAnsi="Verdana"/>
          <w:sz w:val="18"/>
          <w:szCs w:val="18"/>
          <w:lang w:val="nl-NL"/>
        </w:rPr>
        <w:t>group</w:t>
      </w:r>
      <w:proofErr w:type="spellEnd"/>
      <w:r w:rsidRPr="00C0253A" w:rsidR="00C0253A">
        <w:rPr>
          <w:rFonts w:ascii="Verdana" w:hAnsi="Verdana"/>
          <w:sz w:val="18"/>
          <w:szCs w:val="18"/>
          <w:lang w:val="nl-NL"/>
        </w:rPr>
        <w:t>” en “</w:t>
      </w:r>
      <w:proofErr w:type="spellStart"/>
      <w:r w:rsidRPr="00C0253A" w:rsidR="00C0253A">
        <w:rPr>
          <w:rFonts w:ascii="Verdana" w:hAnsi="Verdana"/>
          <w:sz w:val="18"/>
          <w:szCs w:val="18"/>
          <w:lang w:val="nl-NL"/>
        </w:rPr>
        <w:t>parent</w:t>
      </w:r>
      <w:proofErr w:type="spellEnd"/>
      <w:r w:rsidRPr="00C0253A" w:rsidR="00C0253A">
        <w:rPr>
          <w:rFonts w:ascii="Verdana" w:hAnsi="Verdana"/>
          <w:sz w:val="18"/>
          <w:szCs w:val="18"/>
          <w:lang w:val="nl-NL"/>
        </w:rPr>
        <w:t>” bepaald dat die de betekenis hebben die de Internationale accounting standaarden aan deze begrippen geven</w:t>
      </w:r>
      <w:r w:rsidR="00CE52EF">
        <w:rPr>
          <w:rFonts w:ascii="Verdana" w:hAnsi="Verdana"/>
          <w:sz w:val="18"/>
          <w:szCs w:val="18"/>
          <w:lang w:val="nl-NL"/>
        </w:rPr>
        <w:t xml:space="preserve"> (</w:t>
      </w:r>
      <w:r w:rsidRPr="0039409F" w:rsidR="0039409F">
        <w:rPr>
          <w:rFonts w:ascii="Verdana" w:hAnsi="Verdana"/>
          <w:sz w:val="18"/>
          <w:szCs w:val="18"/>
          <w:lang w:val="nl-NL"/>
        </w:rPr>
        <w:t xml:space="preserve">Finance act 2011, </w:t>
      </w:r>
      <w:proofErr w:type="spellStart"/>
      <w:r w:rsidRPr="0039409F" w:rsidR="0039409F">
        <w:rPr>
          <w:rFonts w:ascii="Verdana" w:hAnsi="Verdana"/>
          <w:sz w:val="18"/>
          <w:szCs w:val="18"/>
          <w:lang w:val="nl-NL"/>
        </w:rPr>
        <w:t>Chapter</w:t>
      </w:r>
      <w:proofErr w:type="spellEnd"/>
      <w:r w:rsidRPr="0039409F" w:rsidR="0039409F">
        <w:rPr>
          <w:rFonts w:ascii="Verdana" w:hAnsi="Verdana"/>
          <w:sz w:val="18"/>
          <w:szCs w:val="18"/>
          <w:lang w:val="nl-NL"/>
        </w:rPr>
        <w:t xml:space="preserve"> 11, Schedule 19, Part 2, </w:t>
      </w:r>
      <w:proofErr w:type="spellStart"/>
      <w:r w:rsidRPr="0039409F" w:rsidR="0039409F">
        <w:rPr>
          <w:rFonts w:ascii="Verdana" w:hAnsi="Verdana"/>
          <w:sz w:val="18"/>
          <w:szCs w:val="18"/>
          <w:lang w:val="nl-NL"/>
        </w:rPr>
        <w:t>article</w:t>
      </w:r>
      <w:proofErr w:type="spellEnd"/>
      <w:r w:rsidRPr="0039409F" w:rsidR="0039409F">
        <w:rPr>
          <w:rFonts w:ascii="Verdana" w:hAnsi="Verdana"/>
          <w:sz w:val="18"/>
          <w:szCs w:val="18"/>
          <w:lang w:val="nl-NL"/>
        </w:rPr>
        <w:t xml:space="preserve"> 4, </w:t>
      </w:r>
      <w:proofErr w:type="spellStart"/>
      <w:r w:rsidRPr="0039409F" w:rsidR="0039409F">
        <w:rPr>
          <w:rFonts w:ascii="Verdana" w:hAnsi="Verdana"/>
          <w:sz w:val="18"/>
          <w:szCs w:val="18"/>
          <w:lang w:val="nl-NL"/>
        </w:rPr>
        <w:t>paragraph</w:t>
      </w:r>
      <w:proofErr w:type="spellEnd"/>
      <w:r w:rsidRPr="0039409F" w:rsidR="0039409F">
        <w:rPr>
          <w:rFonts w:ascii="Verdana" w:hAnsi="Verdana"/>
          <w:sz w:val="18"/>
          <w:szCs w:val="18"/>
          <w:lang w:val="nl-NL"/>
        </w:rPr>
        <w:t xml:space="preserve"> 4)</w:t>
      </w:r>
      <w:r w:rsidR="00F4256E">
        <w:rPr>
          <w:rFonts w:ascii="Verdana" w:hAnsi="Verdana"/>
          <w:sz w:val="18"/>
          <w:szCs w:val="18"/>
          <w:lang w:val="nl-NL"/>
        </w:rPr>
        <w:t>.</w:t>
      </w:r>
    </w:p>
    <w:p w:rsidR="00F874C5"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 xml:space="preserve">In </w:t>
      </w:r>
      <w:r w:rsidR="00B9176F">
        <w:rPr>
          <w:rFonts w:ascii="Verdana" w:hAnsi="Verdana"/>
          <w:sz w:val="18"/>
          <w:szCs w:val="18"/>
          <w:lang w:val="nl-NL"/>
        </w:rPr>
        <w:t xml:space="preserve">artikel 5, eerste lid, </w:t>
      </w:r>
      <w:r w:rsidRPr="001D6B88">
        <w:rPr>
          <w:rFonts w:ascii="Verdana" w:hAnsi="Verdana"/>
          <w:sz w:val="18"/>
          <w:szCs w:val="18"/>
          <w:lang w:val="nl-NL"/>
        </w:rPr>
        <w:t>onderdeel b</w:t>
      </w:r>
      <w:r w:rsidR="00B9176F">
        <w:rPr>
          <w:rFonts w:ascii="Verdana" w:hAnsi="Verdana"/>
          <w:sz w:val="18"/>
          <w:szCs w:val="18"/>
          <w:lang w:val="nl-NL"/>
        </w:rPr>
        <w:t>,</w:t>
      </w:r>
      <w:r w:rsidRPr="001D6B88">
        <w:rPr>
          <w:rFonts w:ascii="Verdana" w:hAnsi="Verdana"/>
          <w:sz w:val="18"/>
          <w:szCs w:val="18"/>
          <w:lang w:val="nl-NL"/>
        </w:rPr>
        <w:t xml:space="preserve"> is neergelegd hoe Nederland vermindering van dubbele bankenbelasting verleent </w:t>
      </w:r>
      <w:proofErr w:type="gramStart"/>
      <w:r w:rsidR="00A57601">
        <w:rPr>
          <w:rFonts w:ascii="Verdana" w:hAnsi="Verdana"/>
          <w:sz w:val="18"/>
          <w:szCs w:val="18"/>
          <w:lang w:val="nl-NL"/>
        </w:rPr>
        <w:t>ter zake</w:t>
      </w:r>
      <w:proofErr w:type="gramEnd"/>
      <w:r w:rsidR="00A57601">
        <w:rPr>
          <w:rFonts w:ascii="Verdana" w:hAnsi="Verdana"/>
          <w:sz w:val="18"/>
          <w:szCs w:val="18"/>
          <w:lang w:val="nl-NL"/>
        </w:rPr>
        <w:t xml:space="preserve"> van</w:t>
      </w:r>
      <w:r w:rsidRPr="001D6B88">
        <w:rPr>
          <w:rFonts w:ascii="Verdana" w:hAnsi="Verdana"/>
          <w:sz w:val="18"/>
          <w:szCs w:val="18"/>
          <w:lang w:val="nl-NL"/>
        </w:rPr>
        <w:t xml:space="preserve"> een in Nederland ge</w:t>
      </w:r>
      <w:r w:rsidR="003B39ED">
        <w:rPr>
          <w:rFonts w:ascii="Verdana" w:hAnsi="Verdana"/>
          <w:sz w:val="18"/>
          <w:szCs w:val="18"/>
          <w:lang w:val="nl-NL"/>
        </w:rPr>
        <w:t>legen</w:t>
      </w:r>
      <w:r w:rsidRPr="001D6B88">
        <w:rPr>
          <w:rFonts w:ascii="Verdana" w:hAnsi="Verdana"/>
          <w:sz w:val="18"/>
          <w:szCs w:val="18"/>
          <w:lang w:val="nl-NL"/>
        </w:rPr>
        <w:t xml:space="preserve"> vaste inrichting van een Britse entiteit. De </w:t>
      </w:r>
      <w:r w:rsidR="00A57601">
        <w:rPr>
          <w:rFonts w:ascii="Verdana" w:hAnsi="Verdana"/>
          <w:sz w:val="18"/>
          <w:szCs w:val="18"/>
          <w:lang w:val="nl-NL"/>
        </w:rPr>
        <w:t>in het VK geheven</w:t>
      </w:r>
      <w:r w:rsidRPr="001D6B88" w:rsidR="00A57601">
        <w:rPr>
          <w:rFonts w:ascii="Verdana" w:hAnsi="Verdana"/>
          <w:sz w:val="18"/>
          <w:szCs w:val="18"/>
          <w:lang w:val="nl-NL"/>
        </w:rPr>
        <w:t xml:space="preserve"> </w:t>
      </w:r>
      <w:r w:rsidRPr="001D6B88">
        <w:rPr>
          <w:rFonts w:ascii="Verdana" w:hAnsi="Verdana"/>
          <w:sz w:val="18"/>
          <w:szCs w:val="18"/>
          <w:lang w:val="nl-NL"/>
        </w:rPr>
        <w:t xml:space="preserve">bankenbelasting komt voor verrekening in aanmerking voor zover deze kan worden toegerekend aan </w:t>
      </w:r>
      <w:r w:rsidR="004946FA">
        <w:rPr>
          <w:rFonts w:ascii="Verdana" w:hAnsi="Verdana"/>
          <w:sz w:val="18"/>
          <w:szCs w:val="18"/>
          <w:lang w:val="nl-NL"/>
        </w:rPr>
        <w:t xml:space="preserve">passiva van </w:t>
      </w:r>
      <w:r w:rsidRPr="001D6B88">
        <w:rPr>
          <w:rFonts w:ascii="Verdana" w:hAnsi="Verdana"/>
          <w:sz w:val="18"/>
          <w:szCs w:val="18"/>
          <w:lang w:val="nl-NL"/>
        </w:rPr>
        <w:t xml:space="preserve">de </w:t>
      </w:r>
      <w:r w:rsidR="004946FA">
        <w:rPr>
          <w:rFonts w:ascii="Verdana" w:hAnsi="Verdana"/>
          <w:sz w:val="18"/>
          <w:szCs w:val="18"/>
          <w:lang w:val="nl-NL"/>
        </w:rPr>
        <w:t xml:space="preserve">in Nederland gelegen </w:t>
      </w:r>
      <w:r w:rsidRPr="001D6B88">
        <w:rPr>
          <w:rFonts w:ascii="Verdana" w:hAnsi="Verdana"/>
          <w:sz w:val="18"/>
          <w:szCs w:val="18"/>
          <w:lang w:val="nl-NL"/>
        </w:rPr>
        <w:t xml:space="preserve">vaste inrichting. In artikel II van het Protocol is vastgelegd dat deze toerekening dient plaats te vinden </w:t>
      </w:r>
      <w:r w:rsidR="004946FA">
        <w:rPr>
          <w:rFonts w:ascii="Verdana" w:hAnsi="Verdana"/>
          <w:sz w:val="18"/>
          <w:szCs w:val="18"/>
          <w:lang w:val="nl-NL"/>
        </w:rPr>
        <w:t xml:space="preserve">op basis van de beginselen </w:t>
      </w:r>
      <w:r w:rsidRPr="001D6B88">
        <w:rPr>
          <w:rFonts w:ascii="Verdana" w:hAnsi="Verdana"/>
          <w:sz w:val="18"/>
          <w:szCs w:val="18"/>
          <w:lang w:val="nl-NL"/>
        </w:rPr>
        <w:t xml:space="preserve">van het </w:t>
      </w:r>
      <w:r w:rsidR="00B9176F">
        <w:rPr>
          <w:rFonts w:ascii="Verdana" w:hAnsi="Verdana"/>
          <w:sz w:val="18"/>
          <w:szCs w:val="18"/>
          <w:lang w:val="nl-NL"/>
        </w:rPr>
        <w:t xml:space="preserve">in 2010 verschenen </w:t>
      </w:r>
      <w:r w:rsidRPr="001D6B88">
        <w:rPr>
          <w:rFonts w:ascii="Verdana" w:hAnsi="Verdana"/>
          <w:sz w:val="18"/>
          <w:szCs w:val="18"/>
          <w:lang w:val="nl-NL"/>
        </w:rPr>
        <w:t>OE</w:t>
      </w:r>
      <w:r w:rsidR="00347BBB">
        <w:rPr>
          <w:rFonts w:ascii="Verdana" w:hAnsi="Verdana"/>
          <w:sz w:val="18"/>
          <w:szCs w:val="18"/>
          <w:lang w:val="nl-NL"/>
        </w:rPr>
        <w:t>SO</w:t>
      </w:r>
      <w:r w:rsidR="005B6724">
        <w:rPr>
          <w:rFonts w:ascii="Verdana" w:hAnsi="Verdana"/>
          <w:sz w:val="18"/>
          <w:szCs w:val="18"/>
          <w:lang w:val="nl-NL"/>
        </w:rPr>
        <w:t>-</w:t>
      </w:r>
      <w:r w:rsidRPr="001D6B88">
        <w:rPr>
          <w:rFonts w:ascii="Verdana" w:hAnsi="Verdana"/>
          <w:sz w:val="18"/>
          <w:szCs w:val="18"/>
          <w:lang w:val="nl-NL"/>
        </w:rPr>
        <w:t>rapport over de toerekening van resultaten aan vaste inrichtingen</w:t>
      </w:r>
      <w:r w:rsidR="00CE52EF">
        <w:rPr>
          <w:rFonts w:ascii="Verdana" w:hAnsi="Verdana"/>
          <w:sz w:val="18"/>
          <w:szCs w:val="18"/>
          <w:lang w:val="nl-NL"/>
        </w:rPr>
        <w:t xml:space="preserve"> </w:t>
      </w:r>
      <w:r w:rsidRPr="00210C01" w:rsidR="00CE52EF">
        <w:rPr>
          <w:rFonts w:ascii="Verdana" w:hAnsi="Verdana"/>
          <w:sz w:val="18"/>
          <w:szCs w:val="18"/>
          <w:lang w:val="nl-NL"/>
        </w:rPr>
        <w:t>(</w:t>
      </w:r>
      <w:r w:rsidRPr="00210C01" w:rsidR="0039409F">
        <w:rPr>
          <w:rFonts w:ascii="Verdana" w:hAnsi="Verdana"/>
          <w:sz w:val="18"/>
          <w:szCs w:val="18"/>
          <w:lang w:val="nl-NL"/>
        </w:rPr>
        <w:t xml:space="preserve">OESO-rapport: ‘Report on the </w:t>
      </w:r>
      <w:proofErr w:type="spellStart"/>
      <w:r w:rsidRPr="00210C01" w:rsidR="0039409F">
        <w:rPr>
          <w:rFonts w:ascii="Verdana" w:hAnsi="Verdana"/>
          <w:sz w:val="18"/>
          <w:szCs w:val="18"/>
          <w:lang w:val="nl-NL"/>
        </w:rPr>
        <w:t>attribution</w:t>
      </w:r>
      <w:proofErr w:type="spellEnd"/>
      <w:r w:rsidRPr="00210C01" w:rsidR="0039409F">
        <w:rPr>
          <w:rFonts w:ascii="Verdana" w:hAnsi="Verdana"/>
          <w:sz w:val="18"/>
          <w:szCs w:val="18"/>
          <w:lang w:val="nl-NL"/>
        </w:rPr>
        <w:t xml:space="preserve"> of </w:t>
      </w:r>
      <w:proofErr w:type="spellStart"/>
      <w:r w:rsidRPr="00210C01" w:rsidR="0039409F">
        <w:rPr>
          <w:rFonts w:ascii="Verdana" w:hAnsi="Verdana"/>
          <w:sz w:val="18"/>
          <w:szCs w:val="18"/>
          <w:lang w:val="nl-NL"/>
        </w:rPr>
        <w:t>profits</w:t>
      </w:r>
      <w:proofErr w:type="spellEnd"/>
      <w:r w:rsidRPr="00210C01" w:rsidR="0039409F">
        <w:rPr>
          <w:rFonts w:ascii="Verdana" w:hAnsi="Verdana"/>
          <w:sz w:val="18"/>
          <w:szCs w:val="18"/>
          <w:lang w:val="nl-NL"/>
        </w:rPr>
        <w:t xml:space="preserve"> </w:t>
      </w:r>
      <w:proofErr w:type="spellStart"/>
      <w:r w:rsidRPr="00210C01" w:rsidR="0039409F">
        <w:rPr>
          <w:rFonts w:ascii="Verdana" w:hAnsi="Verdana"/>
          <w:sz w:val="18"/>
          <w:szCs w:val="18"/>
          <w:lang w:val="nl-NL"/>
        </w:rPr>
        <w:t>to</w:t>
      </w:r>
      <w:proofErr w:type="spellEnd"/>
      <w:r w:rsidRPr="00210C01" w:rsidR="0039409F">
        <w:rPr>
          <w:rFonts w:ascii="Verdana" w:hAnsi="Verdana"/>
          <w:sz w:val="18"/>
          <w:szCs w:val="18"/>
          <w:lang w:val="nl-NL"/>
        </w:rPr>
        <w:t xml:space="preserve"> permanent </w:t>
      </w:r>
      <w:proofErr w:type="spellStart"/>
      <w:r w:rsidRPr="00210C01" w:rsidR="0039409F">
        <w:rPr>
          <w:rFonts w:ascii="Verdana" w:hAnsi="Verdana"/>
          <w:sz w:val="18"/>
          <w:szCs w:val="18"/>
          <w:lang w:val="nl-NL"/>
        </w:rPr>
        <w:t>establishments</w:t>
      </w:r>
      <w:proofErr w:type="spellEnd"/>
      <w:r w:rsidRPr="00210C01" w:rsidR="0039409F">
        <w:rPr>
          <w:rFonts w:ascii="Verdana" w:hAnsi="Verdana"/>
          <w:sz w:val="18"/>
          <w:szCs w:val="18"/>
          <w:lang w:val="nl-NL"/>
        </w:rPr>
        <w:t xml:space="preserve">’, 22 juli 2010 </w:t>
      </w:r>
      <w:hyperlink w:history="1" r:id="rId9">
        <w:r w:rsidRPr="00210C01" w:rsidR="0039409F">
          <w:rPr>
            <w:rStyle w:val="Hyperlink"/>
            <w:rFonts w:ascii="Verdana" w:hAnsi="Verdana"/>
            <w:sz w:val="18"/>
            <w:szCs w:val="18"/>
            <w:lang w:val="nl-NL"/>
          </w:rPr>
          <w:t>www.oecd.org</w:t>
        </w:r>
      </w:hyperlink>
      <w:r w:rsidRPr="00210C01" w:rsidR="00CE52EF">
        <w:rPr>
          <w:rFonts w:ascii="Verdana" w:hAnsi="Verdana"/>
          <w:sz w:val="18"/>
          <w:szCs w:val="18"/>
          <w:lang w:val="nl-NL"/>
        </w:rPr>
        <w:t>)</w:t>
      </w:r>
      <w:r w:rsidRPr="00210C01">
        <w:rPr>
          <w:rFonts w:ascii="Verdana" w:hAnsi="Verdana"/>
          <w:sz w:val="18"/>
          <w:szCs w:val="18"/>
          <w:lang w:val="nl-NL"/>
        </w:rPr>
        <w:t>.</w:t>
      </w:r>
    </w:p>
    <w:p w:rsidR="0016635D" w:rsidP="00FA42A5" w:rsidRDefault="00B9176F">
      <w:pPr>
        <w:spacing w:after="240" w:line="360" w:lineRule="auto"/>
        <w:rPr>
          <w:rFonts w:ascii="Verdana" w:hAnsi="Verdana"/>
          <w:sz w:val="18"/>
          <w:szCs w:val="18"/>
          <w:lang w:val="nl-NL"/>
        </w:rPr>
      </w:pPr>
      <w:r>
        <w:rPr>
          <w:rFonts w:ascii="Verdana" w:hAnsi="Verdana"/>
          <w:sz w:val="18"/>
          <w:szCs w:val="18"/>
          <w:lang w:val="nl-NL"/>
        </w:rPr>
        <w:t xml:space="preserve">Nederland verleent ook </w:t>
      </w:r>
      <w:r w:rsidR="00A57601">
        <w:rPr>
          <w:rFonts w:ascii="Verdana" w:hAnsi="Verdana"/>
          <w:sz w:val="18"/>
          <w:szCs w:val="18"/>
          <w:lang w:val="nl-NL"/>
        </w:rPr>
        <w:t>verrekening</w:t>
      </w:r>
      <w:r w:rsidR="000C7A30">
        <w:rPr>
          <w:rFonts w:ascii="Verdana" w:hAnsi="Verdana"/>
          <w:sz w:val="18"/>
          <w:szCs w:val="18"/>
          <w:lang w:val="nl-NL"/>
        </w:rPr>
        <w:t xml:space="preserve"> </w:t>
      </w:r>
      <w:r>
        <w:rPr>
          <w:rFonts w:ascii="Verdana" w:hAnsi="Verdana"/>
          <w:sz w:val="18"/>
          <w:szCs w:val="18"/>
          <w:lang w:val="nl-NL"/>
        </w:rPr>
        <w:t>in het geval</w:t>
      </w:r>
      <w:r w:rsidR="003E3DB1">
        <w:rPr>
          <w:rFonts w:ascii="Verdana" w:hAnsi="Verdana"/>
          <w:sz w:val="18"/>
          <w:szCs w:val="18"/>
          <w:lang w:val="nl-NL"/>
        </w:rPr>
        <w:t xml:space="preserve"> </w:t>
      </w:r>
      <w:r w:rsidR="000C7A30">
        <w:rPr>
          <w:rFonts w:ascii="Verdana" w:hAnsi="Verdana"/>
          <w:sz w:val="18"/>
          <w:szCs w:val="18"/>
          <w:lang w:val="nl-NL"/>
        </w:rPr>
        <w:t xml:space="preserve">het VK bankenbelasting </w:t>
      </w:r>
      <w:r w:rsidR="003E3DB1">
        <w:rPr>
          <w:rFonts w:ascii="Verdana" w:hAnsi="Verdana"/>
          <w:sz w:val="18"/>
          <w:szCs w:val="18"/>
          <w:lang w:val="nl-NL"/>
        </w:rPr>
        <w:t>heft</w:t>
      </w:r>
      <w:r w:rsidR="000C7A30">
        <w:rPr>
          <w:rFonts w:ascii="Verdana" w:hAnsi="Verdana"/>
          <w:sz w:val="18"/>
          <w:szCs w:val="18"/>
          <w:lang w:val="nl-NL"/>
        </w:rPr>
        <w:t xml:space="preserve"> </w:t>
      </w:r>
      <w:proofErr w:type="gramStart"/>
      <w:r w:rsidR="000C7A30">
        <w:rPr>
          <w:rFonts w:ascii="Verdana" w:hAnsi="Verdana"/>
          <w:sz w:val="18"/>
          <w:szCs w:val="18"/>
          <w:lang w:val="nl-NL"/>
        </w:rPr>
        <w:t>ter zake</w:t>
      </w:r>
      <w:proofErr w:type="gramEnd"/>
      <w:r w:rsidR="000C7A30">
        <w:rPr>
          <w:rFonts w:ascii="Verdana" w:hAnsi="Verdana"/>
          <w:sz w:val="18"/>
          <w:szCs w:val="18"/>
          <w:lang w:val="nl-NL"/>
        </w:rPr>
        <w:t xml:space="preserve"> van</w:t>
      </w:r>
      <w:r>
        <w:rPr>
          <w:rFonts w:ascii="Verdana" w:hAnsi="Verdana"/>
          <w:sz w:val="18"/>
          <w:szCs w:val="18"/>
          <w:lang w:val="nl-NL"/>
        </w:rPr>
        <w:t xml:space="preserve"> </w:t>
      </w:r>
      <w:r w:rsidRPr="001D6B88" w:rsidR="001D6B88">
        <w:rPr>
          <w:rFonts w:ascii="Verdana" w:hAnsi="Verdana"/>
          <w:sz w:val="18"/>
          <w:szCs w:val="18"/>
          <w:lang w:val="nl-NL"/>
        </w:rPr>
        <w:t>een in Nederland ge</w:t>
      </w:r>
      <w:r w:rsidR="00347BBB">
        <w:rPr>
          <w:rFonts w:ascii="Verdana" w:hAnsi="Verdana"/>
          <w:sz w:val="18"/>
          <w:szCs w:val="18"/>
          <w:lang w:val="nl-NL"/>
        </w:rPr>
        <w:t>legen</w:t>
      </w:r>
      <w:r w:rsidRPr="001D6B88" w:rsidR="001D6B88">
        <w:rPr>
          <w:rFonts w:ascii="Verdana" w:hAnsi="Verdana"/>
          <w:sz w:val="18"/>
          <w:szCs w:val="18"/>
          <w:lang w:val="nl-NL"/>
        </w:rPr>
        <w:t xml:space="preserve"> vaste inrichting van een in een derde staat gevestigde dochtermaatschappij van een Britse entiteit</w:t>
      </w:r>
      <w:r w:rsidR="00F874C5">
        <w:rPr>
          <w:rFonts w:ascii="Verdana" w:hAnsi="Verdana"/>
          <w:sz w:val="18"/>
          <w:szCs w:val="18"/>
          <w:lang w:val="nl-NL"/>
        </w:rPr>
        <w:t xml:space="preserve"> en</w:t>
      </w:r>
      <w:r w:rsidR="00A57601">
        <w:rPr>
          <w:rFonts w:ascii="Verdana" w:hAnsi="Verdana"/>
          <w:sz w:val="18"/>
          <w:szCs w:val="18"/>
          <w:lang w:val="nl-NL"/>
        </w:rPr>
        <w:t xml:space="preserve"> d</w:t>
      </w:r>
      <w:r w:rsidR="005335CB">
        <w:rPr>
          <w:rFonts w:ascii="Verdana" w:hAnsi="Verdana"/>
          <w:sz w:val="18"/>
          <w:szCs w:val="18"/>
          <w:lang w:val="nl-NL"/>
        </w:rPr>
        <w:t>eze</w:t>
      </w:r>
      <w:r w:rsidR="00A57601">
        <w:rPr>
          <w:rFonts w:ascii="Verdana" w:hAnsi="Verdana"/>
          <w:sz w:val="18"/>
          <w:szCs w:val="18"/>
          <w:lang w:val="nl-NL"/>
        </w:rPr>
        <w:t xml:space="preserve"> laatste Britse entiteit</w:t>
      </w:r>
      <w:r w:rsidR="00404227">
        <w:rPr>
          <w:rFonts w:ascii="Verdana" w:hAnsi="Verdana"/>
          <w:sz w:val="18"/>
          <w:szCs w:val="18"/>
          <w:lang w:val="nl-NL"/>
        </w:rPr>
        <w:t xml:space="preserve"> als groepshoofd </w:t>
      </w:r>
      <w:r w:rsidRPr="001D6B88" w:rsidR="001D6B88">
        <w:rPr>
          <w:rFonts w:ascii="Verdana" w:hAnsi="Verdana"/>
          <w:sz w:val="18"/>
          <w:szCs w:val="18"/>
          <w:lang w:val="nl-NL"/>
        </w:rPr>
        <w:t xml:space="preserve">op basis van </w:t>
      </w:r>
      <w:r w:rsidR="00F874C5">
        <w:rPr>
          <w:rFonts w:ascii="Verdana" w:hAnsi="Verdana"/>
          <w:sz w:val="18"/>
          <w:szCs w:val="18"/>
          <w:lang w:val="nl-NL"/>
        </w:rPr>
        <w:t>een</w:t>
      </w:r>
      <w:r w:rsidRPr="001D6B88" w:rsidR="001D6B88">
        <w:rPr>
          <w:rFonts w:ascii="Verdana" w:hAnsi="Verdana"/>
          <w:sz w:val="18"/>
          <w:szCs w:val="18"/>
          <w:lang w:val="nl-NL"/>
        </w:rPr>
        <w:t xml:space="preserve"> geconsolideerde balans </w:t>
      </w:r>
      <w:r w:rsidR="00404227">
        <w:rPr>
          <w:rFonts w:ascii="Verdana" w:hAnsi="Verdana"/>
          <w:sz w:val="18"/>
          <w:szCs w:val="18"/>
          <w:lang w:val="nl-NL"/>
        </w:rPr>
        <w:t>in de heffing van de</w:t>
      </w:r>
      <w:r w:rsidR="003E3DB1">
        <w:rPr>
          <w:rFonts w:ascii="Verdana" w:hAnsi="Verdana"/>
          <w:sz w:val="18"/>
          <w:szCs w:val="18"/>
          <w:lang w:val="nl-NL"/>
        </w:rPr>
        <w:t xml:space="preserve"> Britse</w:t>
      </w:r>
      <w:r w:rsidR="00404227">
        <w:rPr>
          <w:rFonts w:ascii="Verdana" w:hAnsi="Verdana"/>
          <w:sz w:val="18"/>
          <w:szCs w:val="18"/>
          <w:lang w:val="nl-NL"/>
        </w:rPr>
        <w:t xml:space="preserve"> bankenbelasting wordt betrokken. </w:t>
      </w:r>
      <w:r w:rsidR="003E3DB1">
        <w:rPr>
          <w:rFonts w:ascii="Verdana" w:hAnsi="Verdana"/>
          <w:sz w:val="18"/>
          <w:szCs w:val="18"/>
          <w:lang w:val="nl-NL"/>
        </w:rPr>
        <w:t>In</w:t>
      </w:r>
      <w:r w:rsidR="000C7A30">
        <w:rPr>
          <w:rFonts w:ascii="Verdana" w:hAnsi="Verdana"/>
          <w:sz w:val="18"/>
          <w:szCs w:val="18"/>
          <w:lang w:val="nl-NL"/>
        </w:rPr>
        <w:t xml:space="preserve"> onderdeel b </w:t>
      </w:r>
      <w:r w:rsidR="005335CB">
        <w:rPr>
          <w:rFonts w:ascii="Verdana" w:hAnsi="Verdana"/>
          <w:sz w:val="18"/>
          <w:szCs w:val="18"/>
          <w:lang w:val="nl-NL"/>
        </w:rPr>
        <w:t xml:space="preserve">van het eerste lid </w:t>
      </w:r>
      <w:r w:rsidR="000C7A30">
        <w:rPr>
          <w:rFonts w:ascii="Verdana" w:hAnsi="Verdana"/>
          <w:sz w:val="18"/>
          <w:szCs w:val="18"/>
          <w:lang w:val="nl-NL"/>
        </w:rPr>
        <w:t>is namelijk niet het vereiste opgenomen dat het een vaste inrichting moet betreffen van een entiteit die in het VK is gevestigd</w:t>
      </w:r>
      <w:r w:rsidR="00F874C5">
        <w:rPr>
          <w:rFonts w:ascii="Verdana" w:hAnsi="Verdana"/>
          <w:sz w:val="18"/>
          <w:szCs w:val="18"/>
          <w:lang w:val="nl-NL"/>
        </w:rPr>
        <w:t xml:space="preserve">; maatgevend is dat er Britse bankenbelasting is geheven </w:t>
      </w:r>
      <w:proofErr w:type="gramStart"/>
      <w:r w:rsidR="00F874C5">
        <w:rPr>
          <w:rFonts w:ascii="Verdana" w:hAnsi="Verdana"/>
          <w:sz w:val="18"/>
          <w:szCs w:val="18"/>
          <w:lang w:val="nl-NL"/>
        </w:rPr>
        <w:t>ter zake</w:t>
      </w:r>
      <w:proofErr w:type="gramEnd"/>
      <w:r w:rsidR="00F874C5">
        <w:rPr>
          <w:rFonts w:ascii="Verdana" w:hAnsi="Verdana"/>
          <w:sz w:val="18"/>
          <w:szCs w:val="18"/>
          <w:lang w:val="nl-NL"/>
        </w:rPr>
        <w:t xml:space="preserve"> van de Nederlandse vaste inrichting</w:t>
      </w:r>
      <w:r w:rsidR="000C7A30">
        <w:rPr>
          <w:rFonts w:ascii="Verdana" w:hAnsi="Verdana"/>
          <w:sz w:val="18"/>
          <w:szCs w:val="18"/>
          <w:lang w:val="nl-NL"/>
        </w:rPr>
        <w:t xml:space="preserve">. </w:t>
      </w:r>
      <w:r w:rsidRPr="009F7A74" w:rsidR="003B39ED">
        <w:rPr>
          <w:rFonts w:ascii="Verdana" w:hAnsi="Verdana"/>
          <w:sz w:val="18"/>
          <w:szCs w:val="18"/>
          <w:lang w:val="nl-NL"/>
        </w:rPr>
        <w:t>Een zelfde regeling is</w:t>
      </w:r>
      <w:r w:rsidRPr="00F874C5" w:rsidR="00F874C5">
        <w:rPr>
          <w:rFonts w:ascii="Verdana" w:hAnsi="Verdana"/>
          <w:sz w:val="18"/>
          <w:szCs w:val="18"/>
          <w:lang w:val="nl-NL"/>
        </w:rPr>
        <w:t xml:space="preserve"> </w:t>
      </w:r>
      <w:r w:rsidR="00F874C5">
        <w:rPr>
          <w:rFonts w:ascii="Verdana" w:hAnsi="Verdana"/>
          <w:sz w:val="18"/>
          <w:szCs w:val="18"/>
          <w:lang w:val="nl-NL"/>
        </w:rPr>
        <w:t>opgenomen in artikel 5, tweede lid, onderdeel b</w:t>
      </w:r>
      <w:r w:rsidRPr="009F7A74" w:rsidR="003B39ED">
        <w:rPr>
          <w:rFonts w:ascii="Verdana" w:hAnsi="Verdana"/>
          <w:sz w:val="18"/>
          <w:szCs w:val="18"/>
          <w:lang w:val="nl-NL"/>
        </w:rPr>
        <w:t xml:space="preserve">, ten aanzien van de door het VK te verlenen </w:t>
      </w:r>
      <w:r w:rsidRPr="009F7A74" w:rsidR="00032B5F">
        <w:rPr>
          <w:rFonts w:ascii="Verdana" w:hAnsi="Verdana"/>
          <w:sz w:val="18"/>
          <w:szCs w:val="18"/>
          <w:lang w:val="nl-NL"/>
        </w:rPr>
        <w:t>ver</w:t>
      </w:r>
      <w:r w:rsidR="00032B5F">
        <w:rPr>
          <w:rFonts w:ascii="Verdana" w:hAnsi="Verdana"/>
          <w:sz w:val="18"/>
          <w:szCs w:val="18"/>
          <w:lang w:val="nl-NL"/>
        </w:rPr>
        <w:t>rekening</w:t>
      </w:r>
      <w:r w:rsidRPr="009F7A74" w:rsidR="00032B5F">
        <w:rPr>
          <w:rFonts w:ascii="Verdana" w:hAnsi="Verdana"/>
          <w:sz w:val="18"/>
          <w:szCs w:val="18"/>
          <w:lang w:val="nl-NL"/>
        </w:rPr>
        <w:t xml:space="preserve"> </w:t>
      </w:r>
      <w:proofErr w:type="gramStart"/>
      <w:r w:rsidR="00032B5F">
        <w:rPr>
          <w:rFonts w:ascii="Verdana" w:hAnsi="Verdana"/>
          <w:sz w:val="18"/>
          <w:szCs w:val="18"/>
          <w:lang w:val="nl-NL"/>
        </w:rPr>
        <w:t>ter zake</w:t>
      </w:r>
      <w:proofErr w:type="gramEnd"/>
      <w:r w:rsidR="00032B5F">
        <w:rPr>
          <w:rFonts w:ascii="Verdana" w:hAnsi="Verdana"/>
          <w:sz w:val="18"/>
          <w:szCs w:val="18"/>
          <w:lang w:val="nl-NL"/>
        </w:rPr>
        <w:t xml:space="preserve"> van</w:t>
      </w:r>
      <w:r w:rsidRPr="009F7A74" w:rsidR="003B39ED">
        <w:rPr>
          <w:rFonts w:ascii="Verdana" w:hAnsi="Verdana"/>
          <w:sz w:val="18"/>
          <w:szCs w:val="18"/>
          <w:lang w:val="nl-NL"/>
        </w:rPr>
        <w:t xml:space="preserve"> </w:t>
      </w:r>
      <w:r w:rsidR="00032B5F">
        <w:rPr>
          <w:rFonts w:ascii="Verdana" w:hAnsi="Verdana"/>
          <w:sz w:val="18"/>
          <w:szCs w:val="18"/>
          <w:lang w:val="nl-NL"/>
        </w:rPr>
        <w:t xml:space="preserve">een </w:t>
      </w:r>
      <w:r w:rsidRPr="009F7A74" w:rsidR="003B39ED">
        <w:rPr>
          <w:rFonts w:ascii="Verdana" w:hAnsi="Verdana"/>
          <w:sz w:val="18"/>
          <w:szCs w:val="18"/>
          <w:lang w:val="nl-NL"/>
        </w:rPr>
        <w:t>in het VK ge</w:t>
      </w:r>
      <w:r w:rsidR="003B39ED">
        <w:rPr>
          <w:rFonts w:ascii="Verdana" w:hAnsi="Verdana"/>
          <w:sz w:val="18"/>
          <w:szCs w:val="18"/>
          <w:lang w:val="nl-NL"/>
        </w:rPr>
        <w:t xml:space="preserve">legen vaste inrichting </w:t>
      </w:r>
      <w:r w:rsidRPr="009F7A74" w:rsidR="003B39ED">
        <w:rPr>
          <w:rFonts w:ascii="Verdana" w:hAnsi="Verdana"/>
          <w:sz w:val="18"/>
          <w:szCs w:val="18"/>
          <w:lang w:val="nl-NL"/>
        </w:rPr>
        <w:t xml:space="preserve">van </w:t>
      </w:r>
      <w:r w:rsidR="00032B5F">
        <w:rPr>
          <w:rFonts w:ascii="Verdana" w:hAnsi="Verdana"/>
          <w:sz w:val="18"/>
          <w:szCs w:val="18"/>
          <w:lang w:val="nl-NL"/>
        </w:rPr>
        <w:t xml:space="preserve">een </w:t>
      </w:r>
      <w:r w:rsidRPr="009F7A74" w:rsidR="003B39ED">
        <w:rPr>
          <w:rFonts w:ascii="Verdana" w:hAnsi="Verdana"/>
          <w:sz w:val="18"/>
          <w:szCs w:val="18"/>
          <w:lang w:val="nl-NL"/>
        </w:rPr>
        <w:t xml:space="preserve">Nederlandse </w:t>
      </w:r>
      <w:r w:rsidR="00F874C5">
        <w:rPr>
          <w:rFonts w:ascii="Verdana" w:hAnsi="Verdana"/>
          <w:sz w:val="18"/>
          <w:szCs w:val="18"/>
          <w:lang w:val="nl-NL"/>
        </w:rPr>
        <w:t xml:space="preserve">voor de bankenbelasting belastingplichtige </w:t>
      </w:r>
      <w:r w:rsidRPr="009F7A74" w:rsidR="003B39ED">
        <w:rPr>
          <w:rFonts w:ascii="Verdana" w:hAnsi="Verdana"/>
          <w:sz w:val="18"/>
          <w:szCs w:val="18"/>
          <w:lang w:val="nl-NL"/>
        </w:rPr>
        <w:t>entiteit</w:t>
      </w:r>
      <w:r w:rsidR="00F874C5">
        <w:rPr>
          <w:rFonts w:ascii="Verdana" w:hAnsi="Verdana"/>
          <w:sz w:val="18"/>
          <w:szCs w:val="18"/>
          <w:lang w:val="nl-NL"/>
        </w:rPr>
        <w:t>.</w:t>
      </w:r>
      <w:r w:rsidRPr="009F7A74" w:rsidR="003B39ED">
        <w:rPr>
          <w:rFonts w:ascii="Verdana" w:hAnsi="Verdana"/>
          <w:sz w:val="18"/>
          <w:szCs w:val="18"/>
          <w:lang w:val="nl-NL"/>
        </w:rPr>
        <w:t xml:space="preserve"> </w:t>
      </w:r>
    </w:p>
    <w:p w:rsidR="005335CB"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 xml:space="preserve">In </w:t>
      </w:r>
      <w:r w:rsidR="00404227">
        <w:rPr>
          <w:rFonts w:ascii="Verdana" w:hAnsi="Verdana"/>
          <w:sz w:val="18"/>
          <w:szCs w:val="18"/>
          <w:lang w:val="nl-NL"/>
        </w:rPr>
        <w:t xml:space="preserve">artikel 5, </w:t>
      </w:r>
      <w:r w:rsidRPr="001D6B88">
        <w:rPr>
          <w:rFonts w:ascii="Verdana" w:hAnsi="Verdana"/>
          <w:sz w:val="18"/>
          <w:szCs w:val="18"/>
          <w:lang w:val="nl-NL"/>
        </w:rPr>
        <w:t>eerste lid</w:t>
      </w:r>
      <w:r w:rsidR="00404227">
        <w:rPr>
          <w:rFonts w:ascii="Verdana" w:hAnsi="Verdana"/>
          <w:sz w:val="18"/>
          <w:szCs w:val="18"/>
          <w:lang w:val="nl-NL"/>
        </w:rPr>
        <w:t>,</w:t>
      </w:r>
      <w:r w:rsidRPr="001D6B88">
        <w:rPr>
          <w:rFonts w:ascii="Verdana" w:hAnsi="Verdana"/>
          <w:sz w:val="18"/>
          <w:szCs w:val="18"/>
          <w:lang w:val="nl-NL"/>
        </w:rPr>
        <w:t xml:space="preserve"> </w:t>
      </w:r>
      <w:r w:rsidRPr="001D6B88" w:rsidR="00404227">
        <w:rPr>
          <w:rFonts w:ascii="Verdana" w:hAnsi="Verdana"/>
          <w:sz w:val="18"/>
          <w:szCs w:val="18"/>
          <w:lang w:val="nl-NL"/>
        </w:rPr>
        <w:t>onderdeel c</w:t>
      </w:r>
      <w:r w:rsidR="00F874C5">
        <w:rPr>
          <w:rFonts w:ascii="Verdana" w:hAnsi="Verdana"/>
          <w:sz w:val="18"/>
          <w:szCs w:val="18"/>
          <w:lang w:val="nl-NL"/>
        </w:rPr>
        <w:t>,</w:t>
      </w:r>
      <w:r w:rsidRPr="001D6B88" w:rsidR="00404227">
        <w:rPr>
          <w:rFonts w:ascii="Verdana" w:hAnsi="Verdana"/>
          <w:sz w:val="18"/>
          <w:szCs w:val="18"/>
          <w:lang w:val="nl-NL"/>
        </w:rPr>
        <w:t xml:space="preserve"> </w:t>
      </w:r>
      <w:r w:rsidR="00404227">
        <w:rPr>
          <w:rFonts w:ascii="Verdana" w:hAnsi="Verdana"/>
          <w:sz w:val="18"/>
          <w:szCs w:val="18"/>
          <w:lang w:val="nl-NL"/>
        </w:rPr>
        <w:t xml:space="preserve">is </w:t>
      </w:r>
      <w:r w:rsidR="00415127">
        <w:rPr>
          <w:rFonts w:ascii="Verdana" w:hAnsi="Verdana"/>
          <w:sz w:val="18"/>
          <w:szCs w:val="18"/>
          <w:lang w:val="nl-NL"/>
        </w:rPr>
        <w:t>wat betreft de Nederlandse wijze van v</w:t>
      </w:r>
      <w:r w:rsidR="001D4172">
        <w:rPr>
          <w:rFonts w:ascii="Verdana" w:hAnsi="Verdana"/>
          <w:sz w:val="18"/>
          <w:szCs w:val="18"/>
          <w:lang w:val="nl-NL"/>
        </w:rPr>
        <w:t>ermijding</w:t>
      </w:r>
      <w:r w:rsidR="003E3DB1">
        <w:rPr>
          <w:rFonts w:ascii="Verdana" w:hAnsi="Verdana"/>
          <w:sz w:val="18"/>
          <w:szCs w:val="18"/>
          <w:lang w:val="nl-NL"/>
        </w:rPr>
        <w:t xml:space="preserve"> </w:t>
      </w:r>
      <w:r w:rsidR="00F874C5">
        <w:rPr>
          <w:rFonts w:ascii="Verdana" w:hAnsi="Verdana"/>
          <w:sz w:val="18"/>
          <w:szCs w:val="18"/>
          <w:lang w:val="nl-NL"/>
        </w:rPr>
        <w:t xml:space="preserve">van dubbele bankenbelasting </w:t>
      </w:r>
      <w:r w:rsidR="00F861DB">
        <w:rPr>
          <w:rFonts w:ascii="Verdana" w:hAnsi="Verdana"/>
          <w:sz w:val="18"/>
          <w:szCs w:val="18"/>
          <w:lang w:val="nl-NL"/>
        </w:rPr>
        <w:t xml:space="preserve">voor beide in de onderdelen a en b beschreven situaties </w:t>
      </w:r>
      <w:r w:rsidR="00404227">
        <w:rPr>
          <w:rFonts w:ascii="Verdana" w:hAnsi="Verdana"/>
          <w:sz w:val="18"/>
          <w:szCs w:val="18"/>
          <w:lang w:val="nl-NL"/>
        </w:rPr>
        <w:t>ge</w:t>
      </w:r>
      <w:r w:rsidRPr="001D6B88">
        <w:rPr>
          <w:rFonts w:ascii="Verdana" w:hAnsi="Verdana"/>
          <w:sz w:val="18"/>
          <w:szCs w:val="18"/>
          <w:lang w:val="nl-NL"/>
        </w:rPr>
        <w:t>regel</w:t>
      </w:r>
      <w:r w:rsidR="00404227">
        <w:rPr>
          <w:rFonts w:ascii="Verdana" w:hAnsi="Verdana"/>
          <w:sz w:val="18"/>
          <w:szCs w:val="18"/>
          <w:lang w:val="nl-NL"/>
        </w:rPr>
        <w:t>d</w:t>
      </w:r>
      <w:r w:rsidRPr="001D6B88">
        <w:rPr>
          <w:rFonts w:ascii="Verdana" w:hAnsi="Verdana"/>
          <w:sz w:val="18"/>
          <w:szCs w:val="18"/>
          <w:lang w:val="nl-NL"/>
        </w:rPr>
        <w:t xml:space="preserve"> welk deel van de </w:t>
      </w:r>
      <w:r w:rsidR="00415127">
        <w:rPr>
          <w:rFonts w:ascii="Verdana" w:hAnsi="Verdana"/>
          <w:sz w:val="18"/>
          <w:szCs w:val="18"/>
          <w:lang w:val="nl-NL"/>
        </w:rPr>
        <w:t>in het VK geheven</w:t>
      </w:r>
      <w:r w:rsidRPr="001D6B88">
        <w:rPr>
          <w:rFonts w:ascii="Verdana" w:hAnsi="Verdana"/>
          <w:sz w:val="18"/>
          <w:szCs w:val="18"/>
          <w:lang w:val="nl-NL"/>
        </w:rPr>
        <w:t xml:space="preserve"> bankenbelasting voor verrekening</w:t>
      </w:r>
      <w:r w:rsidR="00404227">
        <w:rPr>
          <w:rFonts w:ascii="Verdana" w:hAnsi="Verdana"/>
          <w:sz w:val="18"/>
          <w:szCs w:val="18"/>
          <w:lang w:val="nl-NL"/>
        </w:rPr>
        <w:t xml:space="preserve"> </w:t>
      </w:r>
      <w:r w:rsidRPr="001D6B88">
        <w:rPr>
          <w:rFonts w:ascii="Verdana" w:hAnsi="Verdana"/>
          <w:sz w:val="18"/>
          <w:szCs w:val="18"/>
          <w:lang w:val="nl-NL"/>
        </w:rPr>
        <w:t xml:space="preserve">in aanmerking komt. </w:t>
      </w:r>
      <w:r w:rsidR="00415127">
        <w:rPr>
          <w:rFonts w:ascii="Verdana" w:hAnsi="Verdana"/>
          <w:sz w:val="18"/>
          <w:szCs w:val="18"/>
          <w:lang w:val="nl-NL"/>
        </w:rPr>
        <w:t>Dit hangt af van de mate waarin</w:t>
      </w:r>
      <w:r w:rsidR="00B13BD9">
        <w:rPr>
          <w:rFonts w:ascii="Verdana" w:hAnsi="Verdana"/>
          <w:sz w:val="18"/>
          <w:szCs w:val="18"/>
          <w:lang w:val="nl-NL"/>
        </w:rPr>
        <w:t xml:space="preserve"> met</w:t>
      </w:r>
      <w:r w:rsidR="000B2E99">
        <w:rPr>
          <w:rFonts w:ascii="Verdana" w:hAnsi="Verdana"/>
          <w:sz w:val="18"/>
          <w:szCs w:val="18"/>
          <w:lang w:val="nl-NL"/>
        </w:rPr>
        <w:t xml:space="preserve"> </w:t>
      </w:r>
      <w:r w:rsidRPr="001D6B88">
        <w:rPr>
          <w:rFonts w:ascii="Verdana" w:hAnsi="Verdana"/>
          <w:sz w:val="18"/>
          <w:szCs w:val="18"/>
          <w:lang w:val="nl-NL"/>
        </w:rPr>
        <w:t xml:space="preserve">de passiva van </w:t>
      </w:r>
      <w:r w:rsidR="006077D5">
        <w:rPr>
          <w:rFonts w:ascii="Verdana" w:hAnsi="Verdana"/>
          <w:sz w:val="18"/>
          <w:szCs w:val="18"/>
          <w:lang w:val="nl-NL"/>
        </w:rPr>
        <w:t>een in Nederland gevestigde</w:t>
      </w:r>
      <w:r w:rsidRPr="001D6B88">
        <w:rPr>
          <w:rFonts w:ascii="Verdana" w:hAnsi="Verdana"/>
          <w:sz w:val="18"/>
          <w:szCs w:val="18"/>
          <w:lang w:val="nl-NL"/>
        </w:rPr>
        <w:t xml:space="preserve"> dochtermaatschappij of </w:t>
      </w:r>
      <w:r w:rsidR="006077D5">
        <w:rPr>
          <w:rFonts w:ascii="Verdana" w:hAnsi="Verdana"/>
          <w:sz w:val="18"/>
          <w:szCs w:val="18"/>
          <w:lang w:val="nl-NL"/>
        </w:rPr>
        <w:t xml:space="preserve">een in Nederland gelegen </w:t>
      </w:r>
      <w:r w:rsidRPr="001D6B88">
        <w:rPr>
          <w:rFonts w:ascii="Verdana" w:hAnsi="Verdana"/>
          <w:sz w:val="18"/>
          <w:szCs w:val="18"/>
          <w:lang w:val="nl-NL"/>
        </w:rPr>
        <w:t xml:space="preserve">vaste inrichting </w:t>
      </w:r>
      <w:r w:rsidR="00B13BD9">
        <w:rPr>
          <w:rFonts w:ascii="Verdana" w:hAnsi="Verdana"/>
          <w:sz w:val="18"/>
          <w:szCs w:val="18"/>
          <w:lang w:val="nl-NL"/>
        </w:rPr>
        <w:t>rekening is gehouden</w:t>
      </w:r>
      <w:r w:rsidR="00B24AB0">
        <w:rPr>
          <w:rFonts w:ascii="Verdana" w:hAnsi="Verdana"/>
          <w:sz w:val="18"/>
          <w:szCs w:val="18"/>
          <w:lang w:val="nl-NL"/>
        </w:rPr>
        <w:t xml:space="preserve"> bij </w:t>
      </w:r>
      <w:r w:rsidR="00415127">
        <w:rPr>
          <w:rFonts w:ascii="Verdana" w:hAnsi="Verdana"/>
          <w:sz w:val="18"/>
          <w:szCs w:val="18"/>
          <w:lang w:val="nl-NL"/>
        </w:rPr>
        <w:t xml:space="preserve">de </w:t>
      </w:r>
      <w:r w:rsidR="00B24AB0">
        <w:rPr>
          <w:rFonts w:ascii="Verdana" w:hAnsi="Verdana"/>
          <w:sz w:val="18"/>
          <w:szCs w:val="18"/>
          <w:lang w:val="nl-NL"/>
        </w:rPr>
        <w:t xml:space="preserve">vaststelling van het </w:t>
      </w:r>
      <w:r w:rsidR="00B13BD9">
        <w:rPr>
          <w:rFonts w:ascii="Verdana" w:hAnsi="Verdana"/>
          <w:sz w:val="18"/>
          <w:szCs w:val="18"/>
          <w:lang w:val="nl-NL"/>
        </w:rPr>
        <w:t xml:space="preserve">verschuldigde </w:t>
      </w:r>
      <w:r w:rsidR="00B24AB0">
        <w:rPr>
          <w:rFonts w:ascii="Verdana" w:hAnsi="Verdana"/>
          <w:sz w:val="18"/>
          <w:szCs w:val="18"/>
          <w:lang w:val="nl-NL"/>
        </w:rPr>
        <w:lastRenderedPageBreak/>
        <w:t>bedrag aan</w:t>
      </w:r>
      <w:r w:rsidRPr="001D6B88">
        <w:rPr>
          <w:rFonts w:ascii="Verdana" w:hAnsi="Verdana"/>
          <w:sz w:val="18"/>
          <w:szCs w:val="18"/>
          <w:lang w:val="nl-NL"/>
        </w:rPr>
        <w:t xml:space="preserve"> Britse bankenbelasting. </w:t>
      </w:r>
      <w:r w:rsidR="003E3DB1">
        <w:rPr>
          <w:rFonts w:ascii="Verdana" w:hAnsi="Verdana"/>
          <w:sz w:val="18"/>
          <w:szCs w:val="18"/>
          <w:lang w:val="nl-NL"/>
        </w:rPr>
        <w:t>Op deze manier</w:t>
      </w:r>
      <w:r w:rsidRPr="001D6B88" w:rsidR="003E3DB1">
        <w:rPr>
          <w:rFonts w:ascii="Verdana" w:hAnsi="Verdana"/>
          <w:sz w:val="18"/>
          <w:szCs w:val="18"/>
          <w:lang w:val="nl-NL"/>
        </w:rPr>
        <w:t xml:space="preserve"> </w:t>
      </w:r>
      <w:r w:rsidRPr="001D6B88">
        <w:rPr>
          <w:rFonts w:ascii="Verdana" w:hAnsi="Verdana"/>
          <w:sz w:val="18"/>
          <w:szCs w:val="18"/>
          <w:lang w:val="nl-NL"/>
        </w:rPr>
        <w:t xml:space="preserve">wordt bereikt dat de te verrekenen belasting niet </w:t>
      </w:r>
      <w:r w:rsidR="006077D5">
        <w:rPr>
          <w:rFonts w:ascii="Verdana" w:hAnsi="Verdana"/>
          <w:sz w:val="18"/>
          <w:szCs w:val="18"/>
          <w:lang w:val="nl-NL"/>
        </w:rPr>
        <w:t xml:space="preserve">op basis </w:t>
      </w:r>
      <w:r w:rsidRPr="001D6B88">
        <w:rPr>
          <w:rFonts w:ascii="Verdana" w:hAnsi="Verdana"/>
          <w:sz w:val="18"/>
          <w:szCs w:val="18"/>
          <w:lang w:val="nl-NL"/>
        </w:rPr>
        <w:t xml:space="preserve">van de passiva van de enkelvoudige balans van de dochtermaatschappij wordt bepaald, maar </w:t>
      </w:r>
      <w:r w:rsidR="006077D5">
        <w:rPr>
          <w:rFonts w:ascii="Verdana" w:hAnsi="Verdana"/>
          <w:sz w:val="18"/>
          <w:szCs w:val="18"/>
          <w:lang w:val="nl-NL"/>
        </w:rPr>
        <w:t xml:space="preserve">op basis </w:t>
      </w:r>
      <w:r w:rsidRPr="001D6B88">
        <w:rPr>
          <w:rFonts w:ascii="Verdana" w:hAnsi="Verdana"/>
          <w:sz w:val="18"/>
          <w:szCs w:val="18"/>
          <w:lang w:val="nl-NL"/>
        </w:rPr>
        <w:t xml:space="preserve">van de passiva van de dochtermaatschappij </w:t>
      </w:r>
      <w:r w:rsidR="006077D5">
        <w:rPr>
          <w:rFonts w:ascii="Verdana" w:hAnsi="Verdana"/>
          <w:sz w:val="18"/>
          <w:szCs w:val="18"/>
          <w:lang w:val="nl-NL"/>
        </w:rPr>
        <w:t xml:space="preserve">of vaste inrichting </w:t>
      </w:r>
      <w:r w:rsidRPr="001D6B88">
        <w:rPr>
          <w:rFonts w:ascii="Verdana" w:hAnsi="Verdana"/>
          <w:sz w:val="18"/>
          <w:szCs w:val="18"/>
          <w:lang w:val="nl-NL"/>
        </w:rPr>
        <w:t>voor</w:t>
      </w:r>
      <w:r w:rsidR="008B3088">
        <w:rPr>
          <w:rFonts w:ascii="Verdana" w:hAnsi="Verdana"/>
          <w:sz w:val="18"/>
          <w:szCs w:val="18"/>
          <w:lang w:val="nl-NL"/>
        </w:rPr>
        <w:t xml:space="preserve"> </w:t>
      </w:r>
      <w:r w:rsidR="00F861DB">
        <w:rPr>
          <w:rFonts w:ascii="Verdana" w:hAnsi="Verdana"/>
          <w:sz w:val="18"/>
          <w:szCs w:val="18"/>
          <w:lang w:val="nl-NL"/>
        </w:rPr>
        <w:t>z</w:t>
      </w:r>
      <w:r w:rsidRPr="001D6B88">
        <w:rPr>
          <w:rFonts w:ascii="Verdana" w:hAnsi="Verdana"/>
          <w:sz w:val="18"/>
          <w:szCs w:val="18"/>
          <w:lang w:val="nl-NL"/>
        </w:rPr>
        <w:t xml:space="preserve">over die zijn opgenomen in de geconsolideerde balans van </w:t>
      </w:r>
      <w:r w:rsidR="006077D5">
        <w:rPr>
          <w:rFonts w:ascii="Verdana" w:hAnsi="Verdana"/>
          <w:sz w:val="18"/>
          <w:szCs w:val="18"/>
          <w:lang w:val="nl-NL"/>
        </w:rPr>
        <w:t>het groepshoofd</w:t>
      </w:r>
      <w:r w:rsidRPr="001D6B88">
        <w:rPr>
          <w:rFonts w:ascii="Verdana" w:hAnsi="Verdana"/>
          <w:sz w:val="18"/>
          <w:szCs w:val="18"/>
          <w:lang w:val="nl-NL"/>
        </w:rPr>
        <w:t xml:space="preserve">. </w:t>
      </w:r>
      <w:r w:rsidR="006077D5">
        <w:rPr>
          <w:rFonts w:ascii="Verdana" w:hAnsi="Verdana"/>
          <w:sz w:val="18"/>
          <w:szCs w:val="18"/>
          <w:lang w:val="nl-NL"/>
        </w:rPr>
        <w:t xml:space="preserve">Slechts </w:t>
      </w:r>
      <w:r w:rsidR="00B13BD9">
        <w:rPr>
          <w:rFonts w:ascii="Verdana" w:hAnsi="Verdana"/>
          <w:sz w:val="18"/>
          <w:szCs w:val="18"/>
          <w:lang w:val="nl-NL"/>
        </w:rPr>
        <w:t>met betrekking tot</w:t>
      </w:r>
      <w:r w:rsidRPr="001D6B88">
        <w:rPr>
          <w:rFonts w:ascii="Verdana" w:hAnsi="Verdana"/>
          <w:sz w:val="18"/>
          <w:szCs w:val="18"/>
          <w:lang w:val="nl-NL"/>
        </w:rPr>
        <w:t xml:space="preserve"> deze passiva treedt immers dubbele bankenbelasting op. Vanwege consolidatieregels (waardoor onder </w:t>
      </w:r>
      <w:r w:rsidR="008C4834">
        <w:rPr>
          <w:rFonts w:ascii="Verdana" w:hAnsi="Verdana"/>
          <w:sz w:val="18"/>
          <w:szCs w:val="18"/>
          <w:lang w:val="nl-NL"/>
        </w:rPr>
        <w:t>meer</w:t>
      </w:r>
      <w:r w:rsidRPr="001D6B88">
        <w:rPr>
          <w:rFonts w:ascii="Verdana" w:hAnsi="Verdana"/>
          <w:sz w:val="18"/>
          <w:szCs w:val="18"/>
          <w:lang w:val="nl-NL"/>
        </w:rPr>
        <w:t xml:space="preserve"> leningen tussen moeder- en dochtermaatschappij worden geëlimineerd) zal het totaal van de passiva van de enkelvoudige balans van de dochtermaatschappij doorgaans groter zijn dan het totaal van de passiva van de dochtermaatschappij die op de geconsolideerde balans </w:t>
      </w:r>
      <w:r w:rsidR="006077D5">
        <w:rPr>
          <w:rFonts w:ascii="Verdana" w:hAnsi="Verdana"/>
          <w:sz w:val="18"/>
          <w:szCs w:val="18"/>
          <w:lang w:val="nl-NL"/>
        </w:rPr>
        <w:t xml:space="preserve">van het groepshoofd </w:t>
      </w:r>
      <w:r w:rsidRPr="001D6B88">
        <w:rPr>
          <w:rFonts w:ascii="Verdana" w:hAnsi="Verdana"/>
          <w:sz w:val="18"/>
          <w:szCs w:val="18"/>
          <w:lang w:val="nl-NL"/>
        </w:rPr>
        <w:t>voorkomen.</w:t>
      </w:r>
      <w:r w:rsidR="006077D5">
        <w:rPr>
          <w:rFonts w:ascii="Verdana" w:hAnsi="Verdana"/>
          <w:sz w:val="18"/>
          <w:szCs w:val="18"/>
          <w:lang w:val="nl-NL"/>
        </w:rPr>
        <w:t xml:space="preserve"> </w:t>
      </w:r>
    </w:p>
    <w:p w:rsidR="00A1677D" w:rsidP="00FA42A5" w:rsidRDefault="008C4834">
      <w:pPr>
        <w:spacing w:after="240" w:line="360" w:lineRule="auto"/>
        <w:rPr>
          <w:rFonts w:ascii="Verdana" w:hAnsi="Verdana"/>
          <w:sz w:val="18"/>
          <w:szCs w:val="18"/>
          <w:lang w:val="nl-NL"/>
        </w:rPr>
      </w:pPr>
      <w:r>
        <w:rPr>
          <w:rFonts w:ascii="Verdana" w:hAnsi="Verdana"/>
          <w:sz w:val="18"/>
          <w:szCs w:val="18"/>
          <w:lang w:val="nl-NL"/>
        </w:rPr>
        <w:t>Daarnaast zou, omdat</w:t>
      </w:r>
      <w:r w:rsidRPr="001D6B88">
        <w:rPr>
          <w:rFonts w:ascii="Verdana" w:hAnsi="Verdana"/>
          <w:sz w:val="18"/>
          <w:szCs w:val="18"/>
          <w:lang w:val="nl-NL"/>
        </w:rPr>
        <w:t xml:space="preserve"> </w:t>
      </w:r>
      <w:r w:rsidRPr="001D6B88" w:rsidR="001D6B88">
        <w:rPr>
          <w:rFonts w:ascii="Verdana" w:hAnsi="Verdana"/>
          <w:sz w:val="18"/>
          <w:szCs w:val="18"/>
          <w:lang w:val="nl-NL"/>
        </w:rPr>
        <w:t>de Britse bankenbelasting een tijdvakbelasting is en de Nederlandse bankenbelasting een tijdstipbelasting</w:t>
      </w:r>
      <w:r w:rsidR="008555F0">
        <w:rPr>
          <w:rFonts w:ascii="Verdana" w:hAnsi="Verdana"/>
          <w:sz w:val="18"/>
          <w:szCs w:val="18"/>
          <w:lang w:val="nl-NL"/>
        </w:rPr>
        <w:t xml:space="preserve">, </w:t>
      </w:r>
      <w:r w:rsidRPr="001D6B88" w:rsidR="008555F0">
        <w:rPr>
          <w:rFonts w:ascii="Verdana" w:hAnsi="Verdana"/>
          <w:sz w:val="18"/>
          <w:szCs w:val="18"/>
          <w:lang w:val="nl-NL"/>
        </w:rPr>
        <w:t xml:space="preserve">onduidelijkheid </w:t>
      </w:r>
      <w:r w:rsidR="008555F0">
        <w:rPr>
          <w:rFonts w:ascii="Verdana" w:hAnsi="Verdana"/>
          <w:sz w:val="18"/>
          <w:szCs w:val="18"/>
          <w:lang w:val="nl-NL"/>
        </w:rPr>
        <w:t xml:space="preserve">kunnen bestaan over de vraag </w:t>
      </w:r>
      <w:r w:rsidRPr="001D6B88" w:rsidR="008555F0">
        <w:rPr>
          <w:rFonts w:ascii="Verdana" w:hAnsi="Verdana"/>
          <w:sz w:val="18"/>
          <w:szCs w:val="18"/>
          <w:lang w:val="nl-NL"/>
        </w:rPr>
        <w:t xml:space="preserve">welke balans </w:t>
      </w:r>
      <w:r w:rsidR="008555F0">
        <w:rPr>
          <w:rFonts w:ascii="Verdana" w:hAnsi="Verdana"/>
          <w:sz w:val="18"/>
          <w:szCs w:val="18"/>
          <w:lang w:val="nl-NL"/>
        </w:rPr>
        <w:t>(</w:t>
      </w:r>
      <w:r w:rsidRPr="001D6B88" w:rsidR="008555F0">
        <w:rPr>
          <w:rFonts w:ascii="Verdana" w:hAnsi="Verdana"/>
          <w:sz w:val="18"/>
          <w:szCs w:val="18"/>
          <w:lang w:val="nl-NL"/>
        </w:rPr>
        <w:t>waarnaar de belastinggrondslag wordt bepaald</w:t>
      </w:r>
      <w:r w:rsidR="008555F0">
        <w:rPr>
          <w:rFonts w:ascii="Verdana" w:hAnsi="Verdana"/>
          <w:sz w:val="18"/>
          <w:szCs w:val="18"/>
          <w:lang w:val="nl-NL"/>
        </w:rPr>
        <w:t xml:space="preserve">) tot uitgangspunt dient </w:t>
      </w:r>
      <w:r w:rsidR="0046425A">
        <w:rPr>
          <w:rFonts w:ascii="Verdana" w:hAnsi="Verdana"/>
          <w:sz w:val="18"/>
          <w:szCs w:val="18"/>
          <w:lang w:val="nl-NL"/>
        </w:rPr>
        <w:t xml:space="preserve">te worden genomen </w:t>
      </w:r>
      <w:r w:rsidR="008555F0">
        <w:rPr>
          <w:rFonts w:ascii="Verdana" w:hAnsi="Verdana"/>
          <w:sz w:val="18"/>
          <w:szCs w:val="18"/>
          <w:lang w:val="nl-NL"/>
        </w:rPr>
        <w:t xml:space="preserve">voor de </w:t>
      </w:r>
      <w:r w:rsidR="00957F28">
        <w:rPr>
          <w:rFonts w:ascii="Verdana" w:hAnsi="Verdana"/>
          <w:sz w:val="18"/>
          <w:szCs w:val="18"/>
          <w:lang w:val="nl-NL"/>
        </w:rPr>
        <w:t xml:space="preserve">door Nederland </w:t>
      </w:r>
      <w:r w:rsidR="008555F0">
        <w:rPr>
          <w:rFonts w:ascii="Verdana" w:hAnsi="Verdana"/>
          <w:sz w:val="18"/>
          <w:szCs w:val="18"/>
          <w:lang w:val="nl-NL"/>
        </w:rPr>
        <w:t>te verlenen</w:t>
      </w:r>
      <w:r w:rsidRPr="001D6B88" w:rsidR="008555F0">
        <w:rPr>
          <w:rFonts w:ascii="Verdana" w:hAnsi="Verdana"/>
          <w:sz w:val="18"/>
          <w:szCs w:val="18"/>
          <w:lang w:val="nl-NL"/>
        </w:rPr>
        <w:t xml:space="preserve"> ver</w:t>
      </w:r>
      <w:r w:rsidR="0046425A">
        <w:rPr>
          <w:rFonts w:ascii="Verdana" w:hAnsi="Verdana"/>
          <w:sz w:val="18"/>
          <w:szCs w:val="18"/>
          <w:lang w:val="nl-NL"/>
        </w:rPr>
        <w:t>rekening</w:t>
      </w:r>
      <w:r w:rsidR="00957F28">
        <w:rPr>
          <w:rFonts w:ascii="Verdana" w:hAnsi="Verdana"/>
          <w:sz w:val="18"/>
          <w:szCs w:val="18"/>
          <w:lang w:val="nl-NL"/>
        </w:rPr>
        <w:t xml:space="preserve"> van de Britse </w:t>
      </w:r>
      <w:r w:rsidR="0070441D">
        <w:rPr>
          <w:rFonts w:ascii="Verdana" w:hAnsi="Verdana"/>
          <w:sz w:val="18"/>
          <w:szCs w:val="18"/>
          <w:lang w:val="nl-NL"/>
        </w:rPr>
        <w:t>bankenbelasting</w:t>
      </w:r>
      <w:r w:rsidRPr="001D6B88" w:rsidR="0070441D">
        <w:rPr>
          <w:rFonts w:ascii="Verdana" w:hAnsi="Verdana"/>
          <w:sz w:val="18"/>
          <w:szCs w:val="18"/>
          <w:lang w:val="nl-NL"/>
        </w:rPr>
        <w:t>.</w:t>
      </w:r>
      <w:r w:rsidR="0070441D">
        <w:rPr>
          <w:rFonts w:ascii="Verdana" w:hAnsi="Verdana"/>
          <w:sz w:val="18"/>
          <w:szCs w:val="18"/>
          <w:lang w:val="nl-NL"/>
        </w:rPr>
        <w:t xml:space="preserve"> </w:t>
      </w:r>
      <w:r w:rsidR="000D4E5A">
        <w:rPr>
          <w:rFonts w:ascii="Verdana" w:hAnsi="Verdana"/>
          <w:sz w:val="18"/>
          <w:szCs w:val="18"/>
          <w:lang w:val="nl-NL"/>
        </w:rPr>
        <w:t xml:space="preserve">Deze onduidelijkheid </w:t>
      </w:r>
      <w:r w:rsidR="00CD54D7">
        <w:rPr>
          <w:rFonts w:ascii="Verdana" w:hAnsi="Verdana"/>
          <w:sz w:val="18"/>
          <w:szCs w:val="18"/>
          <w:lang w:val="nl-NL"/>
        </w:rPr>
        <w:t xml:space="preserve">zou kunnen ontstaan omdat in Nederland de belastingplicht wordt bepaald op de eerste dag van de tiende maand na de datum waarop de balans over een boekjaar is opgemaakt, terwijl </w:t>
      </w:r>
      <w:r w:rsidR="00423488">
        <w:rPr>
          <w:rFonts w:ascii="Verdana" w:hAnsi="Verdana"/>
          <w:sz w:val="18"/>
          <w:szCs w:val="18"/>
          <w:lang w:val="nl-NL"/>
        </w:rPr>
        <w:t xml:space="preserve">in </w:t>
      </w:r>
      <w:r w:rsidR="00CD54D7">
        <w:rPr>
          <w:rFonts w:ascii="Verdana" w:hAnsi="Verdana"/>
          <w:sz w:val="18"/>
          <w:szCs w:val="18"/>
          <w:lang w:val="nl-NL"/>
        </w:rPr>
        <w:t xml:space="preserve">het VK de belastingplicht </w:t>
      </w:r>
      <w:r w:rsidR="00A1677D">
        <w:rPr>
          <w:rFonts w:ascii="Verdana" w:hAnsi="Verdana"/>
          <w:sz w:val="18"/>
          <w:szCs w:val="18"/>
          <w:lang w:val="nl-NL"/>
        </w:rPr>
        <w:t xml:space="preserve">voor de bankenbelasting </w:t>
      </w:r>
      <w:r w:rsidR="00CD54D7">
        <w:rPr>
          <w:rFonts w:ascii="Verdana" w:hAnsi="Verdana"/>
          <w:sz w:val="18"/>
          <w:szCs w:val="18"/>
          <w:lang w:val="nl-NL"/>
        </w:rPr>
        <w:t xml:space="preserve">gedurende </w:t>
      </w:r>
      <w:r w:rsidR="00A1677D">
        <w:rPr>
          <w:rFonts w:ascii="Verdana" w:hAnsi="Verdana"/>
          <w:sz w:val="18"/>
          <w:szCs w:val="18"/>
          <w:lang w:val="nl-NL"/>
        </w:rPr>
        <w:t>he</w:t>
      </w:r>
      <w:r w:rsidR="00CD54D7">
        <w:rPr>
          <w:rFonts w:ascii="Verdana" w:hAnsi="Verdana"/>
          <w:sz w:val="18"/>
          <w:szCs w:val="18"/>
          <w:lang w:val="nl-NL"/>
        </w:rPr>
        <w:t xml:space="preserve">t boekjaar </w:t>
      </w:r>
      <w:r w:rsidR="00CB3A18">
        <w:rPr>
          <w:rFonts w:ascii="Verdana" w:hAnsi="Verdana"/>
          <w:sz w:val="18"/>
          <w:szCs w:val="18"/>
          <w:lang w:val="nl-NL"/>
        </w:rPr>
        <w:t xml:space="preserve">wordt </w:t>
      </w:r>
      <w:r w:rsidR="00CD54D7">
        <w:rPr>
          <w:rFonts w:ascii="Verdana" w:hAnsi="Verdana"/>
          <w:sz w:val="18"/>
          <w:szCs w:val="18"/>
          <w:lang w:val="nl-NL"/>
        </w:rPr>
        <w:t>beoordeel</w:t>
      </w:r>
      <w:r w:rsidR="00CB3A18">
        <w:rPr>
          <w:rFonts w:ascii="Verdana" w:hAnsi="Verdana"/>
          <w:sz w:val="18"/>
          <w:szCs w:val="18"/>
          <w:lang w:val="nl-NL"/>
        </w:rPr>
        <w:t>d</w:t>
      </w:r>
      <w:r w:rsidR="00CD54D7">
        <w:rPr>
          <w:rFonts w:ascii="Verdana" w:hAnsi="Verdana"/>
          <w:sz w:val="18"/>
          <w:szCs w:val="18"/>
          <w:lang w:val="nl-NL"/>
        </w:rPr>
        <w:t xml:space="preserve">. Als een Britse bank, bijvoorbeeld, tijdens een boekjaar gedurende een half jaar bankactiviteiten verricht en gedurende het andere halve </w:t>
      </w:r>
      <w:r w:rsidR="000D4E5A">
        <w:rPr>
          <w:rFonts w:ascii="Verdana" w:hAnsi="Verdana"/>
          <w:sz w:val="18"/>
          <w:szCs w:val="18"/>
          <w:lang w:val="nl-NL"/>
        </w:rPr>
        <w:t>boek</w:t>
      </w:r>
      <w:r w:rsidR="00CD54D7">
        <w:rPr>
          <w:rFonts w:ascii="Verdana" w:hAnsi="Verdana"/>
          <w:sz w:val="18"/>
          <w:szCs w:val="18"/>
          <w:lang w:val="nl-NL"/>
        </w:rPr>
        <w:t xml:space="preserve">jaar niet, dan bestaat voor die bank slechts belastingplicht </w:t>
      </w:r>
      <w:r w:rsidR="000D4E5A">
        <w:rPr>
          <w:rFonts w:ascii="Verdana" w:hAnsi="Verdana"/>
          <w:sz w:val="18"/>
          <w:szCs w:val="18"/>
          <w:lang w:val="nl-NL"/>
        </w:rPr>
        <w:t>over het halve jaar waarin bankactiviteiten w</w:t>
      </w:r>
      <w:r w:rsidR="00423488">
        <w:rPr>
          <w:rFonts w:ascii="Verdana" w:hAnsi="Verdana"/>
          <w:sz w:val="18"/>
          <w:szCs w:val="18"/>
          <w:lang w:val="nl-NL"/>
        </w:rPr>
        <w:t>e</w:t>
      </w:r>
      <w:r w:rsidR="000D4E5A">
        <w:rPr>
          <w:rFonts w:ascii="Verdana" w:hAnsi="Verdana"/>
          <w:sz w:val="18"/>
          <w:szCs w:val="18"/>
          <w:lang w:val="nl-NL"/>
        </w:rPr>
        <w:t>rden verricht</w:t>
      </w:r>
      <w:r w:rsidR="00CD54D7">
        <w:rPr>
          <w:rFonts w:ascii="Verdana" w:hAnsi="Verdana"/>
          <w:sz w:val="18"/>
          <w:szCs w:val="18"/>
          <w:lang w:val="nl-NL"/>
        </w:rPr>
        <w:t>.</w:t>
      </w:r>
      <w:r w:rsidR="00222AF2">
        <w:rPr>
          <w:rFonts w:ascii="Verdana" w:hAnsi="Verdana"/>
          <w:sz w:val="18"/>
          <w:szCs w:val="18"/>
          <w:lang w:val="nl-NL"/>
        </w:rPr>
        <w:t xml:space="preserve"> </w:t>
      </w:r>
      <w:r w:rsidR="00840541">
        <w:rPr>
          <w:rFonts w:ascii="Verdana" w:hAnsi="Verdana"/>
          <w:sz w:val="18"/>
          <w:szCs w:val="18"/>
          <w:lang w:val="nl-NL"/>
        </w:rPr>
        <w:t xml:space="preserve">De balans </w:t>
      </w:r>
      <w:r w:rsidR="000D4E5A">
        <w:rPr>
          <w:rFonts w:ascii="Verdana" w:hAnsi="Verdana"/>
          <w:sz w:val="18"/>
          <w:szCs w:val="18"/>
          <w:lang w:val="nl-NL"/>
        </w:rPr>
        <w:t xml:space="preserve">die op het einde van een boekjaar wordt opgemaakt </w:t>
      </w:r>
      <w:r w:rsidR="00840541">
        <w:rPr>
          <w:rFonts w:ascii="Verdana" w:hAnsi="Verdana"/>
          <w:sz w:val="18"/>
          <w:szCs w:val="18"/>
          <w:lang w:val="nl-NL"/>
        </w:rPr>
        <w:t>vormt de grondslag voor de Nederlandse bankenbelasting</w:t>
      </w:r>
      <w:r w:rsidR="000D4E5A">
        <w:rPr>
          <w:rFonts w:ascii="Verdana" w:hAnsi="Verdana"/>
          <w:sz w:val="18"/>
          <w:szCs w:val="18"/>
          <w:lang w:val="nl-NL"/>
        </w:rPr>
        <w:t xml:space="preserve"> en di</w:t>
      </w:r>
      <w:r w:rsidR="00D419D3">
        <w:rPr>
          <w:rFonts w:ascii="Verdana" w:hAnsi="Verdana"/>
          <w:sz w:val="18"/>
          <w:szCs w:val="18"/>
          <w:lang w:val="nl-NL"/>
        </w:rPr>
        <w:t>e</w:t>
      </w:r>
      <w:r w:rsidR="00840541">
        <w:rPr>
          <w:rFonts w:ascii="Verdana" w:hAnsi="Verdana"/>
          <w:sz w:val="18"/>
          <w:szCs w:val="18"/>
          <w:lang w:val="nl-NL"/>
        </w:rPr>
        <w:t>zelfde b</w:t>
      </w:r>
      <w:r w:rsidR="00D419D3">
        <w:rPr>
          <w:rFonts w:ascii="Verdana" w:hAnsi="Verdana"/>
          <w:sz w:val="18"/>
          <w:szCs w:val="18"/>
          <w:lang w:val="nl-NL"/>
        </w:rPr>
        <w:t xml:space="preserve">alans </w:t>
      </w:r>
      <w:r w:rsidR="00840541">
        <w:rPr>
          <w:rFonts w:ascii="Verdana" w:hAnsi="Verdana"/>
          <w:sz w:val="18"/>
          <w:szCs w:val="18"/>
          <w:lang w:val="nl-NL"/>
        </w:rPr>
        <w:t xml:space="preserve">geldt </w:t>
      </w:r>
      <w:r w:rsidR="00423488">
        <w:rPr>
          <w:rFonts w:ascii="Verdana" w:hAnsi="Verdana"/>
          <w:sz w:val="18"/>
          <w:szCs w:val="18"/>
          <w:lang w:val="nl-NL"/>
        </w:rPr>
        <w:t xml:space="preserve">daarmee tevens </w:t>
      </w:r>
      <w:r w:rsidR="000D4E5A">
        <w:rPr>
          <w:rFonts w:ascii="Verdana" w:hAnsi="Verdana"/>
          <w:sz w:val="18"/>
          <w:szCs w:val="18"/>
          <w:lang w:val="nl-NL"/>
        </w:rPr>
        <w:t>als</w:t>
      </w:r>
      <w:r w:rsidR="00840541">
        <w:rPr>
          <w:rFonts w:ascii="Verdana" w:hAnsi="Verdana"/>
          <w:sz w:val="18"/>
          <w:szCs w:val="18"/>
          <w:lang w:val="nl-NL"/>
        </w:rPr>
        <w:t xml:space="preserve"> </w:t>
      </w:r>
      <w:r w:rsidR="00423488">
        <w:rPr>
          <w:rFonts w:ascii="Verdana" w:hAnsi="Verdana"/>
          <w:sz w:val="18"/>
          <w:szCs w:val="18"/>
          <w:lang w:val="nl-NL"/>
        </w:rPr>
        <w:t xml:space="preserve">basis </w:t>
      </w:r>
      <w:r w:rsidR="00840541">
        <w:rPr>
          <w:rFonts w:ascii="Verdana" w:hAnsi="Verdana"/>
          <w:sz w:val="18"/>
          <w:szCs w:val="18"/>
          <w:lang w:val="nl-NL"/>
        </w:rPr>
        <w:t xml:space="preserve">voor de </w:t>
      </w:r>
      <w:r w:rsidR="00423488">
        <w:rPr>
          <w:rFonts w:ascii="Verdana" w:hAnsi="Verdana"/>
          <w:sz w:val="18"/>
          <w:szCs w:val="18"/>
          <w:lang w:val="nl-NL"/>
        </w:rPr>
        <w:t xml:space="preserve">vaststelling </w:t>
      </w:r>
      <w:r w:rsidR="00840541">
        <w:rPr>
          <w:rFonts w:ascii="Verdana" w:hAnsi="Verdana"/>
          <w:sz w:val="18"/>
          <w:szCs w:val="18"/>
          <w:lang w:val="nl-NL"/>
        </w:rPr>
        <w:t xml:space="preserve">van de </w:t>
      </w:r>
      <w:proofErr w:type="spellStart"/>
      <w:r w:rsidR="00423488">
        <w:rPr>
          <w:rFonts w:ascii="Verdana" w:hAnsi="Verdana"/>
          <w:sz w:val="18"/>
          <w:szCs w:val="18"/>
          <w:lang w:val="nl-NL"/>
        </w:rPr>
        <w:t>verrekeningsruimte</w:t>
      </w:r>
      <w:proofErr w:type="spellEnd"/>
      <w:r w:rsidR="00423488">
        <w:rPr>
          <w:rFonts w:ascii="Verdana" w:hAnsi="Verdana"/>
          <w:sz w:val="18"/>
          <w:szCs w:val="18"/>
          <w:lang w:val="nl-NL"/>
        </w:rPr>
        <w:t xml:space="preserve"> voor de </w:t>
      </w:r>
      <w:r w:rsidR="00840541">
        <w:rPr>
          <w:rFonts w:ascii="Verdana" w:hAnsi="Verdana"/>
          <w:sz w:val="18"/>
          <w:szCs w:val="18"/>
          <w:lang w:val="nl-NL"/>
        </w:rPr>
        <w:t xml:space="preserve">door Nederland te verlenen vermindering voor de over </w:t>
      </w:r>
      <w:r w:rsidR="00D419D3">
        <w:rPr>
          <w:rFonts w:ascii="Verdana" w:hAnsi="Verdana"/>
          <w:sz w:val="18"/>
          <w:szCs w:val="18"/>
          <w:lang w:val="nl-NL"/>
        </w:rPr>
        <w:t>dat</w:t>
      </w:r>
      <w:r w:rsidR="00A1677D">
        <w:rPr>
          <w:rFonts w:ascii="Verdana" w:hAnsi="Verdana"/>
          <w:sz w:val="18"/>
          <w:szCs w:val="18"/>
          <w:lang w:val="nl-NL"/>
        </w:rPr>
        <w:t>zelfde</w:t>
      </w:r>
      <w:r w:rsidR="00D419D3">
        <w:rPr>
          <w:rFonts w:ascii="Verdana" w:hAnsi="Verdana"/>
          <w:sz w:val="18"/>
          <w:szCs w:val="18"/>
          <w:lang w:val="nl-NL"/>
        </w:rPr>
        <w:t xml:space="preserve"> </w:t>
      </w:r>
      <w:r w:rsidR="00840541">
        <w:rPr>
          <w:rFonts w:ascii="Verdana" w:hAnsi="Verdana"/>
          <w:sz w:val="18"/>
          <w:szCs w:val="18"/>
          <w:lang w:val="nl-NL"/>
        </w:rPr>
        <w:t xml:space="preserve">boekjaar geheven Britse bankenbelasting. </w:t>
      </w:r>
      <w:r w:rsidR="000D4E5A">
        <w:rPr>
          <w:rFonts w:ascii="Verdana" w:hAnsi="Verdana"/>
          <w:sz w:val="18"/>
          <w:szCs w:val="18"/>
          <w:lang w:val="nl-NL"/>
        </w:rPr>
        <w:t xml:space="preserve">Met de in </w:t>
      </w:r>
      <w:r w:rsidRPr="001D6B88" w:rsidR="000D4E5A">
        <w:rPr>
          <w:rFonts w:ascii="Verdana" w:hAnsi="Verdana"/>
          <w:sz w:val="18"/>
          <w:szCs w:val="18"/>
          <w:lang w:val="nl-NL"/>
        </w:rPr>
        <w:t>onderdeel c</w:t>
      </w:r>
      <w:r w:rsidR="000D4E5A">
        <w:rPr>
          <w:rFonts w:ascii="Verdana" w:hAnsi="Verdana"/>
          <w:sz w:val="18"/>
          <w:szCs w:val="18"/>
          <w:lang w:val="nl-NL"/>
        </w:rPr>
        <w:t xml:space="preserve"> van het eerste lid gehanteerde </w:t>
      </w:r>
      <w:r w:rsidRPr="001D6B88" w:rsidR="000D4E5A">
        <w:rPr>
          <w:rFonts w:ascii="Verdana" w:hAnsi="Verdana"/>
          <w:sz w:val="18"/>
          <w:szCs w:val="18"/>
          <w:lang w:val="nl-NL"/>
        </w:rPr>
        <w:t>formulering</w:t>
      </w:r>
      <w:r w:rsidR="000D4E5A">
        <w:rPr>
          <w:rFonts w:ascii="Verdana" w:hAnsi="Verdana"/>
          <w:sz w:val="18"/>
          <w:szCs w:val="18"/>
          <w:lang w:val="nl-NL"/>
        </w:rPr>
        <w:t xml:space="preserve"> wordt </w:t>
      </w:r>
      <w:r w:rsidRPr="001D6B88" w:rsidR="000D4E5A">
        <w:rPr>
          <w:rFonts w:ascii="Verdana" w:hAnsi="Verdana"/>
          <w:sz w:val="18"/>
          <w:szCs w:val="18"/>
          <w:lang w:val="nl-NL"/>
        </w:rPr>
        <w:t xml:space="preserve">bereikt dat </w:t>
      </w:r>
      <w:r w:rsidR="00A1677D">
        <w:rPr>
          <w:rFonts w:ascii="Verdana" w:hAnsi="Verdana"/>
          <w:sz w:val="18"/>
          <w:szCs w:val="18"/>
          <w:lang w:val="nl-NL"/>
        </w:rPr>
        <w:t xml:space="preserve">op dit punt </w:t>
      </w:r>
      <w:r w:rsidRPr="001D6B88" w:rsidR="000D4E5A">
        <w:rPr>
          <w:rFonts w:ascii="Verdana" w:hAnsi="Verdana"/>
          <w:sz w:val="18"/>
          <w:szCs w:val="18"/>
          <w:lang w:val="nl-NL"/>
        </w:rPr>
        <w:t xml:space="preserve">geen </w:t>
      </w:r>
      <w:r w:rsidR="00A1677D">
        <w:rPr>
          <w:rFonts w:ascii="Verdana" w:hAnsi="Verdana"/>
          <w:sz w:val="18"/>
          <w:szCs w:val="18"/>
          <w:lang w:val="nl-NL"/>
        </w:rPr>
        <w:t xml:space="preserve">onduidelijkheid kan ontstaan. </w:t>
      </w:r>
    </w:p>
    <w:p w:rsidR="0016635D" w:rsidP="00FA42A5" w:rsidRDefault="001D6B88">
      <w:pPr>
        <w:spacing w:after="240" w:line="360" w:lineRule="auto"/>
        <w:rPr>
          <w:rFonts w:ascii="Verdana" w:hAnsi="Verdana"/>
          <w:sz w:val="18"/>
          <w:szCs w:val="18"/>
          <w:lang w:val="nl-NL"/>
        </w:rPr>
      </w:pPr>
      <w:r w:rsidRPr="001D6B88">
        <w:rPr>
          <w:rFonts w:ascii="Verdana" w:hAnsi="Verdana"/>
          <w:sz w:val="18"/>
          <w:szCs w:val="18"/>
          <w:lang w:val="nl-NL"/>
        </w:rPr>
        <w:t xml:space="preserve">In het tweede lid, dat betrekking heeft op de door het VK te verlenen verrekening </w:t>
      </w:r>
      <w:r w:rsidR="005335CB">
        <w:rPr>
          <w:rFonts w:ascii="Verdana" w:hAnsi="Verdana"/>
          <w:sz w:val="18"/>
          <w:szCs w:val="18"/>
          <w:lang w:val="nl-NL"/>
        </w:rPr>
        <w:t>v</w:t>
      </w:r>
      <w:r w:rsidR="00222AF2">
        <w:rPr>
          <w:rFonts w:ascii="Verdana" w:hAnsi="Verdana"/>
          <w:sz w:val="18"/>
          <w:szCs w:val="18"/>
          <w:lang w:val="nl-NL"/>
        </w:rPr>
        <w:t>oor</w:t>
      </w:r>
      <w:r w:rsidR="005335CB">
        <w:rPr>
          <w:rFonts w:ascii="Verdana" w:hAnsi="Verdana"/>
          <w:sz w:val="18"/>
          <w:szCs w:val="18"/>
          <w:lang w:val="nl-NL"/>
        </w:rPr>
        <w:t xml:space="preserve"> in Nederland geheven</w:t>
      </w:r>
      <w:r w:rsidRPr="001D6B88" w:rsidR="005335CB">
        <w:rPr>
          <w:rFonts w:ascii="Verdana" w:hAnsi="Verdana"/>
          <w:sz w:val="18"/>
          <w:szCs w:val="18"/>
          <w:lang w:val="nl-NL"/>
        </w:rPr>
        <w:t xml:space="preserve"> </w:t>
      </w:r>
      <w:r w:rsidRPr="001D6B88">
        <w:rPr>
          <w:rFonts w:ascii="Verdana" w:hAnsi="Verdana"/>
          <w:sz w:val="18"/>
          <w:szCs w:val="18"/>
          <w:lang w:val="nl-NL"/>
        </w:rPr>
        <w:t>bankenbelasting, is een vergelijkbare bepaling niet opgenomen</w:t>
      </w:r>
      <w:r w:rsidR="004A5083">
        <w:rPr>
          <w:rFonts w:ascii="Verdana" w:hAnsi="Verdana"/>
          <w:sz w:val="18"/>
          <w:szCs w:val="18"/>
          <w:lang w:val="nl-NL"/>
        </w:rPr>
        <w:t xml:space="preserve">. Daartoe bestaat geen </w:t>
      </w:r>
      <w:r w:rsidR="008469D4">
        <w:rPr>
          <w:rFonts w:ascii="Verdana" w:hAnsi="Verdana"/>
          <w:sz w:val="18"/>
          <w:szCs w:val="18"/>
          <w:lang w:val="nl-NL"/>
        </w:rPr>
        <w:t xml:space="preserve">noodzaak </w:t>
      </w:r>
      <w:r w:rsidRPr="001D6B88">
        <w:rPr>
          <w:rFonts w:ascii="Verdana" w:hAnsi="Verdana"/>
          <w:sz w:val="18"/>
          <w:szCs w:val="18"/>
          <w:lang w:val="nl-NL"/>
        </w:rPr>
        <w:t xml:space="preserve">omdat </w:t>
      </w:r>
      <w:r w:rsidR="008469D4">
        <w:rPr>
          <w:rFonts w:ascii="Verdana" w:hAnsi="Verdana"/>
          <w:sz w:val="18"/>
          <w:szCs w:val="18"/>
          <w:lang w:val="nl-NL"/>
        </w:rPr>
        <w:t xml:space="preserve">de wijze van toepassing van de </w:t>
      </w:r>
      <w:proofErr w:type="spellStart"/>
      <w:r w:rsidR="008469D4">
        <w:rPr>
          <w:rFonts w:ascii="Verdana" w:hAnsi="Verdana"/>
          <w:sz w:val="18"/>
          <w:szCs w:val="18"/>
          <w:lang w:val="nl-NL"/>
        </w:rPr>
        <w:t>verrekeningsmethode</w:t>
      </w:r>
      <w:proofErr w:type="spellEnd"/>
      <w:r w:rsidR="00301C9E">
        <w:rPr>
          <w:rFonts w:ascii="Verdana" w:hAnsi="Verdana"/>
          <w:sz w:val="18"/>
          <w:szCs w:val="18"/>
          <w:lang w:val="nl-NL"/>
        </w:rPr>
        <w:t>,</w:t>
      </w:r>
      <w:r w:rsidR="008469D4">
        <w:rPr>
          <w:rFonts w:ascii="Verdana" w:hAnsi="Verdana"/>
          <w:sz w:val="18"/>
          <w:szCs w:val="18"/>
          <w:lang w:val="nl-NL"/>
        </w:rPr>
        <w:t xml:space="preserve"> </w:t>
      </w:r>
      <w:r w:rsidR="00301C9E">
        <w:rPr>
          <w:rFonts w:ascii="Verdana" w:hAnsi="Verdana"/>
          <w:sz w:val="18"/>
          <w:szCs w:val="18"/>
          <w:lang w:val="nl-NL"/>
        </w:rPr>
        <w:t>als sprake is van</w:t>
      </w:r>
      <w:r w:rsidR="008469D4">
        <w:rPr>
          <w:rFonts w:ascii="Verdana" w:hAnsi="Verdana"/>
          <w:sz w:val="18"/>
          <w:szCs w:val="18"/>
          <w:lang w:val="nl-NL"/>
        </w:rPr>
        <w:t xml:space="preserve"> tijdverschillen </w:t>
      </w:r>
      <w:r w:rsidR="00301C9E">
        <w:rPr>
          <w:rFonts w:ascii="Verdana" w:hAnsi="Verdana"/>
          <w:sz w:val="18"/>
          <w:szCs w:val="18"/>
          <w:lang w:val="nl-NL"/>
        </w:rPr>
        <w:t>bij</w:t>
      </w:r>
      <w:r w:rsidR="008469D4">
        <w:rPr>
          <w:rFonts w:ascii="Verdana" w:hAnsi="Verdana"/>
          <w:sz w:val="18"/>
          <w:szCs w:val="18"/>
          <w:lang w:val="nl-NL"/>
        </w:rPr>
        <w:t xml:space="preserve"> vaststelling van de belastinggrondslag</w:t>
      </w:r>
      <w:r w:rsidR="008C65C4">
        <w:rPr>
          <w:rFonts w:ascii="Verdana" w:hAnsi="Verdana"/>
          <w:sz w:val="18"/>
          <w:szCs w:val="18"/>
          <w:lang w:val="nl-NL"/>
        </w:rPr>
        <w:t>,</w:t>
      </w:r>
      <w:r w:rsidR="008469D4">
        <w:rPr>
          <w:rFonts w:ascii="Verdana" w:hAnsi="Verdana"/>
          <w:sz w:val="18"/>
          <w:szCs w:val="18"/>
          <w:lang w:val="nl-NL"/>
        </w:rPr>
        <w:t xml:space="preserve"> </w:t>
      </w:r>
      <w:r w:rsidR="008F4E33">
        <w:rPr>
          <w:rFonts w:ascii="Verdana" w:hAnsi="Verdana"/>
          <w:sz w:val="18"/>
          <w:szCs w:val="18"/>
          <w:lang w:val="nl-NL"/>
        </w:rPr>
        <w:t xml:space="preserve">al </w:t>
      </w:r>
      <w:r w:rsidRPr="001D6B88">
        <w:rPr>
          <w:rFonts w:ascii="Verdana" w:hAnsi="Verdana"/>
          <w:sz w:val="18"/>
          <w:szCs w:val="18"/>
          <w:lang w:val="nl-NL"/>
        </w:rPr>
        <w:t xml:space="preserve">uit de </w:t>
      </w:r>
      <w:r w:rsidR="00301C9E">
        <w:rPr>
          <w:rFonts w:ascii="Verdana" w:hAnsi="Verdana"/>
          <w:sz w:val="18"/>
          <w:szCs w:val="18"/>
          <w:lang w:val="nl-NL"/>
        </w:rPr>
        <w:t xml:space="preserve">nationale </w:t>
      </w:r>
      <w:r w:rsidR="008C65C4">
        <w:rPr>
          <w:rFonts w:ascii="Verdana" w:hAnsi="Verdana"/>
          <w:sz w:val="18"/>
          <w:szCs w:val="18"/>
          <w:lang w:val="nl-NL"/>
        </w:rPr>
        <w:t>wetgeving van het VK voortvloeit.</w:t>
      </w:r>
    </w:p>
    <w:p w:rsidRPr="00AA6C78" w:rsidR="0026179C" w:rsidP="00FA42A5" w:rsidRDefault="00F719A7">
      <w:pPr>
        <w:spacing w:line="360" w:lineRule="auto"/>
        <w:rPr>
          <w:lang w:val="nl-NL"/>
        </w:rPr>
      </w:pPr>
      <w:proofErr w:type="gramStart"/>
      <w:r>
        <w:rPr>
          <w:rFonts w:ascii="Verdana" w:hAnsi="Verdana"/>
          <w:sz w:val="18"/>
          <w:szCs w:val="18"/>
          <w:lang w:val="nl-NL"/>
        </w:rPr>
        <w:t xml:space="preserve">Wat betreft de Nederlandse wijze van </w:t>
      </w:r>
      <w:r w:rsidR="005335CB">
        <w:rPr>
          <w:rFonts w:ascii="Verdana" w:hAnsi="Verdana"/>
          <w:sz w:val="18"/>
          <w:szCs w:val="18"/>
          <w:lang w:val="nl-NL"/>
        </w:rPr>
        <w:t xml:space="preserve">vermijding van dubbele bankenbelasting </w:t>
      </w:r>
      <w:r>
        <w:rPr>
          <w:rFonts w:ascii="Verdana" w:hAnsi="Verdana"/>
          <w:sz w:val="18"/>
          <w:szCs w:val="18"/>
          <w:lang w:val="nl-NL"/>
        </w:rPr>
        <w:t>is in</w:t>
      </w:r>
      <w:r w:rsidRPr="001D6B88" w:rsidR="001D6B88">
        <w:rPr>
          <w:rFonts w:ascii="Verdana" w:hAnsi="Verdana"/>
          <w:sz w:val="18"/>
          <w:szCs w:val="18"/>
          <w:lang w:val="nl-NL"/>
        </w:rPr>
        <w:t xml:space="preserve"> het eerste lid</w:t>
      </w:r>
      <w:r w:rsidR="00403194">
        <w:rPr>
          <w:rFonts w:ascii="Verdana" w:hAnsi="Verdana"/>
          <w:sz w:val="18"/>
          <w:szCs w:val="18"/>
          <w:lang w:val="nl-NL"/>
        </w:rPr>
        <w:t>,</w:t>
      </w:r>
      <w:r w:rsidRPr="001D6B88" w:rsidR="001D6B88">
        <w:rPr>
          <w:rFonts w:ascii="Verdana" w:hAnsi="Verdana"/>
          <w:sz w:val="18"/>
          <w:szCs w:val="18"/>
          <w:lang w:val="nl-NL"/>
        </w:rPr>
        <w:t xml:space="preserve"> </w:t>
      </w:r>
      <w:r w:rsidRPr="001D6B88" w:rsidR="00403194">
        <w:rPr>
          <w:rFonts w:ascii="Verdana" w:hAnsi="Verdana"/>
          <w:sz w:val="18"/>
          <w:szCs w:val="18"/>
          <w:lang w:val="nl-NL"/>
        </w:rPr>
        <w:t>onderdeel d</w:t>
      </w:r>
      <w:r w:rsidR="005335CB">
        <w:rPr>
          <w:rFonts w:ascii="Verdana" w:hAnsi="Verdana"/>
          <w:sz w:val="18"/>
          <w:szCs w:val="18"/>
          <w:lang w:val="nl-NL"/>
        </w:rPr>
        <w:t>,</w:t>
      </w:r>
      <w:r w:rsidRPr="001D6B88" w:rsidR="00403194">
        <w:rPr>
          <w:rFonts w:ascii="Verdana" w:hAnsi="Verdana"/>
          <w:sz w:val="18"/>
          <w:szCs w:val="18"/>
          <w:lang w:val="nl-NL"/>
        </w:rPr>
        <w:t xml:space="preserve"> </w:t>
      </w:r>
      <w:r w:rsidRPr="001D6B88" w:rsidR="001D6B88">
        <w:rPr>
          <w:rFonts w:ascii="Verdana" w:hAnsi="Verdana"/>
          <w:sz w:val="18"/>
          <w:szCs w:val="18"/>
          <w:lang w:val="nl-NL"/>
        </w:rPr>
        <w:t xml:space="preserve">bepaald hoe bij berekening van </w:t>
      </w:r>
      <w:r w:rsidR="003E3DB1">
        <w:rPr>
          <w:rFonts w:ascii="Verdana" w:hAnsi="Verdana"/>
          <w:sz w:val="18"/>
          <w:szCs w:val="18"/>
          <w:lang w:val="nl-NL"/>
        </w:rPr>
        <w:t>het bedrag aan</w:t>
      </w:r>
      <w:r w:rsidRPr="001D6B88" w:rsidR="001D6B88">
        <w:rPr>
          <w:rFonts w:ascii="Verdana" w:hAnsi="Verdana"/>
          <w:sz w:val="18"/>
          <w:szCs w:val="18"/>
          <w:lang w:val="nl-NL"/>
        </w:rPr>
        <w:t xml:space="preserve"> </w:t>
      </w:r>
      <w:r w:rsidR="005335CB">
        <w:rPr>
          <w:rFonts w:ascii="Verdana" w:hAnsi="Verdana"/>
          <w:sz w:val="18"/>
          <w:szCs w:val="18"/>
          <w:lang w:val="nl-NL"/>
        </w:rPr>
        <w:t>te verrekenen Britse bankenbelasting</w:t>
      </w:r>
      <w:r w:rsidRPr="001D6B88" w:rsidR="005335CB">
        <w:rPr>
          <w:rFonts w:ascii="Verdana" w:hAnsi="Verdana"/>
          <w:sz w:val="18"/>
          <w:szCs w:val="18"/>
          <w:lang w:val="nl-NL"/>
        </w:rPr>
        <w:t xml:space="preserve"> </w:t>
      </w:r>
      <w:r w:rsidR="00D50BD0">
        <w:rPr>
          <w:rFonts w:ascii="Verdana" w:hAnsi="Verdana"/>
          <w:sz w:val="18"/>
          <w:szCs w:val="18"/>
          <w:lang w:val="nl-NL"/>
        </w:rPr>
        <w:t xml:space="preserve">moet worden omgegaan met </w:t>
      </w:r>
      <w:r w:rsidRPr="001D6B88" w:rsidR="00D50BD0">
        <w:rPr>
          <w:rFonts w:ascii="Verdana" w:hAnsi="Verdana"/>
          <w:sz w:val="18"/>
          <w:szCs w:val="18"/>
          <w:lang w:val="nl-NL"/>
        </w:rPr>
        <w:t xml:space="preserve">een algemene vrijstelling, zoals de Britse </w:t>
      </w:r>
      <w:r w:rsidR="00D50BD0">
        <w:rPr>
          <w:rFonts w:ascii="Verdana" w:hAnsi="Verdana"/>
          <w:sz w:val="18"/>
          <w:szCs w:val="18"/>
          <w:lang w:val="nl-NL"/>
        </w:rPr>
        <w:t xml:space="preserve">doelmatigheidsvrijstelling </w:t>
      </w:r>
      <w:r w:rsidRPr="001D6B88" w:rsidR="00D50BD0">
        <w:rPr>
          <w:rFonts w:ascii="Verdana" w:hAnsi="Verdana"/>
          <w:sz w:val="18"/>
          <w:szCs w:val="18"/>
          <w:lang w:val="nl-NL"/>
        </w:rPr>
        <w:t xml:space="preserve">van </w:t>
      </w:r>
      <w:r w:rsidR="0046425A">
        <w:rPr>
          <w:rFonts w:ascii="Verdana" w:hAnsi="Verdana"/>
          <w:sz w:val="18"/>
          <w:szCs w:val="18"/>
          <w:lang w:val="nl-NL"/>
        </w:rPr>
        <w:t xml:space="preserve">thans </w:t>
      </w:r>
      <w:r w:rsidRPr="001D6B88" w:rsidR="00D50BD0">
        <w:rPr>
          <w:rFonts w:ascii="Verdana" w:hAnsi="Verdana" w:cs="Arial"/>
          <w:sz w:val="18"/>
          <w:szCs w:val="18"/>
          <w:lang w:val="nl-NL"/>
        </w:rPr>
        <w:t>£</w:t>
      </w:r>
      <w:r w:rsidRPr="001D6B88" w:rsidR="00D50BD0">
        <w:rPr>
          <w:rFonts w:ascii="Verdana" w:hAnsi="Verdana"/>
          <w:sz w:val="18"/>
          <w:szCs w:val="18"/>
          <w:lang w:val="nl-NL"/>
        </w:rPr>
        <w:t xml:space="preserve"> 20 miljard</w:t>
      </w:r>
      <w:r w:rsidR="00D50BD0">
        <w:rPr>
          <w:rFonts w:ascii="Verdana" w:hAnsi="Verdana"/>
          <w:sz w:val="18"/>
          <w:szCs w:val="18"/>
          <w:lang w:val="nl-NL"/>
        </w:rPr>
        <w:t>,</w:t>
      </w:r>
      <w:r w:rsidRPr="001D6B88" w:rsidR="00D50BD0">
        <w:rPr>
          <w:rFonts w:ascii="Verdana" w:hAnsi="Verdana"/>
          <w:sz w:val="18"/>
          <w:szCs w:val="18"/>
          <w:lang w:val="nl-NL"/>
        </w:rPr>
        <w:t xml:space="preserve"> </w:t>
      </w:r>
      <w:r w:rsidR="00D50BD0">
        <w:rPr>
          <w:rFonts w:ascii="Verdana" w:hAnsi="Verdana"/>
          <w:sz w:val="18"/>
          <w:szCs w:val="18"/>
          <w:lang w:val="nl-NL"/>
        </w:rPr>
        <w:t>of een belastingkorting.</w:t>
      </w:r>
      <w:r w:rsidRPr="001D6B88" w:rsidR="00D50BD0">
        <w:rPr>
          <w:rFonts w:ascii="Verdana" w:hAnsi="Verdana"/>
          <w:sz w:val="18"/>
          <w:szCs w:val="18"/>
          <w:lang w:val="nl-NL"/>
        </w:rPr>
        <w:t xml:space="preserve"> </w:t>
      </w:r>
      <w:proofErr w:type="gramEnd"/>
      <w:r w:rsidR="00D50BD0">
        <w:rPr>
          <w:rFonts w:ascii="Verdana" w:hAnsi="Verdana"/>
          <w:sz w:val="18"/>
          <w:szCs w:val="18"/>
          <w:lang w:val="nl-NL"/>
        </w:rPr>
        <w:t xml:space="preserve">Een dergelijke vrijstelling of korting dient </w:t>
      </w:r>
      <w:r w:rsidRPr="001D6B88" w:rsidR="001D6B88">
        <w:rPr>
          <w:rFonts w:ascii="Verdana" w:hAnsi="Verdana"/>
          <w:sz w:val="18"/>
          <w:szCs w:val="18"/>
          <w:lang w:val="nl-NL"/>
        </w:rPr>
        <w:t xml:space="preserve">aan een in Nederland gevestigde dochtermaatschappij of </w:t>
      </w:r>
      <w:r w:rsidRPr="001D6B88" w:rsidR="00D50BD0">
        <w:rPr>
          <w:rFonts w:ascii="Verdana" w:hAnsi="Verdana"/>
          <w:sz w:val="18"/>
          <w:szCs w:val="18"/>
          <w:lang w:val="nl-NL"/>
        </w:rPr>
        <w:t xml:space="preserve">een in Nederland </w:t>
      </w:r>
      <w:r w:rsidR="00D50BD0">
        <w:rPr>
          <w:rFonts w:ascii="Verdana" w:hAnsi="Verdana"/>
          <w:sz w:val="18"/>
          <w:szCs w:val="18"/>
          <w:lang w:val="nl-NL"/>
        </w:rPr>
        <w:t xml:space="preserve">gelegen </w:t>
      </w:r>
      <w:r w:rsidRPr="001D6B88" w:rsidR="001D6B88">
        <w:rPr>
          <w:rFonts w:ascii="Verdana" w:hAnsi="Verdana"/>
          <w:sz w:val="18"/>
          <w:szCs w:val="18"/>
          <w:lang w:val="nl-NL"/>
        </w:rPr>
        <w:t>vaste inrichting van een Britse entiteit te worden</w:t>
      </w:r>
      <w:r w:rsidRPr="00D50BD0" w:rsidR="00D50BD0">
        <w:rPr>
          <w:rFonts w:ascii="Verdana" w:hAnsi="Verdana"/>
          <w:sz w:val="18"/>
          <w:szCs w:val="18"/>
          <w:lang w:val="nl-NL"/>
        </w:rPr>
        <w:t xml:space="preserve"> </w:t>
      </w:r>
      <w:r w:rsidRPr="001D6B88" w:rsidR="00D50BD0">
        <w:rPr>
          <w:rFonts w:ascii="Verdana" w:hAnsi="Verdana"/>
          <w:sz w:val="18"/>
          <w:szCs w:val="18"/>
          <w:lang w:val="nl-NL"/>
        </w:rPr>
        <w:t>toegerekend</w:t>
      </w:r>
      <w:r w:rsidR="00301C9E">
        <w:rPr>
          <w:rFonts w:ascii="Verdana" w:hAnsi="Verdana"/>
          <w:sz w:val="18"/>
          <w:szCs w:val="18"/>
          <w:lang w:val="nl-NL"/>
        </w:rPr>
        <w:t xml:space="preserve"> </w:t>
      </w:r>
      <w:r w:rsidRPr="001D6B88" w:rsidR="001D6B88">
        <w:rPr>
          <w:rFonts w:ascii="Verdana" w:hAnsi="Verdana"/>
          <w:sz w:val="18"/>
          <w:szCs w:val="18"/>
          <w:lang w:val="nl-NL"/>
        </w:rPr>
        <w:t xml:space="preserve">naar </w:t>
      </w:r>
      <w:proofErr w:type="gramStart"/>
      <w:r w:rsidRPr="001D6B88" w:rsidR="001D6B88">
        <w:rPr>
          <w:rFonts w:ascii="Verdana" w:hAnsi="Verdana"/>
          <w:sz w:val="18"/>
          <w:szCs w:val="18"/>
          <w:lang w:val="nl-NL"/>
        </w:rPr>
        <w:t>rato</w:t>
      </w:r>
      <w:proofErr w:type="gramEnd"/>
      <w:r w:rsidRPr="001D6B88" w:rsidR="001D6B88">
        <w:rPr>
          <w:rFonts w:ascii="Verdana" w:hAnsi="Verdana"/>
          <w:sz w:val="18"/>
          <w:szCs w:val="18"/>
          <w:lang w:val="nl-NL"/>
        </w:rPr>
        <w:t xml:space="preserve"> van de, voor heffing van de bankenbelasting, aan de dochtermaatschappij of vaste inrichting toegerekende passiva. </w:t>
      </w:r>
      <w:r w:rsidR="00F458B0">
        <w:rPr>
          <w:rFonts w:ascii="Verdana" w:hAnsi="Verdana"/>
          <w:sz w:val="18"/>
          <w:szCs w:val="18"/>
          <w:lang w:val="nl-NL"/>
        </w:rPr>
        <w:t>Ook op dit punt is i</w:t>
      </w:r>
      <w:r w:rsidRPr="00AA6C78" w:rsidR="00AA6C78">
        <w:rPr>
          <w:rFonts w:ascii="Verdana" w:hAnsi="Verdana"/>
          <w:sz w:val="18"/>
          <w:szCs w:val="18"/>
          <w:lang w:val="nl-NL"/>
        </w:rPr>
        <w:t>n het tweede lid</w:t>
      </w:r>
      <w:r w:rsidR="00F458B0">
        <w:rPr>
          <w:rFonts w:ascii="Verdana" w:hAnsi="Verdana"/>
          <w:sz w:val="18"/>
          <w:szCs w:val="18"/>
          <w:lang w:val="nl-NL"/>
        </w:rPr>
        <w:t xml:space="preserve">, dat </w:t>
      </w:r>
      <w:r w:rsidRPr="001D6B88" w:rsidR="00F458B0">
        <w:rPr>
          <w:rFonts w:ascii="Verdana" w:hAnsi="Verdana"/>
          <w:sz w:val="18"/>
          <w:szCs w:val="18"/>
          <w:lang w:val="nl-NL"/>
        </w:rPr>
        <w:t>betrekking heeft op de door het VK te verlenen verrekening</w:t>
      </w:r>
      <w:r w:rsidR="00F458B0">
        <w:rPr>
          <w:rFonts w:ascii="Verdana" w:hAnsi="Verdana"/>
          <w:sz w:val="18"/>
          <w:szCs w:val="18"/>
          <w:lang w:val="nl-NL"/>
        </w:rPr>
        <w:t>, geen</w:t>
      </w:r>
      <w:r w:rsidRPr="00AA6C78" w:rsidR="00AA6C78">
        <w:rPr>
          <w:rFonts w:ascii="Verdana" w:hAnsi="Verdana"/>
          <w:sz w:val="18"/>
          <w:szCs w:val="18"/>
          <w:lang w:val="nl-NL"/>
        </w:rPr>
        <w:t xml:space="preserve"> vergelijkbare bepaling opgenomen omdat het VK </w:t>
      </w:r>
      <w:r w:rsidR="00F458B0">
        <w:rPr>
          <w:rFonts w:ascii="Verdana" w:hAnsi="Verdana"/>
          <w:sz w:val="18"/>
          <w:szCs w:val="18"/>
          <w:lang w:val="nl-NL"/>
        </w:rPr>
        <w:t xml:space="preserve">al </w:t>
      </w:r>
      <w:r w:rsidRPr="00AA6C78" w:rsidR="00AA6C78">
        <w:rPr>
          <w:rFonts w:ascii="Verdana" w:hAnsi="Verdana"/>
          <w:sz w:val="18"/>
          <w:szCs w:val="18"/>
          <w:lang w:val="nl-NL"/>
        </w:rPr>
        <w:t xml:space="preserve">bij de verrekening van buitenlandse bankenbelasting </w:t>
      </w:r>
      <w:r w:rsidR="00AA6C78">
        <w:rPr>
          <w:rFonts w:ascii="Verdana" w:hAnsi="Verdana"/>
          <w:sz w:val="18"/>
          <w:szCs w:val="18"/>
          <w:lang w:val="nl-NL"/>
        </w:rPr>
        <w:t xml:space="preserve">met betrekking tot eventuele vrijstellingen en kortingen </w:t>
      </w:r>
      <w:r w:rsidRPr="00AA6C78" w:rsidR="00AA6C78">
        <w:rPr>
          <w:rFonts w:ascii="Verdana" w:hAnsi="Verdana"/>
          <w:sz w:val="18"/>
          <w:szCs w:val="18"/>
          <w:lang w:val="nl-NL"/>
        </w:rPr>
        <w:t xml:space="preserve">de </w:t>
      </w:r>
      <w:proofErr w:type="spellStart"/>
      <w:r w:rsidRPr="00AA6C78" w:rsidR="00AA6C78">
        <w:rPr>
          <w:rFonts w:ascii="Verdana" w:hAnsi="Verdana"/>
          <w:sz w:val="18"/>
          <w:szCs w:val="18"/>
          <w:lang w:val="nl-NL"/>
        </w:rPr>
        <w:t>toerekening</w:t>
      </w:r>
      <w:r w:rsidR="005745DA">
        <w:rPr>
          <w:rFonts w:ascii="Verdana" w:hAnsi="Verdana"/>
          <w:sz w:val="18"/>
          <w:szCs w:val="18"/>
          <w:lang w:val="nl-NL"/>
        </w:rPr>
        <w:t>smethode</w:t>
      </w:r>
      <w:proofErr w:type="spellEnd"/>
      <w:r w:rsidRPr="00AA6C78" w:rsidR="00AA6C78">
        <w:rPr>
          <w:rFonts w:ascii="Verdana" w:hAnsi="Verdana"/>
          <w:sz w:val="18"/>
          <w:szCs w:val="18"/>
          <w:lang w:val="nl-NL"/>
        </w:rPr>
        <w:t xml:space="preserve"> van de andere staat (in dit geval Nederland) volgt.</w:t>
      </w:r>
    </w:p>
    <w:p w:rsidRPr="00525643" w:rsidR="00CF5BF2" w:rsidP="00525643" w:rsidRDefault="007E7343">
      <w:pPr>
        <w:pStyle w:val="Heading2"/>
        <w:rPr>
          <w:rFonts w:ascii="Verdana" w:hAnsi="Verdana"/>
          <w:sz w:val="18"/>
          <w:szCs w:val="18"/>
          <w:lang w:val="nl-NL"/>
        </w:rPr>
      </w:pPr>
      <w:r w:rsidRPr="00525643">
        <w:rPr>
          <w:rFonts w:ascii="Verdana" w:hAnsi="Verdana"/>
          <w:sz w:val="18"/>
          <w:szCs w:val="18"/>
          <w:lang w:val="nl-NL"/>
        </w:rPr>
        <w:lastRenderedPageBreak/>
        <w:t>Regeling voor onderling overleg (artikel 6)</w:t>
      </w:r>
    </w:p>
    <w:p w:rsidR="005335CB" w:rsidP="00FA42A5" w:rsidRDefault="00075786">
      <w:pPr>
        <w:spacing w:after="240" w:line="360" w:lineRule="auto"/>
        <w:rPr>
          <w:rFonts w:ascii="Verdana" w:hAnsi="Verdana"/>
          <w:sz w:val="18"/>
          <w:szCs w:val="18"/>
          <w:lang w:val="nl-NL"/>
        </w:rPr>
      </w:pPr>
      <w:r w:rsidRPr="00075786">
        <w:rPr>
          <w:rFonts w:ascii="Verdana" w:hAnsi="Verdana"/>
          <w:sz w:val="18"/>
          <w:szCs w:val="18"/>
          <w:lang w:val="nl-NL"/>
        </w:rPr>
        <w:t xml:space="preserve">Dit artikel voorziet in de mogelijkheid </w:t>
      </w:r>
      <w:r w:rsidR="00057F29">
        <w:rPr>
          <w:rFonts w:ascii="Verdana" w:hAnsi="Verdana"/>
          <w:sz w:val="18"/>
          <w:szCs w:val="18"/>
          <w:lang w:val="nl-NL"/>
        </w:rPr>
        <w:t xml:space="preserve">om </w:t>
      </w:r>
      <w:r w:rsidRPr="00075786">
        <w:rPr>
          <w:rFonts w:ascii="Verdana" w:hAnsi="Verdana"/>
          <w:sz w:val="18"/>
          <w:szCs w:val="18"/>
          <w:lang w:val="nl-NL"/>
        </w:rPr>
        <w:t>v</w:t>
      </w:r>
      <w:r w:rsidR="00057F29">
        <w:rPr>
          <w:rFonts w:ascii="Verdana" w:hAnsi="Verdana"/>
          <w:sz w:val="18"/>
          <w:szCs w:val="18"/>
          <w:lang w:val="nl-NL"/>
        </w:rPr>
        <w:t>ia</w:t>
      </w:r>
      <w:r w:rsidRPr="00075786">
        <w:rPr>
          <w:rFonts w:ascii="Verdana" w:hAnsi="Verdana"/>
          <w:sz w:val="18"/>
          <w:szCs w:val="18"/>
          <w:lang w:val="nl-NL"/>
        </w:rPr>
        <w:t xml:space="preserve"> onderling overleg tussen de bevoegde autoriteiten van </w:t>
      </w:r>
      <w:r w:rsidR="00F26775">
        <w:rPr>
          <w:rFonts w:ascii="Verdana" w:hAnsi="Verdana"/>
          <w:sz w:val="18"/>
          <w:szCs w:val="18"/>
          <w:lang w:val="nl-NL"/>
        </w:rPr>
        <w:t xml:space="preserve">de </w:t>
      </w:r>
      <w:r w:rsidR="00057F29">
        <w:rPr>
          <w:rFonts w:ascii="Verdana" w:hAnsi="Verdana"/>
          <w:sz w:val="18"/>
          <w:szCs w:val="18"/>
          <w:lang w:val="nl-NL"/>
        </w:rPr>
        <w:t>Verdragsluitende Staten</w:t>
      </w:r>
      <w:r w:rsidRPr="00075786">
        <w:rPr>
          <w:rFonts w:ascii="Verdana" w:hAnsi="Verdana"/>
          <w:sz w:val="18"/>
          <w:szCs w:val="18"/>
          <w:lang w:val="nl-NL"/>
        </w:rPr>
        <w:t xml:space="preserve"> dubbele </w:t>
      </w:r>
      <w:r w:rsidR="00B23692">
        <w:rPr>
          <w:rFonts w:ascii="Verdana" w:hAnsi="Verdana"/>
          <w:sz w:val="18"/>
          <w:szCs w:val="18"/>
          <w:lang w:val="nl-NL"/>
        </w:rPr>
        <w:t>banken</w:t>
      </w:r>
      <w:r w:rsidRPr="00075786">
        <w:rPr>
          <w:rFonts w:ascii="Verdana" w:hAnsi="Verdana"/>
          <w:sz w:val="18"/>
          <w:szCs w:val="18"/>
          <w:lang w:val="nl-NL"/>
        </w:rPr>
        <w:t xml:space="preserve">belasting ongedaan te maken. </w:t>
      </w:r>
      <w:r w:rsidRPr="00074E7F" w:rsidR="001D6B88">
        <w:rPr>
          <w:rFonts w:ascii="Verdana" w:hAnsi="Verdana"/>
          <w:sz w:val="18"/>
          <w:szCs w:val="18"/>
          <w:lang w:val="nl-NL"/>
        </w:rPr>
        <w:t xml:space="preserve">Artikel 6 stemt </w:t>
      </w:r>
      <w:r w:rsidRPr="00074E7F" w:rsidR="00FD1A6A">
        <w:rPr>
          <w:rFonts w:ascii="Verdana" w:hAnsi="Verdana"/>
          <w:sz w:val="18"/>
          <w:szCs w:val="18"/>
          <w:lang w:val="nl-NL"/>
        </w:rPr>
        <w:t xml:space="preserve">nagenoeg </w:t>
      </w:r>
      <w:r w:rsidRPr="00074E7F" w:rsidR="001D6B88">
        <w:rPr>
          <w:rFonts w:ascii="Verdana" w:hAnsi="Verdana"/>
          <w:sz w:val="18"/>
          <w:szCs w:val="18"/>
          <w:lang w:val="nl-NL"/>
        </w:rPr>
        <w:t xml:space="preserve">overeen met de </w:t>
      </w:r>
      <w:r w:rsidRPr="00074E7F" w:rsidR="005B6724">
        <w:rPr>
          <w:rFonts w:ascii="Verdana" w:hAnsi="Verdana"/>
          <w:sz w:val="18"/>
          <w:szCs w:val="18"/>
          <w:lang w:val="nl-NL"/>
        </w:rPr>
        <w:t>regeling voor onderling overleg</w:t>
      </w:r>
      <w:r w:rsidRPr="00074E7F" w:rsidR="001D6B88">
        <w:rPr>
          <w:rFonts w:ascii="Verdana" w:hAnsi="Verdana"/>
          <w:sz w:val="18"/>
          <w:szCs w:val="18"/>
          <w:lang w:val="nl-NL"/>
        </w:rPr>
        <w:t xml:space="preserve"> in </w:t>
      </w:r>
      <w:r w:rsidRPr="00074E7F" w:rsidR="00FD1A6A">
        <w:rPr>
          <w:rFonts w:ascii="Verdana" w:hAnsi="Verdana"/>
          <w:sz w:val="18"/>
          <w:szCs w:val="18"/>
          <w:lang w:val="nl-NL"/>
        </w:rPr>
        <w:t xml:space="preserve">artikel 25 </w:t>
      </w:r>
      <w:r w:rsidR="003566A4">
        <w:rPr>
          <w:rFonts w:ascii="Verdana" w:hAnsi="Verdana"/>
          <w:sz w:val="18"/>
          <w:szCs w:val="18"/>
          <w:lang w:val="nl-NL"/>
        </w:rPr>
        <w:t>van het algemene belastingverdrag tussen Nederland en het VK</w:t>
      </w:r>
      <w:r w:rsidRPr="00074E7F" w:rsidR="001D6B88">
        <w:rPr>
          <w:rFonts w:ascii="Verdana" w:hAnsi="Verdana"/>
          <w:sz w:val="18"/>
          <w:szCs w:val="18"/>
          <w:lang w:val="nl-NL"/>
        </w:rPr>
        <w:t>.</w:t>
      </w:r>
      <w:r w:rsidR="00DA2D75">
        <w:rPr>
          <w:rFonts w:ascii="Verdana" w:hAnsi="Verdana"/>
          <w:sz w:val="18"/>
          <w:szCs w:val="18"/>
          <w:lang w:val="nl-NL"/>
        </w:rPr>
        <w:t xml:space="preserve"> Evenals in </w:t>
      </w:r>
      <w:r w:rsidR="0046425A">
        <w:rPr>
          <w:rFonts w:ascii="Verdana" w:hAnsi="Verdana"/>
          <w:sz w:val="18"/>
          <w:szCs w:val="18"/>
          <w:lang w:val="nl-NL"/>
        </w:rPr>
        <w:t xml:space="preserve">dat </w:t>
      </w:r>
      <w:r w:rsidR="003E22AB">
        <w:rPr>
          <w:rFonts w:ascii="Verdana" w:hAnsi="Verdana"/>
          <w:sz w:val="18"/>
          <w:szCs w:val="18"/>
          <w:lang w:val="nl-NL"/>
        </w:rPr>
        <w:t>V</w:t>
      </w:r>
      <w:r w:rsidR="00DA2D75">
        <w:rPr>
          <w:rFonts w:ascii="Verdana" w:hAnsi="Verdana"/>
          <w:sz w:val="18"/>
          <w:szCs w:val="18"/>
          <w:lang w:val="nl-NL"/>
        </w:rPr>
        <w:t xml:space="preserve">erdrag </w:t>
      </w:r>
      <w:r w:rsidRPr="00DA2D75" w:rsidR="00DA2D75">
        <w:rPr>
          <w:rFonts w:ascii="Verdana" w:hAnsi="Verdana"/>
          <w:sz w:val="18"/>
          <w:szCs w:val="18"/>
          <w:lang w:val="nl-NL"/>
        </w:rPr>
        <w:t>is in het eerste lid</w:t>
      </w:r>
      <w:r w:rsidR="0046425A">
        <w:rPr>
          <w:rFonts w:ascii="Verdana" w:hAnsi="Verdana"/>
          <w:sz w:val="18"/>
          <w:szCs w:val="18"/>
          <w:lang w:val="nl-NL"/>
        </w:rPr>
        <w:t xml:space="preserve"> van de onderhavige bepaling</w:t>
      </w:r>
      <w:r w:rsidR="00DA2D75">
        <w:rPr>
          <w:rFonts w:ascii="Verdana" w:hAnsi="Verdana"/>
          <w:sz w:val="18"/>
          <w:szCs w:val="18"/>
          <w:lang w:val="nl-NL"/>
        </w:rPr>
        <w:t>, n</w:t>
      </w:r>
      <w:r w:rsidRPr="00DA2D75" w:rsidR="00DA2D75">
        <w:rPr>
          <w:rFonts w:ascii="Verdana" w:hAnsi="Verdana"/>
          <w:sz w:val="18"/>
          <w:szCs w:val="18"/>
          <w:lang w:val="nl-NL"/>
        </w:rPr>
        <w:t xml:space="preserve">aast de </w:t>
      </w:r>
      <w:r w:rsidR="0046425A">
        <w:rPr>
          <w:rFonts w:ascii="Verdana" w:hAnsi="Verdana"/>
          <w:sz w:val="18"/>
          <w:szCs w:val="18"/>
          <w:lang w:val="nl-NL"/>
        </w:rPr>
        <w:t xml:space="preserve">internationaal </w:t>
      </w:r>
      <w:r w:rsidRPr="00DA2D75" w:rsidR="00DA2D75">
        <w:rPr>
          <w:rFonts w:ascii="Verdana" w:hAnsi="Verdana"/>
          <w:sz w:val="18"/>
          <w:szCs w:val="18"/>
          <w:lang w:val="nl-NL"/>
        </w:rPr>
        <w:t>gebruikelijke driejaars</w:t>
      </w:r>
      <w:r w:rsidR="0046425A">
        <w:rPr>
          <w:rFonts w:ascii="Verdana" w:hAnsi="Verdana"/>
          <w:sz w:val="18"/>
          <w:szCs w:val="18"/>
          <w:lang w:val="nl-NL"/>
        </w:rPr>
        <w:t xml:space="preserve">termijn </w:t>
      </w:r>
      <w:r w:rsidRPr="00DA2D75" w:rsidR="00DA2D75">
        <w:rPr>
          <w:rFonts w:ascii="Verdana" w:hAnsi="Verdana"/>
          <w:sz w:val="18"/>
          <w:szCs w:val="18"/>
          <w:lang w:val="nl-NL"/>
        </w:rPr>
        <w:t>voor indiening van een</w:t>
      </w:r>
      <w:r w:rsidR="00DA2D75">
        <w:rPr>
          <w:rFonts w:ascii="Verdana" w:hAnsi="Verdana"/>
          <w:sz w:val="18"/>
          <w:szCs w:val="18"/>
          <w:lang w:val="nl-NL"/>
        </w:rPr>
        <w:t xml:space="preserve"> verzoek tot onderling overleg,</w:t>
      </w:r>
      <w:r w:rsidRPr="00DA2D75" w:rsidR="00DA2D75">
        <w:rPr>
          <w:rFonts w:ascii="Verdana" w:hAnsi="Verdana"/>
          <w:sz w:val="18"/>
          <w:szCs w:val="18"/>
          <w:lang w:val="nl-NL"/>
        </w:rPr>
        <w:t xml:space="preserve"> een periode </w:t>
      </w:r>
      <w:r w:rsidR="0046425A">
        <w:rPr>
          <w:rFonts w:ascii="Verdana" w:hAnsi="Verdana"/>
          <w:sz w:val="18"/>
          <w:szCs w:val="18"/>
          <w:lang w:val="nl-NL"/>
        </w:rPr>
        <w:t xml:space="preserve">opgenomen </w:t>
      </w:r>
      <w:r w:rsidRPr="00DA2D75" w:rsidR="00DA2D75">
        <w:rPr>
          <w:rFonts w:ascii="Verdana" w:hAnsi="Verdana"/>
          <w:sz w:val="18"/>
          <w:szCs w:val="18"/>
          <w:lang w:val="nl-NL"/>
        </w:rPr>
        <w:t xml:space="preserve">van zes jaar na afloop van het belastingtijdvak waarin de gewraakte belastingheffing heeft plaatsgevonden. Als uiterste </w:t>
      </w:r>
      <w:r w:rsidRPr="00DA2D75" w:rsidR="009A52BF">
        <w:rPr>
          <w:rFonts w:ascii="Verdana" w:hAnsi="Verdana"/>
          <w:sz w:val="18"/>
          <w:szCs w:val="18"/>
          <w:lang w:val="nl-NL"/>
        </w:rPr>
        <w:t>indieningdatum</w:t>
      </w:r>
      <w:r w:rsidRPr="00DA2D75" w:rsidR="00DA2D75">
        <w:rPr>
          <w:rFonts w:ascii="Verdana" w:hAnsi="Verdana"/>
          <w:sz w:val="18"/>
          <w:szCs w:val="18"/>
          <w:lang w:val="nl-NL"/>
        </w:rPr>
        <w:t xml:space="preserve"> voor het verzoek zal gelden de laatste van de data waarop deze twee periodes aflopen. </w:t>
      </w:r>
    </w:p>
    <w:p w:rsidR="005335CB" w:rsidP="00FA42A5" w:rsidRDefault="00B23692">
      <w:pPr>
        <w:spacing w:after="240" w:line="360" w:lineRule="auto"/>
        <w:rPr>
          <w:rFonts w:ascii="Verdana" w:hAnsi="Verdana"/>
          <w:sz w:val="18"/>
          <w:szCs w:val="18"/>
          <w:lang w:val="nl-NL"/>
        </w:rPr>
      </w:pPr>
      <w:r>
        <w:rPr>
          <w:rFonts w:ascii="Verdana" w:hAnsi="Verdana"/>
          <w:sz w:val="18"/>
          <w:szCs w:val="18"/>
          <w:lang w:val="nl-NL"/>
        </w:rPr>
        <w:t>A</w:t>
      </w:r>
      <w:r w:rsidRPr="00075786" w:rsidR="00075786">
        <w:rPr>
          <w:rFonts w:ascii="Verdana" w:hAnsi="Verdana"/>
          <w:sz w:val="18"/>
          <w:szCs w:val="18"/>
          <w:lang w:val="nl-NL"/>
        </w:rPr>
        <w:t xml:space="preserve">rtikel </w:t>
      </w:r>
      <w:r>
        <w:rPr>
          <w:rFonts w:ascii="Verdana" w:hAnsi="Verdana"/>
          <w:sz w:val="18"/>
          <w:szCs w:val="18"/>
          <w:lang w:val="nl-NL"/>
        </w:rPr>
        <w:t xml:space="preserve">6 </w:t>
      </w:r>
      <w:r w:rsidRPr="00075786" w:rsidR="00075786">
        <w:rPr>
          <w:rFonts w:ascii="Verdana" w:hAnsi="Verdana"/>
          <w:sz w:val="18"/>
          <w:szCs w:val="18"/>
          <w:lang w:val="nl-NL"/>
        </w:rPr>
        <w:t xml:space="preserve">bevat geen verplichting tot het bereiken van een resultaat waarbij de dubbele belasting altijd wordt weggenomen; de bevoegde autoriteiten moeten zich daartoe wel inspannen (tweede lid). </w:t>
      </w:r>
      <w:r w:rsidR="003E22AB">
        <w:rPr>
          <w:rFonts w:ascii="Verdana" w:hAnsi="Verdana"/>
          <w:sz w:val="18"/>
          <w:szCs w:val="18"/>
          <w:lang w:val="nl-NL"/>
        </w:rPr>
        <w:t xml:space="preserve">Het Verdrag voorziet </w:t>
      </w:r>
      <w:proofErr w:type="gramStart"/>
      <w:r w:rsidR="003E22AB">
        <w:rPr>
          <w:rFonts w:ascii="Verdana" w:hAnsi="Verdana"/>
          <w:sz w:val="18"/>
          <w:szCs w:val="18"/>
          <w:lang w:val="nl-NL"/>
        </w:rPr>
        <w:t>evenwel</w:t>
      </w:r>
      <w:proofErr w:type="gramEnd"/>
      <w:r w:rsidR="003E22AB">
        <w:rPr>
          <w:rFonts w:ascii="Verdana" w:hAnsi="Verdana"/>
          <w:sz w:val="18"/>
          <w:szCs w:val="18"/>
          <w:lang w:val="nl-NL"/>
        </w:rPr>
        <w:t xml:space="preserve"> in de mogelijkheid van arbitrage. Hierop wordt in de toelichting op het vijfde lid nader ingegaan. </w:t>
      </w:r>
    </w:p>
    <w:p w:rsidR="005C6E8F" w:rsidP="00FA42A5" w:rsidRDefault="00075786">
      <w:pPr>
        <w:pStyle w:val="CommentText"/>
        <w:spacing w:line="360" w:lineRule="auto"/>
        <w:rPr>
          <w:rFonts w:ascii="Verdana" w:hAnsi="Verdana"/>
          <w:sz w:val="18"/>
          <w:szCs w:val="18"/>
          <w:lang w:val="nl-NL"/>
        </w:rPr>
      </w:pPr>
      <w:r w:rsidRPr="00075786">
        <w:rPr>
          <w:rFonts w:ascii="Verdana" w:hAnsi="Verdana"/>
          <w:sz w:val="18"/>
          <w:szCs w:val="18"/>
          <w:lang w:val="nl-NL"/>
        </w:rPr>
        <w:t xml:space="preserve">De bevoegde autoriteiten kunnen ook zonder een verzoek van belastingplichtigen met elkaar overleggen over eventuele moeilijkheden of twijfelpunten bij de uitleg of toepassing van het </w:t>
      </w:r>
      <w:r w:rsidR="00B23692">
        <w:rPr>
          <w:rFonts w:ascii="Verdana" w:hAnsi="Verdana"/>
          <w:sz w:val="18"/>
          <w:szCs w:val="18"/>
          <w:lang w:val="nl-NL"/>
        </w:rPr>
        <w:t>V</w:t>
      </w:r>
      <w:r w:rsidRPr="00075786">
        <w:rPr>
          <w:rFonts w:ascii="Verdana" w:hAnsi="Verdana"/>
          <w:sz w:val="18"/>
          <w:szCs w:val="18"/>
          <w:lang w:val="nl-NL"/>
        </w:rPr>
        <w:t xml:space="preserve">erdrag (derde lid). </w:t>
      </w:r>
      <w:r w:rsidR="009A52BF">
        <w:rPr>
          <w:rFonts w:ascii="Verdana" w:hAnsi="Verdana"/>
          <w:sz w:val="18"/>
          <w:szCs w:val="18"/>
          <w:lang w:val="nl-NL"/>
        </w:rPr>
        <w:t>Daarnaast is i</w:t>
      </w:r>
      <w:r w:rsidR="00F26775">
        <w:rPr>
          <w:rFonts w:ascii="Verdana" w:hAnsi="Verdana"/>
          <w:sz w:val="18"/>
          <w:szCs w:val="18"/>
          <w:lang w:val="nl-NL"/>
        </w:rPr>
        <w:t>n het</w:t>
      </w:r>
      <w:r w:rsidRPr="001D6B88" w:rsidR="006521D3">
        <w:rPr>
          <w:rFonts w:ascii="Verdana" w:hAnsi="Verdana"/>
          <w:sz w:val="18"/>
          <w:szCs w:val="18"/>
          <w:lang w:val="nl-NL"/>
        </w:rPr>
        <w:t xml:space="preserve"> derde lid</w:t>
      </w:r>
      <w:r w:rsidR="009A52BF">
        <w:rPr>
          <w:rFonts w:ascii="Verdana" w:hAnsi="Verdana"/>
          <w:sz w:val="18"/>
          <w:szCs w:val="18"/>
          <w:lang w:val="nl-NL"/>
        </w:rPr>
        <w:t xml:space="preserve"> </w:t>
      </w:r>
      <w:r w:rsidR="00715770">
        <w:rPr>
          <w:rFonts w:ascii="Verdana" w:hAnsi="Verdana"/>
          <w:sz w:val="18"/>
          <w:szCs w:val="18"/>
          <w:lang w:val="nl-NL"/>
        </w:rPr>
        <w:t>neer</w:t>
      </w:r>
      <w:r w:rsidRPr="001D6B88" w:rsidR="006521D3">
        <w:rPr>
          <w:rFonts w:ascii="Verdana" w:hAnsi="Verdana"/>
          <w:sz w:val="18"/>
          <w:szCs w:val="18"/>
          <w:lang w:val="nl-NL"/>
        </w:rPr>
        <w:t>gelegd dat de Verdragsluitende Staten zich zullen inspannen om in onderling overleg een oplossing te vinden voor gevallen van dubbele</w:t>
      </w:r>
      <w:r w:rsidR="00B23692">
        <w:rPr>
          <w:rFonts w:ascii="Verdana" w:hAnsi="Verdana"/>
          <w:sz w:val="18"/>
          <w:szCs w:val="18"/>
          <w:lang w:val="nl-NL"/>
        </w:rPr>
        <w:t xml:space="preserve"> </w:t>
      </w:r>
      <w:r w:rsidRPr="001D6B88" w:rsidR="006521D3">
        <w:rPr>
          <w:rFonts w:ascii="Verdana" w:hAnsi="Verdana"/>
          <w:sz w:val="18"/>
          <w:szCs w:val="18"/>
          <w:lang w:val="nl-NL"/>
        </w:rPr>
        <w:t>bankenbelasting die niet in het Verdrag zijn geregeld.</w:t>
      </w:r>
      <w:r w:rsidR="001E7A64">
        <w:rPr>
          <w:rFonts w:ascii="Verdana" w:hAnsi="Verdana"/>
          <w:sz w:val="18"/>
          <w:szCs w:val="18"/>
          <w:lang w:val="nl-NL"/>
        </w:rPr>
        <w:t xml:space="preserve"> De </w:t>
      </w:r>
      <w:r w:rsidR="00B23692">
        <w:rPr>
          <w:rFonts w:ascii="Verdana" w:hAnsi="Verdana"/>
          <w:sz w:val="18"/>
          <w:szCs w:val="18"/>
          <w:lang w:val="nl-NL"/>
        </w:rPr>
        <w:t>gedachte hierachter</w:t>
      </w:r>
      <w:r w:rsidR="001E7A64">
        <w:rPr>
          <w:rFonts w:ascii="Verdana" w:hAnsi="Verdana"/>
          <w:sz w:val="18"/>
          <w:szCs w:val="18"/>
          <w:lang w:val="nl-NL"/>
        </w:rPr>
        <w:t xml:space="preserve"> is dat,</w:t>
      </w:r>
      <w:r w:rsidR="00993C06">
        <w:rPr>
          <w:rFonts w:ascii="Verdana" w:hAnsi="Verdana"/>
          <w:sz w:val="18"/>
          <w:szCs w:val="18"/>
          <w:lang w:val="nl-NL"/>
        </w:rPr>
        <w:t xml:space="preserve"> omdat voor toepassing van het Verdrag </w:t>
      </w:r>
      <w:proofErr w:type="spellStart"/>
      <w:r w:rsidR="00993C06">
        <w:rPr>
          <w:rFonts w:ascii="Verdana" w:hAnsi="Verdana"/>
          <w:sz w:val="18"/>
          <w:szCs w:val="18"/>
          <w:lang w:val="nl-NL"/>
        </w:rPr>
        <w:t>inwonerschap</w:t>
      </w:r>
      <w:proofErr w:type="spellEnd"/>
      <w:r w:rsidR="00993C06">
        <w:rPr>
          <w:rFonts w:ascii="Verdana" w:hAnsi="Verdana"/>
          <w:sz w:val="18"/>
          <w:szCs w:val="18"/>
          <w:lang w:val="nl-NL"/>
        </w:rPr>
        <w:t xml:space="preserve"> is vereist,</w:t>
      </w:r>
      <w:r w:rsidR="00040699">
        <w:rPr>
          <w:rFonts w:ascii="Verdana" w:hAnsi="Verdana"/>
          <w:sz w:val="18"/>
          <w:szCs w:val="18"/>
          <w:lang w:val="nl-NL"/>
        </w:rPr>
        <w:t xml:space="preserve"> </w:t>
      </w:r>
      <w:r w:rsidR="00993C06">
        <w:rPr>
          <w:rFonts w:ascii="Verdana" w:hAnsi="Verdana"/>
          <w:sz w:val="18"/>
          <w:szCs w:val="18"/>
          <w:lang w:val="nl-NL"/>
        </w:rPr>
        <w:t>z</w:t>
      </w:r>
      <w:r w:rsidR="001E7A64">
        <w:rPr>
          <w:rFonts w:ascii="Verdana" w:hAnsi="Verdana"/>
          <w:sz w:val="18"/>
          <w:szCs w:val="18"/>
          <w:lang w:val="nl-NL"/>
        </w:rPr>
        <w:t xml:space="preserve">ich </w:t>
      </w:r>
      <w:r w:rsidRPr="001D6B88" w:rsidR="001E7A64">
        <w:rPr>
          <w:rFonts w:ascii="Verdana" w:hAnsi="Verdana"/>
          <w:sz w:val="18"/>
          <w:szCs w:val="18"/>
          <w:lang w:val="nl-NL"/>
        </w:rPr>
        <w:t>geval</w:t>
      </w:r>
      <w:r w:rsidR="001E7A64">
        <w:rPr>
          <w:rFonts w:ascii="Verdana" w:hAnsi="Verdana"/>
          <w:sz w:val="18"/>
          <w:szCs w:val="18"/>
          <w:lang w:val="nl-NL"/>
        </w:rPr>
        <w:t>len</w:t>
      </w:r>
      <w:r w:rsidRPr="001D6B88" w:rsidR="001E7A64">
        <w:rPr>
          <w:rFonts w:ascii="Verdana" w:hAnsi="Verdana"/>
          <w:sz w:val="18"/>
          <w:szCs w:val="18"/>
          <w:lang w:val="nl-NL"/>
        </w:rPr>
        <w:t xml:space="preserve"> van dubbele bankenbelasting </w:t>
      </w:r>
      <w:r w:rsidR="00B23692">
        <w:rPr>
          <w:rFonts w:ascii="Verdana" w:hAnsi="Verdana"/>
          <w:sz w:val="18"/>
          <w:szCs w:val="18"/>
          <w:lang w:val="nl-NL"/>
        </w:rPr>
        <w:t xml:space="preserve">kunnen </w:t>
      </w:r>
      <w:r w:rsidR="001E7A64">
        <w:rPr>
          <w:rFonts w:ascii="Verdana" w:hAnsi="Verdana"/>
          <w:sz w:val="18"/>
          <w:szCs w:val="18"/>
          <w:lang w:val="nl-NL"/>
        </w:rPr>
        <w:t xml:space="preserve">voordoen die niet </w:t>
      </w:r>
      <w:r w:rsidRPr="001D6B88" w:rsidR="001E7A64">
        <w:rPr>
          <w:rFonts w:ascii="Verdana" w:hAnsi="Verdana"/>
          <w:sz w:val="18"/>
          <w:szCs w:val="18"/>
          <w:lang w:val="nl-NL"/>
        </w:rPr>
        <w:t xml:space="preserve">onder </w:t>
      </w:r>
      <w:r w:rsidR="001E7A64">
        <w:rPr>
          <w:rFonts w:ascii="Verdana" w:hAnsi="Verdana"/>
          <w:sz w:val="18"/>
          <w:szCs w:val="18"/>
          <w:lang w:val="nl-NL"/>
        </w:rPr>
        <w:t>het toepassingsbereik van het</w:t>
      </w:r>
      <w:r w:rsidRPr="001D6B88" w:rsidR="001E7A64">
        <w:rPr>
          <w:rFonts w:ascii="Verdana" w:hAnsi="Verdana"/>
          <w:sz w:val="18"/>
          <w:szCs w:val="18"/>
          <w:lang w:val="nl-NL"/>
        </w:rPr>
        <w:t xml:space="preserve"> Verdrag val</w:t>
      </w:r>
      <w:r w:rsidR="001E7A64">
        <w:rPr>
          <w:rFonts w:ascii="Verdana" w:hAnsi="Verdana"/>
          <w:sz w:val="18"/>
          <w:szCs w:val="18"/>
          <w:lang w:val="nl-NL"/>
        </w:rPr>
        <w:t>len</w:t>
      </w:r>
      <w:r w:rsidRPr="001D6B88" w:rsidR="001E7A64">
        <w:rPr>
          <w:rFonts w:ascii="Verdana" w:hAnsi="Verdana"/>
          <w:sz w:val="18"/>
          <w:szCs w:val="18"/>
          <w:lang w:val="nl-NL"/>
        </w:rPr>
        <w:t xml:space="preserve">. </w:t>
      </w:r>
      <w:r w:rsidR="005335CB">
        <w:rPr>
          <w:rFonts w:ascii="Verdana" w:hAnsi="Verdana"/>
          <w:sz w:val="18"/>
          <w:szCs w:val="18"/>
          <w:lang w:val="nl-NL"/>
        </w:rPr>
        <w:t xml:space="preserve">Daarvan </w:t>
      </w:r>
      <w:r w:rsidR="001E7A64">
        <w:rPr>
          <w:rFonts w:ascii="Verdana" w:hAnsi="Verdana"/>
          <w:sz w:val="18"/>
          <w:szCs w:val="18"/>
          <w:lang w:val="nl-NL"/>
        </w:rPr>
        <w:t>kan, bijvoorbeeld, sprake zijn als aan een</w:t>
      </w:r>
      <w:r w:rsidRPr="001D6B88" w:rsidR="001E7A64">
        <w:rPr>
          <w:rFonts w:ascii="Verdana" w:hAnsi="Verdana"/>
          <w:sz w:val="18"/>
          <w:szCs w:val="18"/>
          <w:lang w:val="nl-NL"/>
        </w:rPr>
        <w:t xml:space="preserve"> </w:t>
      </w:r>
      <w:r w:rsidR="005335CB">
        <w:rPr>
          <w:rFonts w:ascii="Verdana" w:hAnsi="Verdana"/>
          <w:sz w:val="18"/>
          <w:szCs w:val="18"/>
          <w:lang w:val="nl-NL"/>
        </w:rPr>
        <w:t xml:space="preserve">in het VK gelegen </w:t>
      </w:r>
      <w:r w:rsidRPr="001D6B88" w:rsidR="001E7A64">
        <w:rPr>
          <w:rFonts w:ascii="Verdana" w:hAnsi="Verdana"/>
          <w:sz w:val="18"/>
          <w:szCs w:val="18"/>
          <w:lang w:val="nl-NL"/>
        </w:rPr>
        <w:t>vaste inrichting</w:t>
      </w:r>
      <w:r w:rsidR="001E7A64">
        <w:rPr>
          <w:rFonts w:ascii="Verdana" w:hAnsi="Verdana"/>
          <w:sz w:val="18"/>
          <w:szCs w:val="18"/>
          <w:lang w:val="nl-NL"/>
        </w:rPr>
        <w:t xml:space="preserve"> van een bank </w:t>
      </w:r>
      <w:r w:rsidR="00207CD4">
        <w:rPr>
          <w:rFonts w:ascii="Verdana" w:hAnsi="Verdana"/>
          <w:sz w:val="18"/>
          <w:szCs w:val="18"/>
          <w:lang w:val="nl-NL"/>
        </w:rPr>
        <w:t xml:space="preserve">van </w:t>
      </w:r>
      <w:r w:rsidRPr="001D6B88" w:rsidR="001E7A64">
        <w:rPr>
          <w:rFonts w:ascii="Verdana" w:hAnsi="Verdana"/>
          <w:sz w:val="18"/>
          <w:szCs w:val="18"/>
          <w:lang w:val="nl-NL"/>
        </w:rPr>
        <w:t xml:space="preserve">een derde </w:t>
      </w:r>
      <w:r w:rsidR="001E7A64">
        <w:rPr>
          <w:rFonts w:ascii="Verdana" w:hAnsi="Verdana"/>
          <w:sz w:val="18"/>
          <w:szCs w:val="18"/>
          <w:lang w:val="nl-NL"/>
        </w:rPr>
        <w:t>Staat,</w:t>
      </w:r>
      <w:r w:rsidRPr="001D6B88" w:rsidR="001E7A64">
        <w:rPr>
          <w:rFonts w:ascii="Verdana" w:hAnsi="Verdana"/>
          <w:sz w:val="18"/>
          <w:szCs w:val="18"/>
          <w:lang w:val="nl-NL"/>
        </w:rPr>
        <w:t xml:space="preserve"> </w:t>
      </w:r>
      <w:r w:rsidR="001E7A64">
        <w:rPr>
          <w:rFonts w:ascii="Verdana" w:hAnsi="Verdana"/>
          <w:sz w:val="18"/>
          <w:szCs w:val="18"/>
          <w:lang w:val="nl-NL"/>
        </w:rPr>
        <w:t>aandelen</w:t>
      </w:r>
      <w:r w:rsidR="005335CB">
        <w:rPr>
          <w:rFonts w:ascii="Verdana" w:hAnsi="Verdana"/>
          <w:sz w:val="18"/>
          <w:szCs w:val="18"/>
          <w:lang w:val="nl-NL"/>
        </w:rPr>
        <w:t xml:space="preserve"> worden toegerekend</w:t>
      </w:r>
      <w:r w:rsidR="001E7A64">
        <w:rPr>
          <w:rFonts w:ascii="Verdana" w:hAnsi="Verdana"/>
          <w:sz w:val="18"/>
          <w:szCs w:val="18"/>
          <w:lang w:val="nl-NL"/>
        </w:rPr>
        <w:t xml:space="preserve"> in</w:t>
      </w:r>
      <w:r w:rsidRPr="001D6B88" w:rsidR="001E7A64">
        <w:rPr>
          <w:rFonts w:ascii="Verdana" w:hAnsi="Verdana"/>
          <w:sz w:val="18"/>
          <w:szCs w:val="18"/>
          <w:lang w:val="nl-NL"/>
        </w:rPr>
        <w:t xml:space="preserve"> een in Nederland gevestigde </w:t>
      </w:r>
      <w:r w:rsidR="001E7A64">
        <w:rPr>
          <w:rFonts w:ascii="Verdana" w:hAnsi="Verdana"/>
          <w:sz w:val="18"/>
          <w:szCs w:val="18"/>
          <w:lang w:val="nl-NL"/>
        </w:rPr>
        <w:t>dochtermaatschappij die</w:t>
      </w:r>
      <w:r w:rsidR="005335CB">
        <w:rPr>
          <w:rFonts w:ascii="Verdana" w:hAnsi="Verdana"/>
          <w:sz w:val="18"/>
          <w:szCs w:val="18"/>
          <w:lang w:val="nl-NL"/>
        </w:rPr>
        <w:t xml:space="preserve"> in Nederland</w:t>
      </w:r>
      <w:r w:rsidR="001E7A64">
        <w:rPr>
          <w:rFonts w:ascii="Verdana" w:hAnsi="Verdana"/>
          <w:sz w:val="18"/>
          <w:szCs w:val="18"/>
          <w:lang w:val="nl-NL"/>
        </w:rPr>
        <w:t xml:space="preserve"> bankactiviteiten verricht. De</w:t>
      </w:r>
      <w:r w:rsidR="005335CB">
        <w:rPr>
          <w:rFonts w:ascii="Verdana" w:hAnsi="Verdana"/>
          <w:sz w:val="18"/>
          <w:szCs w:val="18"/>
          <w:lang w:val="nl-NL"/>
        </w:rPr>
        <w:t xml:space="preserve"> in het VK gelegen</w:t>
      </w:r>
      <w:r w:rsidR="001E7A64">
        <w:rPr>
          <w:rFonts w:ascii="Verdana" w:hAnsi="Verdana"/>
          <w:sz w:val="18"/>
          <w:szCs w:val="18"/>
          <w:lang w:val="nl-NL"/>
        </w:rPr>
        <w:t xml:space="preserve"> vaste inrichting is belastingplichtig voor de Britse bankenbelasting. Deze belastingplicht omvat ook de in Nederland gevestigde dochtermaatschappij, </w:t>
      </w:r>
      <w:r w:rsidR="005335CB">
        <w:rPr>
          <w:rFonts w:ascii="Verdana" w:hAnsi="Verdana"/>
          <w:sz w:val="18"/>
          <w:szCs w:val="18"/>
          <w:lang w:val="nl-NL"/>
        </w:rPr>
        <w:t xml:space="preserve">wier </w:t>
      </w:r>
      <w:r w:rsidR="001E7A64">
        <w:rPr>
          <w:rFonts w:ascii="Verdana" w:hAnsi="Verdana"/>
          <w:sz w:val="18"/>
          <w:szCs w:val="18"/>
          <w:lang w:val="nl-NL"/>
        </w:rPr>
        <w:t xml:space="preserve">aandelen </w:t>
      </w:r>
      <w:r w:rsidR="005335CB">
        <w:rPr>
          <w:rFonts w:ascii="Verdana" w:hAnsi="Verdana"/>
          <w:sz w:val="18"/>
          <w:szCs w:val="18"/>
          <w:lang w:val="nl-NL"/>
        </w:rPr>
        <w:t>aan de in het VK gelegen</w:t>
      </w:r>
      <w:r w:rsidR="001E7A64">
        <w:rPr>
          <w:rFonts w:ascii="Verdana" w:hAnsi="Verdana"/>
          <w:sz w:val="18"/>
          <w:szCs w:val="18"/>
          <w:lang w:val="nl-NL"/>
        </w:rPr>
        <w:t xml:space="preserve"> vaste inrichting</w:t>
      </w:r>
      <w:r w:rsidR="005335CB">
        <w:rPr>
          <w:rFonts w:ascii="Verdana" w:hAnsi="Verdana"/>
          <w:sz w:val="18"/>
          <w:szCs w:val="18"/>
          <w:lang w:val="nl-NL"/>
        </w:rPr>
        <w:t xml:space="preserve"> zijn toegerekend</w:t>
      </w:r>
      <w:r w:rsidR="001E7A64">
        <w:rPr>
          <w:rFonts w:ascii="Verdana" w:hAnsi="Verdana"/>
          <w:sz w:val="18"/>
          <w:szCs w:val="18"/>
          <w:lang w:val="nl-NL"/>
        </w:rPr>
        <w:t xml:space="preserve">. De in Nederland gevestigde </w:t>
      </w:r>
      <w:r w:rsidRPr="00756915" w:rsidR="001E7A64">
        <w:rPr>
          <w:rFonts w:ascii="Verdana" w:hAnsi="Verdana"/>
          <w:sz w:val="18"/>
          <w:szCs w:val="18"/>
          <w:lang w:val="nl-NL"/>
        </w:rPr>
        <w:t>dochtermaatschappij</w:t>
      </w:r>
      <w:r w:rsidR="001E7A64">
        <w:rPr>
          <w:rFonts w:ascii="Verdana" w:hAnsi="Verdana"/>
          <w:sz w:val="18"/>
          <w:szCs w:val="18"/>
          <w:lang w:val="nl-NL"/>
        </w:rPr>
        <w:t xml:space="preserve"> wordt op haar beurt in</w:t>
      </w:r>
      <w:r w:rsidR="00B23692">
        <w:rPr>
          <w:rFonts w:ascii="Verdana" w:hAnsi="Verdana"/>
          <w:sz w:val="18"/>
          <w:szCs w:val="18"/>
          <w:lang w:val="nl-NL"/>
        </w:rPr>
        <w:t xml:space="preserve"> de</w:t>
      </w:r>
      <w:r w:rsidR="001E7A64">
        <w:rPr>
          <w:rFonts w:ascii="Verdana" w:hAnsi="Verdana"/>
          <w:sz w:val="18"/>
          <w:szCs w:val="18"/>
          <w:lang w:val="nl-NL"/>
        </w:rPr>
        <w:t xml:space="preserve"> Nederland</w:t>
      </w:r>
      <w:r w:rsidR="00B23692">
        <w:rPr>
          <w:rFonts w:ascii="Verdana" w:hAnsi="Verdana"/>
          <w:sz w:val="18"/>
          <w:szCs w:val="18"/>
          <w:lang w:val="nl-NL"/>
        </w:rPr>
        <w:t>se</w:t>
      </w:r>
      <w:r w:rsidR="001E7A64">
        <w:rPr>
          <w:rFonts w:ascii="Verdana" w:hAnsi="Verdana"/>
          <w:sz w:val="18"/>
          <w:szCs w:val="18"/>
          <w:lang w:val="nl-NL"/>
        </w:rPr>
        <w:t xml:space="preserve"> bankenbelasting betrokken als zij in Nederland bevoegd is bankactiviteiten te ontplooien op grond van een bankvergunning van de Nederlandsche Bank. Aldus ontstaat dubbele bankenbelasting in </w:t>
      </w:r>
      <w:r w:rsidR="00264230">
        <w:rPr>
          <w:rFonts w:ascii="Verdana" w:hAnsi="Verdana"/>
          <w:sz w:val="18"/>
          <w:szCs w:val="18"/>
          <w:lang w:val="nl-NL"/>
        </w:rPr>
        <w:t>de relatie</w:t>
      </w:r>
      <w:r w:rsidR="001E7A64">
        <w:rPr>
          <w:rFonts w:ascii="Verdana" w:hAnsi="Verdana"/>
          <w:sz w:val="18"/>
          <w:szCs w:val="18"/>
          <w:lang w:val="nl-NL"/>
        </w:rPr>
        <w:t xml:space="preserve"> Nederland</w:t>
      </w:r>
      <w:r w:rsidR="00207CD4">
        <w:rPr>
          <w:rFonts w:ascii="Verdana" w:hAnsi="Verdana"/>
          <w:sz w:val="18"/>
          <w:szCs w:val="18"/>
          <w:lang w:val="nl-NL"/>
        </w:rPr>
        <w:t xml:space="preserve"> </w:t>
      </w:r>
      <w:r w:rsidR="00264230">
        <w:rPr>
          <w:rFonts w:ascii="Verdana" w:hAnsi="Verdana"/>
          <w:sz w:val="18"/>
          <w:szCs w:val="18"/>
          <w:lang w:val="nl-NL"/>
        </w:rPr>
        <w:t>- VK</w:t>
      </w:r>
      <w:r w:rsidRPr="00756915" w:rsidR="001E7A64">
        <w:rPr>
          <w:rFonts w:ascii="Verdana" w:hAnsi="Verdana"/>
          <w:sz w:val="18"/>
          <w:szCs w:val="18"/>
          <w:lang w:val="nl-NL"/>
        </w:rPr>
        <w:t>. De vaste inrichting</w:t>
      </w:r>
      <w:r w:rsidRPr="001D6B88" w:rsidR="001E7A64">
        <w:rPr>
          <w:rFonts w:ascii="Verdana" w:hAnsi="Verdana"/>
          <w:sz w:val="18"/>
          <w:szCs w:val="18"/>
          <w:lang w:val="nl-NL"/>
        </w:rPr>
        <w:t xml:space="preserve"> he</w:t>
      </w:r>
      <w:r w:rsidR="001E7A64">
        <w:rPr>
          <w:rFonts w:ascii="Verdana" w:hAnsi="Verdana"/>
          <w:sz w:val="18"/>
          <w:szCs w:val="18"/>
          <w:lang w:val="nl-NL"/>
        </w:rPr>
        <w:t>eft</w:t>
      </w:r>
      <w:r w:rsidRPr="001D6B88" w:rsidR="001E7A64">
        <w:rPr>
          <w:rFonts w:ascii="Verdana" w:hAnsi="Verdana"/>
          <w:sz w:val="18"/>
          <w:szCs w:val="18"/>
          <w:lang w:val="nl-NL"/>
        </w:rPr>
        <w:t xml:space="preserve"> </w:t>
      </w:r>
      <w:r w:rsidR="001E7A64">
        <w:rPr>
          <w:rFonts w:ascii="Verdana" w:hAnsi="Verdana"/>
          <w:sz w:val="18"/>
          <w:szCs w:val="18"/>
          <w:lang w:val="nl-NL"/>
        </w:rPr>
        <w:t xml:space="preserve">echter </w:t>
      </w:r>
      <w:r w:rsidRPr="001D6B88" w:rsidR="001E7A64">
        <w:rPr>
          <w:rFonts w:ascii="Verdana" w:hAnsi="Verdana"/>
          <w:sz w:val="18"/>
          <w:szCs w:val="18"/>
          <w:lang w:val="nl-NL"/>
        </w:rPr>
        <w:t xml:space="preserve">geen toegang tot het Verdrag omdat </w:t>
      </w:r>
      <w:r w:rsidR="001E7A64">
        <w:rPr>
          <w:rFonts w:ascii="Verdana" w:hAnsi="Verdana"/>
          <w:sz w:val="18"/>
          <w:szCs w:val="18"/>
          <w:lang w:val="nl-NL"/>
        </w:rPr>
        <w:t xml:space="preserve">deze </w:t>
      </w:r>
      <w:r w:rsidR="003E22AB">
        <w:rPr>
          <w:rFonts w:ascii="Verdana" w:hAnsi="Verdana"/>
          <w:sz w:val="18"/>
          <w:szCs w:val="18"/>
          <w:lang w:val="nl-NL"/>
        </w:rPr>
        <w:t xml:space="preserve">voor de heffing van de vennootschapsbelasting niet wordt aangemerkt als binnenlandse belastingplichtige en daardoor </w:t>
      </w:r>
      <w:r w:rsidR="001E7A64">
        <w:rPr>
          <w:rFonts w:ascii="Verdana" w:hAnsi="Verdana"/>
          <w:sz w:val="18"/>
          <w:szCs w:val="18"/>
          <w:lang w:val="nl-NL"/>
        </w:rPr>
        <w:t>geen</w:t>
      </w:r>
      <w:r w:rsidRPr="001D6B88" w:rsidR="001E7A64">
        <w:rPr>
          <w:rFonts w:ascii="Verdana" w:hAnsi="Verdana"/>
          <w:sz w:val="18"/>
          <w:szCs w:val="18"/>
          <w:lang w:val="nl-NL"/>
        </w:rPr>
        <w:t xml:space="preserve"> inwoner</w:t>
      </w:r>
      <w:r w:rsidR="001E7A64">
        <w:rPr>
          <w:rFonts w:ascii="Verdana" w:hAnsi="Verdana"/>
          <w:sz w:val="18"/>
          <w:szCs w:val="18"/>
          <w:lang w:val="nl-NL"/>
        </w:rPr>
        <w:t xml:space="preserve"> is </w:t>
      </w:r>
      <w:r w:rsidRPr="001D6B88" w:rsidR="001E7A64">
        <w:rPr>
          <w:rFonts w:ascii="Verdana" w:hAnsi="Verdana"/>
          <w:sz w:val="18"/>
          <w:szCs w:val="18"/>
          <w:lang w:val="nl-NL"/>
        </w:rPr>
        <w:t>van</w:t>
      </w:r>
      <w:r w:rsidR="001E7A64">
        <w:rPr>
          <w:rFonts w:ascii="Verdana" w:hAnsi="Verdana"/>
          <w:sz w:val="18"/>
          <w:szCs w:val="18"/>
          <w:lang w:val="nl-NL"/>
        </w:rPr>
        <w:t xml:space="preserve"> een Verdragsluitende </w:t>
      </w:r>
      <w:r w:rsidR="00207CD4">
        <w:rPr>
          <w:rFonts w:ascii="Verdana" w:hAnsi="Verdana"/>
          <w:sz w:val="18"/>
          <w:szCs w:val="18"/>
          <w:lang w:val="nl-NL"/>
        </w:rPr>
        <w:t>S</w:t>
      </w:r>
      <w:r w:rsidR="001E7A64">
        <w:rPr>
          <w:rFonts w:ascii="Verdana" w:hAnsi="Verdana"/>
          <w:sz w:val="18"/>
          <w:szCs w:val="18"/>
          <w:lang w:val="nl-NL"/>
        </w:rPr>
        <w:t>taat in de zin van artikel 4 van het Verdrag.</w:t>
      </w:r>
      <w:r w:rsidR="005335CB">
        <w:rPr>
          <w:rFonts w:ascii="Verdana" w:hAnsi="Verdana"/>
          <w:sz w:val="18"/>
          <w:szCs w:val="18"/>
          <w:lang w:val="nl-NL"/>
        </w:rPr>
        <w:t xml:space="preserve"> Mede om deze reden is in het derde lid opgenomen dat de Verdragsluitende Staten zich zullen inspannen om in onderling overleg een oplossing te vinden voor gevallen van dubbele bankenbelasting die niet in het Verdrag zijn geregeld.</w:t>
      </w:r>
    </w:p>
    <w:p w:rsidR="005C6E8F" w:rsidP="00FA42A5" w:rsidRDefault="005C6E8F">
      <w:pPr>
        <w:pStyle w:val="CommentText"/>
        <w:spacing w:line="360" w:lineRule="auto"/>
        <w:rPr>
          <w:rFonts w:ascii="Verdana" w:hAnsi="Verdana"/>
          <w:sz w:val="18"/>
          <w:szCs w:val="18"/>
          <w:lang w:val="nl-NL"/>
        </w:rPr>
      </w:pPr>
    </w:p>
    <w:p w:rsidR="00D558F9" w:rsidP="00FA42A5" w:rsidRDefault="00EE689D">
      <w:pPr>
        <w:pStyle w:val="CommentText"/>
        <w:spacing w:line="360" w:lineRule="auto"/>
        <w:rPr>
          <w:lang w:val="nl-NL"/>
        </w:rPr>
      </w:pPr>
      <w:r w:rsidRPr="00EE689D">
        <w:rPr>
          <w:rFonts w:ascii="Verdana" w:hAnsi="Verdana"/>
          <w:sz w:val="18"/>
          <w:szCs w:val="18"/>
          <w:lang w:val="nl-NL"/>
        </w:rPr>
        <w:t xml:space="preserve">Ter illustratie wordt in figuur 2 een voorbeeld gegeven van een in de Verenigde Staten gevestigde vennootschap (vennootschap I) die alle aandelen houdt in een in Nederland gevestigde vennootschap (vennootschap II), die over een door de Nederlandsche Bank afgegeven bankvergunning beschikt, en waarvan de aandelen kunnen worden toegerekend aan een in het </w:t>
      </w:r>
      <w:r w:rsidRPr="00C10717" w:rsidR="00D12761">
        <w:rPr>
          <w:rFonts w:ascii="Verdana" w:hAnsi="Verdana"/>
          <w:sz w:val="18"/>
          <w:szCs w:val="18"/>
          <w:lang w:val="nl-NL"/>
        </w:rPr>
        <w:t>VK</w:t>
      </w:r>
      <w:r w:rsidRPr="00EE689D">
        <w:rPr>
          <w:rFonts w:ascii="Verdana" w:hAnsi="Verdana"/>
          <w:sz w:val="18"/>
          <w:szCs w:val="18"/>
          <w:lang w:val="nl-NL"/>
        </w:rPr>
        <w:t xml:space="preserve"> gevestigde vaste inrichting die bancaire activiteiten verricht. </w:t>
      </w:r>
    </w:p>
    <w:p w:rsidR="00A125FA" w:rsidRDefault="00A125FA">
      <w:pPr>
        <w:pStyle w:val="CommentText"/>
        <w:rPr>
          <w:lang w:val="nl-NL"/>
        </w:rPr>
      </w:pPr>
    </w:p>
    <w:p w:rsidR="00A125FA" w:rsidRDefault="00A06C30">
      <w:pPr>
        <w:pStyle w:val="CommentText"/>
        <w:rPr>
          <w:lang w:val="nl-NL"/>
        </w:rPr>
      </w:pPr>
      <w:r>
        <w:rPr>
          <w:rFonts w:ascii="Times New Roman" w:hAnsi="Times New Roman"/>
          <w:noProof/>
          <w:sz w:val="24"/>
          <w:lang w:val="nl-NL"/>
        </w:rPr>
        <w:lastRenderedPageBreak/>
        <mc:AlternateContent>
          <mc:Choice Requires="wpc">
            <w:drawing>
              <wp:inline distT="0" distB="0" distL="0" distR="0">
                <wp:extent cx="5760720" cy="2762885"/>
                <wp:effectExtent l="0" t="0" r="49530" b="0"/>
                <wp:docPr id="19" name="Canvas 1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2" name="Rectangle 117"/>
                        <wps:cNvSpPr>
                          <a:spLocks noChangeArrowheads="1"/>
                        </wps:cNvSpPr>
                        <wps:spPr bwMode="auto">
                          <a:xfrm>
                            <a:off x="1016635" y="1882775"/>
                            <a:ext cx="1800225" cy="469900"/>
                          </a:xfrm>
                          <a:prstGeom prst="rect">
                            <a:avLst/>
                          </a:prstGeom>
                          <a:solidFill>
                            <a:srgbClr val="FFFFFF"/>
                          </a:solidFill>
                          <a:ln w="9525">
                            <a:solidFill>
                              <a:srgbClr val="000000"/>
                            </a:solidFill>
                            <a:miter lim="800000"/>
                            <a:headEnd/>
                            <a:tailEnd/>
                          </a:ln>
                        </wps:spPr>
                        <wps:txbx>
                          <w:txbxContent>
                            <w:p w:rsidR="00A125FA" w:rsidP="00A125FA" w:rsidRDefault="00A125FA">
                              <w:pPr>
                                <w:jc w:val="center"/>
                              </w:pPr>
                              <w:r w:rsidRPr="00456F94">
                                <w:rPr>
                                  <w:lang w:val="nl-NL"/>
                                </w:rPr>
                                <w:t>Vennootschap</w:t>
                              </w:r>
                              <w:r>
                                <w:t xml:space="preserve"> II</w:t>
                              </w:r>
                            </w:p>
                          </w:txbxContent>
                        </wps:txbx>
                        <wps:bodyPr rot="0" vert="horz" wrap="square" lIns="91440" tIns="45720" rIns="91440" bIns="45720" anchor="t" anchorCtr="0" upright="1">
                          <a:noAutofit/>
                        </wps:bodyPr>
                      </wps:wsp>
                      <wps:wsp>
                        <wps:cNvPr id="103" name="Rectangle 118"/>
                        <wps:cNvSpPr>
                          <a:spLocks noChangeArrowheads="1"/>
                        </wps:cNvSpPr>
                        <wps:spPr bwMode="auto">
                          <a:xfrm>
                            <a:off x="1042670" y="131445"/>
                            <a:ext cx="1760220" cy="469900"/>
                          </a:xfrm>
                          <a:prstGeom prst="rect">
                            <a:avLst/>
                          </a:prstGeom>
                          <a:solidFill>
                            <a:srgbClr val="FFFFFF"/>
                          </a:solidFill>
                          <a:ln w="9525">
                            <a:solidFill>
                              <a:srgbClr val="000000"/>
                            </a:solidFill>
                            <a:miter lim="800000"/>
                            <a:headEnd/>
                            <a:tailEnd/>
                          </a:ln>
                        </wps:spPr>
                        <wps:txbx>
                          <w:txbxContent>
                            <w:p w:rsidR="00A125FA" w:rsidP="00A125FA" w:rsidRDefault="00A125FA">
                              <w:pPr>
                                <w:jc w:val="center"/>
                              </w:pPr>
                              <w:r w:rsidRPr="00456F94">
                                <w:rPr>
                                  <w:lang w:val="nl-NL"/>
                                </w:rPr>
                                <w:t>Vennootschap</w:t>
                              </w:r>
                              <w:r>
                                <w:t xml:space="preserve"> I</w:t>
                              </w:r>
                            </w:p>
                            <w:p w:rsidR="00A125FA" w:rsidP="00A125FA" w:rsidRDefault="00A125FA"/>
                          </w:txbxContent>
                        </wps:txbx>
                        <wps:bodyPr rot="0" vert="horz" wrap="square" lIns="91440" tIns="45720" rIns="91440" bIns="45720" anchor="t" anchorCtr="0" upright="1">
                          <a:noAutofit/>
                        </wps:bodyPr>
                      </wps:wsp>
                      <wps:wsp>
                        <wps:cNvPr id="104" name="Rectangle 119"/>
                        <wps:cNvSpPr>
                          <a:spLocks noChangeArrowheads="1"/>
                        </wps:cNvSpPr>
                        <wps:spPr bwMode="auto">
                          <a:xfrm>
                            <a:off x="4136390" y="38100"/>
                            <a:ext cx="148018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07C3" w:rsidR="00A125FA" w:rsidP="00A125FA" w:rsidRDefault="00A125FA">
                              <w:pPr>
                                <w:ind w:left="708" w:firstLine="1"/>
                                <w:rPr>
                                  <w:b/>
                                </w:rPr>
                              </w:pPr>
                              <w:r w:rsidRPr="00456F94">
                                <w:rPr>
                                  <w:b/>
                                  <w:lang w:val="nl-NL"/>
                                </w:rPr>
                                <w:t>Verenigde</w:t>
                              </w:r>
                              <w:r w:rsidRPr="004707C3">
                                <w:rPr>
                                  <w:b/>
                                </w:rPr>
                                <w:t xml:space="preserve"> </w:t>
                              </w:r>
                              <w:r>
                                <w:rPr>
                                  <w:b/>
                                </w:rPr>
                                <w:t>Staten</w:t>
                              </w:r>
                            </w:p>
                          </w:txbxContent>
                        </wps:txbx>
                        <wps:bodyPr rot="0" vert="horz" wrap="square" lIns="91440" tIns="45720" rIns="91440" bIns="45720" anchor="t" anchorCtr="0" upright="1">
                          <a:noAutofit/>
                        </wps:bodyPr>
                      </wps:wsp>
                      <wps:wsp>
                        <wps:cNvPr id="105" name="Rectangle 120"/>
                        <wps:cNvSpPr>
                          <a:spLocks noChangeArrowheads="1"/>
                        </wps:cNvSpPr>
                        <wps:spPr bwMode="auto">
                          <a:xfrm>
                            <a:off x="4136390" y="915670"/>
                            <a:ext cx="13919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07C3" w:rsidR="00A125FA" w:rsidP="00A125FA" w:rsidRDefault="00A125FA">
                              <w:pPr>
                                <w:ind w:firstLine="708"/>
                                <w:rPr>
                                  <w:b/>
                                </w:rPr>
                              </w:pPr>
                              <w:r w:rsidRPr="00456F94">
                                <w:rPr>
                                  <w:b/>
                                  <w:lang w:val="nl-NL"/>
                                </w:rPr>
                                <w:t>Verenigd</w:t>
                              </w:r>
                              <w:r>
                                <w:rPr>
                                  <w:b/>
                                </w:rPr>
                                <w:tab/>
                              </w:r>
                              <w:r w:rsidRPr="00456F94">
                                <w:rPr>
                                  <w:b/>
                                  <w:lang w:val="nl-NL"/>
                                </w:rPr>
                                <w:t>Koninkrijk</w:t>
                              </w:r>
                            </w:p>
                          </w:txbxContent>
                        </wps:txbx>
                        <wps:bodyPr rot="0" vert="horz" wrap="square" lIns="91440" tIns="45720" rIns="91440" bIns="45720" anchor="t" anchorCtr="0" upright="1">
                          <a:noAutofit/>
                        </wps:bodyPr>
                      </wps:wsp>
                      <wps:wsp>
                        <wps:cNvPr id="106" name="Rectangle 121"/>
                        <wps:cNvSpPr>
                          <a:spLocks noChangeArrowheads="1"/>
                        </wps:cNvSpPr>
                        <wps:spPr bwMode="auto">
                          <a:xfrm>
                            <a:off x="4136390" y="1662430"/>
                            <a:ext cx="139192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4707C3" w:rsidR="00A125FA" w:rsidP="00A125FA" w:rsidRDefault="00A125FA">
                              <w:pPr>
                                <w:rPr>
                                  <w:b/>
                                </w:rPr>
                              </w:pPr>
                              <w:r w:rsidRPr="004707C3">
                                <w:rPr>
                                  <w:b/>
                                </w:rPr>
                                <w:t>Nederland</w:t>
                              </w:r>
                            </w:p>
                          </w:txbxContent>
                        </wps:txbx>
                        <wps:bodyPr rot="0" vert="horz" wrap="square" lIns="91440" tIns="45720" rIns="91440" bIns="45720" anchor="t" anchorCtr="0" upright="1">
                          <a:noAutofit/>
                        </wps:bodyPr>
                      </wps:wsp>
                      <wps:wsp>
                        <wps:cNvPr id="107" name="AutoShape 122"/>
                        <wps:cNvSpPr>
                          <a:spLocks noChangeArrowheads="1"/>
                        </wps:cNvSpPr>
                        <wps:spPr bwMode="auto">
                          <a:xfrm>
                            <a:off x="1463040" y="1065704"/>
                            <a:ext cx="922020" cy="433456"/>
                          </a:xfrm>
                          <a:prstGeom prst="flowChartMerg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5FA" w:rsidP="00A125FA" w:rsidRDefault="00A125FA">
                              <w:pPr>
                                <w:ind w:left="-284" w:right="-281" w:firstLine="19"/>
                                <w:jc w:val="center"/>
                              </w:pPr>
                              <w:proofErr w:type="gramStart"/>
                              <w:r>
                                <w:t>V.I.</w:t>
                              </w:r>
                              <w:proofErr w:type="gramEnd"/>
                            </w:p>
                          </w:txbxContent>
                        </wps:txbx>
                        <wps:bodyPr rot="0" vert="horz" wrap="square" lIns="91440" tIns="45720" rIns="91440" bIns="45720" anchor="t" anchorCtr="0" upright="1">
                          <a:noAutofit/>
                        </wps:bodyPr>
                      </wps:wsp>
                      <wps:wsp>
                        <wps:cNvPr id="108" name="AutoShape 123"/>
                        <wps:cNvCnPr>
                          <a:cxnSpLocks noChangeShapeType="1"/>
                          <a:stCxn id="107" idx="2"/>
                          <a:endCxn id="102" idx="0"/>
                        </wps:cNvCnPr>
                        <wps:spPr bwMode="auto">
                          <a:xfrm flipH="1">
                            <a:off x="1916748" y="1499160"/>
                            <a:ext cx="7302" cy="3836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24"/>
                        <wps:cNvCnPr>
                          <a:cxnSpLocks noChangeShapeType="1"/>
                        </wps:cNvCnPr>
                        <wps:spPr bwMode="auto">
                          <a:xfrm>
                            <a:off x="38100" y="1568450"/>
                            <a:ext cx="5760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25"/>
                        <wps:cNvCnPr>
                          <a:cxnSpLocks noChangeShapeType="1"/>
                        </wps:cNvCnPr>
                        <wps:spPr bwMode="auto">
                          <a:xfrm>
                            <a:off x="0" y="915670"/>
                            <a:ext cx="5760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26"/>
                        <wps:cNvCnPr>
                          <a:cxnSpLocks noChangeShapeType="1"/>
                          <a:stCxn id="103" idx="2"/>
                          <a:endCxn id="107" idx="0"/>
                        </wps:cNvCnPr>
                        <wps:spPr bwMode="auto">
                          <a:xfrm>
                            <a:off x="1922780" y="601345"/>
                            <a:ext cx="1270" cy="4643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Oval 127"/>
                        <wps:cNvSpPr>
                          <a:spLocks noChangeArrowheads="1"/>
                        </wps:cNvSpPr>
                        <wps:spPr bwMode="auto">
                          <a:xfrm>
                            <a:off x="1660505" y="1065757"/>
                            <a:ext cx="499273" cy="43334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13" style="width:453.6pt;height:217.55pt;mso-position-horizontal-relative:char;mso-position-vertical-relative:line" coordsize="57607,27628" o:spid="_x0000_s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" editas="canvas">
                <v:shape id="_x0000_s1044" style="position:absolute;width:57607;height:27628;visibility:visible;mso-wrap-style:square" type="#_x0000_t75">
                  <v:fill o:detectmouseclick="t"/>
                  <v:path o:connecttype="none"/>
                </v:shape>
                <v:rect id="Rectangle 117" style="position:absolute;left:10166;top:18827;width:18002;height:4699;visibility:visible;mso-wrap-style:square;v-text-anchor:top" o:spid="_x0000_s1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textbox>
                    <w:txbxContent>
                      <w:p w:rsidR="00A125FA" w:rsidP="00A125FA" w:rsidRDefault="00A125FA">
                        <w:pPr>
                          <w:jc w:val="center"/>
                        </w:pPr>
                        <w:r w:rsidRPr="00456F94">
                          <w:rPr>
                            <w:lang w:val="nl-NL"/>
                          </w:rPr>
                          <w:t>Vennootschap</w:t>
                        </w:r>
                        <w:r>
                          <w:t xml:space="preserve"> II</w:t>
                        </w:r>
                      </w:p>
                    </w:txbxContent>
                  </v:textbox>
                </v:rect>
                <v:rect id="Rectangle 118" style="position:absolute;left:10426;top:1314;width:17602;height:4699;visibility:visible;mso-wrap-style:square;v-text-anchor:top" o:spid="_x0000_s10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textbox>
                    <w:txbxContent>
                      <w:p w:rsidR="00A125FA" w:rsidP="00A125FA" w:rsidRDefault="00A125FA">
                        <w:pPr>
                          <w:jc w:val="center"/>
                        </w:pPr>
                        <w:r w:rsidRPr="00456F94">
                          <w:rPr>
                            <w:lang w:val="nl-NL"/>
                          </w:rPr>
                          <w:t>Vennootschap</w:t>
                        </w:r>
                        <w:r>
                          <w:t xml:space="preserve"> I</w:t>
                        </w:r>
                      </w:p>
                      <w:p w:rsidR="00A125FA" w:rsidP="00A125FA" w:rsidRDefault="00A125FA"/>
                    </w:txbxContent>
                  </v:textbox>
                </v:rect>
                <v:rect id="Rectangle 119" style="position:absolute;left:41363;top:381;width:14802;height:6591;visibility:visible;mso-wrap-style:square;v-text-anchor:top" o:spid="_x0000_s1047"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v:textbox>
                    <w:txbxContent>
                      <w:p w:rsidRPr="004707C3" w:rsidR="00A125FA" w:rsidP="00A125FA" w:rsidRDefault="00A125FA">
                        <w:pPr>
                          <w:ind w:left="708" w:firstLine="1"/>
                          <w:rPr>
                            <w:b/>
                          </w:rPr>
                        </w:pPr>
                        <w:r w:rsidRPr="00456F94">
                          <w:rPr>
                            <w:b/>
                            <w:lang w:val="nl-NL"/>
                          </w:rPr>
                          <w:t>Verenigde</w:t>
                        </w:r>
                        <w:r w:rsidRPr="004707C3">
                          <w:rPr>
                            <w:b/>
                          </w:rPr>
                          <w:t xml:space="preserve"> </w:t>
                        </w:r>
                        <w:r>
                          <w:rPr>
                            <w:b/>
                          </w:rPr>
                          <w:t>Staten</w:t>
                        </w:r>
                      </w:p>
                    </w:txbxContent>
                  </v:textbox>
                </v:rect>
                <v:rect id="Rectangle 120" style="position:absolute;left:41363;top:9156;width:13920;height:4420;visibility:visible;mso-wrap-style:square;v-text-anchor:top" o:spid="_x0000_s1048"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DqMMA&#10;AADcAAAADwAAAGRycy9kb3ducmV2LnhtbERPTWvCQBC9C/6HZYTedNe2CTW6hlIQCq2HasHrkB2T&#10;YHY2Zjcm/ffdgtDbPN7nbPLRNuJGna8da1guFAjiwpmaSw3fx938BYQPyAYbx6Thhzzk2+lkg5lx&#10;A3/R7RBKEUPYZ6ihCqHNpPRFRRb9wrXEkTu7zmKIsCul6XCI4baRj0ql0mLNsaHClt4qKi6H3mrA&#10;9Nlc9+enz+NHn+KqHNUuOSmtH2bj6xpEoDH8i+/udxPnqwT+nokX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8DqMMAAADcAAAADwAAAAAAAAAAAAAAAACYAgAAZHJzL2Rv&#10;d25yZXYueG1sUEsFBgAAAAAEAAQA9QAAAIgDAAAAAA==&#10;">
                  <v:textbox>
                    <w:txbxContent>
                      <w:p w:rsidRPr="004707C3" w:rsidR="00A125FA" w:rsidP="00A125FA" w:rsidRDefault="00A125FA">
                        <w:pPr>
                          <w:ind w:firstLine="708"/>
                          <w:rPr>
                            <w:b/>
                          </w:rPr>
                        </w:pPr>
                        <w:r w:rsidRPr="00456F94">
                          <w:rPr>
                            <w:b/>
                            <w:lang w:val="nl-NL"/>
                          </w:rPr>
                          <w:t>Verenigd</w:t>
                        </w:r>
                        <w:r>
                          <w:rPr>
                            <w:b/>
                          </w:rPr>
                          <w:tab/>
                        </w:r>
                        <w:r w:rsidRPr="00456F94">
                          <w:rPr>
                            <w:b/>
                            <w:lang w:val="nl-NL"/>
                          </w:rPr>
                          <w:t>Koninkrijk</w:t>
                        </w:r>
                      </w:p>
                    </w:txbxContent>
                  </v:textbox>
                </v:rect>
                <v:rect id="Rectangle 121" style="position:absolute;left:41363;top:16624;width:13920;height:3873;visibility:visible;mso-wrap-style:square;v-text-anchor:top" o:spid="_x0000_s1049"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v:textbox>
                    <w:txbxContent>
                      <w:p w:rsidRPr="004707C3" w:rsidR="00A125FA" w:rsidP="00A125FA" w:rsidRDefault="00A125FA">
                        <w:pPr>
                          <w:rPr>
                            <w:b/>
                          </w:rPr>
                        </w:pPr>
                        <w:r w:rsidRPr="004707C3">
                          <w:rPr>
                            <w:b/>
                          </w:rPr>
                          <w:t>Nederland</w:t>
                        </w:r>
                      </w:p>
                    </w:txbxContent>
                  </v:textbox>
                </v:rect>
                <v:shapetype id="_x0000_t128" coordsize="21600,21600" o:spt="128" path="m,l21600,,10800,21600xe">
                  <v:stroke joinstyle="miter"/>
                  <v:path textboxrect="5400,0,16200,10800" gradientshapeok="t" o:connecttype="custom" o:connectlocs="10800,0;5400,10800;10800,21600;16200,10800"/>
                </v:shapetype>
                <v:shape id="AutoShape 122" style="position:absolute;left:14630;top:10657;width:9220;height:4334;visibility:visible;mso-wrap-style:square;v-text-anchor:top" o:spid="_x0000_s1050" stroked="f" type="#_x0000_t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3p0cYA&#10;AADcAAAADwAAAGRycy9kb3ducmV2LnhtbESPT2vCQBDF74LfYRnBm9m0B/+krlJKWwoWSlQQb9Ps&#10;mASzs+nu1sRv3y0I3mZ47/3mzXLdm0ZcyPnasoKHJAVBXFhdc6lgv3ubzEH4gKyxsUwKruRhvRoO&#10;lphp23FOl20oRYSwz1BBFUKbSemLigz6xLbEUTtZZzDE1ZVSO+wi3DTyMU2n0mDN8UKFLb1UVJy3&#10;vyZS8uPP++a7W3y6V5nLr7neNIeg1HjUPz+BCNSHu/mW/tCxfjqD/2fiBH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3p0cYAAADcAAAADwAAAAAAAAAAAAAAAACYAgAAZHJz&#10;L2Rvd25yZXYueG1sUEsFBgAAAAAEAAQA9QAAAIsDAAAAAA==&#10;">
                  <v:textbox>
                    <w:txbxContent>
                      <w:p w:rsidR="00A125FA" w:rsidP="00A125FA" w:rsidRDefault="00A125FA">
                        <w:pPr>
                          <w:ind w:left="-284" w:right="-281" w:firstLine="19"/>
                          <w:jc w:val="center"/>
                        </w:pPr>
                        <w:proofErr w:type="gramStart"/>
                        <w:r>
                          <w:t>V.I.</w:t>
                        </w:r>
                        <w:proofErr w:type="gramEnd"/>
                      </w:p>
                    </w:txbxContent>
                  </v:textbox>
                </v:shape>
                <v:shape id="AutoShape 123" style="position:absolute;left:19167;top:14991;width:73;height:3836;flip:x;visibility:visible;mso-wrap-style:square" o:spid="_x0000_s1051"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8OrsUAAADcAAAADwAAAGRycy9kb3ducmV2LnhtbESPQWvDMAyF74X9B6PBLmV1skMpad0y&#10;BoPSw6BtDj0KW0vCYjmzvTT999Oh0JvEe3rv02Y3+V6NFFMX2EC5KEAR2+A6bgzU58/XFaiUkR32&#10;gcnAjRLstk+zDVYuXPlI4yk3SkI4VWigzXmotE62JY9pEQZi0b5D9JhljY12Ea8S7nv9VhRL7bFj&#10;aWhxoI+W7M/pzxvoDvVXPc5/c7SrQ3mJZTpfemvMy/P0vgaVacoP8/167wS/EFp5RibQ2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8OrsUAAADcAAAADwAAAAAAAAAA&#10;AAAAAAChAgAAZHJzL2Rvd25yZXYueG1sUEsFBgAAAAAEAAQA+QAAAJMDAAAAAA==&#10;"/>
                <v:shape id="AutoShape 124" style="position:absolute;left:381;top:15684;width:57607;height:6;visibility:visible;mso-wrap-style:square" o:spid="_x0000_s1052"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AutoShape 125" style="position:absolute;top:9156;width:57607;height:7;visibility:visible;mso-wrap-style:square" o:spid="_x0000_s1053"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126" style="position:absolute;left:19227;top:6013;width:13;height:4644;visibility:visible;mso-wrap-style:square" o:spid="_x0000_s1054"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oval id="Oval 127" style="position:absolute;left:16605;top:10657;width:4992;height:4334;visibility:visible;mso-wrap-style:square;v-text-anchor:top" o:spid="_x0000_s1055" fill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LiHsIA&#10;AADcAAAADwAAAGRycy9kb3ducmV2LnhtbERP22oCMRB9L/QfwhT6UmpWkVJWo0hB8EGol/2AcTNm&#10;VzeTbRLd9e+NIPRtDuc603lvG3ElH2rHCoaDDARx6XTNRkGxX35+gwgRWWPjmBTcKMB89voyxVy7&#10;jrd03UUjUgiHHBVUMba5lKGsyGIYuJY4cUfnLcYEvZHaY5fCbSNHWfYlLdacGips6aei8ry7WAWH&#10;Q+F6+ed/Nx/m7HF86lqz3ij1/tYvJiAi9fFf/HSvdJo/HMHjmXS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uIewgAAANwAAAAPAAAAAAAAAAAAAAAAAJgCAABkcnMvZG93&#10;bnJldi54bWxQSwUGAAAAAAQABAD1AAAAhwMAAAAA&#10;"/>
                <w10:anchorlock/>
              </v:group>
            </w:pict>
          </mc:Fallback>
        </mc:AlternateContent>
      </w:r>
    </w:p>
    <w:p w:rsidR="00A125FA" w:rsidP="00A125FA" w:rsidRDefault="006C176E">
      <w:pPr>
        <w:rPr>
          <w:i/>
          <w:sz w:val="16"/>
          <w:szCs w:val="16"/>
          <w:lang w:val="nl-NL"/>
        </w:rPr>
      </w:pPr>
      <w:proofErr w:type="gramStart"/>
      <w:r w:rsidRPr="006C176E">
        <w:rPr>
          <w:rFonts w:ascii="Verdana" w:hAnsi="Verdana"/>
          <w:i/>
          <w:sz w:val="16"/>
          <w:szCs w:val="16"/>
          <w:lang w:val="nl-NL"/>
        </w:rPr>
        <w:t>Figuur 2: Voorbeeld van een in de Verenigde Staten gevestigde vennootschap die een dochter heeft in Nederland, welke over een door de Nederlandsche Bank afgegeven bankvergunning beschikt, en waarvan de aandelen kunnen worden toegerekend aan een in het VK gevestigde vaste inrichting die bancaire activiteiten verricht.</w:t>
      </w:r>
      <w:proofErr w:type="gramEnd"/>
    </w:p>
    <w:p w:rsidR="00A125FA" w:rsidP="00A125FA" w:rsidRDefault="00A125FA">
      <w:pPr>
        <w:rPr>
          <w:i/>
          <w:sz w:val="16"/>
          <w:szCs w:val="16"/>
          <w:lang w:val="nl-NL"/>
        </w:rPr>
      </w:pPr>
    </w:p>
    <w:p w:rsidR="005335CB" w:rsidP="00FA42A5" w:rsidRDefault="00EE689D">
      <w:pPr>
        <w:spacing w:line="360" w:lineRule="auto"/>
        <w:rPr>
          <w:rFonts w:ascii="Verdana" w:hAnsi="Verdana"/>
          <w:sz w:val="18"/>
          <w:szCs w:val="18"/>
          <w:lang w:val="nl-NL"/>
        </w:rPr>
      </w:pPr>
      <w:r w:rsidRPr="00EE689D">
        <w:rPr>
          <w:rFonts w:ascii="Verdana" w:hAnsi="Verdana"/>
          <w:sz w:val="18"/>
          <w:szCs w:val="18"/>
          <w:lang w:val="nl-NL"/>
        </w:rPr>
        <w:t xml:space="preserve">In dit voorbeeld is de in het </w:t>
      </w:r>
      <w:r w:rsidRPr="00EE52F5" w:rsidR="00D12761">
        <w:rPr>
          <w:rFonts w:ascii="Verdana" w:hAnsi="Verdana"/>
          <w:sz w:val="18"/>
          <w:szCs w:val="18"/>
          <w:lang w:val="nl-NL"/>
        </w:rPr>
        <w:t>VK</w:t>
      </w:r>
      <w:r w:rsidRPr="00EE689D">
        <w:rPr>
          <w:rFonts w:ascii="Verdana" w:hAnsi="Verdana"/>
          <w:sz w:val="18"/>
          <w:szCs w:val="18"/>
          <w:lang w:val="nl-NL"/>
        </w:rPr>
        <w:t xml:space="preserve"> gevestigde vaste inrichting belastingplichtig voor de </w:t>
      </w:r>
      <w:r w:rsidRPr="00CC59C7" w:rsidR="00D12761">
        <w:rPr>
          <w:rFonts w:ascii="Verdana" w:hAnsi="Verdana"/>
          <w:sz w:val="18"/>
          <w:szCs w:val="18"/>
          <w:lang w:val="nl-NL"/>
        </w:rPr>
        <w:t>Britse bankenbelasting</w:t>
      </w:r>
      <w:r w:rsidRPr="00EE689D">
        <w:rPr>
          <w:rFonts w:ascii="Verdana" w:hAnsi="Verdana"/>
          <w:sz w:val="18"/>
          <w:szCs w:val="18"/>
          <w:lang w:val="nl-NL"/>
        </w:rPr>
        <w:t xml:space="preserve"> omdat deze bancaire activiteiten verricht. Aangezien de aandelen van de in Nederland gevestigde vennootschap II toegerekend kunnen worden aan de in het </w:t>
      </w:r>
      <w:r w:rsidRPr="00EE52F5" w:rsidR="00D12761">
        <w:rPr>
          <w:rFonts w:ascii="Verdana" w:hAnsi="Verdana"/>
          <w:sz w:val="18"/>
          <w:szCs w:val="18"/>
          <w:lang w:val="nl-NL"/>
        </w:rPr>
        <w:t>VK</w:t>
      </w:r>
      <w:r w:rsidRPr="00EE689D">
        <w:rPr>
          <w:rFonts w:ascii="Verdana" w:hAnsi="Verdana"/>
          <w:sz w:val="18"/>
          <w:szCs w:val="18"/>
          <w:lang w:val="nl-NL"/>
        </w:rPr>
        <w:t xml:space="preserve"> </w:t>
      </w:r>
      <w:r w:rsidRPr="00EE689D" w:rsidR="0070441D">
        <w:rPr>
          <w:rFonts w:ascii="Verdana" w:hAnsi="Verdana"/>
          <w:sz w:val="18"/>
          <w:szCs w:val="18"/>
          <w:lang w:val="nl-NL"/>
        </w:rPr>
        <w:t xml:space="preserve">gevestigde </w:t>
      </w:r>
      <w:r w:rsidRPr="00EE689D">
        <w:rPr>
          <w:rFonts w:ascii="Verdana" w:hAnsi="Verdana"/>
          <w:sz w:val="18"/>
          <w:szCs w:val="18"/>
          <w:lang w:val="nl-NL"/>
        </w:rPr>
        <w:t xml:space="preserve">vaste inrichting, worden de passiva van deze vennootschap, direct of indirect, in de belastbare grondslag van de </w:t>
      </w:r>
      <w:r w:rsidRPr="00CC59C7" w:rsidR="00D12761">
        <w:rPr>
          <w:rFonts w:ascii="Verdana" w:hAnsi="Verdana"/>
          <w:sz w:val="18"/>
          <w:szCs w:val="18"/>
          <w:lang w:val="nl-NL"/>
        </w:rPr>
        <w:t>Britse bankenbelasting</w:t>
      </w:r>
      <w:r w:rsidRPr="00EE689D">
        <w:rPr>
          <w:rFonts w:ascii="Verdana" w:hAnsi="Verdana"/>
          <w:sz w:val="18"/>
          <w:szCs w:val="18"/>
          <w:lang w:val="nl-NL"/>
        </w:rPr>
        <w:t xml:space="preserve"> betrokken. Aangezien vennootschap II over een door de Nederlandsche Bank afgegeven bankvergunning beschikt maken de passiva van vennootschap II tevens deel uit van de belastbare grondslag v</w:t>
      </w:r>
      <w:r w:rsidR="00A066A8">
        <w:rPr>
          <w:rFonts w:ascii="Verdana" w:hAnsi="Verdana"/>
          <w:sz w:val="18"/>
          <w:szCs w:val="18"/>
          <w:lang w:val="nl-NL"/>
        </w:rPr>
        <w:t>oor</w:t>
      </w:r>
      <w:r w:rsidRPr="00EE689D">
        <w:rPr>
          <w:rFonts w:ascii="Verdana" w:hAnsi="Verdana"/>
          <w:sz w:val="18"/>
          <w:szCs w:val="18"/>
          <w:lang w:val="nl-NL"/>
        </w:rPr>
        <w:t xml:space="preserve"> de Nederlandse bankenbelasting</w:t>
      </w:r>
      <w:proofErr w:type="gramStart"/>
      <w:r w:rsidRPr="00EE689D">
        <w:rPr>
          <w:rFonts w:ascii="Verdana" w:hAnsi="Verdana"/>
          <w:sz w:val="18"/>
          <w:szCs w:val="18"/>
          <w:lang w:val="nl-NL"/>
        </w:rPr>
        <w:t>, wat</w:t>
      </w:r>
      <w:proofErr w:type="gramEnd"/>
      <w:r w:rsidRPr="00EE689D">
        <w:rPr>
          <w:rFonts w:ascii="Verdana" w:hAnsi="Verdana"/>
          <w:sz w:val="18"/>
          <w:szCs w:val="18"/>
          <w:lang w:val="nl-NL"/>
        </w:rPr>
        <w:t xml:space="preserve"> tot dubbele </w:t>
      </w:r>
      <w:r w:rsidR="00A066A8">
        <w:rPr>
          <w:rFonts w:ascii="Verdana" w:hAnsi="Verdana"/>
          <w:sz w:val="18"/>
          <w:szCs w:val="18"/>
          <w:lang w:val="nl-NL"/>
        </w:rPr>
        <w:t xml:space="preserve">heffing van </w:t>
      </w:r>
      <w:r w:rsidRPr="00EE689D">
        <w:rPr>
          <w:rFonts w:ascii="Verdana" w:hAnsi="Verdana"/>
          <w:sz w:val="18"/>
          <w:szCs w:val="18"/>
          <w:lang w:val="nl-NL"/>
        </w:rPr>
        <w:t xml:space="preserve">bankenbelasting kan leiden. </w:t>
      </w:r>
      <w:proofErr w:type="gramStart"/>
      <w:r w:rsidRPr="00EE689D">
        <w:rPr>
          <w:rFonts w:ascii="Verdana" w:hAnsi="Verdana"/>
          <w:sz w:val="18"/>
          <w:szCs w:val="18"/>
          <w:lang w:val="nl-NL"/>
        </w:rPr>
        <w:t>Ondanks het feit dat de vaste inrichting geen inwoner is van een Verdragsluitende Staat in de zin van art</w:t>
      </w:r>
      <w:r w:rsidR="00F5176A">
        <w:rPr>
          <w:rFonts w:ascii="Verdana" w:hAnsi="Verdana"/>
          <w:sz w:val="18"/>
          <w:szCs w:val="18"/>
          <w:lang w:val="nl-NL"/>
        </w:rPr>
        <w:t>ikel</w:t>
      </w:r>
      <w:r w:rsidRPr="00EE689D">
        <w:rPr>
          <w:rFonts w:ascii="Verdana" w:hAnsi="Verdana"/>
          <w:sz w:val="18"/>
          <w:szCs w:val="18"/>
          <w:lang w:val="nl-NL"/>
        </w:rPr>
        <w:t xml:space="preserve"> 4 van het Verdrag zullen de Verdragsluitende Staten zich in dergelijke gevallen inspannen om in onderling overleg dubbele bankenbelasting te vermijden.</w:t>
      </w:r>
      <w:proofErr w:type="gramEnd"/>
    </w:p>
    <w:p w:rsidR="005335CB" w:rsidP="00FA42A5" w:rsidRDefault="00207CD4">
      <w:pPr>
        <w:spacing w:before="240" w:after="240" w:line="360" w:lineRule="auto"/>
        <w:rPr>
          <w:rFonts w:ascii="Verdana" w:hAnsi="Verdana"/>
          <w:sz w:val="18"/>
          <w:szCs w:val="18"/>
          <w:lang w:val="nl-NL"/>
        </w:rPr>
      </w:pPr>
      <w:r>
        <w:rPr>
          <w:rFonts w:ascii="Verdana" w:hAnsi="Verdana"/>
          <w:sz w:val="18"/>
          <w:szCs w:val="18"/>
          <w:lang w:val="nl-NL"/>
        </w:rPr>
        <w:t xml:space="preserve">Op grond van het vierde lid </w:t>
      </w:r>
      <w:r w:rsidRPr="00075786">
        <w:rPr>
          <w:rFonts w:ascii="Verdana" w:hAnsi="Verdana"/>
          <w:sz w:val="18"/>
          <w:szCs w:val="18"/>
          <w:lang w:val="nl-NL"/>
        </w:rPr>
        <w:t xml:space="preserve">kunnen de bevoegde autoriteiten rechtstreeks met elkaar </w:t>
      </w:r>
      <w:r>
        <w:rPr>
          <w:rFonts w:ascii="Verdana" w:hAnsi="Verdana"/>
          <w:sz w:val="18"/>
          <w:szCs w:val="18"/>
          <w:lang w:val="nl-NL"/>
        </w:rPr>
        <w:t>communiceren</w:t>
      </w:r>
      <w:r w:rsidRPr="00075786">
        <w:rPr>
          <w:rFonts w:ascii="Verdana" w:hAnsi="Verdana"/>
          <w:sz w:val="18"/>
          <w:szCs w:val="18"/>
          <w:lang w:val="nl-NL"/>
        </w:rPr>
        <w:t xml:space="preserve"> </w:t>
      </w:r>
      <w:r>
        <w:rPr>
          <w:rFonts w:ascii="Verdana" w:hAnsi="Verdana"/>
          <w:sz w:val="18"/>
          <w:szCs w:val="18"/>
          <w:lang w:val="nl-NL"/>
        </w:rPr>
        <w:t>v</w:t>
      </w:r>
      <w:r w:rsidRPr="00075786" w:rsidR="00075786">
        <w:rPr>
          <w:rFonts w:ascii="Verdana" w:hAnsi="Verdana"/>
          <w:sz w:val="18"/>
          <w:szCs w:val="18"/>
          <w:lang w:val="nl-NL"/>
        </w:rPr>
        <w:t>oor he</w:t>
      </w:r>
      <w:r w:rsidR="00DF7EF0">
        <w:rPr>
          <w:rFonts w:ascii="Verdana" w:hAnsi="Verdana"/>
          <w:sz w:val="18"/>
          <w:szCs w:val="18"/>
          <w:lang w:val="nl-NL"/>
        </w:rPr>
        <w:t>t voeren van onderling overleg.</w:t>
      </w:r>
    </w:p>
    <w:p w:rsidR="001C2B34" w:rsidP="00FA42A5" w:rsidRDefault="00075786">
      <w:pPr>
        <w:spacing w:after="240" w:line="360" w:lineRule="auto"/>
        <w:rPr>
          <w:rFonts w:ascii="Verdana" w:hAnsi="Verdana"/>
          <w:sz w:val="18"/>
          <w:szCs w:val="18"/>
          <w:lang w:val="nl-NL"/>
        </w:rPr>
      </w:pPr>
      <w:r w:rsidRPr="00075786">
        <w:rPr>
          <w:rFonts w:ascii="Verdana" w:hAnsi="Verdana"/>
          <w:sz w:val="18"/>
          <w:szCs w:val="18"/>
          <w:lang w:val="nl-NL"/>
        </w:rPr>
        <w:t xml:space="preserve">Het vijfde lid </w:t>
      </w:r>
      <w:r w:rsidR="00D352F5">
        <w:rPr>
          <w:rFonts w:ascii="Verdana" w:hAnsi="Verdana"/>
          <w:sz w:val="18"/>
          <w:szCs w:val="18"/>
          <w:lang w:val="nl-NL"/>
        </w:rPr>
        <w:t>voorziet in</w:t>
      </w:r>
      <w:r w:rsidRPr="00075786" w:rsidR="00D352F5">
        <w:rPr>
          <w:rFonts w:ascii="Verdana" w:hAnsi="Verdana"/>
          <w:sz w:val="18"/>
          <w:szCs w:val="18"/>
          <w:lang w:val="nl-NL"/>
        </w:rPr>
        <w:t xml:space="preserve"> </w:t>
      </w:r>
      <w:r w:rsidRPr="00075786">
        <w:rPr>
          <w:rFonts w:ascii="Verdana" w:hAnsi="Verdana"/>
          <w:sz w:val="18"/>
          <w:szCs w:val="18"/>
          <w:lang w:val="nl-NL"/>
        </w:rPr>
        <w:t xml:space="preserve">de mogelijkheid om </w:t>
      </w:r>
      <w:r w:rsidR="00FF3E1E">
        <w:rPr>
          <w:rFonts w:ascii="Verdana" w:hAnsi="Verdana"/>
          <w:sz w:val="18"/>
          <w:szCs w:val="18"/>
          <w:lang w:val="nl-NL"/>
        </w:rPr>
        <w:t>kwesties</w:t>
      </w:r>
      <w:r w:rsidRPr="00075786">
        <w:rPr>
          <w:rFonts w:ascii="Verdana" w:hAnsi="Verdana"/>
          <w:sz w:val="18"/>
          <w:szCs w:val="18"/>
          <w:lang w:val="nl-NL"/>
        </w:rPr>
        <w:t xml:space="preserve"> die niet binnen een tijdvak van twee jaar</w:t>
      </w:r>
      <w:r w:rsidR="0064534F">
        <w:rPr>
          <w:rFonts w:ascii="Verdana" w:hAnsi="Verdana"/>
          <w:sz w:val="18"/>
          <w:szCs w:val="18"/>
          <w:lang w:val="nl-NL"/>
        </w:rPr>
        <w:t xml:space="preserve"> in onderling overleg</w:t>
      </w:r>
      <w:r w:rsidRPr="00075786">
        <w:rPr>
          <w:rFonts w:ascii="Verdana" w:hAnsi="Verdana"/>
          <w:sz w:val="18"/>
          <w:szCs w:val="18"/>
          <w:lang w:val="nl-NL"/>
        </w:rPr>
        <w:t xml:space="preserve"> </w:t>
      </w:r>
      <w:r w:rsidR="00264230">
        <w:rPr>
          <w:rFonts w:ascii="Verdana" w:hAnsi="Verdana"/>
          <w:sz w:val="18"/>
          <w:szCs w:val="18"/>
          <w:lang w:val="nl-NL"/>
        </w:rPr>
        <w:t>kunnen</w:t>
      </w:r>
      <w:r w:rsidRPr="00075786">
        <w:rPr>
          <w:rFonts w:ascii="Verdana" w:hAnsi="Verdana"/>
          <w:sz w:val="18"/>
          <w:szCs w:val="18"/>
          <w:lang w:val="nl-NL"/>
        </w:rPr>
        <w:t xml:space="preserve"> worden opgelost te beslechten via een arbitrageprocedure. </w:t>
      </w:r>
      <w:r w:rsidR="002C0B74">
        <w:rPr>
          <w:rFonts w:ascii="Verdana" w:hAnsi="Verdana"/>
          <w:sz w:val="18"/>
          <w:szCs w:val="18"/>
          <w:lang w:val="nl-NL"/>
        </w:rPr>
        <w:t xml:space="preserve">Deze arbitragemogelijkheid ziet zowel op situaties die onder het eerste lid als onder het derde lid van het onderhavige artikel door een bevoegde autoriteit van de ene Verdragsluitende Staat aan de bevoegde autoriteit van de andere Verdragsluitende Staat </w:t>
      </w:r>
      <w:proofErr w:type="gramStart"/>
      <w:r w:rsidR="00EC23B5">
        <w:rPr>
          <w:rFonts w:ascii="Verdana" w:hAnsi="Verdana"/>
          <w:sz w:val="18"/>
          <w:szCs w:val="18"/>
          <w:lang w:val="nl-NL"/>
        </w:rPr>
        <w:t>zijn</w:t>
      </w:r>
      <w:proofErr w:type="gramEnd"/>
      <w:r w:rsidR="002C0B74">
        <w:rPr>
          <w:rFonts w:ascii="Verdana" w:hAnsi="Verdana"/>
          <w:sz w:val="18"/>
          <w:szCs w:val="18"/>
          <w:lang w:val="nl-NL"/>
        </w:rPr>
        <w:t xml:space="preserve"> voorgelegd. </w:t>
      </w:r>
      <w:r w:rsidRPr="00075786">
        <w:rPr>
          <w:rFonts w:ascii="Verdana" w:hAnsi="Verdana"/>
          <w:sz w:val="18"/>
          <w:szCs w:val="18"/>
          <w:lang w:val="nl-NL"/>
        </w:rPr>
        <w:t xml:space="preserve">De uitkomst van een dergelijke arbitrageprocedure is bindend voor de Verdragsluitende Staten, tenzij de beslissing van de arbitragecommissie door de betrokken belastingplichtige wordt verworpen. </w:t>
      </w:r>
      <w:r w:rsidR="00D352F5">
        <w:rPr>
          <w:rFonts w:ascii="Verdana" w:hAnsi="Verdana"/>
          <w:sz w:val="18"/>
          <w:szCs w:val="18"/>
          <w:lang w:val="nl-NL"/>
        </w:rPr>
        <w:t>Hiermee wordt</w:t>
      </w:r>
      <w:r w:rsidRPr="00075786">
        <w:rPr>
          <w:rFonts w:ascii="Verdana" w:hAnsi="Verdana"/>
          <w:sz w:val="18"/>
          <w:szCs w:val="18"/>
          <w:lang w:val="nl-NL"/>
        </w:rPr>
        <w:t xml:space="preserve"> de rechtszekerheid voor belastingplichtigen</w:t>
      </w:r>
      <w:r w:rsidR="00D352F5">
        <w:rPr>
          <w:rFonts w:ascii="Verdana" w:hAnsi="Verdana"/>
          <w:sz w:val="18"/>
          <w:szCs w:val="18"/>
          <w:lang w:val="nl-NL"/>
        </w:rPr>
        <w:t xml:space="preserve"> vergroot</w:t>
      </w:r>
      <w:r w:rsidRPr="00075786">
        <w:rPr>
          <w:rFonts w:ascii="Verdana" w:hAnsi="Verdana"/>
          <w:sz w:val="18"/>
          <w:szCs w:val="18"/>
          <w:lang w:val="nl-NL"/>
        </w:rPr>
        <w:t>.</w:t>
      </w:r>
      <w:r w:rsidR="00264230">
        <w:rPr>
          <w:rFonts w:ascii="Verdana" w:hAnsi="Verdana"/>
          <w:sz w:val="18"/>
          <w:szCs w:val="18"/>
          <w:lang w:val="nl-NL"/>
        </w:rPr>
        <w:t xml:space="preserve"> </w:t>
      </w:r>
      <w:r w:rsidRPr="00075786">
        <w:rPr>
          <w:rFonts w:ascii="Verdana" w:hAnsi="Verdana"/>
          <w:sz w:val="18"/>
          <w:szCs w:val="18"/>
          <w:lang w:val="nl-NL"/>
        </w:rPr>
        <w:t xml:space="preserve">Bij alle overlegprocedures is </w:t>
      </w:r>
      <w:r w:rsidR="00207CD4">
        <w:rPr>
          <w:rFonts w:ascii="Verdana" w:hAnsi="Verdana"/>
          <w:sz w:val="18"/>
          <w:szCs w:val="18"/>
          <w:lang w:val="nl-NL"/>
        </w:rPr>
        <w:t>daardoor</w:t>
      </w:r>
      <w:r w:rsidRPr="00075786">
        <w:rPr>
          <w:rFonts w:ascii="Verdana" w:hAnsi="Verdana"/>
          <w:sz w:val="18"/>
          <w:szCs w:val="18"/>
          <w:lang w:val="nl-NL"/>
        </w:rPr>
        <w:t xml:space="preserve">, desnoods door middel van arbitrage, een </w:t>
      </w:r>
      <w:r w:rsidR="00D352F5">
        <w:rPr>
          <w:rFonts w:ascii="Verdana" w:hAnsi="Verdana"/>
          <w:sz w:val="18"/>
          <w:szCs w:val="18"/>
          <w:lang w:val="nl-NL"/>
        </w:rPr>
        <w:t xml:space="preserve">oplossing voor eventuele dubbele bankenbelasting </w:t>
      </w:r>
      <w:r w:rsidRPr="00075786">
        <w:rPr>
          <w:rFonts w:ascii="Verdana" w:hAnsi="Verdana"/>
          <w:sz w:val="18"/>
          <w:szCs w:val="18"/>
          <w:lang w:val="nl-NL"/>
        </w:rPr>
        <w:t xml:space="preserve">gegarandeerd. Nederland en het VK zullen voor de toepassing van deze arbitragebepaling een uitvoeringsregeling opstellen. Daarbij zal waar mogelijk worden aangesloten bij de </w:t>
      </w:r>
      <w:r w:rsidR="00FF3E1E">
        <w:rPr>
          <w:rFonts w:ascii="Verdana" w:hAnsi="Verdana"/>
          <w:sz w:val="18"/>
          <w:szCs w:val="18"/>
          <w:lang w:val="nl-NL"/>
        </w:rPr>
        <w:t xml:space="preserve">op 2 oktober 2008 te ’s-Gravenhage </w:t>
      </w:r>
    </w:p>
    <w:p w:rsidRPr="009A52BF" w:rsidR="00074E7F" w:rsidP="00FA42A5" w:rsidRDefault="00FF3E1E">
      <w:pPr>
        <w:spacing w:after="240" w:line="360" w:lineRule="auto"/>
        <w:rPr>
          <w:rFonts w:ascii="Verdana" w:hAnsi="Verdana"/>
          <w:sz w:val="18"/>
          <w:szCs w:val="18"/>
          <w:lang w:val="nl-NL"/>
        </w:rPr>
      </w:pPr>
      <w:r>
        <w:rPr>
          <w:rFonts w:ascii="Verdana" w:hAnsi="Verdana"/>
          <w:sz w:val="18"/>
          <w:szCs w:val="18"/>
          <w:lang w:val="nl-NL"/>
        </w:rPr>
        <w:lastRenderedPageBreak/>
        <w:t xml:space="preserve">tot stand gekomen Onderlinge </w:t>
      </w:r>
      <w:r w:rsidRPr="00075786" w:rsidR="00075786">
        <w:rPr>
          <w:rFonts w:ascii="Verdana" w:hAnsi="Verdana"/>
          <w:sz w:val="18"/>
          <w:szCs w:val="18"/>
          <w:lang w:val="nl-NL"/>
        </w:rPr>
        <w:t>Overeenkomst</w:t>
      </w:r>
      <w:r w:rsidR="00751E47">
        <w:rPr>
          <w:rFonts w:ascii="Verdana" w:hAnsi="Verdana"/>
          <w:sz w:val="18"/>
          <w:szCs w:val="18"/>
          <w:lang w:val="nl-NL"/>
        </w:rPr>
        <w:t xml:space="preserve"> inzake de uitvoering van artikel 25, vijfde lid,</w:t>
      </w:r>
      <w:r w:rsidR="00EC23B5">
        <w:rPr>
          <w:rFonts w:ascii="Verdana" w:hAnsi="Verdana"/>
          <w:sz w:val="18"/>
          <w:szCs w:val="18"/>
          <w:lang w:val="nl-NL"/>
        </w:rPr>
        <w:t xml:space="preserve"> (</w:t>
      </w:r>
      <w:proofErr w:type="spellStart"/>
      <w:r w:rsidR="00EC23B5">
        <w:rPr>
          <w:rFonts w:ascii="Verdana" w:hAnsi="Verdana"/>
          <w:sz w:val="18"/>
          <w:szCs w:val="18"/>
          <w:lang w:val="nl-NL"/>
        </w:rPr>
        <w:t>Trb</w:t>
      </w:r>
      <w:proofErr w:type="spellEnd"/>
      <w:r w:rsidR="00EC23B5">
        <w:rPr>
          <w:rFonts w:ascii="Verdana" w:hAnsi="Verdana"/>
          <w:sz w:val="18"/>
          <w:szCs w:val="18"/>
          <w:lang w:val="nl-NL"/>
        </w:rPr>
        <w:t xml:space="preserve">. 2009, 123) </w:t>
      </w:r>
      <w:r w:rsidR="00751E47">
        <w:rPr>
          <w:rFonts w:ascii="Verdana" w:hAnsi="Verdana"/>
          <w:sz w:val="18"/>
          <w:szCs w:val="18"/>
          <w:lang w:val="nl-NL"/>
        </w:rPr>
        <w:t>die</w:t>
      </w:r>
      <w:r w:rsidRPr="00075786" w:rsidR="00075786">
        <w:rPr>
          <w:rFonts w:ascii="Verdana" w:hAnsi="Verdana"/>
          <w:sz w:val="18"/>
          <w:szCs w:val="18"/>
          <w:lang w:val="nl-NL"/>
        </w:rPr>
        <w:t xml:space="preserve"> de </w:t>
      </w:r>
      <w:r w:rsidRPr="00074E7F" w:rsidR="005070B2">
        <w:rPr>
          <w:rFonts w:ascii="Verdana" w:hAnsi="Verdana"/>
          <w:sz w:val="18"/>
          <w:szCs w:val="18"/>
          <w:lang w:val="nl-NL"/>
        </w:rPr>
        <w:t>arbitragebepaling</w:t>
      </w:r>
      <w:r w:rsidR="00264230">
        <w:rPr>
          <w:rFonts w:ascii="Verdana" w:hAnsi="Verdana"/>
          <w:sz w:val="18"/>
          <w:szCs w:val="18"/>
          <w:lang w:val="nl-NL"/>
        </w:rPr>
        <w:t xml:space="preserve"> </w:t>
      </w:r>
      <w:r w:rsidR="00751E47">
        <w:rPr>
          <w:rFonts w:ascii="Verdana" w:hAnsi="Verdana"/>
          <w:sz w:val="18"/>
          <w:szCs w:val="18"/>
          <w:lang w:val="nl-NL"/>
        </w:rPr>
        <w:t>van</w:t>
      </w:r>
      <w:r w:rsidR="002C0B74">
        <w:rPr>
          <w:rFonts w:ascii="Verdana" w:hAnsi="Verdana"/>
          <w:sz w:val="18"/>
          <w:szCs w:val="18"/>
          <w:lang w:val="nl-NL"/>
        </w:rPr>
        <w:t xml:space="preserve"> </w:t>
      </w:r>
      <w:r w:rsidR="005070B2">
        <w:rPr>
          <w:rFonts w:ascii="Verdana" w:hAnsi="Verdana"/>
          <w:sz w:val="18"/>
          <w:szCs w:val="18"/>
          <w:lang w:val="nl-NL"/>
        </w:rPr>
        <w:t>het algemene belastingverdrag tussen Nederland en het VK</w:t>
      </w:r>
      <w:r w:rsidR="00264230">
        <w:rPr>
          <w:rFonts w:ascii="Verdana" w:hAnsi="Verdana"/>
          <w:sz w:val="18"/>
          <w:szCs w:val="18"/>
          <w:lang w:val="nl-NL"/>
        </w:rPr>
        <w:t xml:space="preserve"> </w:t>
      </w:r>
      <w:r w:rsidR="00751E47">
        <w:rPr>
          <w:rFonts w:ascii="Verdana" w:hAnsi="Verdana"/>
          <w:sz w:val="18"/>
          <w:szCs w:val="18"/>
          <w:lang w:val="nl-NL"/>
        </w:rPr>
        <w:t>verder uitwerkt</w:t>
      </w:r>
      <w:r w:rsidR="005070B2">
        <w:rPr>
          <w:rFonts w:ascii="Verdana" w:hAnsi="Verdana"/>
          <w:sz w:val="18"/>
          <w:szCs w:val="18"/>
          <w:lang w:val="nl-NL"/>
        </w:rPr>
        <w:t>.</w:t>
      </w:r>
    </w:p>
    <w:p w:rsidRPr="00525643" w:rsidR="00A76163" w:rsidP="00525643" w:rsidRDefault="007E7343">
      <w:pPr>
        <w:pStyle w:val="Heading2"/>
        <w:rPr>
          <w:rFonts w:ascii="Verdana" w:hAnsi="Verdana"/>
          <w:sz w:val="18"/>
          <w:szCs w:val="18"/>
          <w:lang w:val="nl-NL"/>
        </w:rPr>
      </w:pPr>
      <w:r w:rsidRPr="00525643">
        <w:rPr>
          <w:rFonts w:ascii="Verdana" w:hAnsi="Verdana"/>
          <w:sz w:val="18"/>
          <w:szCs w:val="18"/>
          <w:lang w:val="nl-NL"/>
        </w:rPr>
        <w:t xml:space="preserve">Uitwisseling van informatie (artikel 7) </w:t>
      </w:r>
    </w:p>
    <w:p w:rsidR="005335CB" w:rsidP="00FA42A5" w:rsidRDefault="00075786">
      <w:pPr>
        <w:shd w:val="clear" w:color="auto" w:fill="FFFFFF"/>
        <w:spacing w:after="240" w:line="360" w:lineRule="auto"/>
        <w:rPr>
          <w:rFonts w:ascii="Verdana" w:hAnsi="Verdana"/>
          <w:sz w:val="18"/>
          <w:szCs w:val="18"/>
          <w:lang w:val="nl-NL"/>
        </w:rPr>
      </w:pPr>
      <w:r w:rsidRPr="00075786">
        <w:rPr>
          <w:rFonts w:ascii="Verdana" w:hAnsi="Verdana"/>
          <w:sz w:val="18"/>
          <w:szCs w:val="18"/>
          <w:lang w:val="nl-NL"/>
        </w:rPr>
        <w:t xml:space="preserve">Dit artikel voorziet in een uitwisseling van informatie tussen Nederland en het VK zowel voor de toepassing van het </w:t>
      </w:r>
      <w:r w:rsidR="006D6BA9">
        <w:rPr>
          <w:rFonts w:ascii="Verdana" w:hAnsi="Verdana"/>
          <w:sz w:val="18"/>
          <w:szCs w:val="18"/>
          <w:lang w:val="nl-NL"/>
        </w:rPr>
        <w:t>V</w:t>
      </w:r>
      <w:r w:rsidRPr="00075786">
        <w:rPr>
          <w:rFonts w:ascii="Verdana" w:hAnsi="Verdana"/>
          <w:sz w:val="18"/>
          <w:szCs w:val="18"/>
          <w:lang w:val="nl-NL"/>
        </w:rPr>
        <w:t xml:space="preserve">erdrag als voor de toepassing van de nationale wetgeving van beide landen op het terrein van de bankenbelasting. Om redenen van consistentie zijn de in artikel 7 opgenomen </w:t>
      </w:r>
      <w:r w:rsidR="00217C1A">
        <w:rPr>
          <w:rFonts w:ascii="Verdana" w:hAnsi="Verdana"/>
          <w:sz w:val="18"/>
          <w:szCs w:val="18"/>
          <w:lang w:val="nl-NL"/>
        </w:rPr>
        <w:t>be</w:t>
      </w:r>
      <w:r w:rsidRPr="00075786">
        <w:rPr>
          <w:rFonts w:ascii="Verdana" w:hAnsi="Verdana"/>
          <w:sz w:val="18"/>
          <w:szCs w:val="18"/>
          <w:lang w:val="nl-NL"/>
        </w:rPr>
        <w:t xml:space="preserve">palingen nagenoeg gelijkluidend aan die in </w:t>
      </w:r>
      <w:r w:rsidR="00E81ACA">
        <w:rPr>
          <w:rFonts w:ascii="Verdana" w:hAnsi="Verdana"/>
          <w:sz w:val="18"/>
          <w:szCs w:val="18"/>
          <w:lang w:val="nl-NL"/>
        </w:rPr>
        <w:t xml:space="preserve">het corresponderende </w:t>
      </w:r>
      <w:r w:rsidRPr="00075786">
        <w:rPr>
          <w:rFonts w:ascii="Verdana" w:hAnsi="Verdana"/>
          <w:sz w:val="18"/>
          <w:szCs w:val="18"/>
          <w:lang w:val="nl-NL"/>
        </w:rPr>
        <w:t xml:space="preserve">artikel 26 </w:t>
      </w:r>
      <w:r w:rsidR="00217C1A">
        <w:rPr>
          <w:rFonts w:ascii="Verdana" w:hAnsi="Verdana"/>
          <w:sz w:val="18"/>
          <w:szCs w:val="18"/>
          <w:lang w:val="nl-NL"/>
        </w:rPr>
        <w:t>van het algemene belastingverdrag tussen Nederland en het VK</w:t>
      </w:r>
      <w:r w:rsidRPr="00075786">
        <w:rPr>
          <w:rFonts w:ascii="Verdana" w:hAnsi="Verdana"/>
          <w:sz w:val="18"/>
          <w:szCs w:val="18"/>
          <w:lang w:val="nl-NL"/>
        </w:rPr>
        <w:t xml:space="preserve">. </w:t>
      </w:r>
      <w:r w:rsidR="00095E4A">
        <w:rPr>
          <w:rFonts w:ascii="Verdana" w:hAnsi="Verdana"/>
          <w:sz w:val="18"/>
          <w:szCs w:val="18"/>
          <w:lang w:val="nl-NL"/>
        </w:rPr>
        <w:t xml:space="preserve">Hoewel artikel 26 van het algemene belastingverdrag de mogelijkheid biedt om ten behoeve van belastingen van elke soort en benaming informatie uit te wisselen, is er uit een oogpunt van praktische hanteerbaarheid voor gekozen om ook in dit Verdrag een afzonderlijke bepaling voor de uitwisseling van informatie met betrekking ten behoeve van de heffing van de bankenbelasting op te nemen. Zodanige uitwisseling van informatie is overigens bovendien mogelijk op de voet van het op 25 januari 1988 te Straatsburg gesloten Verdrag </w:t>
      </w:r>
      <w:proofErr w:type="gramStart"/>
      <w:r w:rsidR="00095E4A">
        <w:rPr>
          <w:rFonts w:ascii="Verdana" w:hAnsi="Verdana"/>
          <w:sz w:val="18"/>
          <w:szCs w:val="18"/>
          <w:lang w:val="nl-NL"/>
        </w:rPr>
        <w:t>inzake</w:t>
      </w:r>
      <w:proofErr w:type="gramEnd"/>
      <w:r w:rsidR="00095E4A">
        <w:rPr>
          <w:rFonts w:ascii="Verdana" w:hAnsi="Verdana"/>
          <w:sz w:val="18"/>
          <w:szCs w:val="18"/>
          <w:lang w:val="nl-NL"/>
        </w:rPr>
        <w:t xml:space="preserve"> wederzijdse administratieve bijstand in belastingzaken (‘WABB-verdrag’</w:t>
      </w:r>
      <w:r w:rsidR="00F97689">
        <w:rPr>
          <w:rFonts w:ascii="Verdana" w:hAnsi="Verdana"/>
          <w:sz w:val="18"/>
          <w:szCs w:val="18"/>
          <w:lang w:val="nl-NL"/>
        </w:rPr>
        <w:t xml:space="preserve">, </w:t>
      </w:r>
      <w:proofErr w:type="spellStart"/>
      <w:r w:rsidR="00F97689">
        <w:rPr>
          <w:rFonts w:ascii="Verdana" w:hAnsi="Verdana"/>
          <w:sz w:val="18"/>
          <w:szCs w:val="18"/>
          <w:lang w:val="nl-NL"/>
        </w:rPr>
        <w:t>Trb</w:t>
      </w:r>
      <w:proofErr w:type="spellEnd"/>
      <w:r w:rsidR="00F97689">
        <w:rPr>
          <w:rFonts w:ascii="Verdana" w:hAnsi="Verdana"/>
          <w:sz w:val="18"/>
          <w:szCs w:val="18"/>
          <w:lang w:val="nl-NL"/>
        </w:rPr>
        <w:t>. 1991,</w:t>
      </w:r>
      <w:r w:rsidR="00695738">
        <w:rPr>
          <w:rFonts w:ascii="Verdana" w:hAnsi="Verdana"/>
          <w:sz w:val="18"/>
          <w:szCs w:val="18"/>
          <w:lang w:val="nl-NL"/>
        </w:rPr>
        <w:t xml:space="preserve"> </w:t>
      </w:r>
      <w:r w:rsidR="00F97689">
        <w:rPr>
          <w:rFonts w:ascii="Verdana" w:hAnsi="Verdana"/>
          <w:sz w:val="18"/>
          <w:szCs w:val="18"/>
          <w:lang w:val="nl-NL"/>
        </w:rPr>
        <w:t>4</w:t>
      </w:r>
      <w:r w:rsidR="00095E4A">
        <w:rPr>
          <w:rFonts w:ascii="Verdana" w:hAnsi="Verdana"/>
          <w:sz w:val="18"/>
          <w:szCs w:val="18"/>
          <w:lang w:val="nl-NL"/>
        </w:rPr>
        <w:t xml:space="preserve">), </w:t>
      </w:r>
      <w:proofErr w:type="gramStart"/>
      <w:r w:rsidR="00095E4A">
        <w:rPr>
          <w:rFonts w:ascii="Verdana" w:hAnsi="Verdana"/>
          <w:sz w:val="18"/>
          <w:szCs w:val="18"/>
          <w:lang w:val="nl-NL"/>
        </w:rPr>
        <w:t>alsmede</w:t>
      </w:r>
      <w:proofErr w:type="gramEnd"/>
      <w:r w:rsidR="00095E4A">
        <w:rPr>
          <w:rFonts w:ascii="Verdana" w:hAnsi="Verdana"/>
          <w:sz w:val="18"/>
          <w:szCs w:val="18"/>
          <w:lang w:val="nl-NL"/>
        </w:rPr>
        <w:t xml:space="preserve"> op de voet van de Richtlijn 2011/16/EU van de Raad van 15 februari 2011 betreffende de administratieve samenwerking op het gebied van de belastingen en tot intrekking van Richtlijn 77/799/EEG.</w:t>
      </w:r>
    </w:p>
    <w:p w:rsidR="005335CB" w:rsidP="00FA42A5" w:rsidRDefault="00D352F5">
      <w:pPr>
        <w:shd w:val="clear" w:color="auto" w:fill="FFFFFF"/>
        <w:spacing w:after="240" w:line="360" w:lineRule="auto"/>
        <w:rPr>
          <w:rFonts w:ascii="Verdana" w:hAnsi="Verdana"/>
          <w:sz w:val="18"/>
          <w:szCs w:val="18"/>
          <w:lang w:val="nl-NL"/>
        </w:rPr>
      </w:pPr>
      <w:r>
        <w:rPr>
          <w:rFonts w:ascii="Verdana" w:hAnsi="Verdana"/>
          <w:sz w:val="18"/>
          <w:szCs w:val="18"/>
          <w:lang w:val="nl-NL"/>
        </w:rPr>
        <w:t>In het</w:t>
      </w:r>
      <w:r w:rsidRPr="009A1F8C">
        <w:rPr>
          <w:rFonts w:ascii="Verdana" w:hAnsi="Verdana"/>
          <w:sz w:val="18"/>
          <w:szCs w:val="18"/>
          <w:lang w:val="nl-NL"/>
        </w:rPr>
        <w:t xml:space="preserve"> </w:t>
      </w:r>
      <w:r w:rsidRPr="009A1F8C" w:rsidR="009A1F8C">
        <w:rPr>
          <w:rFonts w:ascii="Verdana" w:hAnsi="Verdana"/>
          <w:sz w:val="18"/>
          <w:szCs w:val="18"/>
          <w:lang w:val="nl-NL"/>
        </w:rPr>
        <w:t xml:space="preserve">tweede lid </w:t>
      </w:r>
      <w:r>
        <w:rPr>
          <w:rFonts w:ascii="Verdana" w:hAnsi="Verdana"/>
          <w:sz w:val="18"/>
          <w:szCs w:val="18"/>
          <w:lang w:val="nl-NL"/>
        </w:rPr>
        <w:t>is geregeld</w:t>
      </w:r>
      <w:r w:rsidRPr="009A1F8C">
        <w:rPr>
          <w:rFonts w:ascii="Verdana" w:hAnsi="Verdana"/>
          <w:sz w:val="18"/>
          <w:szCs w:val="18"/>
          <w:lang w:val="nl-NL"/>
        </w:rPr>
        <w:t xml:space="preserve"> </w:t>
      </w:r>
      <w:r w:rsidRPr="009A1F8C" w:rsidR="009A1F8C">
        <w:rPr>
          <w:rFonts w:ascii="Verdana" w:hAnsi="Verdana"/>
          <w:sz w:val="18"/>
          <w:szCs w:val="18"/>
          <w:lang w:val="nl-NL"/>
        </w:rPr>
        <w:t xml:space="preserve">hoe de </w:t>
      </w:r>
      <w:r w:rsidR="00533D40">
        <w:rPr>
          <w:rFonts w:ascii="Verdana" w:hAnsi="Verdana"/>
          <w:sz w:val="18"/>
          <w:szCs w:val="18"/>
          <w:lang w:val="nl-NL"/>
        </w:rPr>
        <w:t>Verdragsluitende S</w:t>
      </w:r>
      <w:r w:rsidRPr="009A1F8C" w:rsidR="009A1F8C">
        <w:rPr>
          <w:rFonts w:ascii="Verdana" w:hAnsi="Verdana"/>
          <w:sz w:val="18"/>
          <w:szCs w:val="18"/>
          <w:lang w:val="nl-NL"/>
        </w:rPr>
        <w:t>taat die in</w:t>
      </w:r>
      <w:r w:rsidR="009A1F8C">
        <w:rPr>
          <w:rFonts w:ascii="Verdana" w:hAnsi="Verdana"/>
          <w:sz w:val="18"/>
          <w:szCs w:val="18"/>
          <w:lang w:val="nl-NL"/>
        </w:rPr>
        <w:t>formatie ontvangt van de ande</w:t>
      </w:r>
      <w:r w:rsidRPr="009A1F8C" w:rsidR="009A1F8C">
        <w:rPr>
          <w:rFonts w:ascii="Verdana" w:hAnsi="Verdana"/>
          <w:sz w:val="18"/>
          <w:szCs w:val="18"/>
          <w:lang w:val="nl-NL"/>
        </w:rPr>
        <w:t xml:space="preserve">re </w:t>
      </w:r>
      <w:r w:rsidR="00533D40">
        <w:rPr>
          <w:rFonts w:ascii="Verdana" w:hAnsi="Verdana"/>
          <w:sz w:val="18"/>
          <w:szCs w:val="18"/>
          <w:lang w:val="nl-NL"/>
        </w:rPr>
        <w:t>Verdragsluitende S</w:t>
      </w:r>
      <w:r w:rsidRPr="009A1F8C" w:rsidR="00533D40">
        <w:rPr>
          <w:rFonts w:ascii="Verdana" w:hAnsi="Verdana"/>
          <w:sz w:val="18"/>
          <w:szCs w:val="18"/>
          <w:lang w:val="nl-NL"/>
        </w:rPr>
        <w:t xml:space="preserve">taat </w:t>
      </w:r>
      <w:r w:rsidRPr="009A1F8C" w:rsidR="009A1F8C">
        <w:rPr>
          <w:rFonts w:ascii="Verdana" w:hAnsi="Verdana"/>
          <w:sz w:val="18"/>
          <w:szCs w:val="18"/>
          <w:lang w:val="nl-NL"/>
        </w:rPr>
        <w:t>met deze in</w:t>
      </w:r>
      <w:r w:rsidR="009A1F8C">
        <w:rPr>
          <w:rFonts w:ascii="Verdana" w:hAnsi="Verdana"/>
          <w:sz w:val="18"/>
          <w:szCs w:val="18"/>
          <w:lang w:val="nl-NL"/>
        </w:rPr>
        <w:t>formatie</w:t>
      </w:r>
      <w:r w:rsidRPr="009A1F8C" w:rsidR="009A1F8C">
        <w:rPr>
          <w:rFonts w:ascii="Verdana" w:hAnsi="Verdana"/>
          <w:sz w:val="18"/>
          <w:szCs w:val="18"/>
          <w:lang w:val="nl-NL"/>
        </w:rPr>
        <w:t xml:space="preserve"> dient </w:t>
      </w:r>
      <w:r>
        <w:rPr>
          <w:rFonts w:ascii="Verdana" w:hAnsi="Verdana"/>
          <w:sz w:val="18"/>
          <w:szCs w:val="18"/>
          <w:lang w:val="nl-NL"/>
        </w:rPr>
        <w:t xml:space="preserve">om </w:t>
      </w:r>
      <w:r w:rsidRPr="009A1F8C" w:rsidR="009A1F8C">
        <w:rPr>
          <w:rFonts w:ascii="Verdana" w:hAnsi="Verdana"/>
          <w:sz w:val="18"/>
          <w:szCs w:val="18"/>
          <w:lang w:val="nl-NL"/>
        </w:rPr>
        <w:t xml:space="preserve">te gaan. </w:t>
      </w:r>
      <w:r w:rsidRPr="00074E7F" w:rsidR="00040699">
        <w:rPr>
          <w:rFonts w:ascii="Verdana" w:hAnsi="Verdana"/>
          <w:sz w:val="18"/>
          <w:szCs w:val="18"/>
          <w:lang w:val="nl-NL"/>
        </w:rPr>
        <w:t>In overeenstemming met</w:t>
      </w:r>
      <w:r w:rsidRPr="00075786" w:rsidR="00075786">
        <w:rPr>
          <w:rFonts w:ascii="Verdana" w:hAnsi="Verdana"/>
          <w:sz w:val="18"/>
          <w:szCs w:val="18"/>
          <w:lang w:val="nl-NL"/>
        </w:rPr>
        <w:t xml:space="preserve"> de meest recente ontwikkelingen op dit terrein, is aan het tweede lid de - </w:t>
      </w:r>
      <w:proofErr w:type="gramStart"/>
      <w:r w:rsidRPr="00075786" w:rsidR="00075786">
        <w:rPr>
          <w:rFonts w:ascii="Verdana" w:hAnsi="Verdana"/>
          <w:sz w:val="18"/>
          <w:szCs w:val="18"/>
          <w:lang w:val="nl-NL"/>
        </w:rPr>
        <w:t>sedert</w:t>
      </w:r>
      <w:proofErr w:type="gramEnd"/>
      <w:r w:rsidRPr="00075786" w:rsidR="00075786">
        <w:rPr>
          <w:rFonts w:ascii="Verdana" w:hAnsi="Verdana"/>
          <w:sz w:val="18"/>
          <w:szCs w:val="18"/>
          <w:lang w:val="nl-NL"/>
        </w:rPr>
        <w:t xml:space="preserve"> medio 2012 ook </w:t>
      </w:r>
      <w:r w:rsidR="00F4256E">
        <w:rPr>
          <w:rFonts w:ascii="Verdana" w:hAnsi="Verdana"/>
          <w:sz w:val="18"/>
          <w:szCs w:val="18"/>
          <w:lang w:val="nl-NL"/>
        </w:rPr>
        <w:t>voor</w:t>
      </w:r>
      <w:r w:rsidRPr="00075786" w:rsidR="00075786">
        <w:rPr>
          <w:rFonts w:ascii="Verdana" w:hAnsi="Verdana"/>
          <w:sz w:val="18"/>
          <w:szCs w:val="18"/>
          <w:lang w:val="nl-NL"/>
        </w:rPr>
        <w:t xml:space="preserve"> het OESO-modelverdrag </w:t>
      </w:r>
      <w:r w:rsidR="00F4256E">
        <w:rPr>
          <w:rFonts w:ascii="Verdana" w:hAnsi="Verdana"/>
          <w:sz w:val="18"/>
          <w:szCs w:val="18"/>
          <w:lang w:val="nl-NL"/>
        </w:rPr>
        <w:t>vastgestelde</w:t>
      </w:r>
      <w:r w:rsidRPr="00075786" w:rsidR="00075786">
        <w:rPr>
          <w:rFonts w:ascii="Verdana" w:hAnsi="Verdana"/>
          <w:sz w:val="18"/>
          <w:szCs w:val="18"/>
          <w:lang w:val="nl-NL"/>
        </w:rPr>
        <w:t xml:space="preserve"> - slotzin toegevoegd dat uitgewisselde informatie ook voor andere doeleinden mag worden gebruikt, mits aan een tweetal voorwaarden is voldaan. Deze voorwaarden zijn dat het gebruik van de informatie voor andere doeleinden </w:t>
      </w:r>
      <w:proofErr w:type="gramStart"/>
      <w:r w:rsidRPr="00075786" w:rsidR="00075786">
        <w:rPr>
          <w:rFonts w:ascii="Verdana" w:hAnsi="Verdana"/>
          <w:sz w:val="18"/>
          <w:szCs w:val="18"/>
          <w:lang w:val="nl-NL"/>
        </w:rPr>
        <w:t>ingevolge</w:t>
      </w:r>
      <w:proofErr w:type="gramEnd"/>
      <w:r w:rsidRPr="00075786" w:rsidR="00075786">
        <w:rPr>
          <w:rFonts w:ascii="Verdana" w:hAnsi="Verdana"/>
          <w:sz w:val="18"/>
          <w:szCs w:val="18"/>
          <w:lang w:val="nl-NL"/>
        </w:rPr>
        <w:t xml:space="preserve"> de wetgeving van beide Verdragsluitende Staten moet zijn toegestaan en dat de</w:t>
      </w:r>
      <w:r w:rsidR="00533D40">
        <w:rPr>
          <w:rFonts w:ascii="Verdana" w:hAnsi="Verdana"/>
          <w:sz w:val="18"/>
          <w:szCs w:val="18"/>
          <w:lang w:val="nl-NL"/>
        </w:rPr>
        <w:t xml:space="preserve"> Verdragsluitende S</w:t>
      </w:r>
      <w:r w:rsidRPr="009A1F8C" w:rsidR="00533D40">
        <w:rPr>
          <w:rFonts w:ascii="Verdana" w:hAnsi="Verdana"/>
          <w:sz w:val="18"/>
          <w:szCs w:val="18"/>
          <w:lang w:val="nl-NL"/>
        </w:rPr>
        <w:t>taat</w:t>
      </w:r>
      <w:r w:rsidRPr="00075786" w:rsidR="00075786">
        <w:rPr>
          <w:rFonts w:ascii="Verdana" w:hAnsi="Verdana"/>
          <w:sz w:val="18"/>
          <w:szCs w:val="18"/>
          <w:lang w:val="nl-NL"/>
        </w:rPr>
        <w:t xml:space="preserve"> die de informatie heeft verstrekt, toestemming verleent om de informatie voor die andere doeleinden te gebruiken. Andere doeleinden in de hiervoor bedoelde zin kunnen</w:t>
      </w:r>
      <w:r>
        <w:rPr>
          <w:rFonts w:ascii="Verdana" w:hAnsi="Verdana"/>
          <w:sz w:val="18"/>
          <w:szCs w:val="18"/>
          <w:lang w:val="nl-NL"/>
        </w:rPr>
        <w:t xml:space="preserve"> </w:t>
      </w:r>
      <w:r w:rsidRPr="00075786" w:rsidR="00075786">
        <w:rPr>
          <w:rFonts w:ascii="Verdana" w:hAnsi="Verdana"/>
          <w:sz w:val="18"/>
          <w:szCs w:val="18"/>
          <w:lang w:val="nl-NL"/>
        </w:rPr>
        <w:t>zijn de bestrijding van witwassen van geld, corru</w:t>
      </w:r>
      <w:r w:rsidR="00DF7EF0">
        <w:rPr>
          <w:rFonts w:ascii="Verdana" w:hAnsi="Verdana"/>
          <w:sz w:val="18"/>
          <w:szCs w:val="18"/>
          <w:lang w:val="nl-NL"/>
        </w:rPr>
        <w:t>ptie en terrorismefinanciering.</w:t>
      </w:r>
    </w:p>
    <w:p w:rsidR="00E81ACA" w:rsidP="00FA42A5" w:rsidRDefault="00075786">
      <w:pPr>
        <w:shd w:val="clear" w:color="auto" w:fill="FFFFFF"/>
        <w:spacing w:line="360" w:lineRule="auto"/>
        <w:rPr>
          <w:rFonts w:ascii="Verdana" w:hAnsi="Verdana"/>
          <w:sz w:val="18"/>
          <w:szCs w:val="18"/>
          <w:lang w:val="nl-NL"/>
        </w:rPr>
      </w:pPr>
      <w:r w:rsidRPr="00075786">
        <w:rPr>
          <w:rFonts w:ascii="Verdana" w:hAnsi="Verdana"/>
          <w:sz w:val="18"/>
          <w:szCs w:val="18"/>
          <w:lang w:val="nl-NL"/>
        </w:rPr>
        <w:t xml:space="preserve">Aan de uitwisseling van informatie zijn </w:t>
      </w:r>
      <w:r w:rsidR="00E81ACA">
        <w:rPr>
          <w:rFonts w:ascii="Verdana" w:hAnsi="Verdana"/>
          <w:sz w:val="18"/>
          <w:szCs w:val="18"/>
          <w:lang w:val="nl-NL"/>
        </w:rPr>
        <w:t xml:space="preserve">in het derde lid </w:t>
      </w:r>
      <w:r w:rsidRPr="00075786">
        <w:rPr>
          <w:rFonts w:ascii="Verdana" w:hAnsi="Verdana"/>
          <w:sz w:val="18"/>
          <w:szCs w:val="18"/>
          <w:lang w:val="nl-NL"/>
        </w:rPr>
        <w:t xml:space="preserve">echter ook grenzen gesteld. Zo hoeft de aangezochte </w:t>
      </w:r>
      <w:r w:rsidR="001C24D6">
        <w:rPr>
          <w:rFonts w:ascii="Verdana" w:hAnsi="Verdana"/>
          <w:sz w:val="18"/>
          <w:szCs w:val="18"/>
          <w:lang w:val="nl-NL"/>
        </w:rPr>
        <w:t>s</w:t>
      </w:r>
      <w:r w:rsidRPr="00075786">
        <w:rPr>
          <w:rFonts w:ascii="Verdana" w:hAnsi="Verdana"/>
          <w:sz w:val="18"/>
          <w:szCs w:val="18"/>
          <w:lang w:val="nl-NL"/>
        </w:rPr>
        <w:t xml:space="preserve">taat niet meer te doen dan haar eigen wetgeving toestaat, noch hoeft zij meer te doen dan de verzoekende </w:t>
      </w:r>
      <w:r w:rsidR="001C24D6">
        <w:rPr>
          <w:rFonts w:ascii="Verdana" w:hAnsi="Verdana"/>
          <w:sz w:val="18"/>
          <w:szCs w:val="18"/>
          <w:lang w:val="nl-NL"/>
        </w:rPr>
        <w:t>s</w:t>
      </w:r>
      <w:r w:rsidRPr="00075786">
        <w:rPr>
          <w:rFonts w:ascii="Verdana" w:hAnsi="Verdana"/>
          <w:sz w:val="18"/>
          <w:szCs w:val="18"/>
          <w:lang w:val="nl-NL"/>
        </w:rPr>
        <w:t xml:space="preserve">taat zelf kan (onderdelen a en b). </w:t>
      </w:r>
      <w:r w:rsidR="00F735AE">
        <w:rPr>
          <w:rFonts w:ascii="Verdana" w:hAnsi="Verdana"/>
          <w:sz w:val="18"/>
          <w:szCs w:val="18"/>
          <w:lang w:val="nl-NL"/>
        </w:rPr>
        <w:t xml:space="preserve">Ook kan de uitwisseling van informatie worden geweigerd door de aangezochte staat indien daarmee </w:t>
      </w:r>
      <w:r w:rsidR="002107CA">
        <w:rPr>
          <w:rFonts w:ascii="Verdana" w:hAnsi="Verdana"/>
          <w:sz w:val="18"/>
          <w:szCs w:val="18"/>
          <w:lang w:val="nl-NL"/>
        </w:rPr>
        <w:t>commerciële</w:t>
      </w:r>
      <w:r w:rsidR="00F735AE">
        <w:rPr>
          <w:rFonts w:ascii="Verdana" w:hAnsi="Verdana"/>
          <w:sz w:val="18"/>
          <w:szCs w:val="18"/>
          <w:lang w:val="nl-NL"/>
        </w:rPr>
        <w:t xml:space="preserve"> </w:t>
      </w:r>
      <w:r w:rsidR="002107CA">
        <w:rPr>
          <w:rFonts w:ascii="Verdana" w:hAnsi="Verdana"/>
          <w:sz w:val="18"/>
          <w:szCs w:val="18"/>
          <w:lang w:val="nl-NL"/>
        </w:rPr>
        <w:t>geheimen</w:t>
      </w:r>
      <w:r w:rsidR="00F735AE">
        <w:rPr>
          <w:rFonts w:ascii="Verdana" w:hAnsi="Verdana"/>
          <w:sz w:val="18"/>
          <w:szCs w:val="18"/>
          <w:lang w:val="nl-NL"/>
        </w:rPr>
        <w:t xml:space="preserve"> zouden worden onthuld of</w:t>
      </w:r>
      <w:r w:rsidRPr="00075786">
        <w:rPr>
          <w:rFonts w:ascii="Verdana" w:hAnsi="Verdana"/>
          <w:sz w:val="18"/>
          <w:szCs w:val="18"/>
          <w:lang w:val="nl-NL"/>
        </w:rPr>
        <w:t xml:space="preserve"> als dat in strijd zou zijn met de openbare orde van die </w:t>
      </w:r>
      <w:r w:rsidR="001C24D6">
        <w:rPr>
          <w:rFonts w:ascii="Verdana" w:hAnsi="Verdana"/>
          <w:sz w:val="18"/>
          <w:szCs w:val="18"/>
          <w:lang w:val="nl-NL"/>
        </w:rPr>
        <w:t>s</w:t>
      </w:r>
      <w:r w:rsidRPr="00075786">
        <w:rPr>
          <w:rFonts w:ascii="Verdana" w:hAnsi="Verdana"/>
          <w:sz w:val="18"/>
          <w:szCs w:val="18"/>
          <w:lang w:val="nl-NL"/>
        </w:rPr>
        <w:t xml:space="preserve">taat </w:t>
      </w:r>
      <w:r w:rsidR="00F86AD9">
        <w:rPr>
          <w:rFonts w:ascii="Verdana" w:hAnsi="Verdana"/>
          <w:sz w:val="18"/>
          <w:szCs w:val="18"/>
          <w:lang w:val="nl-NL"/>
        </w:rPr>
        <w:br/>
      </w:r>
      <w:r w:rsidRPr="00075786">
        <w:rPr>
          <w:rFonts w:ascii="Verdana" w:hAnsi="Verdana"/>
          <w:sz w:val="18"/>
          <w:szCs w:val="18"/>
          <w:lang w:val="nl-NL"/>
        </w:rPr>
        <w:t>(onderdeel c).</w:t>
      </w:r>
    </w:p>
    <w:p w:rsidR="005335CB" w:rsidP="00FA42A5" w:rsidRDefault="00E81ACA">
      <w:pPr>
        <w:shd w:val="clear" w:color="auto" w:fill="FFFFFF"/>
        <w:spacing w:line="360" w:lineRule="auto"/>
        <w:rPr>
          <w:lang w:val="nl-NL"/>
        </w:rPr>
      </w:pPr>
      <w:r>
        <w:rPr>
          <w:rFonts w:ascii="Verdana" w:hAnsi="Verdana"/>
          <w:sz w:val="18"/>
          <w:szCs w:val="18"/>
          <w:lang w:val="nl-NL"/>
        </w:rPr>
        <w:t>Op grond van het vierde lid en vijfde lid kan e</w:t>
      </w:r>
      <w:r w:rsidRPr="00075786" w:rsidR="00075786">
        <w:rPr>
          <w:rFonts w:ascii="Verdana" w:hAnsi="Verdana"/>
          <w:sz w:val="18"/>
          <w:szCs w:val="18"/>
          <w:lang w:val="nl-NL"/>
        </w:rPr>
        <w:t xml:space="preserve">en </w:t>
      </w:r>
      <w:r w:rsidR="001C24D6">
        <w:rPr>
          <w:rFonts w:ascii="Verdana" w:hAnsi="Verdana"/>
          <w:sz w:val="18"/>
          <w:szCs w:val="18"/>
          <w:lang w:val="nl-NL"/>
        </w:rPr>
        <w:t>s</w:t>
      </w:r>
      <w:r w:rsidRPr="00075786" w:rsidR="00075786">
        <w:rPr>
          <w:rFonts w:ascii="Verdana" w:hAnsi="Verdana"/>
          <w:sz w:val="18"/>
          <w:szCs w:val="18"/>
          <w:lang w:val="nl-NL"/>
        </w:rPr>
        <w:t xml:space="preserve">taat echter niet weigeren informatie te verstrekken omdat zij die niet nodig heeft voor haar eigen belastingdoeleinden </w:t>
      </w:r>
      <w:r>
        <w:rPr>
          <w:rFonts w:ascii="Verdana" w:hAnsi="Verdana"/>
          <w:sz w:val="18"/>
          <w:szCs w:val="18"/>
          <w:lang w:val="nl-NL"/>
        </w:rPr>
        <w:t>(vie</w:t>
      </w:r>
      <w:r w:rsidRPr="00075786" w:rsidR="00075786">
        <w:rPr>
          <w:rFonts w:ascii="Verdana" w:hAnsi="Verdana"/>
          <w:sz w:val="18"/>
          <w:szCs w:val="18"/>
          <w:lang w:val="nl-NL"/>
        </w:rPr>
        <w:t xml:space="preserve">rde lid) of omdat gevraagde </w:t>
      </w:r>
      <w:r w:rsidRPr="009A1F8C" w:rsidR="009A1F8C">
        <w:rPr>
          <w:rFonts w:ascii="Verdana" w:hAnsi="Verdana"/>
          <w:sz w:val="18"/>
          <w:szCs w:val="18"/>
          <w:lang w:val="nl-NL"/>
        </w:rPr>
        <w:t>informa</w:t>
      </w:r>
      <w:r w:rsidR="009A1F8C">
        <w:rPr>
          <w:rFonts w:ascii="Verdana" w:hAnsi="Verdana"/>
          <w:sz w:val="18"/>
          <w:szCs w:val="18"/>
          <w:lang w:val="nl-NL"/>
        </w:rPr>
        <w:t>tie in het bezit is van bijvoor</w:t>
      </w:r>
      <w:r w:rsidRPr="009A1F8C" w:rsidR="009A1F8C">
        <w:rPr>
          <w:rFonts w:ascii="Verdana" w:hAnsi="Verdana"/>
          <w:sz w:val="18"/>
          <w:szCs w:val="18"/>
          <w:lang w:val="nl-NL"/>
        </w:rPr>
        <w:t>beeld een bank, een financiële instelling of een zaakwaarnemer</w:t>
      </w:r>
      <w:r w:rsidR="009A1F8C">
        <w:rPr>
          <w:rFonts w:ascii="Verdana" w:hAnsi="Verdana"/>
          <w:sz w:val="18"/>
          <w:szCs w:val="18"/>
          <w:lang w:val="nl-NL"/>
        </w:rPr>
        <w:t xml:space="preserve"> </w:t>
      </w:r>
      <w:r w:rsidRPr="00075786" w:rsidR="00075786">
        <w:rPr>
          <w:rFonts w:ascii="Verdana" w:hAnsi="Verdana"/>
          <w:sz w:val="18"/>
          <w:szCs w:val="18"/>
          <w:lang w:val="nl-NL"/>
        </w:rPr>
        <w:t>(vijfde lid).</w:t>
      </w:r>
    </w:p>
    <w:p w:rsidRPr="00525643" w:rsidR="00A76163" w:rsidP="00525643" w:rsidRDefault="001D6B88">
      <w:pPr>
        <w:pStyle w:val="Heading2"/>
        <w:rPr>
          <w:rFonts w:ascii="Verdana" w:hAnsi="Verdana"/>
          <w:sz w:val="18"/>
          <w:szCs w:val="18"/>
          <w:lang w:val="nl-NL"/>
        </w:rPr>
      </w:pPr>
      <w:r w:rsidRPr="00525643">
        <w:rPr>
          <w:rFonts w:ascii="Verdana" w:hAnsi="Verdana"/>
          <w:sz w:val="18"/>
          <w:szCs w:val="18"/>
          <w:lang w:val="nl-NL"/>
        </w:rPr>
        <w:lastRenderedPageBreak/>
        <w:t>Inwerkingtreding (artikel 8)</w:t>
      </w:r>
    </w:p>
    <w:p w:rsidRPr="0048056D" w:rsidR="0048056D" w:rsidP="00FA42A5" w:rsidRDefault="00075786">
      <w:pPr>
        <w:spacing w:line="360" w:lineRule="auto"/>
        <w:rPr>
          <w:lang w:val="nl-NL"/>
        </w:rPr>
      </w:pPr>
      <w:r w:rsidRPr="00075786">
        <w:rPr>
          <w:rFonts w:ascii="Verdana" w:hAnsi="Verdana" w:cs="Arial"/>
          <w:sz w:val="18"/>
          <w:szCs w:val="18"/>
          <w:lang w:val="nl-NL"/>
        </w:rPr>
        <w:t xml:space="preserve">Het Verdrag treedt in werking </w:t>
      </w:r>
      <w:r w:rsidR="009D2B1E">
        <w:rPr>
          <w:rFonts w:ascii="Verdana" w:hAnsi="Verdana" w:cs="Arial"/>
          <w:sz w:val="18"/>
          <w:szCs w:val="18"/>
          <w:lang w:val="nl-NL"/>
        </w:rPr>
        <w:t xml:space="preserve">op de laatste dag van de maand volgend op de maand waarin </w:t>
      </w:r>
      <w:r w:rsidR="00F73A1C">
        <w:rPr>
          <w:rFonts w:ascii="Verdana" w:hAnsi="Verdana" w:cs="Arial"/>
          <w:sz w:val="18"/>
          <w:szCs w:val="18"/>
          <w:lang w:val="nl-NL"/>
        </w:rPr>
        <w:t>de Nederland</w:t>
      </w:r>
      <w:r w:rsidRPr="00075786">
        <w:rPr>
          <w:rFonts w:ascii="Verdana" w:hAnsi="Verdana" w:cs="Arial"/>
          <w:sz w:val="18"/>
          <w:szCs w:val="18"/>
          <w:lang w:val="nl-NL"/>
        </w:rPr>
        <w:t>se</w:t>
      </w:r>
      <w:r w:rsidR="007C5F74">
        <w:rPr>
          <w:rFonts w:ascii="Verdana" w:hAnsi="Verdana" w:cs="Arial"/>
          <w:sz w:val="18"/>
          <w:szCs w:val="18"/>
          <w:lang w:val="nl-NL"/>
        </w:rPr>
        <w:t>-</w:t>
      </w:r>
      <w:r w:rsidRPr="00075786">
        <w:rPr>
          <w:rFonts w:ascii="Verdana" w:hAnsi="Verdana" w:cs="Arial"/>
          <w:sz w:val="18"/>
          <w:szCs w:val="18"/>
          <w:lang w:val="nl-NL"/>
        </w:rPr>
        <w:t xml:space="preserve"> en de Britse regering elkaar schriftelijk hebben </w:t>
      </w:r>
      <w:proofErr w:type="gramStart"/>
      <w:r w:rsidRPr="00075786">
        <w:rPr>
          <w:rFonts w:ascii="Verdana" w:hAnsi="Verdana" w:cs="Arial"/>
          <w:sz w:val="18"/>
          <w:szCs w:val="18"/>
          <w:lang w:val="nl-NL"/>
        </w:rPr>
        <w:t>medegedeeld</w:t>
      </w:r>
      <w:proofErr w:type="gramEnd"/>
      <w:r w:rsidRPr="00075786">
        <w:rPr>
          <w:rFonts w:ascii="Verdana" w:hAnsi="Verdana" w:cs="Arial"/>
          <w:sz w:val="18"/>
          <w:szCs w:val="18"/>
          <w:lang w:val="nl-NL"/>
        </w:rPr>
        <w:t xml:space="preserve"> dat de in hun onderscheiden staten (grond)wettelijk vereiste formaliteiten zijn vervuld.</w:t>
      </w:r>
    </w:p>
    <w:p w:rsidR="000B6745" w:rsidP="00FA42A5" w:rsidRDefault="000B6745">
      <w:pPr>
        <w:pStyle w:val="Heading2"/>
        <w:numPr>
          <w:ilvl w:val="0"/>
          <w:numId w:val="0"/>
        </w:numPr>
        <w:spacing w:before="0" w:after="0" w:line="360" w:lineRule="auto"/>
        <w:rPr>
          <w:lang w:val="nl-NL"/>
        </w:rPr>
      </w:pPr>
    </w:p>
    <w:p w:rsidR="00F86AD9" w:rsidP="00FA42A5" w:rsidRDefault="0048056D">
      <w:pPr>
        <w:spacing w:line="360" w:lineRule="auto"/>
        <w:rPr>
          <w:rFonts w:ascii="Verdana" w:hAnsi="Verdana" w:cs="Arial"/>
          <w:sz w:val="18"/>
          <w:szCs w:val="18"/>
          <w:lang w:val="nl-NL"/>
        </w:rPr>
      </w:pPr>
      <w:r>
        <w:rPr>
          <w:rFonts w:ascii="Verdana" w:hAnsi="Verdana" w:cs="Arial"/>
          <w:sz w:val="18"/>
          <w:szCs w:val="18"/>
          <w:lang w:val="nl-NL"/>
        </w:rPr>
        <w:t>Het V</w:t>
      </w:r>
      <w:r w:rsidRPr="000B6745" w:rsidR="000B6745">
        <w:rPr>
          <w:rFonts w:ascii="Verdana" w:hAnsi="Verdana" w:cs="Arial"/>
          <w:sz w:val="18"/>
          <w:szCs w:val="18"/>
          <w:lang w:val="nl-NL"/>
        </w:rPr>
        <w:t xml:space="preserve">erdrag wordt na inwerkingtreding met terugwerkende kracht vanaf 1 januari 2011 toegepast. Hiermee wordt bereikt dat dubbele bankenbelasting die in de relatie tot het VK </w:t>
      </w:r>
      <w:r w:rsidR="00E81ACA">
        <w:rPr>
          <w:rFonts w:ascii="Verdana" w:hAnsi="Verdana" w:cs="Arial"/>
          <w:sz w:val="18"/>
          <w:szCs w:val="18"/>
          <w:lang w:val="nl-NL"/>
        </w:rPr>
        <w:t xml:space="preserve">mocht optreden </w:t>
      </w:r>
      <w:proofErr w:type="gramStart"/>
      <w:r w:rsidRPr="000B6745" w:rsidR="000B6745">
        <w:rPr>
          <w:rFonts w:ascii="Verdana" w:hAnsi="Verdana" w:cs="Arial"/>
          <w:sz w:val="18"/>
          <w:szCs w:val="18"/>
          <w:lang w:val="nl-NL"/>
        </w:rPr>
        <w:t>sedert</w:t>
      </w:r>
      <w:proofErr w:type="gramEnd"/>
      <w:r w:rsidRPr="000B6745" w:rsidR="000B6745">
        <w:rPr>
          <w:rFonts w:ascii="Verdana" w:hAnsi="Verdana" w:cs="Arial"/>
          <w:sz w:val="18"/>
          <w:szCs w:val="18"/>
          <w:lang w:val="nl-NL"/>
        </w:rPr>
        <w:t xml:space="preserve"> de invoering van de Nederlandse bankenbelasting met toepassing van het voorliggende Verdrag kan worden vermeden. </w:t>
      </w:r>
      <w:r w:rsidR="00E81ACA">
        <w:rPr>
          <w:rFonts w:ascii="Verdana" w:hAnsi="Verdana" w:cs="Arial"/>
          <w:sz w:val="18"/>
          <w:szCs w:val="18"/>
          <w:lang w:val="nl-NL"/>
        </w:rPr>
        <w:t>Ter verduidelijking wordt het volgende opgemerkt. D</w:t>
      </w:r>
      <w:r w:rsidRPr="000B6745" w:rsidR="000B6745">
        <w:rPr>
          <w:rFonts w:ascii="Verdana" w:hAnsi="Verdana" w:cs="Arial"/>
          <w:sz w:val="18"/>
          <w:szCs w:val="18"/>
          <w:lang w:val="nl-NL"/>
        </w:rPr>
        <w:t>e op 1 oktober 2012 ingevoerde Nederlandse bankenbelasting wordt verschuldigd op de eerste dag van de tiende kalendermaand na de datum naar welke de balans of de geconsolideerde balans is opgemaakt</w:t>
      </w:r>
      <w:r w:rsidR="00E81ACA">
        <w:rPr>
          <w:rFonts w:ascii="Verdana" w:hAnsi="Verdana" w:cs="Arial"/>
          <w:sz w:val="18"/>
          <w:szCs w:val="18"/>
          <w:lang w:val="nl-NL"/>
        </w:rPr>
        <w:t xml:space="preserve"> </w:t>
      </w:r>
      <w:proofErr w:type="gramStart"/>
      <w:r w:rsidR="00E81ACA">
        <w:rPr>
          <w:rFonts w:ascii="Verdana" w:hAnsi="Verdana" w:cs="Arial"/>
          <w:sz w:val="18"/>
          <w:szCs w:val="18"/>
          <w:lang w:val="nl-NL"/>
        </w:rPr>
        <w:t>ter zake</w:t>
      </w:r>
      <w:proofErr w:type="gramEnd"/>
      <w:r w:rsidR="00E81ACA">
        <w:rPr>
          <w:rFonts w:ascii="Verdana" w:hAnsi="Verdana" w:cs="Arial"/>
          <w:sz w:val="18"/>
          <w:szCs w:val="18"/>
          <w:lang w:val="nl-NL"/>
        </w:rPr>
        <w:t xml:space="preserve"> waarvan de bankenbelasting wordt geheven</w:t>
      </w:r>
      <w:r w:rsidRPr="000B6745" w:rsidR="000B6745">
        <w:rPr>
          <w:rFonts w:ascii="Verdana" w:hAnsi="Verdana" w:cs="Arial"/>
          <w:sz w:val="18"/>
          <w:szCs w:val="18"/>
          <w:lang w:val="nl-NL"/>
        </w:rPr>
        <w:t xml:space="preserve">. Indien het boekjaar </w:t>
      </w:r>
      <w:r w:rsidR="00E81ACA">
        <w:rPr>
          <w:rFonts w:ascii="Verdana" w:hAnsi="Verdana" w:cs="Arial"/>
          <w:sz w:val="18"/>
          <w:szCs w:val="18"/>
          <w:lang w:val="nl-NL"/>
        </w:rPr>
        <w:t xml:space="preserve">van een </w:t>
      </w:r>
      <w:proofErr w:type="gramStart"/>
      <w:r w:rsidR="00E81ACA">
        <w:rPr>
          <w:rFonts w:ascii="Verdana" w:hAnsi="Verdana" w:cs="Arial"/>
          <w:sz w:val="18"/>
          <w:szCs w:val="18"/>
          <w:lang w:val="nl-NL"/>
        </w:rPr>
        <w:t>belastingplichtige</w:t>
      </w:r>
      <w:proofErr w:type="gramEnd"/>
      <w:r w:rsidR="00E81ACA">
        <w:rPr>
          <w:rFonts w:ascii="Verdana" w:hAnsi="Verdana" w:cs="Arial"/>
          <w:sz w:val="18"/>
          <w:szCs w:val="18"/>
          <w:lang w:val="nl-NL"/>
        </w:rPr>
        <w:t xml:space="preserve"> </w:t>
      </w:r>
      <w:r w:rsidRPr="000B6745" w:rsidR="000B6745">
        <w:rPr>
          <w:rFonts w:ascii="Verdana" w:hAnsi="Verdana" w:cs="Arial"/>
          <w:sz w:val="18"/>
          <w:szCs w:val="18"/>
          <w:lang w:val="nl-NL"/>
        </w:rPr>
        <w:t xml:space="preserve">gelijk is aan het kalenderjaar wordt de Nederlandse bankenbelasting </w:t>
      </w:r>
      <w:r>
        <w:rPr>
          <w:rFonts w:ascii="Verdana" w:hAnsi="Verdana" w:cs="Arial"/>
          <w:sz w:val="18"/>
          <w:szCs w:val="18"/>
          <w:lang w:val="nl-NL"/>
        </w:rPr>
        <w:t xml:space="preserve">op 1 oktober </w:t>
      </w:r>
      <w:r w:rsidR="00E81ACA">
        <w:rPr>
          <w:rFonts w:ascii="Verdana" w:hAnsi="Verdana" w:cs="Arial"/>
          <w:sz w:val="18"/>
          <w:szCs w:val="18"/>
          <w:lang w:val="nl-NL"/>
        </w:rPr>
        <w:t xml:space="preserve">van een jaar </w:t>
      </w:r>
      <w:r w:rsidRPr="000B6745" w:rsidR="000B6745">
        <w:rPr>
          <w:rFonts w:ascii="Verdana" w:hAnsi="Verdana" w:cs="Arial"/>
          <w:sz w:val="18"/>
          <w:szCs w:val="18"/>
          <w:lang w:val="nl-NL"/>
        </w:rPr>
        <w:t xml:space="preserve">geheven naar de balans van </w:t>
      </w:r>
      <w:r>
        <w:rPr>
          <w:rFonts w:ascii="Verdana" w:hAnsi="Verdana" w:cs="Arial"/>
          <w:sz w:val="18"/>
          <w:szCs w:val="18"/>
          <w:lang w:val="nl-NL"/>
        </w:rPr>
        <w:t xml:space="preserve">31 december van het </w:t>
      </w:r>
      <w:r w:rsidR="00E81ACA">
        <w:rPr>
          <w:rFonts w:ascii="Verdana" w:hAnsi="Verdana" w:cs="Arial"/>
          <w:sz w:val="18"/>
          <w:szCs w:val="18"/>
          <w:lang w:val="nl-NL"/>
        </w:rPr>
        <w:t xml:space="preserve">daaraan </w:t>
      </w:r>
      <w:r>
        <w:rPr>
          <w:rFonts w:ascii="Verdana" w:hAnsi="Verdana" w:cs="Arial"/>
          <w:sz w:val="18"/>
          <w:szCs w:val="18"/>
          <w:lang w:val="nl-NL"/>
        </w:rPr>
        <w:t xml:space="preserve">voorgaande </w:t>
      </w:r>
      <w:r w:rsidR="00E81ACA">
        <w:rPr>
          <w:rFonts w:ascii="Verdana" w:hAnsi="Verdana" w:cs="Arial"/>
          <w:sz w:val="18"/>
          <w:szCs w:val="18"/>
          <w:lang w:val="nl-NL"/>
        </w:rPr>
        <w:t>kalender</w:t>
      </w:r>
      <w:r>
        <w:rPr>
          <w:rFonts w:ascii="Verdana" w:hAnsi="Verdana" w:cs="Arial"/>
          <w:sz w:val="18"/>
          <w:szCs w:val="18"/>
          <w:lang w:val="nl-NL"/>
        </w:rPr>
        <w:t>jaar</w:t>
      </w:r>
      <w:r w:rsidRPr="000B6745" w:rsidR="000B6745">
        <w:rPr>
          <w:rFonts w:ascii="Verdana" w:hAnsi="Verdana" w:cs="Arial"/>
          <w:sz w:val="18"/>
          <w:szCs w:val="18"/>
          <w:lang w:val="nl-NL"/>
        </w:rPr>
        <w:t>.</w:t>
      </w:r>
      <w:r>
        <w:rPr>
          <w:rFonts w:ascii="Verdana" w:hAnsi="Verdana" w:cs="Arial"/>
          <w:sz w:val="18"/>
          <w:szCs w:val="18"/>
          <w:lang w:val="nl-NL"/>
        </w:rPr>
        <w:t xml:space="preserve"> Het eerste heffingsmoment na invoering van de Nederlandse bankenbelasting v</w:t>
      </w:r>
      <w:r w:rsidR="00753CE4">
        <w:rPr>
          <w:rFonts w:ascii="Verdana" w:hAnsi="Verdana" w:cs="Arial"/>
          <w:sz w:val="18"/>
          <w:szCs w:val="18"/>
          <w:lang w:val="nl-NL"/>
        </w:rPr>
        <w:t>o</w:t>
      </w:r>
      <w:r>
        <w:rPr>
          <w:rFonts w:ascii="Verdana" w:hAnsi="Verdana" w:cs="Arial"/>
          <w:sz w:val="18"/>
          <w:szCs w:val="18"/>
          <w:lang w:val="nl-NL"/>
        </w:rPr>
        <w:t>nd aldus plaats op 1 oktober 2012 over het balanstotaal van de balans van 31 december 2011.</w:t>
      </w:r>
      <w:r w:rsidRPr="000B6745" w:rsidR="000B6745">
        <w:rPr>
          <w:rFonts w:ascii="Verdana" w:hAnsi="Verdana" w:cs="Arial"/>
          <w:sz w:val="18"/>
          <w:szCs w:val="18"/>
          <w:lang w:val="nl-NL"/>
        </w:rPr>
        <w:t xml:space="preserve"> De Britse bankenbelasting is een tijdvakbelasting die voor het jaar 2011 naar de balans van 31 december 2011 wordt geheven.</w:t>
      </w:r>
      <w:r w:rsidR="00AF6264">
        <w:rPr>
          <w:rFonts w:ascii="Verdana" w:hAnsi="Verdana" w:cs="Arial"/>
          <w:sz w:val="18"/>
          <w:szCs w:val="18"/>
          <w:lang w:val="nl-NL"/>
        </w:rPr>
        <w:t xml:space="preserve"> De door het VK over 2011 geheven bankenbelasting van een in Nederland gevestigde dochtervennootschap van een Engelse </w:t>
      </w:r>
      <w:r w:rsidR="00F77142">
        <w:rPr>
          <w:rFonts w:ascii="Verdana" w:hAnsi="Verdana" w:cs="Arial"/>
          <w:sz w:val="18"/>
          <w:szCs w:val="18"/>
          <w:lang w:val="nl-NL"/>
        </w:rPr>
        <w:t>m</w:t>
      </w:r>
      <w:r w:rsidR="00AF6264">
        <w:rPr>
          <w:rFonts w:ascii="Verdana" w:hAnsi="Verdana" w:cs="Arial"/>
          <w:sz w:val="18"/>
          <w:szCs w:val="18"/>
          <w:lang w:val="nl-NL"/>
        </w:rPr>
        <w:t>oedermaatschappij komt, gelet op het bepaalde in artikel 5, lid 1, onder c, dus in aanmerking voor verrekening met de in Nederland verschuldigde bankenbelasting over het balanstotaal op 31 december 2011 van de in Nederland gevestigde dochtermaatschappij, mits deze vennootschap beoordeeld naar de situatie op 1 oktober 2012 belastingplichtig is voor de Nederlandse bankenbelasting.</w:t>
      </w:r>
      <w:r w:rsidR="00F86AD9">
        <w:rPr>
          <w:rFonts w:ascii="Verdana" w:hAnsi="Verdana" w:cs="Arial"/>
          <w:sz w:val="18"/>
          <w:szCs w:val="18"/>
          <w:lang w:val="nl-NL"/>
        </w:rPr>
        <w:t xml:space="preserve"> </w:t>
      </w:r>
    </w:p>
    <w:p w:rsidRPr="000B6745" w:rsidR="00095E4A" w:rsidP="00FA42A5" w:rsidRDefault="00095E4A">
      <w:pPr>
        <w:spacing w:line="360" w:lineRule="auto"/>
        <w:rPr>
          <w:rFonts w:ascii="Verdana" w:hAnsi="Verdana" w:cs="Arial"/>
          <w:sz w:val="18"/>
          <w:szCs w:val="18"/>
          <w:lang w:val="nl-NL"/>
        </w:rPr>
      </w:pPr>
      <w:r>
        <w:rPr>
          <w:rFonts w:ascii="Verdana" w:hAnsi="Verdana" w:cs="Arial"/>
          <w:sz w:val="18"/>
          <w:szCs w:val="18"/>
          <w:lang w:val="nl-NL"/>
        </w:rPr>
        <w:t>Hoewel terugwerkende kracht op het stuk van de fiscaliteit in beginsel vermeden dient te worden, lijkt het – mede gelet op de betrekkelijk korte periode van terugwerking - om praktische redenen</w:t>
      </w:r>
      <w:r w:rsidRPr="00D60142">
        <w:rPr>
          <w:rFonts w:ascii="Verdana" w:hAnsi="Verdana" w:cs="Arial"/>
          <w:sz w:val="18"/>
          <w:szCs w:val="18"/>
          <w:lang w:val="nl-NL"/>
        </w:rPr>
        <w:t xml:space="preserve"> </w:t>
      </w:r>
      <w:r>
        <w:rPr>
          <w:rFonts w:ascii="Verdana" w:hAnsi="Verdana" w:cs="Arial"/>
          <w:sz w:val="18"/>
          <w:szCs w:val="18"/>
          <w:lang w:val="nl-NL"/>
        </w:rPr>
        <w:t xml:space="preserve">gewenst om de vermijding van dubbele bankenbelasting volledig te baseren op de bepalingen van het Verdrag, in plaats van toepassing van het </w:t>
      </w:r>
      <w:proofErr w:type="spellStart"/>
      <w:r>
        <w:rPr>
          <w:rFonts w:ascii="Verdana" w:hAnsi="Verdana" w:cs="Arial"/>
          <w:sz w:val="18"/>
          <w:szCs w:val="18"/>
          <w:lang w:val="nl-NL"/>
        </w:rPr>
        <w:t>Bvdb</w:t>
      </w:r>
      <w:proofErr w:type="spellEnd"/>
      <w:r>
        <w:rPr>
          <w:rFonts w:ascii="Verdana" w:hAnsi="Verdana" w:cs="Arial"/>
          <w:sz w:val="18"/>
          <w:szCs w:val="18"/>
          <w:lang w:val="nl-NL"/>
        </w:rPr>
        <w:t xml:space="preserve"> 2001 gedurende een korte periode gevolgd door vermijding van dubbele belasting op grond van het Verdrag. </w:t>
      </w:r>
    </w:p>
    <w:p w:rsidRPr="00525643" w:rsidR="00A76163" w:rsidP="00525643" w:rsidRDefault="007E7343">
      <w:pPr>
        <w:pStyle w:val="Heading2"/>
        <w:rPr>
          <w:rFonts w:ascii="Verdana" w:hAnsi="Verdana"/>
          <w:sz w:val="18"/>
          <w:szCs w:val="18"/>
          <w:lang w:val="nl-NL"/>
        </w:rPr>
      </w:pPr>
      <w:r w:rsidRPr="00525643">
        <w:rPr>
          <w:rFonts w:ascii="Verdana" w:hAnsi="Verdana"/>
          <w:sz w:val="18"/>
          <w:szCs w:val="18"/>
          <w:lang w:val="nl-NL"/>
        </w:rPr>
        <w:t>Beëindiging (artikel 9)</w:t>
      </w:r>
    </w:p>
    <w:p w:rsidR="0016635D" w:rsidP="00FA42A5" w:rsidRDefault="001D6B88">
      <w:pPr>
        <w:pStyle w:val="BodyText"/>
        <w:spacing w:line="360" w:lineRule="auto"/>
        <w:rPr>
          <w:rFonts w:cs="Arial"/>
          <w:szCs w:val="18"/>
          <w:lang w:val="nl-NL"/>
        </w:rPr>
      </w:pPr>
      <w:r w:rsidRPr="001D6B88">
        <w:rPr>
          <w:rFonts w:cs="Arial"/>
          <w:szCs w:val="18"/>
          <w:lang w:val="nl-NL"/>
        </w:rPr>
        <w:t xml:space="preserve">Het Verdrag wordt in beginsel voor onbepaalde tijd aangegaan. Na verloop van een periode van vijf jaar na de datum van inwerkingtreding van het Verdrag kan het echter door elk van beide </w:t>
      </w:r>
      <w:r w:rsidR="00F73A1C">
        <w:rPr>
          <w:rFonts w:cs="Arial"/>
          <w:szCs w:val="18"/>
          <w:lang w:val="nl-NL"/>
        </w:rPr>
        <w:t xml:space="preserve">Verdragsluitende </w:t>
      </w:r>
      <w:r w:rsidRPr="001D6B88">
        <w:rPr>
          <w:rFonts w:cs="Arial"/>
          <w:szCs w:val="18"/>
          <w:lang w:val="nl-NL"/>
        </w:rPr>
        <w:t xml:space="preserve">Staten, langs diplomatieke weg, worden beëindigd met inachtneming van een opzegtermijn van </w:t>
      </w:r>
      <w:proofErr w:type="gramStart"/>
      <w:r w:rsidRPr="001D6B88">
        <w:rPr>
          <w:rFonts w:cs="Arial"/>
          <w:szCs w:val="18"/>
          <w:lang w:val="nl-NL"/>
        </w:rPr>
        <w:t>ten minste</w:t>
      </w:r>
      <w:proofErr w:type="gramEnd"/>
      <w:r w:rsidRPr="001D6B88">
        <w:rPr>
          <w:rFonts w:cs="Arial"/>
          <w:szCs w:val="18"/>
          <w:lang w:val="nl-NL"/>
        </w:rPr>
        <w:t xml:space="preserve"> zes maanden vóór het verstrijken van een kalenderjaar.</w:t>
      </w:r>
      <w:r w:rsidR="00FA0C21">
        <w:rPr>
          <w:rFonts w:cs="Arial"/>
          <w:szCs w:val="18"/>
          <w:lang w:val="nl-NL"/>
        </w:rPr>
        <w:t xml:space="preserve"> </w:t>
      </w:r>
      <w:r w:rsidRPr="001D6B88">
        <w:rPr>
          <w:rFonts w:cs="Arial"/>
          <w:szCs w:val="18"/>
          <w:lang w:val="nl-NL"/>
        </w:rPr>
        <w:t xml:space="preserve">In dat geval houdt het Verdrag op van toepassing te zijn </w:t>
      </w:r>
      <w:r w:rsidR="00751E47">
        <w:rPr>
          <w:rFonts w:cs="Arial"/>
          <w:szCs w:val="18"/>
          <w:lang w:val="nl-NL"/>
        </w:rPr>
        <w:t>per</w:t>
      </w:r>
      <w:r w:rsidRPr="001D6B88">
        <w:rPr>
          <w:rFonts w:cs="Arial"/>
          <w:szCs w:val="18"/>
          <w:lang w:val="nl-NL"/>
        </w:rPr>
        <w:t xml:space="preserve"> 1 januari van het kalenderjaar dat volgt op het kalenderjaar waarin de kennisgeving van beëindiging is gedaan.</w:t>
      </w:r>
    </w:p>
    <w:p w:rsidR="00F86AD9" w:rsidP="00525643" w:rsidRDefault="00F86AD9">
      <w:pPr>
        <w:spacing w:line="360" w:lineRule="auto"/>
        <w:rPr>
          <w:rFonts w:ascii="Verdana" w:hAnsi="Verdana"/>
          <w:sz w:val="18"/>
          <w:szCs w:val="18"/>
          <w:lang w:val="nl-NL"/>
        </w:rPr>
      </w:pPr>
    </w:p>
    <w:p w:rsidR="0016635D" w:rsidP="00525643" w:rsidRDefault="001D6B88">
      <w:pPr>
        <w:spacing w:line="360" w:lineRule="auto"/>
        <w:rPr>
          <w:rFonts w:ascii="Verdana" w:hAnsi="Verdana"/>
          <w:sz w:val="18"/>
          <w:szCs w:val="18"/>
          <w:lang w:val="nl-NL"/>
        </w:rPr>
      </w:pPr>
      <w:r w:rsidRPr="001D6B88">
        <w:rPr>
          <w:rFonts w:ascii="Verdana" w:hAnsi="Verdana"/>
          <w:sz w:val="18"/>
          <w:szCs w:val="18"/>
          <w:lang w:val="nl-NL"/>
        </w:rPr>
        <w:t>De Staatssecretaris van Financiën,</w:t>
      </w:r>
    </w:p>
    <w:p w:rsidRPr="00556CEB" w:rsidR="00556CEB" w:rsidP="00FA42A5" w:rsidRDefault="00556CEB">
      <w:pPr>
        <w:spacing w:line="360" w:lineRule="auto"/>
        <w:rPr>
          <w:lang w:val="nl-NL"/>
        </w:rPr>
      </w:pPr>
    </w:p>
    <w:p w:rsidR="00095E4A" w:rsidP="00FA42A5" w:rsidRDefault="00095E4A">
      <w:pPr>
        <w:spacing w:line="360" w:lineRule="auto"/>
        <w:rPr>
          <w:rFonts w:ascii="Verdana" w:hAnsi="Verdana"/>
          <w:sz w:val="18"/>
          <w:szCs w:val="18"/>
          <w:lang w:val="nl-NL"/>
        </w:rPr>
      </w:pPr>
    </w:p>
    <w:p w:rsidR="002D160C" w:rsidP="00FA42A5" w:rsidRDefault="00F86AD9">
      <w:pPr>
        <w:spacing w:line="360" w:lineRule="auto"/>
        <w:rPr>
          <w:rFonts w:ascii="Verdana" w:hAnsi="Verdana"/>
          <w:sz w:val="18"/>
          <w:szCs w:val="18"/>
          <w:lang w:val="nl-NL"/>
        </w:rPr>
      </w:pPr>
      <w:r>
        <w:rPr>
          <w:rFonts w:ascii="Verdana" w:hAnsi="Verdana"/>
          <w:sz w:val="18"/>
          <w:szCs w:val="18"/>
          <w:lang w:val="nl-NL"/>
        </w:rPr>
        <w:br/>
      </w:r>
      <w:r w:rsidRPr="001D6B88" w:rsidR="001D6B88">
        <w:rPr>
          <w:rFonts w:ascii="Verdana" w:hAnsi="Verdana"/>
          <w:sz w:val="18"/>
          <w:szCs w:val="18"/>
          <w:lang w:val="nl-NL"/>
        </w:rPr>
        <w:t>De Minister van Buitenlandse Zaken,</w:t>
      </w:r>
    </w:p>
    <w:p w:rsidR="002F790C" w:rsidP="00FA42A5" w:rsidRDefault="002F790C">
      <w:pPr>
        <w:spacing w:line="360" w:lineRule="auto"/>
        <w:rPr>
          <w:lang w:val="nl-NL"/>
        </w:rPr>
      </w:pPr>
    </w:p>
    <w:bookmarkStart w:name="_MON_1421072525" w:id="1"/>
    <w:bookmarkEnd w:id="1"/>
    <w:p w:rsidRPr="00A079E2" w:rsidR="00A079E2" w:rsidP="00A079E2" w:rsidRDefault="00753CE4">
      <w:pPr>
        <w:rPr>
          <w:lang w:val="nl-NL"/>
        </w:rPr>
      </w:pPr>
      <w:r w:rsidRPr="007E7343">
        <w:rPr>
          <w:rFonts w:ascii="Verdana" w:hAnsi="Verdana"/>
          <w:sz w:val="18"/>
          <w:szCs w:val="18"/>
          <w:lang w:val="nl-NL"/>
        </w:rPr>
        <w:object w:dxaOrig="9242" w:dyaOrig="140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62.05pt;height:700.1pt" o:ole="" type="#_x0000_t75">
            <v:imagedata o:title="" r:id="rId10"/>
          </v:shape>
          <o:OLEObject Type="Embed" ProgID="Word.Document.12" ShapeID="_x0000_i1025" DrawAspect="Content" ObjectID="_1442649420" r:id="rId11">
            <o:FieldCodes>\s</o:FieldCodes>
          </o:OLEObject>
        </w:object>
      </w:r>
      <w:bookmarkStart w:name="_MON_1421238414" w:id="2"/>
      <w:bookmarkEnd w:id="2"/>
      <w:r w:rsidRPr="007E7343" w:rsidR="00F5176A">
        <w:rPr>
          <w:rFonts w:ascii="Verdana" w:hAnsi="Verdana"/>
          <w:sz w:val="18"/>
          <w:szCs w:val="18"/>
          <w:lang w:val="nl-NL"/>
        </w:rPr>
        <w:object w:dxaOrig="9242" w:dyaOrig="11762">
          <v:shape id="_x0000_i1026" style="width:462.05pt;height:587.95pt" o:ole="" type="#_x0000_t75">
            <v:imagedata o:title="" r:id="rId12"/>
          </v:shape>
          <o:OLEObject Type="Embed" ProgID="Word.Document.12" ShapeID="_x0000_i1026" DrawAspect="Content" ObjectID="_1442649421" r:id="rId13">
            <o:FieldCodes>\s</o:FieldCodes>
          </o:OLEObject>
        </w:object>
      </w:r>
      <w:bookmarkStart w:name="_MON_1432714435" w:id="3"/>
      <w:bookmarkEnd w:id="3"/>
      <w:r w:rsidRPr="007E7343" w:rsidR="00546405">
        <w:rPr>
          <w:rFonts w:ascii="Verdana" w:hAnsi="Verdana"/>
          <w:sz w:val="18"/>
          <w:szCs w:val="18"/>
          <w:lang w:val="nl-NL"/>
        </w:rPr>
        <w:object w:dxaOrig="8947" w:dyaOrig="14004">
          <v:shape id="_x0000_i1027" style="width:447pt;height:700.1pt" o:ole="" type="#_x0000_t75">
            <v:imagedata o:title="" r:id="rId14"/>
          </v:shape>
          <o:OLEObject Type="Embed" ProgID="Word.Document.12" ShapeID="_x0000_i1027" DrawAspect="Content" ObjectID="_1442649422" r:id="rId15">
            <o:FieldCodes>\s</o:FieldCodes>
          </o:OLEObject>
        </w:object>
      </w:r>
    </w:p>
    <w:sectPr w:rsidRPr="00A079E2" w:rsidR="00A079E2" w:rsidSect="00B91918">
      <w:footerReference w:type="default" r:id="rId16"/>
      <w:footerReference w:type="first" r:id="rId17"/>
      <w:pgSz w:w="11906" w:h="16838" w:code="9"/>
      <w:pgMar w:top="1134" w:right="1418" w:bottom="1418" w:left="1418" w:header="709" w:footer="85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8E1" w:rsidRDefault="008928E1">
      <w:r>
        <w:separator/>
      </w:r>
    </w:p>
  </w:endnote>
  <w:endnote w:type="continuationSeparator" w:id="0">
    <w:p w:rsidR="008928E1" w:rsidRDefault="0089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Symbol">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976427710"/>
      <w:docPartObj>
        <w:docPartGallery w:val="Page Numbers (Bottom of Page)"/>
        <w:docPartUnique/>
      </w:docPartObj>
    </w:sdtPr>
    <w:sdtEndPr>
      <w:rPr>
        <w:noProof/>
      </w:rPr>
    </w:sdtEndPr>
    <w:sdtContent>
      <w:p w:rsidR="00056D47" w:rsidRPr="00E0316E" w:rsidRDefault="003406C7">
        <w:pPr>
          <w:pStyle w:val="Footer"/>
          <w:jc w:val="right"/>
          <w:rPr>
            <w:rFonts w:ascii="Verdana" w:hAnsi="Verdana"/>
            <w:sz w:val="18"/>
            <w:szCs w:val="18"/>
          </w:rPr>
        </w:pPr>
        <w:r w:rsidRPr="00E0316E">
          <w:rPr>
            <w:rFonts w:ascii="Verdana" w:hAnsi="Verdana"/>
            <w:sz w:val="18"/>
            <w:szCs w:val="18"/>
          </w:rPr>
          <w:fldChar w:fldCharType="begin"/>
        </w:r>
        <w:r w:rsidR="00056D47" w:rsidRPr="00E0316E">
          <w:rPr>
            <w:rFonts w:ascii="Verdana" w:hAnsi="Verdana"/>
            <w:sz w:val="18"/>
            <w:szCs w:val="18"/>
          </w:rPr>
          <w:instrText xml:space="preserve"> PAGE   \* MERGEFORMAT </w:instrText>
        </w:r>
        <w:r w:rsidRPr="00E0316E">
          <w:rPr>
            <w:rFonts w:ascii="Verdana" w:hAnsi="Verdana"/>
            <w:sz w:val="18"/>
            <w:szCs w:val="18"/>
          </w:rPr>
          <w:fldChar w:fldCharType="separate"/>
        </w:r>
        <w:r w:rsidR="00DC0675">
          <w:rPr>
            <w:rFonts w:ascii="Verdana" w:hAnsi="Verdana"/>
            <w:noProof/>
            <w:sz w:val="18"/>
            <w:szCs w:val="18"/>
          </w:rPr>
          <w:t>17</w:t>
        </w:r>
        <w:r w:rsidRPr="00E0316E">
          <w:rPr>
            <w:rFonts w:ascii="Verdana" w:hAnsi="Verdana"/>
            <w:noProof/>
            <w:sz w:val="18"/>
            <w:szCs w:val="18"/>
          </w:rPr>
          <w:fldChar w:fldCharType="end"/>
        </w:r>
      </w:p>
    </w:sdtContent>
  </w:sdt>
  <w:p w:rsidR="00E54942" w:rsidRPr="006B3122" w:rsidRDefault="00E54942" w:rsidP="006B3122">
    <w:pPr>
      <w:pStyle w:val="Footer"/>
      <w:rPr>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918" w:rsidRDefault="00B91918">
    <w:pPr>
      <w:pStyle w:val="Footer"/>
      <w:pBdr>
        <w:bottom w:val="single" w:sz="12" w:space="1" w:color="auto"/>
      </w:pBdr>
    </w:pPr>
  </w:p>
  <w:p w:rsidR="00B91918" w:rsidRPr="00B91918" w:rsidRDefault="00B91918">
    <w:pPr>
      <w:pStyle w:val="Footer"/>
      <w:rPr>
        <w:sz w:val="18"/>
        <w:szCs w:val="18"/>
        <w:lang w:val="nl-NL"/>
      </w:rPr>
    </w:pPr>
    <w:r w:rsidRPr="00B91918">
      <w:rPr>
        <w:sz w:val="18"/>
        <w:szCs w:val="18"/>
        <w:lang w:val="nl-NL"/>
      </w:rPr>
      <w:t>Het advies van de Afdeling advisering van de Raad van State van het Koninkrijk wordt niet openbaar gemaakt, omdat het zonder meer instemmend luidt (artikel 26, zesde lid jo vijfde lid, van de Wet op de Raad van State).</w:t>
    </w:r>
  </w:p>
  <w:p w:rsidR="00B91918" w:rsidRPr="00B91918" w:rsidRDefault="00B91918">
    <w:pPr>
      <w:pStyle w:val="Footer"/>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8E1" w:rsidRDefault="008928E1">
      <w:r>
        <w:separator/>
      </w:r>
    </w:p>
  </w:footnote>
  <w:footnote w:type="continuationSeparator" w:id="0">
    <w:p w:rsidR="008928E1" w:rsidRDefault="0089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085F4B12"/>
    <w:multiLevelType w:val="hybridMultilevel"/>
    <w:tmpl w:val="8736AD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3">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5350C5"/>
    <w:multiLevelType w:val="multilevel"/>
    <w:tmpl w:val="C53AF736"/>
    <w:lvl w:ilvl="0">
      <w:start w:val="1"/>
      <w:numFmt w:val="decimal"/>
      <w:lvlText w:val="%1."/>
      <w:lvlJc w:val="left"/>
      <w:pPr>
        <w:ind w:left="360" w:hanging="360"/>
      </w:pPr>
      <w:rPr>
        <w:rFonts w:hint="default"/>
        <w:b/>
      </w:rPr>
    </w:lvl>
    <w:lvl w:ilvl="1">
      <w:start w:val="1"/>
      <w:numFmt w:val="decimal"/>
      <w:isLgl/>
      <w:lvlText w:val="%1.%2"/>
      <w:lvlJc w:val="left"/>
      <w:pPr>
        <w:ind w:left="2850" w:hanging="720"/>
      </w:pPr>
      <w:rPr>
        <w:rFonts w:ascii="Verdana" w:hAnsi="Verdana" w:hint="default"/>
        <w:b/>
        <w:sz w:val="18"/>
        <w:szCs w:val="18"/>
      </w:rPr>
    </w:lvl>
    <w:lvl w:ilvl="2">
      <w:start w:val="1"/>
      <w:numFmt w:val="decimal"/>
      <w:isLgl/>
      <w:lvlText w:val="%1.%2.%3"/>
      <w:lvlJc w:val="left"/>
      <w:pPr>
        <w:ind w:left="4980" w:hanging="720"/>
      </w:pPr>
      <w:rPr>
        <w:rFonts w:hint="default"/>
      </w:rPr>
    </w:lvl>
    <w:lvl w:ilvl="3">
      <w:start w:val="1"/>
      <w:numFmt w:val="decimal"/>
      <w:isLgl/>
      <w:lvlText w:val="%1.%2.%3.%4"/>
      <w:lvlJc w:val="left"/>
      <w:pPr>
        <w:ind w:left="7470" w:hanging="1080"/>
      </w:pPr>
      <w:rPr>
        <w:rFonts w:hint="default"/>
      </w:rPr>
    </w:lvl>
    <w:lvl w:ilvl="4">
      <w:start w:val="1"/>
      <w:numFmt w:val="decimal"/>
      <w:isLgl/>
      <w:lvlText w:val="%1.%2.%3.%4.%5"/>
      <w:lvlJc w:val="left"/>
      <w:pPr>
        <w:ind w:left="9600" w:hanging="1080"/>
      </w:pPr>
      <w:rPr>
        <w:rFonts w:hint="default"/>
      </w:rPr>
    </w:lvl>
    <w:lvl w:ilvl="5">
      <w:start w:val="1"/>
      <w:numFmt w:val="decimal"/>
      <w:isLgl/>
      <w:lvlText w:val="%1.%2.%3.%4.%5.%6"/>
      <w:lvlJc w:val="left"/>
      <w:pPr>
        <w:ind w:left="12090" w:hanging="1440"/>
      </w:pPr>
      <w:rPr>
        <w:rFonts w:hint="default"/>
      </w:rPr>
    </w:lvl>
    <w:lvl w:ilvl="6">
      <w:start w:val="1"/>
      <w:numFmt w:val="decimal"/>
      <w:isLgl/>
      <w:lvlText w:val="%1.%2.%3.%4.%5.%6.%7"/>
      <w:lvlJc w:val="left"/>
      <w:pPr>
        <w:ind w:left="14580" w:hanging="1800"/>
      </w:pPr>
      <w:rPr>
        <w:rFonts w:hint="default"/>
      </w:rPr>
    </w:lvl>
    <w:lvl w:ilvl="7">
      <w:start w:val="1"/>
      <w:numFmt w:val="decimal"/>
      <w:isLgl/>
      <w:lvlText w:val="%1.%2.%3.%4.%5.%6.%7.%8"/>
      <w:lvlJc w:val="left"/>
      <w:pPr>
        <w:ind w:left="16710" w:hanging="1800"/>
      </w:pPr>
      <w:rPr>
        <w:rFonts w:hint="default"/>
      </w:rPr>
    </w:lvl>
    <w:lvl w:ilvl="8">
      <w:start w:val="1"/>
      <w:numFmt w:val="decimal"/>
      <w:isLgl/>
      <w:lvlText w:val="%1.%2.%3.%4.%5.%6.%7.%8.%9"/>
      <w:lvlJc w:val="left"/>
      <w:pPr>
        <w:ind w:left="19200" w:hanging="2160"/>
      </w:pPr>
      <w:rPr>
        <w:rFonts w:hint="default"/>
      </w:rPr>
    </w:lvl>
  </w:abstractNum>
  <w:abstractNum w:abstractNumId="5">
    <w:nsid w:val="118E1AB5"/>
    <w:multiLevelType w:val="hybridMultilevel"/>
    <w:tmpl w:val="6F7C466C"/>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42B7AE2"/>
    <w:multiLevelType w:val="hybridMultilevel"/>
    <w:tmpl w:val="55D6690C"/>
    <w:lvl w:ilvl="0" w:tplc="CBCCD09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6E04A06"/>
    <w:multiLevelType w:val="multilevel"/>
    <w:tmpl w:val="15DA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197A0697"/>
    <w:multiLevelType w:val="hybridMultilevel"/>
    <w:tmpl w:val="015C89C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2CF5F2A"/>
    <w:multiLevelType w:val="hybridMultilevel"/>
    <w:tmpl w:val="3984D3D0"/>
    <w:lvl w:ilvl="0" w:tplc="9496D50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7754F44"/>
    <w:multiLevelType w:val="multilevel"/>
    <w:tmpl w:val="9E2CAAC8"/>
    <w:lvl w:ilvl="0">
      <w:start w:val="1"/>
      <w:numFmt w:val="upperRoman"/>
      <w:pStyle w:val="Heading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numFmt w:val="decimal"/>
      <w:pStyle w:val="Heading2"/>
      <w:lvlText w:val="%1.%2."/>
      <w:lvlJc w:val="left"/>
      <w:pPr>
        <w:ind w:left="1080" w:firstLine="0"/>
      </w:pPr>
      <w:rPr>
        <w:rFonts w:hint="default"/>
      </w:rPr>
    </w:lvl>
    <w:lvl w:ilvl="2">
      <w:start w:val="1"/>
      <w:numFmt w:val="decimal"/>
      <w:pStyle w:val="Heading3"/>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nsid w:val="44775E5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F897F6D"/>
    <w:multiLevelType w:val="hybridMultilevel"/>
    <w:tmpl w:val="A5C62A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0"/>
  </w:num>
  <w:num w:numId="5">
    <w:abstractNumId w:val="18"/>
  </w:num>
  <w:num w:numId="6">
    <w:abstractNumId w:val="9"/>
  </w:num>
  <w:num w:numId="7">
    <w:abstractNumId w:val="14"/>
  </w:num>
  <w:num w:numId="8">
    <w:abstractNumId w:val="2"/>
  </w:num>
  <w:num w:numId="9">
    <w:abstractNumId w:val="10"/>
  </w:num>
  <w:num w:numId="10">
    <w:abstractNumId w:val="19"/>
  </w:num>
  <w:num w:numId="11">
    <w:abstractNumId w:val="14"/>
  </w:num>
  <w:num w:numId="12">
    <w:abstractNumId w:val="14"/>
    <w:lvlOverride w:ilvl="0">
      <w:lvl w:ilvl="0">
        <w:start w:val="1"/>
        <w:numFmt w:val="upperRoman"/>
        <w:pStyle w:val="Heading1"/>
        <w:lvlText w:val="%1."/>
        <w:lvlJc w:val="left"/>
        <w:pPr>
          <w:ind w:left="0" w:firstLine="0"/>
        </w:pPr>
        <w:rPr>
          <w:rFonts w:hint="default"/>
        </w:rPr>
      </w:lvl>
    </w:lvlOverride>
    <w:lvlOverride w:ilvl="1">
      <w:lvl w:ilvl="1">
        <w:start w:val="1"/>
        <w:numFmt w:val="decimal"/>
        <w:pStyle w:val="Heading2"/>
        <w:lvlText w:val="%1.%2."/>
        <w:lvlJc w:val="left"/>
        <w:pPr>
          <w:ind w:left="720" w:firstLine="0"/>
        </w:pPr>
        <w:rPr>
          <w:rFonts w:hint="default"/>
        </w:rPr>
      </w:lvl>
    </w:lvlOverride>
    <w:lvlOverride w:ilvl="2">
      <w:lvl w:ilvl="2">
        <w:start w:val="1"/>
        <w:numFmt w:val="decimal"/>
        <w:pStyle w:val="Heading3"/>
        <w:lvlText w:val="%1.%2.%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3">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17"/>
  </w:num>
  <w:num w:numId="19">
    <w:abstractNumId w:val="14"/>
  </w:num>
  <w:num w:numId="20">
    <w:abstractNumId w:val="7"/>
  </w:num>
  <w:num w:numId="21">
    <w:abstractNumId w:val="4"/>
  </w:num>
  <w:num w:numId="22">
    <w:abstractNumId w:val="8"/>
  </w:num>
  <w:num w:numId="23">
    <w:abstractNumId w:val="5"/>
  </w:num>
  <w:num w:numId="24">
    <w:abstractNumId w:val="20"/>
  </w:num>
  <w:num w:numId="25">
    <w:abstractNumId w:val="15"/>
  </w:num>
  <w:num w:numId="26">
    <w:abstractNumId w:val="1"/>
  </w:num>
  <w:num w:numId="27">
    <w:abstractNumId w:val="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60C"/>
    <w:rsid w:val="00001229"/>
    <w:rsid w:val="0000188E"/>
    <w:rsid w:val="0000191F"/>
    <w:rsid w:val="00001E00"/>
    <w:rsid w:val="00002EB1"/>
    <w:rsid w:val="00003DF7"/>
    <w:rsid w:val="000040D4"/>
    <w:rsid w:val="000058F7"/>
    <w:rsid w:val="00010CC8"/>
    <w:rsid w:val="00013811"/>
    <w:rsid w:val="00014977"/>
    <w:rsid w:val="00014CAF"/>
    <w:rsid w:val="000163C3"/>
    <w:rsid w:val="00016A1A"/>
    <w:rsid w:val="00020C41"/>
    <w:rsid w:val="00020F6C"/>
    <w:rsid w:val="000248D4"/>
    <w:rsid w:val="00026DC9"/>
    <w:rsid w:val="00027540"/>
    <w:rsid w:val="00031E90"/>
    <w:rsid w:val="00032B5F"/>
    <w:rsid w:val="0003546C"/>
    <w:rsid w:val="0003677C"/>
    <w:rsid w:val="00040699"/>
    <w:rsid w:val="0004567D"/>
    <w:rsid w:val="000463D9"/>
    <w:rsid w:val="00046DCE"/>
    <w:rsid w:val="00052EFA"/>
    <w:rsid w:val="000532C1"/>
    <w:rsid w:val="00054AEF"/>
    <w:rsid w:val="00056D47"/>
    <w:rsid w:val="0005779F"/>
    <w:rsid w:val="00057F29"/>
    <w:rsid w:val="00062AF3"/>
    <w:rsid w:val="00062D60"/>
    <w:rsid w:val="0006695B"/>
    <w:rsid w:val="0007045A"/>
    <w:rsid w:val="00070F2B"/>
    <w:rsid w:val="00071DD2"/>
    <w:rsid w:val="0007425C"/>
    <w:rsid w:val="000746AE"/>
    <w:rsid w:val="00074E7F"/>
    <w:rsid w:val="00075786"/>
    <w:rsid w:val="000772F0"/>
    <w:rsid w:val="00080113"/>
    <w:rsid w:val="000865A6"/>
    <w:rsid w:val="000866AD"/>
    <w:rsid w:val="00092171"/>
    <w:rsid w:val="00093F38"/>
    <w:rsid w:val="00095E4A"/>
    <w:rsid w:val="0009602B"/>
    <w:rsid w:val="000960A4"/>
    <w:rsid w:val="0009626D"/>
    <w:rsid w:val="00096A4E"/>
    <w:rsid w:val="000A1153"/>
    <w:rsid w:val="000A3850"/>
    <w:rsid w:val="000B02F5"/>
    <w:rsid w:val="000B2050"/>
    <w:rsid w:val="000B2E99"/>
    <w:rsid w:val="000B3DE3"/>
    <w:rsid w:val="000B5F72"/>
    <w:rsid w:val="000B6745"/>
    <w:rsid w:val="000B76E2"/>
    <w:rsid w:val="000C0D88"/>
    <w:rsid w:val="000C0F2B"/>
    <w:rsid w:val="000C1094"/>
    <w:rsid w:val="000C132C"/>
    <w:rsid w:val="000C141E"/>
    <w:rsid w:val="000C15D5"/>
    <w:rsid w:val="000C302D"/>
    <w:rsid w:val="000C7A30"/>
    <w:rsid w:val="000C7D70"/>
    <w:rsid w:val="000D0246"/>
    <w:rsid w:val="000D2464"/>
    <w:rsid w:val="000D4E5A"/>
    <w:rsid w:val="000D76EB"/>
    <w:rsid w:val="000E0B0A"/>
    <w:rsid w:val="000E47A3"/>
    <w:rsid w:val="000E710F"/>
    <w:rsid w:val="000F0014"/>
    <w:rsid w:val="000F4A51"/>
    <w:rsid w:val="000F5040"/>
    <w:rsid w:val="000F52C6"/>
    <w:rsid w:val="000F5548"/>
    <w:rsid w:val="000F5B3F"/>
    <w:rsid w:val="000F79B3"/>
    <w:rsid w:val="001017A2"/>
    <w:rsid w:val="00105899"/>
    <w:rsid w:val="001076A4"/>
    <w:rsid w:val="001113DD"/>
    <w:rsid w:val="00111B13"/>
    <w:rsid w:val="0011413C"/>
    <w:rsid w:val="0011498B"/>
    <w:rsid w:val="0011711C"/>
    <w:rsid w:val="0012612C"/>
    <w:rsid w:val="0012719A"/>
    <w:rsid w:val="00127576"/>
    <w:rsid w:val="00127800"/>
    <w:rsid w:val="00131E01"/>
    <w:rsid w:val="00135CD3"/>
    <w:rsid w:val="00137890"/>
    <w:rsid w:val="00141B56"/>
    <w:rsid w:val="00143502"/>
    <w:rsid w:val="0014369A"/>
    <w:rsid w:val="0014408E"/>
    <w:rsid w:val="00144217"/>
    <w:rsid w:val="001461D9"/>
    <w:rsid w:val="00146EA0"/>
    <w:rsid w:val="001504D1"/>
    <w:rsid w:val="0015172C"/>
    <w:rsid w:val="00156330"/>
    <w:rsid w:val="0015702B"/>
    <w:rsid w:val="00157A73"/>
    <w:rsid w:val="00160EC7"/>
    <w:rsid w:val="001615B1"/>
    <w:rsid w:val="001641C0"/>
    <w:rsid w:val="001642C1"/>
    <w:rsid w:val="001648DB"/>
    <w:rsid w:val="0016635D"/>
    <w:rsid w:val="00170D47"/>
    <w:rsid w:val="00171B54"/>
    <w:rsid w:val="00180E10"/>
    <w:rsid w:val="00182D3C"/>
    <w:rsid w:val="00186ABE"/>
    <w:rsid w:val="00186E7C"/>
    <w:rsid w:val="00190877"/>
    <w:rsid w:val="001A3ACA"/>
    <w:rsid w:val="001A684F"/>
    <w:rsid w:val="001A7ED9"/>
    <w:rsid w:val="001B09A0"/>
    <w:rsid w:val="001B1245"/>
    <w:rsid w:val="001B2D08"/>
    <w:rsid w:val="001B4DD4"/>
    <w:rsid w:val="001B5026"/>
    <w:rsid w:val="001C24D6"/>
    <w:rsid w:val="001C2B34"/>
    <w:rsid w:val="001C30D1"/>
    <w:rsid w:val="001C47EC"/>
    <w:rsid w:val="001D1AAA"/>
    <w:rsid w:val="001D4172"/>
    <w:rsid w:val="001D4C40"/>
    <w:rsid w:val="001D68B4"/>
    <w:rsid w:val="001D6B88"/>
    <w:rsid w:val="001D77AA"/>
    <w:rsid w:val="001E5295"/>
    <w:rsid w:val="001E54ED"/>
    <w:rsid w:val="001E7A64"/>
    <w:rsid w:val="001F0D10"/>
    <w:rsid w:val="001F528D"/>
    <w:rsid w:val="002020AE"/>
    <w:rsid w:val="002036A1"/>
    <w:rsid w:val="00204FEC"/>
    <w:rsid w:val="00205C99"/>
    <w:rsid w:val="00206B5A"/>
    <w:rsid w:val="00206BDF"/>
    <w:rsid w:val="00206F43"/>
    <w:rsid w:val="00207B1E"/>
    <w:rsid w:val="00207CD4"/>
    <w:rsid w:val="002107CA"/>
    <w:rsid w:val="00210C01"/>
    <w:rsid w:val="0021134F"/>
    <w:rsid w:val="00212893"/>
    <w:rsid w:val="0021292D"/>
    <w:rsid w:val="00217C1A"/>
    <w:rsid w:val="002205F5"/>
    <w:rsid w:val="00220DDA"/>
    <w:rsid w:val="00222AF2"/>
    <w:rsid w:val="00222FD4"/>
    <w:rsid w:val="0022573C"/>
    <w:rsid w:val="00225CB9"/>
    <w:rsid w:val="0022630B"/>
    <w:rsid w:val="00227EA5"/>
    <w:rsid w:val="00227EE0"/>
    <w:rsid w:val="00231D27"/>
    <w:rsid w:val="002331D3"/>
    <w:rsid w:val="00233F14"/>
    <w:rsid w:val="002377B9"/>
    <w:rsid w:val="00240300"/>
    <w:rsid w:val="00240586"/>
    <w:rsid w:val="00242494"/>
    <w:rsid w:val="00243138"/>
    <w:rsid w:val="0024316A"/>
    <w:rsid w:val="00244304"/>
    <w:rsid w:val="00246368"/>
    <w:rsid w:val="0024743F"/>
    <w:rsid w:val="002601BE"/>
    <w:rsid w:val="0026179C"/>
    <w:rsid w:val="00262822"/>
    <w:rsid w:val="00264230"/>
    <w:rsid w:val="002642D5"/>
    <w:rsid w:val="0026636C"/>
    <w:rsid w:val="0026798E"/>
    <w:rsid w:val="00270986"/>
    <w:rsid w:val="00273D09"/>
    <w:rsid w:val="00274D45"/>
    <w:rsid w:val="002769C1"/>
    <w:rsid w:val="00281269"/>
    <w:rsid w:val="0028210A"/>
    <w:rsid w:val="00282841"/>
    <w:rsid w:val="0028740C"/>
    <w:rsid w:val="00294BEF"/>
    <w:rsid w:val="0029507E"/>
    <w:rsid w:val="002956EE"/>
    <w:rsid w:val="002978A4"/>
    <w:rsid w:val="002A134A"/>
    <w:rsid w:val="002A517B"/>
    <w:rsid w:val="002A5E1E"/>
    <w:rsid w:val="002A7BD9"/>
    <w:rsid w:val="002B0609"/>
    <w:rsid w:val="002B14F0"/>
    <w:rsid w:val="002B312E"/>
    <w:rsid w:val="002B393E"/>
    <w:rsid w:val="002C07EC"/>
    <w:rsid w:val="002C0B74"/>
    <w:rsid w:val="002C3C18"/>
    <w:rsid w:val="002C4178"/>
    <w:rsid w:val="002C50D8"/>
    <w:rsid w:val="002C63D6"/>
    <w:rsid w:val="002C6C71"/>
    <w:rsid w:val="002C747F"/>
    <w:rsid w:val="002D134F"/>
    <w:rsid w:val="002D159A"/>
    <w:rsid w:val="002D160C"/>
    <w:rsid w:val="002D1ABA"/>
    <w:rsid w:val="002D333E"/>
    <w:rsid w:val="002D47C8"/>
    <w:rsid w:val="002D4C8F"/>
    <w:rsid w:val="002D66B8"/>
    <w:rsid w:val="002D6E4A"/>
    <w:rsid w:val="002D7178"/>
    <w:rsid w:val="002E0321"/>
    <w:rsid w:val="002E51F1"/>
    <w:rsid w:val="002F1B13"/>
    <w:rsid w:val="002F2B60"/>
    <w:rsid w:val="002F6EAA"/>
    <w:rsid w:val="002F790C"/>
    <w:rsid w:val="00301C9E"/>
    <w:rsid w:val="00302498"/>
    <w:rsid w:val="00302AA0"/>
    <w:rsid w:val="00303810"/>
    <w:rsid w:val="00305433"/>
    <w:rsid w:val="003109C9"/>
    <w:rsid w:val="00311F10"/>
    <w:rsid w:val="00313D3C"/>
    <w:rsid w:val="00314651"/>
    <w:rsid w:val="00315A3F"/>
    <w:rsid w:val="003201A8"/>
    <w:rsid w:val="00321760"/>
    <w:rsid w:val="00322EC9"/>
    <w:rsid w:val="00325B7C"/>
    <w:rsid w:val="00326C7C"/>
    <w:rsid w:val="0032719A"/>
    <w:rsid w:val="003276C9"/>
    <w:rsid w:val="00327C35"/>
    <w:rsid w:val="0033090F"/>
    <w:rsid w:val="00331ABF"/>
    <w:rsid w:val="00332550"/>
    <w:rsid w:val="0033646B"/>
    <w:rsid w:val="00337654"/>
    <w:rsid w:val="003406C7"/>
    <w:rsid w:val="00344AAA"/>
    <w:rsid w:val="0034665C"/>
    <w:rsid w:val="00347BBB"/>
    <w:rsid w:val="00350600"/>
    <w:rsid w:val="00352A96"/>
    <w:rsid w:val="00352F26"/>
    <w:rsid w:val="00354246"/>
    <w:rsid w:val="00354764"/>
    <w:rsid w:val="003566A4"/>
    <w:rsid w:val="00356836"/>
    <w:rsid w:val="00357099"/>
    <w:rsid w:val="0035738F"/>
    <w:rsid w:val="00360AE4"/>
    <w:rsid w:val="00362223"/>
    <w:rsid w:val="00363380"/>
    <w:rsid w:val="003640A2"/>
    <w:rsid w:val="003707C2"/>
    <w:rsid w:val="00377904"/>
    <w:rsid w:val="003779D9"/>
    <w:rsid w:val="00381460"/>
    <w:rsid w:val="00382F88"/>
    <w:rsid w:val="00383F14"/>
    <w:rsid w:val="00384A2F"/>
    <w:rsid w:val="0038629B"/>
    <w:rsid w:val="00386753"/>
    <w:rsid w:val="003867EF"/>
    <w:rsid w:val="0039409F"/>
    <w:rsid w:val="00394DBE"/>
    <w:rsid w:val="00395A74"/>
    <w:rsid w:val="003967D9"/>
    <w:rsid w:val="00396EDD"/>
    <w:rsid w:val="003A3ACC"/>
    <w:rsid w:val="003A4DE3"/>
    <w:rsid w:val="003A53BE"/>
    <w:rsid w:val="003A5956"/>
    <w:rsid w:val="003A729E"/>
    <w:rsid w:val="003A7324"/>
    <w:rsid w:val="003A7F65"/>
    <w:rsid w:val="003B1C60"/>
    <w:rsid w:val="003B208B"/>
    <w:rsid w:val="003B2980"/>
    <w:rsid w:val="003B39ED"/>
    <w:rsid w:val="003B3DF3"/>
    <w:rsid w:val="003B3DFE"/>
    <w:rsid w:val="003B6A47"/>
    <w:rsid w:val="003C25BF"/>
    <w:rsid w:val="003C5445"/>
    <w:rsid w:val="003C58B1"/>
    <w:rsid w:val="003C6B17"/>
    <w:rsid w:val="003C6B87"/>
    <w:rsid w:val="003C76D9"/>
    <w:rsid w:val="003D2688"/>
    <w:rsid w:val="003D4EF2"/>
    <w:rsid w:val="003D54DF"/>
    <w:rsid w:val="003E22AB"/>
    <w:rsid w:val="003E3DB1"/>
    <w:rsid w:val="003E4488"/>
    <w:rsid w:val="003F18C7"/>
    <w:rsid w:val="003F34ED"/>
    <w:rsid w:val="003F4E82"/>
    <w:rsid w:val="003F4FC2"/>
    <w:rsid w:val="003F5CBC"/>
    <w:rsid w:val="003F6FFB"/>
    <w:rsid w:val="004001F5"/>
    <w:rsid w:val="004025C0"/>
    <w:rsid w:val="00403194"/>
    <w:rsid w:val="0040400D"/>
    <w:rsid w:val="00404227"/>
    <w:rsid w:val="00405ECD"/>
    <w:rsid w:val="00406A4D"/>
    <w:rsid w:val="00406BAE"/>
    <w:rsid w:val="004103E2"/>
    <w:rsid w:val="00410FCC"/>
    <w:rsid w:val="00414968"/>
    <w:rsid w:val="00415127"/>
    <w:rsid w:val="0041583B"/>
    <w:rsid w:val="00416E80"/>
    <w:rsid w:val="00416EFC"/>
    <w:rsid w:val="00421B3B"/>
    <w:rsid w:val="00422608"/>
    <w:rsid w:val="00423488"/>
    <w:rsid w:val="004336D0"/>
    <w:rsid w:val="00434DA1"/>
    <w:rsid w:val="0044104A"/>
    <w:rsid w:val="00442A66"/>
    <w:rsid w:val="00443430"/>
    <w:rsid w:val="00450437"/>
    <w:rsid w:val="0045073D"/>
    <w:rsid w:val="00452DC8"/>
    <w:rsid w:val="004537CB"/>
    <w:rsid w:val="00455057"/>
    <w:rsid w:val="00455C5F"/>
    <w:rsid w:val="00456079"/>
    <w:rsid w:val="00456F94"/>
    <w:rsid w:val="00457948"/>
    <w:rsid w:val="00461C4E"/>
    <w:rsid w:val="0046425A"/>
    <w:rsid w:val="004650B4"/>
    <w:rsid w:val="00470D91"/>
    <w:rsid w:val="00472327"/>
    <w:rsid w:val="004751BD"/>
    <w:rsid w:val="00475DDD"/>
    <w:rsid w:val="00476B52"/>
    <w:rsid w:val="00476DD2"/>
    <w:rsid w:val="0048056D"/>
    <w:rsid w:val="00480D31"/>
    <w:rsid w:val="00482344"/>
    <w:rsid w:val="004843E0"/>
    <w:rsid w:val="00485F72"/>
    <w:rsid w:val="0049049C"/>
    <w:rsid w:val="00491CEC"/>
    <w:rsid w:val="00493DE5"/>
    <w:rsid w:val="004946FA"/>
    <w:rsid w:val="004969AA"/>
    <w:rsid w:val="004A300F"/>
    <w:rsid w:val="004A3DA5"/>
    <w:rsid w:val="004A5083"/>
    <w:rsid w:val="004A6B44"/>
    <w:rsid w:val="004A7DA2"/>
    <w:rsid w:val="004B006C"/>
    <w:rsid w:val="004B162C"/>
    <w:rsid w:val="004B4528"/>
    <w:rsid w:val="004B7D0D"/>
    <w:rsid w:val="004C5166"/>
    <w:rsid w:val="004C76B1"/>
    <w:rsid w:val="004D2BCE"/>
    <w:rsid w:val="004D33D9"/>
    <w:rsid w:val="004D6CC6"/>
    <w:rsid w:val="004E2B8F"/>
    <w:rsid w:val="004E2C83"/>
    <w:rsid w:val="004E3A93"/>
    <w:rsid w:val="004E77E4"/>
    <w:rsid w:val="004F27C0"/>
    <w:rsid w:val="004F2D46"/>
    <w:rsid w:val="004F2DA4"/>
    <w:rsid w:val="004F5D92"/>
    <w:rsid w:val="004F5EB4"/>
    <w:rsid w:val="004F6A81"/>
    <w:rsid w:val="004F7599"/>
    <w:rsid w:val="004F7EE2"/>
    <w:rsid w:val="0050025C"/>
    <w:rsid w:val="00500389"/>
    <w:rsid w:val="0050395E"/>
    <w:rsid w:val="005070B2"/>
    <w:rsid w:val="00510CD0"/>
    <w:rsid w:val="00511C59"/>
    <w:rsid w:val="00511EC5"/>
    <w:rsid w:val="00511FAA"/>
    <w:rsid w:val="005128FE"/>
    <w:rsid w:val="00513C55"/>
    <w:rsid w:val="0051516E"/>
    <w:rsid w:val="005179A7"/>
    <w:rsid w:val="005227D2"/>
    <w:rsid w:val="00523B40"/>
    <w:rsid w:val="00524348"/>
    <w:rsid w:val="00525643"/>
    <w:rsid w:val="005323C7"/>
    <w:rsid w:val="005335CB"/>
    <w:rsid w:val="00533D40"/>
    <w:rsid w:val="00533DF6"/>
    <w:rsid w:val="005348D2"/>
    <w:rsid w:val="00535461"/>
    <w:rsid w:val="005377DC"/>
    <w:rsid w:val="00541988"/>
    <w:rsid w:val="00546405"/>
    <w:rsid w:val="0054794E"/>
    <w:rsid w:val="00555219"/>
    <w:rsid w:val="00556CEB"/>
    <w:rsid w:val="00556EAE"/>
    <w:rsid w:val="0055739A"/>
    <w:rsid w:val="00557662"/>
    <w:rsid w:val="005610AF"/>
    <w:rsid w:val="00562B71"/>
    <w:rsid w:val="00562E02"/>
    <w:rsid w:val="00563CA5"/>
    <w:rsid w:val="00565E68"/>
    <w:rsid w:val="005727F6"/>
    <w:rsid w:val="00573BBB"/>
    <w:rsid w:val="00573F02"/>
    <w:rsid w:val="005745DA"/>
    <w:rsid w:val="005807D0"/>
    <w:rsid w:val="00580A4C"/>
    <w:rsid w:val="00591827"/>
    <w:rsid w:val="005945BA"/>
    <w:rsid w:val="00594E57"/>
    <w:rsid w:val="00596469"/>
    <w:rsid w:val="005A1083"/>
    <w:rsid w:val="005A32B1"/>
    <w:rsid w:val="005A3304"/>
    <w:rsid w:val="005A510B"/>
    <w:rsid w:val="005A676F"/>
    <w:rsid w:val="005A6E47"/>
    <w:rsid w:val="005A6E6D"/>
    <w:rsid w:val="005A76D4"/>
    <w:rsid w:val="005B237D"/>
    <w:rsid w:val="005B4C6C"/>
    <w:rsid w:val="005B6414"/>
    <w:rsid w:val="005B6724"/>
    <w:rsid w:val="005B70A0"/>
    <w:rsid w:val="005C294B"/>
    <w:rsid w:val="005C5FF6"/>
    <w:rsid w:val="005C6E8F"/>
    <w:rsid w:val="005D0E7C"/>
    <w:rsid w:val="005D3CA5"/>
    <w:rsid w:val="005D5706"/>
    <w:rsid w:val="005D74AF"/>
    <w:rsid w:val="005E1E1F"/>
    <w:rsid w:val="005E40EE"/>
    <w:rsid w:val="005E42B7"/>
    <w:rsid w:val="005F0890"/>
    <w:rsid w:val="005F2909"/>
    <w:rsid w:val="005F4F9D"/>
    <w:rsid w:val="006063CD"/>
    <w:rsid w:val="00606909"/>
    <w:rsid w:val="006069F4"/>
    <w:rsid w:val="00607290"/>
    <w:rsid w:val="0060730F"/>
    <w:rsid w:val="006077D5"/>
    <w:rsid w:val="00607B9E"/>
    <w:rsid w:val="00607C30"/>
    <w:rsid w:val="0061011F"/>
    <w:rsid w:val="006147B4"/>
    <w:rsid w:val="00614E57"/>
    <w:rsid w:val="006161AF"/>
    <w:rsid w:val="00616234"/>
    <w:rsid w:val="006171CA"/>
    <w:rsid w:val="00617ECC"/>
    <w:rsid w:val="006214AD"/>
    <w:rsid w:val="006220C8"/>
    <w:rsid w:val="00623B1F"/>
    <w:rsid w:val="00623D69"/>
    <w:rsid w:val="00625E7A"/>
    <w:rsid w:val="00627282"/>
    <w:rsid w:val="00630585"/>
    <w:rsid w:val="00633C8F"/>
    <w:rsid w:val="00635030"/>
    <w:rsid w:val="00636934"/>
    <w:rsid w:val="00640B53"/>
    <w:rsid w:val="006410A0"/>
    <w:rsid w:val="00641FC3"/>
    <w:rsid w:val="00642012"/>
    <w:rsid w:val="0064534F"/>
    <w:rsid w:val="006473FC"/>
    <w:rsid w:val="0064755F"/>
    <w:rsid w:val="006521D3"/>
    <w:rsid w:val="006525B7"/>
    <w:rsid w:val="00652F55"/>
    <w:rsid w:val="0065324A"/>
    <w:rsid w:val="00653566"/>
    <w:rsid w:val="0065437A"/>
    <w:rsid w:val="006565ED"/>
    <w:rsid w:val="00657323"/>
    <w:rsid w:val="0066001A"/>
    <w:rsid w:val="006607AD"/>
    <w:rsid w:val="006608F2"/>
    <w:rsid w:val="0066321F"/>
    <w:rsid w:val="00664303"/>
    <w:rsid w:val="00664704"/>
    <w:rsid w:val="00665B42"/>
    <w:rsid w:val="00667EA7"/>
    <w:rsid w:val="00667F51"/>
    <w:rsid w:val="00671FF3"/>
    <w:rsid w:val="00672B9A"/>
    <w:rsid w:val="006733FC"/>
    <w:rsid w:val="006734AB"/>
    <w:rsid w:val="00673AF2"/>
    <w:rsid w:val="006753FC"/>
    <w:rsid w:val="00676C01"/>
    <w:rsid w:val="0067751D"/>
    <w:rsid w:val="00677BE4"/>
    <w:rsid w:val="00681704"/>
    <w:rsid w:val="00686231"/>
    <w:rsid w:val="006916CF"/>
    <w:rsid w:val="006917BC"/>
    <w:rsid w:val="0069235E"/>
    <w:rsid w:val="00695738"/>
    <w:rsid w:val="00696911"/>
    <w:rsid w:val="006A394A"/>
    <w:rsid w:val="006A4C37"/>
    <w:rsid w:val="006A4C75"/>
    <w:rsid w:val="006A64B0"/>
    <w:rsid w:val="006B0D54"/>
    <w:rsid w:val="006B1EF4"/>
    <w:rsid w:val="006B24EE"/>
    <w:rsid w:val="006B3122"/>
    <w:rsid w:val="006B613C"/>
    <w:rsid w:val="006C176E"/>
    <w:rsid w:val="006C70EC"/>
    <w:rsid w:val="006C76FC"/>
    <w:rsid w:val="006D0862"/>
    <w:rsid w:val="006D1707"/>
    <w:rsid w:val="006D3AD6"/>
    <w:rsid w:val="006D5966"/>
    <w:rsid w:val="006D6BA9"/>
    <w:rsid w:val="006D7016"/>
    <w:rsid w:val="006E0EF6"/>
    <w:rsid w:val="006E480B"/>
    <w:rsid w:val="006E56C5"/>
    <w:rsid w:val="006E60CD"/>
    <w:rsid w:val="006F17C1"/>
    <w:rsid w:val="006F3F76"/>
    <w:rsid w:val="006F70C7"/>
    <w:rsid w:val="006F7885"/>
    <w:rsid w:val="00701C29"/>
    <w:rsid w:val="00703058"/>
    <w:rsid w:val="0070441D"/>
    <w:rsid w:val="0071004E"/>
    <w:rsid w:val="00711FA8"/>
    <w:rsid w:val="007120ED"/>
    <w:rsid w:val="0071494B"/>
    <w:rsid w:val="00715770"/>
    <w:rsid w:val="00716713"/>
    <w:rsid w:val="00724171"/>
    <w:rsid w:val="00724863"/>
    <w:rsid w:val="00727362"/>
    <w:rsid w:val="0073019F"/>
    <w:rsid w:val="00733402"/>
    <w:rsid w:val="00734A16"/>
    <w:rsid w:val="007412C8"/>
    <w:rsid w:val="00744942"/>
    <w:rsid w:val="00751E47"/>
    <w:rsid w:val="00752D54"/>
    <w:rsid w:val="007539F0"/>
    <w:rsid w:val="00753CE4"/>
    <w:rsid w:val="0075672B"/>
    <w:rsid w:val="00756915"/>
    <w:rsid w:val="00756C72"/>
    <w:rsid w:val="00761031"/>
    <w:rsid w:val="0076192E"/>
    <w:rsid w:val="0076289A"/>
    <w:rsid w:val="00762BDD"/>
    <w:rsid w:val="00770A7F"/>
    <w:rsid w:val="00771783"/>
    <w:rsid w:val="00771EB8"/>
    <w:rsid w:val="0077455F"/>
    <w:rsid w:val="00777F7D"/>
    <w:rsid w:val="0078002E"/>
    <w:rsid w:val="00781789"/>
    <w:rsid w:val="00782419"/>
    <w:rsid w:val="00783676"/>
    <w:rsid w:val="00784D7B"/>
    <w:rsid w:val="0078529F"/>
    <w:rsid w:val="00785DAB"/>
    <w:rsid w:val="00786AF4"/>
    <w:rsid w:val="00793F1A"/>
    <w:rsid w:val="007A0F26"/>
    <w:rsid w:val="007A1B0C"/>
    <w:rsid w:val="007A2D3D"/>
    <w:rsid w:val="007A305D"/>
    <w:rsid w:val="007A40D3"/>
    <w:rsid w:val="007A465A"/>
    <w:rsid w:val="007A491E"/>
    <w:rsid w:val="007A7003"/>
    <w:rsid w:val="007A7610"/>
    <w:rsid w:val="007A7641"/>
    <w:rsid w:val="007B0901"/>
    <w:rsid w:val="007B5024"/>
    <w:rsid w:val="007B5896"/>
    <w:rsid w:val="007C586B"/>
    <w:rsid w:val="007C5F74"/>
    <w:rsid w:val="007C7207"/>
    <w:rsid w:val="007D1BE8"/>
    <w:rsid w:val="007D2033"/>
    <w:rsid w:val="007D44F2"/>
    <w:rsid w:val="007E0D52"/>
    <w:rsid w:val="007E1BFF"/>
    <w:rsid w:val="007E373E"/>
    <w:rsid w:val="007E48BF"/>
    <w:rsid w:val="007E4C18"/>
    <w:rsid w:val="007E5C0A"/>
    <w:rsid w:val="007E7343"/>
    <w:rsid w:val="007F6681"/>
    <w:rsid w:val="007F756D"/>
    <w:rsid w:val="007F7B12"/>
    <w:rsid w:val="0080125B"/>
    <w:rsid w:val="00802AB5"/>
    <w:rsid w:val="00803458"/>
    <w:rsid w:val="0080720B"/>
    <w:rsid w:val="00811138"/>
    <w:rsid w:val="008143FB"/>
    <w:rsid w:val="008155A6"/>
    <w:rsid w:val="00815F80"/>
    <w:rsid w:val="008171D1"/>
    <w:rsid w:val="00817E13"/>
    <w:rsid w:val="00823712"/>
    <w:rsid w:val="00827903"/>
    <w:rsid w:val="00831839"/>
    <w:rsid w:val="0083350F"/>
    <w:rsid w:val="00833CB4"/>
    <w:rsid w:val="00835AD4"/>
    <w:rsid w:val="00836035"/>
    <w:rsid w:val="00840541"/>
    <w:rsid w:val="00842820"/>
    <w:rsid w:val="00842C64"/>
    <w:rsid w:val="00843DA4"/>
    <w:rsid w:val="00846767"/>
    <w:rsid w:val="008469D4"/>
    <w:rsid w:val="008511E6"/>
    <w:rsid w:val="00851F2E"/>
    <w:rsid w:val="00853B1D"/>
    <w:rsid w:val="00853D08"/>
    <w:rsid w:val="008555F0"/>
    <w:rsid w:val="00855757"/>
    <w:rsid w:val="00860312"/>
    <w:rsid w:val="00864AA6"/>
    <w:rsid w:val="00871848"/>
    <w:rsid w:val="00872274"/>
    <w:rsid w:val="0087502B"/>
    <w:rsid w:val="00880F0A"/>
    <w:rsid w:val="008835DB"/>
    <w:rsid w:val="00884891"/>
    <w:rsid w:val="00884B86"/>
    <w:rsid w:val="008875D7"/>
    <w:rsid w:val="00892609"/>
    <w:rsid w:val="008928E1"/>
    <w:rsid w:val="00894401"/>
    <w:rsid w:val="00895FAF"/>
    <w:rsid w:val="008A2054"/>
    <w:rsid w:val="008A56AD"/>
    <w:rsid w:val="008A6A8B"/>
    <w:rsid w:val="008B1C57"/>
    <w:rsid w:val="008B3088"/>
    <w:rsid w:val="008B3747"/>
    <w:rsid w:val="008B61E8"/>
    <w:rsid w:val="008C0739"/>
    <w:rsid w:val="008C3710"/>
    <w:rsid w:val="008C3A28"/>
    <w:rsid w:val="008C4834"/>
    <w:rsid w:val="008C6265"/>
    <w:rsid w:val="008C65C4"/>
    <w:rsid w:val="008D1E88"/>
    <w:rsid w:val="008D4D9E"/>
    <w:rsid w:val="008D4F0A"/>
    <w:rsid w:val="008D6D59"/>
    <w:rsid w:val="008D7FC6"/>
    <w:rsid w:val="008E064B"/>
    <w:rsid w:val="008E0C25"/>
    <w:rsid w:val="008E11A5"/>
    <w:rsid w:val="008E1F4B"/>
    <w:rsid w:val="008E2218"/>
    <w:rsid w:val="008E32D1"/>
    <w:rsid w:val="008E497C"/>
    <w:rsid w:val="008E57CB"/>
    <w:rsid w:val="008E6CBB"/>
    <w:rsid w:val="008F1287"/>
    <w:rsid w:val="008F4547"/>
    <w:rsid w:val="008F4E33"/>
    <w:rsid w:val="0090593B"/>
    <w:rsid w:val="009118E6"/>
    <w:rsid w:val="00912744"/>
    <w:rsid w:val="009137FE"/>
    <w:rsid w:val="00915038"/>
    <w:rsid w:val="009163C5"/>
    <w:rsid w:val="00920FD7"/>
    <w:rsid w:val="009218C7"/>
    <w:rsid w:val="0092396D"/>
    <w:rsid w:val="00923C75"/>
    <w:rsid w:val="00924140"/>
    <w:rsid w:val="00926396"/>
    <w:rsid w:val="00932E2C"/>
    <w:rsid w:val="00933B4B"/>
    <w:rsid w:val="00934F1B"/>
    <w:rsid w:val="00944EF3"/>
    <w:rsid w:val="009467E7"/>
    <w:rsid w:val="009552FC"/>
    <w:rsid w:val="00955527"/>
    <w:rsid w:val="00956BD9"/>
    <w:rsid w:val="00957F28"/>
    <w:rsid w:val="009604D3"/>
    <w:rsid w:val="00960F33"/>
    <w:rsid w:val="0096252D"/>
    <w:rsid w:val="00963D56"/>
    <w:rsid w:val="009656F3"/>
    <w:rsid w:val="00966893"/>
    <w:rsid w:val="00970B4F"/>
    <w:rsid w:val="009739DE"/>
    <w:rsid w:val="0097425D"/>
    <w:rsid w:val="0097545A"/>
    <w:rsid w:val="00982781"/>
    <w:rsid w:val="00983046"/>
    <w:rsid w:val="009831B1"/>
    <w:rsid w:val="009842C3"/>
    <w:rsid w:val="00986F00"/>
    <w:rsid w:val="00987FE6"/>
    <w:rsid w:val="00993C06"/>
    <w:rsid w:val="009946F9"/>
    <w:rsid w:val="009A1B44"/>
    <w:rsid w:val="009A1F8C"/>
    <w:rsid w:val="009A3025"/>
    <w:rsid w:val="009A49A3"/>
    <w:rsid w:val="009A52BF"/>
    <w:rsid w:val="009A5CAB"/>
    <w:rsid w:val="009B4D20"/>
    <w:rsid w:val="009B70A2"/>
    <w:rsid w:val="009B739F"/>
    <w:rsid w:val="009B76DF"/>
    <w:rsid w:val="009C4EBE"/>
    <w:rsid w:val="009C6FF4"/>
    <w:rsid w:val="009D03DC"/>
    <w:rsid w:val="009D093D"/>
    <w:rsid w:val="009D2312"/>
    <w:rsid w:val="009D2B1E"/>
    <w:rsid w:val="009D3C64"/>
    <w:rsid w:val="009D4378"/>
    <w:rsid w:val="009D480F"/>
    <w:rsid w:val="009D5DCA"/>
    <w:rsid w:val="009D652F"/>
    <w:rsid w:val="009E426F"/>
    <w:rsid w:val="009F3C8E"/>
    <w:rsid w:val="009F3EDA"/>
    <w:rsid w:val="009F7591"/>
    <w:rsid w:val="009F7A74"/>
    <w:rsid w:val="00A003A2"/>
    <w:rsid w:val="00A00DD7"/>
    <w:rsid w:val="00A00F2A"/>
    <w:rsid w:val="00A011E1"/>
    <w:rsid w:val="00A02BF5"/>
    <w:rsid w:val="00A02C27"/>
    <w:rsid w:val="00A033F2"/>
    <w:rsid w:val="00A066A8"/>
    <w:rsid w:val="00A06C30"/>
    <w:rsid w:val="00A079E2"/>
    <w:rsid w:val="00A107F1"/>
    <w:rsid w:val="00A125FA"/>
    <w:rsid w:val="00A1294E"/>
    <w:rsid w:val="00A1330C"/>
    <w:rsid w:val="00A1626D"/>
    <w:rsid w:val="00A1677D"/>
    <w:rsid w:val="00A17431"/>
    <w:rsid w:val="00A22C6A"/>
    <w:rsid w:val="00A22F21"/>
    <w:rsid w:val="00A23531"/>
    <w:rsid w:val="00A26162"/>
    <w:rsid w:val="00A277ED"/>
    <w:rsid w:val="00A30B86"/>
    <w:rsid w:val="00A31012"/>
    <w:rsid w:val="00A31021"/>
    <w:rsid w:val="00A332D6"/>
    <w:rsid w:val="00A3414A"/>
    <w:rsid w:val="00A360DC"/>
    <w:rsid w:val="00A376A4"/>
    <w:rsid w:val="00A40273"/>
    <w:rsid w:val="00A421DD"/>
    <w:rsid w:val="00A422AE"/>
    <w:rsid w:val="00A42D48"/>
    <w:rsid w:val="00A4555B"/>
    <w:rsid w:val="00A45685"/>
    <w:rsid w:val="00A46484"/>
    <w:rsid w:val="00A47217"/>
    <w:rsid w:val="00A478AB"/>
    <w:rsid w:val="00A479C9"/>
    <w:rsid w:val="00A514CA"/>
    <w:rsid w:val="00A543CA"/>
    <w:rsid w:val="00A5593D"/>
    <w:rsid w:val="00A57601"/>
    <w:rsid w:val="00A61A83"/>
    <w:rsid w:val="00A61BE3"/>
    <w:rsid w:val="00A628C1"/>
    <w:rsid w:val="00A62986"/>
    <w:rsid w:val="00A64154"/>
    <w:rsid w:val="00A654A5"/>
    <w:rsid w:val="00A65E88"/>
    <w:rsid w:val="00A670C4"/>
    <w:rsid w:val="00A70734"/>
    <w:rsid w:val="00A7210A"/>
    <w:rsid w:val="00A76163"/>
    <w:rsid w:val="00A766DF"/>
    <w:rsid w:val="00A76BF6"/>
    <w:rsid w:val="00A77E31"/>
    <w:rsid w:val="00A814CE"/>
    <w:rsid w:val="00A81526"/>
    <w:rsid w:val="00A82C75"/>
    <w:rsid w:val="00A8499D"/>
    <w:rsid w:val="00A863CC"/>
    <w:rsid w:val="00A90525"/>
    <w:rsid w:val="00AA2E85"/>
    <w:rsid w:val="00AA3BDA"/>
    <w:rsid w:val="00AA4BFB"/>
    <w:rsid w:val="00AA5A07"/>
    <w:rsid w:val="00AA6C78"/>
    <w:rsid w:val="00AB0828"/>
    <w:rsid w:val="00AB0932"/>
    <w:rsid w:val="00AB46DA"/>
    <w:rsid w:val="00AB4944"/>
    <w:rsid w:val="00AC062E"/>
    <w:rsid w:val="00AC459A"/>
    <w:rsid w:val="00AC55A1"/>
    <w:rsid w:val="00AD09BE"/>
    <w:rsid w:val="00AD202B"/>
    <w:rsid w:val="00AD53D8"/>
    <w:rsid w:val="00AD5DB0"/>
    <w:rsid w:val="00AE06E6"/>
    <w:rsid w:val="00AE127F"/>
    <w:rsid w:val="00AE4B3D"/>
    <w:rsid w:val="00AE4EFC"/>
    <w:rsid w:val="00AE4FD3"/>
    <w:rsid w:val="00AE7208"/>
    <w:rsid w:val="00AF07B4"/>
    <w:rsid w:val="00AF3135"/>
    <w:rsid w:val="00AF6264"/>
    <w:rsid w:val="00AF6704"/>
    <w:rsid w:val="00B00D53"/>
    <w:rsid w:val="00B051FC"/>
    <w:rsid w:val="00B068CE"/>
    <w:rsid w:val="00B12D23"/>
    <w:rsid w:val="00B13BD9"/>
    <w:rsid w:val="00B23692"/>
    <w:rsid w:val="00B24AB0"/>
    <w:rsid w:val="00B34172"/>
    <w:rsid w:val="00B34928"/>
    <w:rsid w:val="00B35C69"/>
    <w:rsid w:val="00B35F18"/>
    <w:rsid w:val="00B366A8"/>
    <w:rsid w:val="00B453D8"/>
    <w:rsid w:val="00B458F0"/>
    <w:rsid w:val="00B45D4D"/>
    <w:rsid w:val="00B53078"/>
    <w:rsid w:val="00B55A3F"/>
    <w:rsid w:val="00B56C11"/>
    <w:rsid w:val="00B6212F"/>
    <w:rsid w:val="00B64456"/>
    <w:rsid w:val="00B6458D"/>
    <w:rsid w:val="00B70A44"/>
    <w:rsid w:val="00B71938"/>
    <w:rsid w:val="00B72A73"/>
    <w:rsid w:val="00B73626"/>
    <w:rsid w:val="00B73A69"/>
    <w:rsid w:val="00B761D0"/>
    <w:rsid w:val="00B77EC4"/>
    <w:rsid w:val="00B83A2A"/>
    <w:rsid w:val="00B856D1"/>
    <w:rsid w:val="00B85F7A"/>
    <w:rsid w:val="00B87D36"/>
    <w:rsid w:val="00B905DE"/>
    <w:rsid w:val="00B91081"/>
    <w:rsid w:val="00B9176F"/>
    <w:rsid w:val="00B91868"/>
    <w:rsid w:val="00B91918"/>
    <w:rsid w:val="00B943DF"/>
    <w:rsid w:val="00BA0B26"/>
    <w:rsid w:val="00BA531B"/>
    <w:rsid w:val="00BA6972"/>
    <w:rsid w:val="00BA7707"/>
    <w:rsid w:val="00BB2CFE"/>
    <w:rsid w:val="00BB6EE7"/>
    <w:rsid w:val="00BB6F27"/>
    <w:rsid w:val="00BC049B"/>
    <w:rsid w:val="00BC51FE"/>
    <w:rsid w:val="00BC642C"/>
    <w:rsid w:val="00BC6488"/>
    <w:rsid w:val="00BD1AE1"/>
    <w:rsid w:val="00BD355F"/>
    <w:rsid w:val="00BD7BC6"/>
    <w:rsid w:val="00BE2B96"/>
    <w:rsid w:val="00BE3251"/>
    <w:rsid w:val="00BE6B5A"/>
    <w:rsid w:val="00BF1B77"/>
    <w:rsid w:val="00BF3862"/>
    <w:rsid w:val="00BF3FAB"/>
    <w:rsid w:val="00BF429C"/>
    <w:rsid w:val="00BF4EFB"/>
    <w:rsid w:val="00BF703B"/>
    <w:rsid w:val="00C0196C"/>
    <w:rsid w:val="00C0253A"/>
    <w:rsid w:val="00C051D9"/>
    <w:rsid w:val="00C10717"/>
    <w:rsid w:val="00C12A70"/>
    <w:rsid w:val="00C1464B"/>
    <w:rsid w:val="00C21A93"/>
    <w:rsid w:val="00C2291E"/>
    <w:rsid w:val="00C23AB6"/>
    <w:rsid w:val="00C2797C"/>
    <w:rsid w:val="00C279E0"/>
    <w:rsid w:val="00C313EF"/>
    <w:rsid w:val="00C31D53"/>
    <w:rsid w:val="00C37BBE"/>
    <w:rsid w:val="00C40E74"/>
    <w:rsid w:val="00C4297A"/>
    <w:rsid w:val="00C43596"/>
    <w:rsid w:val="00C44122"/>
    <w:rsid w:val="00C463E4"/>
    <w:rsid w:val="00C46DBA"/>
    <w:rsid w:val="00C501F8"/>
    <w:rsid w:val="00C52968"/>
    <w:rsid w:val="00C52E02"/>
    <w:rsid w:val="00C543AC"/>
    <w:rsid w:val="00C5613C"/>
    <w:rsid w:val="00C56E2F"/>
    <w:rsid w:val="00C57800"/>
    <w:rsid w:val="00C61977"/>
    <w:rsid w:val="00C62EF1"/>
    <w:rsid w:val="00C64139"/>
    <w:rsid w:val="00C65848"/>
    <w:rsid w:val="00C65C79"/>
    <w:rsid w:val="00C66FA0"/>
    <w:rsid w:val="00C67870"/>
    <w:rsid w:val="00C67932"/>
    <w:rsid w:val="00C70101"/>
    <w:rsid w:val="00C702EC"/>
    <w:rsid w:val="00C724CE"/>
    <w:rsid w:val="00C73C6C"/>
    <w:rsid w:val="00C779A4"/>
    <w:rsid w:val="00C81544"/>
    <w:rsid w:val="00C850A5"/>
    <w:rsid w:val="00C90FC3"/>
    <w:rsid w:val="00C9196E"/>
    <w:rsid w:val="00C94416"/>
    <w:rsid w:val="00C95C26"/>
    <w:rsid w:val="00C96E24"/>
    <w:rsid w:val="00CA294F"/>
    <w:rsid w:val="00CA3196"/>
    <w:rsid w:val="00CA4450"/>
    <w:rsid w:val="00CA4496"/>
    <w:rsid w:val="00CA5702"/>
    <w:rsid w:val="00CA5EEB"/>
    <w:rsid w:val="00CB2B6A"/>
    <w:rsid w:val="00CB3471"/>
    <w:rsid w:val="00CB3A18"/>
    <w:rsid w:val="00CB3E80"/>
    <w:rsid w:val="00CB5098"/>
    <w:rsid w:val="00CB670E"/>
    <w:rsid w:val="00CC07FF"/>
    <w:rsid w:val="00CC0E4F"/>
    <w:rsid w:val="00CC2D56"/>
    <w:rsid w:val="00CC59C7"/>
    <w:rsid w:val="00CC746F"/>
    <w:rsid w:val="00CD0C3C"/>
    <w:rsid w:val="00CD0E74"/>
    <w:rsid w:val="00CD54D7"/>
    <w:rsid w:val="00CD5F1A"/>
    <w:rsid w:val="00CD747F"/>
    <w:rsid w:val="00CD7988"/>
    <w:rsid w:val="00CE066C"/>
    <w:rsid w:val="00CE3D1B"/>
    <w:rsid w:val="00CE49AB"/>
    <w:rsid w:val="00CE52EF"/>
    <w:rsid w:val="00CE5906"/>
    <w:rsid w:val="00CE6074"/>
    <w:rsid w:val="00CE6C7E"/>
    <w:rsid w:val="00CF47F8"/>
    <w:rsid w:val="00CF4DBF"/>
    <w:rsid w:val="00CF5BF2"/>
    <w:rsid w:val="00CF6973"/>
    <w:rsid w:val="00CF729E"/>
    <w:rsid w:val="00CF79A8"/>
    <w:rsid w:val="00CF7DB0"/>
    <w:rsid w:val="00D00402"/>
    <w:rsid w:val="00D02995"/>
    <w:rsid w:val="00D03163"/>
    <w:rsid w:val="00D05C96"/>
    <w:rsid w:val="00D06485"/>
    <w:rsid w:val="00D06CD0"/>
    <w:rsid w:val="00D07616"/>
    <w:rsid w:val="00D109BE"/>
    <w:rsid w:val="00D12761"/>
    <w:rsid w:val="00D14001"/>
    <w:rsid w:val="00D17426"/>
    <w:rsid w:val="00D17443"/>
    <w:rsid w:val="00D17F9F"/>
    <w:rsid w:val="00D2245C"/>
    <w:rsid w:val="00D22BB3"/>
    <w:rsid w:val="00D24D40"/>
    <w:rsid w:val="00D2521A"/>
    <w:rsid w:val="00D2601B"/>
    <w:rsid w:val="00D26D8B"/>
    <w:rsid w:val="00D27280"/>
    <w:rsid w:val="00D32088"/>
    <w:rsid w:val="00D34E66"/>
    <w:rsid w:val="00D352F5"/>
    <w:rsid w:val="00D36C6A"/>
    <w:rsid w:val="00D419D3"/>
    <w:rsid w:val="00D41EA8"/>
    <w:rsid w:val="00D42754"/>
    <w:rsid w:val="00D42785"/>
    <w:rsid w:val="00D46B72"/>
    <w:rsid w:val="00D4704C"/>
    <w:rsid w:val="00D50410"/>
    <w:rsid w:val="00D50BD0"/>
    <w:rsid w:val="00D51DD2"/>
    <w:rsid w:val="00D53872"/>
    <w:rsid w:val="00D53E8E"/>
    <w:rsid w:val="00D54880"/>
    <w:rsid w:val="00D558F9"/>
    <w:rsid w:val="00D561D7"/>
    <w:rsid w:val="00D56666"/>
    <w:rsid w:val="00D5766B"/>
    <w:rsid w:val="00D60C8C"/>
    <w:rsid w:val="00D6184B"/>
    <w:rsid w:val="00D63FD8"/>
    <w:rsid w:val="00D67FC7"/>
    <w:rsid w:val="00D73B5F"/>
    <w:rsid w:val="00D76F71"/>
    <w:rsid w:val="00D80C6A"/>
    <w:rsid w:val="00D81813"/>
    <w:rsid w:val="00D915AC"/>
    <w:rsid w:val="00D95453"/>
    <w:rsid w:val="00DA20D3"/>
    <w:rsid w:val="00DA2D75"/>
    <w:rsid w:val="00DA48AA"/>
    <w:rsid w:val="00DA4A9C"/>
    <w:rsid w:val="00DA4B7B"/>
    <w:rsid w:val="00DA4D20"/>
    <w:rsid w:val="00DA59B2"/>
    <w:rsid w:val="00DB137D"/>
    <w:rsid w:val="00DB2E98"/>
    <w:rsid w:val="00DB5AA9"/>
    <w:rsid w:val="00DB5C35"/>
    <w:rsid w:val="00DB661E"/>
    <w:rsid w:val="00DB6F9E"/>
    <w:rsid w:val="00DB74C7"/>
    <w:rsid w:val="00DC0675"/>
    <w:rsid w:val="00DC7414"/>
    <w:rsid w:val="00DD019D"/>
    <w:rsid w:val="00DD0484"/>
    <w:rsid w:val="00DD060A"/>
    <w:rsid w:val="00DD130D"/>
    <w:rsid w:val="00DD3E07"/>
    <w:rsid w:val="00DD5F85"/>
    <w:rsid w:val="00DD70A2"/>
    <w:rsid w:val="00DE41A3"/>
    <w:rsid w:val="00DE44A7"/>
    <w:rsid w:val="00DE5312"/>
    <w:rsid w:val="00DF06AC"/>
    <w:rsid w:val="00DF1518"/>
    <w:rsid w:val="00DF23D7"/>
    <w:rsid w:val="00DF3F95"/>
    <w:rsid w:val="00DF7EF0"/>
    <w:rsid w:val="00E01177"/>
    <w:rsid w:val="00E01299"/>
    <w:rsid w:val="00E016CD"/>
    <w:rsid w:val="00E01AB0"/>
    <w:rsid w:val="00E021BB"/>
    <w:rsid w:val="00E0316E"/>
    <w:rsid w:val="00E05EF8"/>
    <w:rsid w:val="00E077BC"/>
    <w:rsid w:val="00E277B4"/>
    <w:rsid w:val="00E30452"/>
    <w:rsid w:val="00E32730"/>
    <w:rsid w:val="00E40A21"/>
    <w:rsid w:val="00E41EEF"/>
    <w:rsid w:val="00E42668"/>
    <w:rsid w:val="00E450B8"/>
    <w:rsid w:val="00E45FD9"/>
    <w:rsid w:val="00E46C71"/>
    <w:rsid w:val="00E473D2"/>
    <w:rsid w:val="00E4745E"/>
    <w:rsid w:val="00E47FC2"/>
    <w:rsid w:val="00E5182C"/>
    <w:rsid w:val="00E52123"/>
    <w:rsid w:val="00E521C5"/>
    <w:rsid w:val="00E531A6"/>
    <w:rsid w:val="00E54942"/>
    <w:rsid w:val="00E562A1"/>
    <w:rsid w:val="00E576FD"/>
    <w:rsid w:val="00E65D30"/>
    <w:rsid w:val="00E702F9"/>
    <w:rsid w:val="00E714B1"/>
    <w:rsid w:val="00E71C55"/>
    <w:rsid w:val="00E73EDC"/>
    <w:rsid w:val="00E81ACA"/>
    <w:rsid w:val="00E81D9C"/>
    <w:rsid w:val="00E863F7"/>
    <w:rsid w:val="00E869DB"/>
    <w:rsid w:val="00E918D9"/>
    <w:rsid w:val="00E91E2F"/>
    <w:rsid w:val="00E92DE2"/>
    <w:rsid w:val="00E93B01"/>
    <w:rsid w:val="00E94C69"/>
    <w:rsid w:val="00E95205"/>
    <w:rsid w:val="00EA12BB"/>
    <w:rsid w:val="00EA2AA4"/>
    <w:rsid w:val="00EB19CC"/>
    <w:rsid w:val="00EB3376"/>
    <w:rsid w:val="00EB4708"/>
    <w:rsid w:val="00EB6597"/>
    <w:rsid w:val="00EC23B5"/>
    <w:rsid w:val="00EC2EE8"/>
    <w:rsid w:val="00EC61A5"/>
    <w:rsid w:val="00EC6C25"/>
    <w:rsid w:val="00ED0AD8"/>
    <w:rsid w:val="00ED0B1E"/>
    <w:rsid w:val="00ED0EBC"/>
    <w:rsid w:val="00ED2F11"/>
    <w:rsid w:val="00ED30EB"/>
    <w:rsid w:val="00ED4721"/>
    <w:rsid w:val="00ED588C"/>
    <w:rsid w:val="00ED6915"/>
    <w:rsid w:val="00ED7E36"/>
    <w:rsid w:val="00EE52F5"/>
    <w:rsid w:val="00EE689D"/>
    <w:rsid w:val="00EF1DEA"/>
    <w:rsid w:val="00EF22A2"/>
    <w:rsid w:val="00EF3A81"/>
    <w:rsid w:val="00EF4F30"/>
    <w:rsid w:val="00EF57DF"/>
    <w:rsid w:val="00EF5C4C"/>
    <w:rsid w:val="00F0544B"/>
    <w:rsid w:val="00F10D15"/>
    <w:rsid w:val="00F11BC3"/>
    <w:rsid w:val="00F13F3C"/>
    <w:rsid w:val="00F17E85"/>
    <w:rsid w:val="00F20646"/>
    <w:rsid w:val="00F22EA2"/>
    <w:rsid w:val="00F25433"/>
    <w:rsid w:val="00F256A5"/>
    <w:rsid w:val="00F26775"/>
    <w:rsid w:val="00F315E8"/>
    <w:rsid w:val="00F35FC1"/>
    <w:rsid w:val="00F4256E"/>
    <w:rsid w:val="00F42F3F"/>
    <w:rsid w:val="00F458B0"/>
    <w:rsid w:val="00F461DC"/>
    <w:rsid w:val="00F5176A"/>
    <w:rsid w:val="00F5238C"/>
    <w:rsid w:val="00F57C2E"/>
    <w:rsid w:val="00F64584"/>
    <w:rsid w:val="00F64821"/>
    <w:rsid w:val="00F71059"/>
    <w:rsid w:val="00F719A7"/>
    <w:rsid w:val="00F735AE"/>
    <w:rsid w:val="00F73A1C"/>
    <w:rsid w:val="00F7623F"/>
    <w:rsid w:val="00F77142"/>
    <w:rsid w:val="00F83777"/>
    <w:rsid w:val="00F83B1D"/>
    <w:rsid w:val="00F8572E"/>
    <w:rsid w:val="00F85A0F"/>
    <w:rsid w:val="00F861DB"/>
    <w:rsid w:val="00F8634A"/>
    <w:rsid w:val="00F86AD9"/>
    <w:rsid w:val="00F86E44"/>
    <w:rsid w:val="00F874C5"/>
    <w:rsid w:val="00F92BE2"/>
    <w:rsid w:val="00F94F57"/>
    <w:rsid w:val="00F94FE3"/>
    <w:rsid w:val="00F97689"/>
    <w:rsid w:val="00FA0C21"/>
    <w:rsid w:val="00FA361B"/>
    <w:rsid w:val="00FA36D1"/>
    <w:rsid w:val="00FA42A5"/>
    <w:rsid w:val="00FA5124"/>
    <w:rsid w:val="00FA6E33"/>
    <w:rsid w:val="00FA714B"/>
    <w:rsid w:val="00FB01CD"/>
    <w:rsid w:val="00FB376C"/>
    <w:rsid w:val="00FB495A"/>
    <w:rsid w:val="00FB4CAB"/>
    <w:rsid w:val="00FB5B27"/>
    <w:rsid w:val="00FC21A1"/>
    <w:rsid w:val="00FC3814"/>
    <w:rsid w:val="00FC3EC1"/>
    <w:rsid w:val="00FC5FE3"/>
    <w:rsid w:val="00FC7940"/>
    <w:rsid w:val="00FD10BD"/>
    <w:rsid w:val="00FD1298"/>
    <w:rsid w:val="00FD1A6A"/>
    <w:rsid w:val="00FD2B93"/>
    <w:rsid w:val="00FD39C2"/>
    <w:rsid w:val="00FD4298"/>
    <w:rsid w:val="00FD47CE"/>
    <w:rsid w:val="00FD77C9"/>
    <w:rsid w:val="00FD7A8A"/>
    <w:rsid w:val="00FE0B2B"/>
    <w:rsid w:val="00FE25C7"/>
    <w:rsid w:val="00FE34D5"/>
    <w:rsid w:val="00FE3DA5"/>
    <w:rsid w:val="00FE40D9"/>
    <w:rsid w:val="00FF03B4"/>
    <w:rsid w:val="00FF222A"/>
    <w:rsid w:val="00FF30C1"/>
    <w:rsid w:val="00FF3E1E"/>
    <w:rsid w:val="00FF6536"/>
    <w:rsid w:val="00FF6D9D"/>
    <w:rsid w:val="00FF7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FE40D9"/>
    <w:rPr>
      <w:rFonts w:ascii="Arial" w:hAnsi="Arial"/>
      <w:szCs w:val="24"/>
      <w:lang w:val="en-GB"/>
    </w:rPr>
  </w:style>
  <w:style w:type="paragraph" w:styleId="Heading1">
    <w:name w:val="heading 1"/>
    <w:basedOn w:val="Normal"/>
    <w:next w:val="Normal"/>
    <w:link w:val="Heading1Char"/>
    <w:uiPriority w:val="9"/>
    <w:qFormat/>
    <w:rsid w:val="00ED0B1E"/>
    <w:pPr>
      <w:numPr>
        <w:numId w:val="11"/>
      </w:numPr>
      <w:outlineLvl w:val="0"/>
    </w:pPr>
    <w:rPr>
      <w:b/>
    </w:rPr>
  </w:style>
  <w:style w:type="paragraph" w:styleId="Heading2">
    <w:name w:val="heading 2"/>
    <w:basedOn w:val="Heading1"/>
    <w:next w:val="Normal"/>
    <w:link w:val="Heading2Char"/>
    <w:uiPriority w:val="9"/>
    <w:qFormat/>
    <w:rsid w:val="00696911"/>
    <w:pPr>
      <w:keepNext/>
      <w:numPr>
        <w:ilvl w:val="1"/>
      </w:numPr>
      <w:spacing w:before="240" w:after="60"/>
      <w:outlineLvl w:val="1"/>
    </w:pPr>
    <w:rPr>
      <w:bCs/>
      <w:iCs/>
      <w:szCs w:val="28"/>
    </w:rPr>
  </w:style>
  <w:style w:type="paragraph" w:styleId="Heading3">
    <w:name w:val="heading 3"/>
    <w:basedOn w:val="Normal"/>
    <w:next w:val="Normal"/>
    <w:link w:val="Heading3Char"/>
    <w:uiPriority w:val="9"/>
    <w:qFormat/>
    <w:rsid w:val="00D67FC7"/>
    <w:pPr>
      <w:keepNext/>
      <w:numPr>
        <w:ilvl w:val="2"/>
        <w:numId w:val="11"/>
      </w:numPr>
      <w:spacing w:before="240" w:after="60"/>
      <w:outlineLvl w:val="2"/>
    </w:pPr>
    <w:rPr>
      <w:b/>
      <w:bCs/>
      <w:szCs w:val="20"/>
    </w:rPr>
  </w:style>
  <w:style w:type="paragraph" w:styleId="Heading4">
    <w:name w:val="heading 4"/>
    <w:basedOn w:val="Normal"/>
    <w:next w:val="Normal"/>
    <w:link w:val="Heading4Char"/>
    <w:uiPriority w:val="9"/>
    <w:qFormat/>
    <w:rsid w:val="00ED0B1E"/>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D0B1E"/>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D0B1E"/>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D0B1E"/>
    <w:pPr>
      <w:numPr>
        <w:ilvl w:val="6"/>
        <w:numId w:val="1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ED0B1E"/>
    <w:pPr>
      <w:numPr>
        <w:ilvl w:val="7"/>
        <w:numId w:val="1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ED0B1E"/>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60C"/>
    <w:rPr>
      <w:color w:val="0000FF"/>
      <w:u w:val="single"/>
    </w:rPr>
  </w:style>
  <w:style w:type="character" w:customStyle="1" w:styleId="FootnoteTextChar">
    <w:name w:val="Footnote Text Char"/>
    <w:link w:val="FootnoteText"/>
    <w:uiPriority w:val="99"/>
    <w:semiHidden/>
    <w:rsid w:val="002D160C"/>
    <w:rPr>
      <w:rFonts w:ascii="Arial" w:hAnsi="Arial"/>
      <w:szCs w:val="24"/>
      <w:lang w:val="en-GB" w:eastAsia="nl-NL" w:bidi="ar-SA"/>
    </w:rPr>
  </w:style>
  <w:style w:type="paragraph" w:styleId="FootnoteText">
    <w:name w:val="footnote text"/>
    <w:basedOn w:val="Normal"/>
    <w:link w:val="FootnoteTextChar"/>
    <w:uiPriority w:val="99"/>
    <w:semiHidden/>
    <w:rsid w:val="002D160C"/>
    <w:pPr>
      <w:widowControl w:val="0"/>
    </w:pPr>
  </w:style>
  <w:style w:type="character" w:customStyle="1" w:styleId="CommentTextChar">
    <w:name w:val="Comment Text Char"/>
    <w:link w:val="CommentText"/>
    <w:semiHidden/>
    <w:rsid w:val="002D160C"/>
    <w:rPr>
      <w:rFonts w:ascii="Arial" w:hAnsi="Arial"/>
      <w:szCs w:val="24"/>
      <w:lang w:val="en-GB" w:eastAsia="nl-NL" w:bidi="ar-SA"/>
    </w:rPr>
  </w:style>
  <w:style w:type="paragraph" w:styleId="CommentText">
    <w:name w:val="annotation text"/>
    <w:basedOn w:val="Normal"/>
    <w:link w:val="CommentTextChar"/>
    <w:semiHidden/>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pPr>
    <w:rPr>
      <w:rFonts w:ascii="Verdana" w:hAnsi="Verdana"/>
      <w:sz w:val="18"/>
      <w:lang w:eastAsia="en-US"/>
    </w:rPr>
  </w:style>
  <w:style w:type="character" w:styleId="FootnoteReference">
    <w:name w:val="footnote reference"/>
    <w:uiPriority w:val="99"/>
    <w:semiHidden/>
    <w:rsid w:val="002D160C"/>
    <w:rPr>
      <w:vertAlign w:val="superscript"/>
    </w:rPr>
  </w:style>
  <w:style w:type="character" w:styleId="CommentReference">
    <w:name w:val="annotation reference"/>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rPr>
  </w:style>
  <w:style w:type="character" w:customStyle="1" w:styleId="CommentSubjectChar">
    <w:name w:val="Comment Subject 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Heading1Char">
    <w:name w:val="Heading 1 Char"/>
    <w:link w:val="Heading1"/>
    <w:uiPriority w:val="9"/>
    <w:rsid w:val="00ED0B1E"/>
    <w:rPr>
      <w:rFonts w:ascii="Arial" w:hAnsi="Arial"/>
      <w:b/>
      <w:szCs w:val="24"/>
    </w:rPr>
  </w:style>
  <w:style w:type="paragraph" w:styleId="Title">
    <w:name w:val="Title"/>
    <w:basedOn w:val="Normal"/>
    <w:next w:val="Normal"/>
    <w:link w:val="TitleChar"/>
    <w:uiPriority w:val="10"/>
    <w:qFormat/>
    <w:rsid w:val="00FE40D9"/>
    <w:rPr>
      <w:u w:val="single"/>
    </w:rPr>
  </w:style>
  <w:style w:type="character" w:customStyle="1" w:styleId="TitleChar">
    <w:name w:val="Title Char"/>
    <w:link w:val="Title"/>
    <w:uiPriority w:val="10"/>
    <w:rsid w:val="00FE40D9"/>
    <w:rPr>
      <w:rFonts w:ascii="Arial" w:hAnsi="Arial"/>
      <w:szCs w:val="24"/>
      <w:u w:val="single"/>
    </w:rPr>
  </w:style>
  <w:style w:type="character" w:customStyle="1" w:styleId="Heading3Char">
    <w:name w:val="Heading 3 Char"/>
    <w:link w:val="Heading3"/>
    <w:uiPriority w:val="9"/>
    <w:rsid w:val="00D67FC7"/>
    <w:rPr>
      <w:rFonts w:ascii="Arial" w:hAnsi="Arial" w:cs="Arial"/>
      <w:b/>
      <w:bCs/>
      <w:lang w:val="en-GB"/>
    </w:rPr>
  </w:style>
  <w:style w:type="character" w:customStyle="1" w:styleId="Heading2Char">
    <w:name w:val="Heading 2 Char"/>
    <w:link w:val="Heading2"/>
    <w:uiPriority w:val="9"/>
    <w:rsid w:val="00696911"/>
    <w:rPr>
      <w:rFonts w:ascii="Arial" w:hAnsi="Arial"/>
      <w:b/>
      <w:bCs/>
      <w:iCs/>
      <w:szCs w:val="28"/>
    </w:rPr>
  </w:style>
  <w:style w:type="character" w:customStyle="1" w:styleId="Heading4Char">
    <w:name w:val="Heading 4 Char"/>
    <w:link w:val="Heading4"/>
    <w:uiPriority w:val="9"/>
    <w:semiHidden/>
    <w:rsid w:val="00ED0B1E"/>
    <w:rPr>
      <w:rFonts w:ascii="Calibri" w:hAnsi="Calibri"/>
      <w:b/>
      <w:bCs/>
      <w:sz w:val="28"/>
      <w:szCs w:val="28"/>
      <w:lang w:val="en-GB"/>
    </w:rPr>
  </w:style>
  <w:style w:type="character" w:customStyle="1" w:styleId="Heading5Char">
    <w:name w:val="Heading 5 Char"/>
    <w:link w:val="Heading5"/>
    <w:uiPriority w:val="9"/>
    <w:semiHidden/>
    <w:rsid w:val="00ED0B1E"/>
    <w:rPr>
      <w:rFonts w:ascii="Calibri" w:hAnsi="Calibri"/>
      <w:b/>
      <w:bCs/>
      <w:i/>
      <w:iCs/>
      <w:sz w:val="26"/>
      <w:szCs w:val="26"/>
      <w:lang w:val="en-GB"/>
    </w:rPr>
  </w:style>
  <w:style w:type="character" w:customStyle="1" w:styleId="Heading6Char">
    <w:name w:val="Heading 6 Char"/>
    <w:link w:val="Heading6"/>
    <w:uiPriority w:val="9"/>
    <w:semiHidden/>
    <w:rsid w:val="00ED0B1E"/>
    <w:rPr>
      <w:rFonts w:ascii="Calibri" w:hAnsi="Calibri"/>
      <w:b/>
      <w:bCs/>
      <w:sz w:val="22"/>
      <w:szCs w:val="22"/>
      <w:lang w:val="en-GB"/>
    </w:rPr>
  </w:style>
  <w:style w:type="character" w:customStyle="1" w:styleId="Heading7Char">
    <w:name w:val="Heading 7 Char"/>
    <w:link w:val="Heading7"/>
    <w:uiPriority w:val="9"/>
    <w:semiHidden/>
    <w:rsid w:val="00ED0B1E"/>
    <w:rPr>
      <w:rFonts w:ascii="Calibri" w:hAnsi="Calibri"/>
      <w:sz w:val="24"/>
      <w:szCs w:val="24"/>
      <w:lang w:val="en-GB"/>
    </w:rPr>
  </w:style>
  <w:style w:type="character" w:customStyle="1" w:styleId="Heading8Char">
    <w:name w:val="Heading 8 Char"/>
    <w:link w:val="Heading8"/>
    <w:uiPriority w:val="9"/>
    <w:semiHidden/>
    <w:rsid w:val="00ED0B1E"/>
    <w:rPr>
      <w:rFonts w:ascii="Calibri" w:hAnsi="Calibri"/>
      <w:i/>
      <w:iCs/>
      <w:sz w:val="24"/>
      <w:szCs w:val="24"/>
      <w:lang w:val="en-GB"/>
    </w:rPr>
  </w:style>
  <w:style w:type="character" w:customStyle="1" w:styleId="Heading9Char">
    <w:name w:val="Heading 9 Char"/>
    <w:link w:val="Heading9"/>
    <w:uiPriority w:val="9"/>
    <w:semiHidden/>
    <w:rsid w:val="00ED0B1E"/>
    <w:rPr>
      <w:rFonts w:ascii="Cambria" w:hAnsi="Cambria"/>
      <w:sz w:val="22"/>
      <w:szCs w:val="22"/>
      <w:lang w:val="en-GB"/>
    </w:rPr>
  </w:style>
  <w:style w:type="character" w:styleId="FollowedHyperlink">
    <w:name w:val="FollowedHyperlink"/>
    <w:uiPriority w:val="99"/>
    <w:semiHidden/>
    <w:unhideWhenUsed/>
    <w:rsid w:val="00F8634A"/>
    <w:rPr>
      <w:color w:val="800080"/>
      <w:u w:val="single"/>
    </w:rPr>
  </w:style>
  <w:style w:type="paragraph" w:customStyle="1" w:styleId="Standard">
    <w:name w:val="Standard"/>
    <w:rsid w:val="00270986"/>
    <w:pPr>
      <w:widowControl w:val="0"/>
      <w:suppressAutoHyphens/>
      <w:autoSpaceDN w:val="0"/>
      <w:textAlignment w:val="baseline"/>
    </w:pPr>
    <w:rPr>
      <w:rFonts w:eastAsia="SimSun" w:cs="Mangal"/>
      <w:kern w:val="3"/>
      <w:sz w:val="24"/>
      <w:szCs w:val="24"/>
      <w:lang w:eastAsia="zh-CN" w:bidi="hi-IN"/>
    </w:rPr>
  </w:style>
  <w:style w:type="paragraph" w:styleId="Revision">
    <w:name w:val="Revision"/>
    <w:hidden/>
    <w:uiPriority w:val="99"/>
    <w:semiHidden/>
    <w:rsid w:val="00DB5C35"/>
    <w:rPr>
      <w:rFonts w:ascii="Arial" w:hAnsi="Arial"/>
      <w:szCs w:val="24"/>
      <w:lang w:val="en-GB"/>
    </w:rPr>
  </w:style>
  <w:style w:type="paragraph" w:styleId="ListParagraph">
    <w:name w:val="List Paragraph"/>
    <w:basedOn w:val="Normal"/>
    <w:uiPriority w:val="34"/>
    <w:qFormat/>
    <w:rsid w:val="00EB6597"/>
    <w:pPr>
      <w:ind w:left="720"/>
      <w:contextualSpacing/>
    </w:pPr>
  </w:style>
  <w:style w:type="paragraph" w:customStyle="1" w:styleId="Default">
    <w:name w:val="Default"/>
    <w:rsid w:val="00FE0B2B"/>
    <w:pPr>
      <w:autoSpaceDE w:val="0"/>
      <w:autoSpaceDN w:val="0"/>
      <w:adjustRightInd w:val="0"/>
    </w:pPr>
    <w:rPr>
      <w:color w:val="000000"/>
      <w:sz w:val="24"/>
      <w:szCs w:val="24"/>
    </w:rPr>
  </w:style>
  <w:style w:type="character" w:styleId="Emphasis">
    <w:name w:val="Emphasis"/>
    <w:basedOn w:val="DefaultParagraphFont"/>
    <w:uiPriority w:val="20"/>
    <w:qFormat/>
    <w:rsid w:val="006A394A"/>
    <w:rPr>
      <w:i/>
      <w:iCs/>
    </w:rPr>
  </w:style>
  <w:style w:type="character" w:customStyle="1" w:styleId="FooterChar">
    <w:name w:val="Footer Char"/>
    <w:basedOn w:val="DefaultParagraphFont"/>
    <w:link w:val="Footer"/>
    <w:uiPriority w:val="99"/>
    <w:rsid w:val="00040699"/>
    <w:rPr>
      <w:rFonts w:ascii="Arial" w:hAnsi="Arial"/>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eading2"/>
    <w:qFormat/>
    <w:rsid w:val="00FE40D9"/>
    <w:rPr>
      <w:rFonts w:ascii="Arial" w:hAnsi="Arial"/>
      <w:szCs w:val="24"/>
      <w:lang w:val="en-GB"/>
    </w:rPr>
  </w:style>
  <w:style w:type="paragraph" w:styleId="Heading1">
    <w:name w:val="heading 1"/>
    <w:basedOn w:val="Normal"/>
    <w:next w:val="Normal"/>
    <w:link w:val="Heading1Char"/>
    <w:uiPriority w:val="9"/>
    <w:qFormat/>
    <w:rsid w:val="00ED0B1E"/>
    <w:pPr>
      <w:numPr>
        <w:numId w:val="11"/>
      </w:numPr>
      <w:outlineLvl w:val="0"/>
    </w:pPr>
    <w:rPr>
      <w:b/>
    </w:rPr>
  </w:style>
  <w:style w:type="paragraph" w:styleId="Heading2">
    <w:name w:val="heading 2"/>
    <w:basedOn w:val="Heading1"/>
    <w:next w:val="Normal"/>
    <w:link w:val="Heading2Char"/>
    <w:uiPriority w:val="9"/>
    <w:qFormat/>
    <w:rsid w:val="00696911"/>
    <w:pPr>
      <w:keepNext/>
      <w:numPr>
        <w:ilvl w:val="1"/>
      </w:numPr>
      <w:spacing w:before="240" w:after="60"/>
      <w:outlineLvl w:val="1"/>
    </w:pPr>
    <w:rPr>
      <w:bCs/>
      <w:iCs/>
      <w:szCs w:val="28"/>
    </w:rPr>
  </w:style>
  <w:style w:type="paragraph" w:styleId="Heading3">
    <w:name w:val="heading 3"/>
    <w:basedOn w:val="Normal"/>
    <w:next w:val="Normal"/>
    <w:link w:val="Heading3Char"/>
    <w:uiPriority w:val="9"/>
    <w:qFormat/>
    <w:rsid w:val="00D67FC7"/>
    <w:pPr>
      <w:keepNext/>
      <w:numPr>
        <w:ilvl w:val="2"/>
        <w:numId w:val="11"/>
      </w:numPr>
      <w:spacing w:before="240" w:after="60"/>
      <w:outlineLvl w:val="2"/>
    </w:pPr>
    <w:rPr>
      <w:b/>
      <w:bCs/>
      <w:szCs w:val="20"/>
    </w:rPr>
  </w:style>
  <w:style w:type="paragraph" w:styleId="Heading4">
    <w:name w:val="heading 4"/>
    <w:basedOn w:val="Normal"/>
    <w:next w:val="Normal"/>
    <w:link w:val="Heading4Char"/>
    <w:uiPriority w:val="9"/>
    <w:qFormat/>
    <w:rsid w:val="00ED0B1E"/>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ED0B1E"/>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ED0B1E"/>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ED0B1E"/>
    <w:pPr>
      <w:numPr>
        <w:ilvl w:val="6"/>
        <w:numId w:val="11"/>
      </w:numPr>
      <w:spacing w:before="240" w:after="60"/>
      <w:outlineLvl w:val="6"/>
    </w:pPr>
    <w:rPr>
      <w:rFonts w:ascii="Calibri" w:hAnsi="Calibri"/>
      <w:sz w:val="24"/>
    </w:rPr>
  </w:style>
  <w:style w:type="paragraph" w:styleId="Heading8">
    <w:name w:val="heading 8"/>
    <w:basedOn w:val="Normal"/>
    <w:next w:val="Normal"/>
    <w:link w:val="Heading8Char"/>
    <w:uiPriority w:val="9"/>
    <w:qFormat/>
    <w:rsid w:val="00ED0B1E"/>
    <w:pPr>
      <w:numPr>
        <w:ilvl w:val="7"/>
        <w:numId w:val="11"/>
      </w:numPr>
      <w:spacing w:before="240" w:after="60"/>
      <w:outlineLvl w:val="7"/>
    </w:pPr>
    <w:rPr>
      <w:rFonts w:ascii="Calibri" w:hAnsi="Calibri"/>
      <w:i/>
      <w:iCs/>
      <w:sz w:val="24"/>
    </w:rPr>
  </w:style>
  <w:style w:type="paragraph" w:styleId="Heading9">
    <w:name w:val="heading 9"/>
    <w:basedOn w:val="Normal"/>
    <w:next w:val="Normal"/>
    <w:link w:val="Heading9Char"/>
    <w:uiPriority w:val="9"/>
    <w:qFormat/>
    <w:rsid w:val="00ED0B1E"/>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D160C"/>
    <w:rPr>
      <w:color w:val="0000FF"/>
      <w:u w:val="single"/>
    </w:rPr>
  </w:style>
  <w:style w:type="character" w:customStyle="1" w:styleId="FootnoteTextChar">
    <w:name w:val="Footnote Text Char"/>
    <w:link w:val="FootnoteText"/>
    <w:uiPriority w:val="99"/>
    <w:semiHidden/>
    <w:rsid w:val="002D160C"/>
    <w:rPr>
      <w:rFonts w:ascii="Arial" w:hAnsi="Arial"/>
      <w:szCs w:val="24"/>
      <w:lang w:val="en-GB" w:eastAsia="nl-NL" w:bidi="ar-SA"/>
    </w:rPr>
  </w:style>
  <w:style w:type="paragraph" w:styleId="FootnoteText">
    <w:name w:val="footnote text"/>
    <w:basedOn w:val="Normal"/>
    <w:link w:val="FootnoteTextChar"/>
    <w:uiPriority w:val="99"/>
    <w:semiHidden/>
    <w:rsid w:val="002D160C"/>
    <w:pPr>
      <w:widowControl w:val="0"/>
    </w:pPr>
  </w:style>
  <w:style w:type="character" w:customStyle="1" w:styleId="CommentTextChar">
    <w:name w:val="Comment Text Char"/>
    <w:link w:val="CommentText"/>
    <w:semiHidden/>
    <w:rsid w:val="002D160C"/>
    <w:rPr>
      <w:rFonts w:ascii="Arial" w:hAnsi="Arial"/>
      <w:szCs w:val="24"/>
      <w:lang w:val="en-GB" w:eastAsia="nl-NL" w:bidi="ar-SA"/>
    </w:rPr>
  </w:style>
  <w:style w:type="paragraph" w:styleId="CommentText">
    <w:name w:val="annotation text"/>
    <w:basedOn w:val="Normal"/>
    <w:link w:val="CommentTextChar"/>
    <w:semiHidden/>
    <w:rsid w:val="002D160C"/>
  </w:style>
  <w:style w:type="character" w:customStyle="1" w:styleId="BodyTextChar">
    <w:name w:val="Body Text Char"/>
    <w:link w:val="BodyText"/>
    <w:rsid w:val="002D160C"/>
    <w:rPr>
      <w:rFonts w:ascii="Verdana" w:hAnsi="Verdana"/>
      <w:sz w:val="18"/>
      <w:szCs w:val="24"/>
      <w:lang w:val="en-GB" w:eastAsia="en-US" w:bidi="ar-SA"/>
    </w:rPr>
  </w:style>
  <w:style w:type="paragraph" w:styleId="BodyText">
    <w:name w:val="Body Text"/>
    <w:basedOn w:val="Normal"/>
    <w:link w:val="BodyTextChar"/>
    <w:rsid w:val="002D160C"/>
    <w:pPr>
      <w:spacing w:line="240" w:lineRule="exact"/>
    </w:pPr>
    <w:rPr>
      <w:rFonts w:ascii="Verdana" w:hAnsi="Verdana"/>
      <w:sz w:val="18"/>
      <w:lang w:eastAsia="en-US"/>
    </w:rPr>
  </w:style>
  <w:style w:type="character" w:styleId="FootnoteReference">
    <w:name w:val="footnote reference"/>
    <w:uiPriority w:val="99"/>
    <w:semiHidden/>
    <w:rsid w:val="002D160C"/>
    <w:rPr>
      <w:vertAlign w:val="superscript"/>
    </w:rPr>
  </w:style>
  <w:style w:type="character" w:styleId="CommentReference">
    <w:name w:val="annotation reference"/>
    <w:semiHidden/>
    <w:rsid w:val="002D160C"/>
    <w:rPr>
      <w:sz w:val="16"/>
      <w:szCs w:val="16"/>
    </w:rPr>
  </w:style>
  <w:style w:type="paragraph" w:styleId="BalloonText">
    <w:name w:val="Balloon Text"/>
    <w:basedOn w:val="Normal"/>
    <w:semiHidden/>
    <w:rsid w:val="002D160C"/>
    <w:rPr>
      <w:rFonts w:ascii="Tahoma" w:hAnsi="Tahoma" w:cs="Tahoma"/>
      <w:sz w:val="16"/>
      <w:szCs w:val="16"/>
    </w:rPr>
  </w:style>
  <w:style w:type="paragraph" w:customStyle="1" w:styleId="CharCharCharCharChar">
    <w:name w:val="Char Char Char Char Char"/>
    <w:basedOn w:val="Normal"/>
    <w:rsid w:val="00802AB5"/>
    <w:pPr>
      <w:spacing w:after="160" w:line="240" w:lineRule="exact"/>
    </w:pPr>
    <w:rPr>
      <w:rFonts w:ascii="Tahoma" w:hAnsi="Tahoma"/>
      <w:szCs w:val="20"/>
      <w:lang w:val="en-US" w:eastAsia="en-US"/>
    </w:rPr>
  </w:style>
  <w:style w:type="paragraph" w:styleId="CommentSubject">
    <w:name w:val="annotation subject"/>
    <w:basedOn w:val="CommentText"/>
    <w:next w:val="CommentText"/>
    <w:link w:val="CommentSubjectChar"/>
    <w:uiPriority w:val="99"/>
    <w:semiHidden/>
    <w:unhideWhenUsed/>
    <w:rsid w:val="00DD0484"/>
    <w:rPr>
      <w:b/>
      <w:bCs/>
    </w:rPr>
  </w:style>
  <w:style w:type="character" w:customStyle="1" w:styleId="CommentSubjectChar">
    <w:name w:val="Comment Subject Char"/>
    <w:link w:val="CommentSubject"/>
    <w:uiPriority w:val="99"/>
    <w:semiHidden/>
    <w:rsid w:val="00DD0484"/>
    <w:rPr>
      <w:rFonts w:ascii="Arial" w:hAnsi="Arial"/>
      <w:b/>
      <w:bCs/>
      <w:szCs w:val="24"/>
      <w:lang w:val="en-GB" w:eastAsia="nl-NL" w:bidi="ar-SA"/>
    </w:rPr>
  </w:style>
  <w:style w:type="paragraph" w:styleId="Header">
    <w:name w:val="header"/>
    <w:basedOn w:val="Normal"/>
    <w:rsid w:val="006B3122"/>
    <w:pPr>
      <w:tabs>
        <w:tab w:val="center" w:pos="4536"/>
        <w:tab w:val="right" w:pos="9072"/>
      </w:tabs>
    </w:pPr>
  </w:style>
  <w:style w:type="paragraph" w:styleId="Footer">
    <w:name w:val="footer"/>
    <w:basedOn w:val="Normal"/>
    <w:link w:val="FooterChar"/>
    <w:uiPriority w:val="99"/>
    <w:rsid w:val="006B3122"/>
    <w:pPr>
      <w:tabs>
        <w:tab w:val="center" w:pos="4536"/>
        <w:tab w:val="right" w:pos="9072"/>
      </w:tabs>
    </w:pPr>
  </w:style>
  <w:style w:type="character" w:styleId="PageNumber">
    <w:name w:val="page number"/>
    <w:basedOn w:val="DefaultParagraphFont"/>
    <w:rsid w:val="006B3122"/>
  </w:style>
  <w:style w:type="character" w:customStyle="1" w:styleId="Heading1Char">
    <w:name w:val="Heading 1 Char"/>
    <w:link w:val="Heading1"/>
    <w:uiPriority w:val="9"/>
    <w:rsid w:val="00ED0B1E"/>
    <w:rPr>
      <w:rFonts w:ascii="Arial" w:hAnsi="Arial"/>
      <w:b/>
      <w:szCs w:val="24"/>
    </w:rPr>
  </w:style>
  <w:style w:type="paragraph" w:styleId="Title">
    <w:name w:val="Title"/>
    <w:basedOn w:val="Normal"/>
    <w:next w:val="Normal"/>
    <w:link w:val="TitleChar"/>
    <w:uiPriority w:val="10"/>
    <w:qFormat/>
    <w:rsid w:val="00FE40D9"/>
    <w:rPr>
      <w:u w:val="single"/>
    </w:rPr>
  </w:style>
  <w:style w:type="character" w:customStyle="1" w:styleId="TitleChar">
    <w:name w:val="Title Char"/>
    <w:link w:val="Title"/>
    <w:uiPriority w:val="10"/>
    <w:rsid w:val="00FE40D9"/>
    <w:rPr>
      <w:rFonts w:ascii="Arial" w:hAnsi="Arial"/>
      <w:szCs w:val="24"/>
      <w:u w:val="single"/>
    </w:rPr>
  </w:style>
  <w:style w:type="character" w:customStyle="1" w:styleId="Heading3Char">
    <w:name w:val="Heading 3 Char"/>
    <w:link w:val="Heading3"/>
    <w:uiPriority w:val="9"/>
    <w:rsid w:val="00D67FC7"/>
    <w:rPr>
      <w:rFonts w:ascii="Arial" w:hAnsi="Arial" w:cs="Arial"/>
      <w:b/>
      <w:bCs/>
      <w:lang w:val="en-GB"/>
    </w:rPr>
  </w:style>
  <w:style w:type="character" w:customStyle="1" w:styleId="Heading2Char">
    <w:name w:val="Heading 2 Char"/>
    <w:link w:val="Heading2"/>
    <w:uiPriority w:val="9"/>
    <w:rsid w:val="00696911"/>
    <w:rPr>
      <w:rFonts w:ascii="Arial" w:hAnsi="Arial"/>
      <w:b/>
      <w:bCs/>
      <w:iCs/>
      <w:szCs w:val="28"/>
    </w:rPr>
  </w:style>
  <w:style w:type="character" w:customStyle="1" w:styleId="Heading4Char">
    <w:name w:val="Heading 4 Char"/>
    <w:link w:val="Heading4"/>
    <w:uiPriority w:val="9"/>
    <w:semiHidden/>
    <w:rsid w:val="00ED0B1E"/>
    <w:rPr>
      <w:rFonts w:ascii="Calibri" w:hAnsi="Calibri"/>
      <w:b/>
      <w:bCs/>
      <w:sz w:val="28"/>
      <w:szCs w:val="28"/>
      <w:lang w:val="en-GB"/>
    </w:rPr>
  </w:style>
  <w:style w:type="character" w:customStyle="1" w:styleId="Heading5Char">
    <w:name w:val="Heading 5 Char"/>
    <w:link w:val="Heading5"/>
    <w:uiPriority w:val="9"/>
    <w:semiHidden/>
    <w:rsid w:val="00ED0B1E"/>
    <w:rPr>
      <w:rFonts w:ascii="Calibri" w:hAnsi="Calibri"/>
      <w:b/>
      <w:bCs/>
      <w:i/>
      <w:iCs/>
      <w:sz w:val="26"/>
      <w:szCs w:val="26"/>
      <w:lang w:val="en-GB"/>
    </w:rPr>
  </w:style>
  <w:style w:type="character" w:customStyle="1" w:styleId="Heading6Char">
    <w:name w:val="Heading 6 Char"/>
    <w:link w:val="Heading6"/>
    <w:uiPriority w:val="9"/>
    <w:semiHidden/>
    <w:rsid w:val="00ED0B1E"/>
    <w:rPr>
      <w:rFonts w:ascii="Calibri" w:hAnsi="Calibri"/>
      <w:b/>
      <w:bCs/>
      <w:sz w:val="22"/>
      <w:szCs w:val="22"/>
      <w:lang w:val="en-GB"/>
    </w:rPr>
  </w:style>
  <w:style w:type="character" w:customStyle="1" w:styleId="Heading7Char">
    <w:name w:val="Heading 7 Char"/>
    <w:link w:val="Heading7"/>
    <w:uiPriority w:val="9"/>
    <w:semiHidden/>
    <w:rsid w:val="00ED0B1E"/>
    <w:rPr>
      <w:rFonts w:ascii="Calibri" w:hAnsi="Calibri"/>
      <w:sz w:val="24"/>
      <w:szCs w:val="24"/>
      <w:lang w:val="en-GB"/>
    </w:rPr>
  </w:style>
  <w:style w:type="character" w:customStyle="1" w:styleId="Heading8Char">
    <w:name w:val="Heading 8 Char"/>
    <w:link w:val="Heading8"/>
    <w:uiPriority w:val="9"/>
    <w:semiHidden/>
    <w:rsid w:val="00ED0B1E"/>
    <w:rPr>
      <w:rFonts w:ascii="Calibri" w:hAnsi="Calibri"/>
      <w:i/>
      <w:iCs/>
      <w:sz w:val="24"/>
      <w:szCs w:val="24"/>
      <w:lang w:val="en-GB"/>
    </w:rPr>
  </w:style>
  <w:style w:type="character" w:customStyle="1" w:styleId="Heading9Char">
    <w:name w:val="Heading 9 Char"/>
    <w:link w:val="Heading9"/>
    <w:uiPriority w:val="9"/>
    <w:semiHidden/>
    <w:rsid w:val="00ED0B1E"/>
    <w:rPr>
      <w:rFonts w:ascii="Cambria" w:hAnsi="Cambria"/>
      <w:sz w:val="22"/>
      <w:szCs w:val="22"/>
      <w:lang w:val="en-GB"/>
    </w:rPr>
  </w:style>
  <w:style w:type="character" w:styleId="FollowedHyperlink">
    <w:name w:val="FollowedHyperlink"/>
    <w:uiPriority w:val="99"/>
    <w:semiHidden/>
    <w:unhideWhenUsed/>
    <w:rsid w:val="00F8634A"/>
    <w:rPr>
      <w:color w:val="800080"/>
      <w:u w:val="single"/>
    </w:rPr>
  </w:style>
  <w:style w:type="paragraph" w:customStyle="1" w:styleId="Standard">
    <w:name w:val="Standard"/>
    <w:rsid w:val="00270986"/>
    <w:pPr>
      <w:widowControl w:val="0"/>
      <w:suppressAutoHyphens/>
      <w:autoSpaceDN w:val="0"/>
      <w:textAlignment w:val="baseline"/>
    </w:pPr>
    <w:rPr>
      <w:rFonts w:eastAsia="SimSun" w:cs="Mangal"/>
      <w:kern w:val="3"/>
      <w:sz w:val="24"/>
      <w:szCs w:val="24"/>
      <w:lang w:eastAsia="zh-CN" w:bidi="hi-IN"/>
    </w:rPr>
  </w:style>
  <w:style w:type="paragraph" w:styleId="Revision">
    <w:name w:val="Revision"/>
    <w:hidden/>
    <w:uiPriority w:val="99"/>
    <w:semiHidden/>
    <w:rsid w:val="00DB5C35"/>
    <w:rPr>
      <w:rFonts w:ascii="Arial" w:hAnsi="Arial"/>
      <w:szCs w:val="24"/>
      <w:lang w:val="en-GB"/>
    </w:rPr>
  </w:style>
  <w:style w:type="paragraph" w:styleId="ListParagraph">
    <w:name w:val="List Paragraph"/>
    <w:basedOn w:val="Normal"/>
    <w:uiPriority w:val="34"/>
    <w:qFormat/>
    <w:rsid w:val="00EB6597"/>
    <w:pPr>
      <w:ind w:left="720"/>
      <w:contextualSpacing/>
    </w:pPr>
  </w:style>
  <w:style w:type="paragraph" w:customStyle="1" w:styleId="Default">
    <w:name w:val="Default"/>
    <w:rsid w:val="00FE0B2B"/>
    <w:pPr>
      <w:autoSpaceDE w:val="0"/>
      <w:autoSpaceDN w:val="0"/>
      <w:adjustRightInd w:val="0"/>
    </w:pPr>
    <w:rPr>
      <w:color w:val="000000"/>
      <w:sz w:val="24"/>
      <w:szCs w:val="24"/>
    </w:rPr>
  </w:style>
  <w:style w:type="character" w:styleId="Emphasis">
    <w:name w:val="Emphasis"/>
    <w:basedOn w:val="DefaultParagraphFont"/>
    <w:uiPriority w:val="20"/>
    <w:qFormat/>
    <w:rsid w:val="006A394A"/>
    <w:rPr>
      <w:i/>
      <w:iCs/>
    </w:rPr>
  </w:style>
  <w:style w:type="character" w:customStyle="1" w:styleId="FooterChar">
    <w:name w:val="Footer Char"/>
    <w:basedOn w:val="DefaultParagraphFont"/>
    <w:link w:val="Footer"/>
    <w:uiPriority w:val="99"/>
    <w:rsid w:val="00040699"/>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0710">
      <w:bodyDiv w:val="1"/>
      <w:marLeft w:val="0"/>
      <w:marRight w:val="0"/>
      <w:marTop w:val="0"/>
      <w:marBottom w:val="0"/>
      <w:divBdr>
        <w:top w:val="none" w:sz="0" w:space="0" w:color="auto"/>
        <w:left w:val="none" w:sz="0" w:space="0" w:color="auto"/>
        <w:bottom w:val="none" w:sz="0" w:space="0" w:color="auto"/>
        <w:right w:val="none" w:sz="0" w:space="0" w:color="auto"/>
      </w:divBdr>
      <w:divsChild>
        <w:div w:id="1986160444">
          <w:marLeft w:val="0"/>
          <w:marRight w:val="0"/>
          <w:marTop w:val="0"/>
          <w:marBottom w:val="0"/>
          <w:divBdr>
            <w:top w:val="none" w:sz="0" w:space="0" w:color="auto"/>
            <w:left w:val="none" w:sz="0" w:space="0" w:color="auto"/>
            <w:bottom w:val="none" w:sz="0" w:space="0" w:color="auto"/>
            <w:right w:val="none" w:sz="0" w:space="0" w:color="auto"/>
          </w:divBdr>
          <w:divsChild>
            <w:div w:id="477042089">
              <w:marLeft w:val="0"/>
              <w:marRight w:val="0"/>
              <w:marTop w:val="0"/>
              <w:marBottom w:val="0"/>
              <w:divBdr>
                <w:top w:val="none" w:sz="0" w:space="0" w:color="auto"/>
                <w:left w:val="none" w:sz="0" w:space="0" w:color="auto"/>
                <w:bottom w:val="none" w:sz="0" w:space="0" w:color="auto"/>
                <w:right w:val="none" w:sz="0" w:space="0" w:color="auto"/>
              </w:divBdr>
              <w:divsChild>
                <w:div w:id="474446607">
                  <w:marLeft w:val="0"/>
                  <w:marRight w:val="0"/>
                  <w:marTop w:val="0"/>
                  <w:marBottom w:val="0"/>
                  <w:divBdr>
                    <w:top w:val="none" w:sz="0" w:space="0" w:color="auto"/>
                    <w:left w:val="none" w:sz="0" w:space="0" w:color="auto"/>
                    <w:bottom w:val="none" w:sz="0" w:space="0" w:color="auto"/>
                    <w:right w:val="none" w:sz="0" w:space="0" w:color="auto"/>
                  </w:divBdr>
                  <w:divsChild>
                    <w:div w:id="2129686">
                      <w:marLeft w:val="0"/>
                      <w:marRight w:val="0"/>
                      <w:marTop w:val="0"/>
                      <w:marBottom w:val="0"/>
                      <w:divBdr>
                        <w:top w:val="none" w:sz="0" w:space="0" w:color="auto"/>
                        <w:left w:val="none" w:sz="0" w:space="0" w:color="auto"/>
                        <w:bottom w:val="none" w:sz="0" w:space="0" w:color="auto"/>
                        <w:right w:val="none" w:sz="0" w:space="0" w:color="auto"/>
                      </w:divBdr>
                      <w:divsChild>
                        <w:div w:id="1535534784">
                          <w:marLeft w:val="0"/>
                          <w:marRight w:val="0"/>
                          <w:marTop w:val="0"/>
                          <w:marBottom w:val="0"/>
                          <w:divBdr>
                            <w:top w:val="none" w:sz="0" w:space="0" w:color="auto"/>
                            <w:left w:val="none" w:sz="0" w:space="0" w:color="auto"/>
                            <w:bottom w:val="none" w:sz="0" w:space="0" w:color="auto"/>
                            <w:right w:val="none" w:sz="0" w:space="0" w:color="auto"/>
                          </w:divBdr>
                          <w:divsChild>
                            <w:div w:id="2110195001">
                              <w:marLeft w:val="0"/>
                              <w:marRight w:val="0"/>
                              <w:marTop w:val="0"/>
                              <w:marBottom w:val="0"/>
                              <w:divBdr>
                                <w:top w:val="none" w:sz="0" w:space="0" w:color="auto"/>
                                <w:left w:val="none" w:sz="0" w:space="0" w:color="auto"/>
                                <w:bottom w:val="none" w:sz="0" w:space="0" w:color="auto"/>
                                <w:right w:val="none" w:sz="0" w:space="0" w:color="auto"/>
                              </w:divBdr>
                              <w:divsChild>
                                <w:div w:id="69887036">
                                  <w:marLeft w:val="0"/>
                                  <w:marRight w:val="0"/>
                                  <w:marTop w:val="0"/>
                                  <w:marBottom w:val="0"/>
                                  <w:divBdr>
                                    <w:top w:val="none" w:sz="0" w:space="0" w:color="auto"/>
                                    <w:left w:val="none" w:sz="0" w:space="0" w:color="auto"/>
                                    <w:bottom w:val="none" w:sz="0" w:space="0" w:color="auto"/>
                                    <w:right w:val="none" w:sz="0" w:space="0" w:color="auto"/>
                                  </w:divBdr>
                                  <w:divsChild>
                                    <w:div w:id="1081482846">
                                      <w:marLeft w:val="0"/>
                                      <w:marRight w:val="0"/>
                                      <w:marTop w:val="0"/>
                                      <w:marBottom w:val="0"/>
                                      <w:divBdr>
                                        <w:top w:val="none" w:sz="0" w:space="0" w:color="auto"/>
                                        <w:left w:val="none" w:sz="0" w:space="0" w:color="auto"/>
                                        <w:bottom w:val="none" w:sz="0" w:space="0" w:color="auto"/>
                                        <w:right w:val="none" w:sz="0" w:space="0" w:color="auto"/>
                                      </w:divBdr>
                                      <w:divsChild>
                                        <w:div w:id="439303224">
                                          <w:marLeft w:val="0"/>
                                          <w:marRight w:val="0"/>
                                          <w:marTop w:val="0"/>
                                          <w:marBottom w:val="0"/>
                                          <w:divBdr>
                                            <w:top w:val="none" w:sz="0" w:space="0" w:color="auto"/>
                                            <w:left w:val="none" w:sz="0" w:space="0" w:color="auto"/>
                                            <w:bottom w:val="none" w:sz="0" w:space="0" w:color="auto"/>
                                            <w:right w:val="none" w:sz="0" w:space="0" w:color="auto"/>
                                          </w:divBdr>
                                          <w:divsChild>
                                            <w:div w:id="1669748829">
                                              <w:marLeft w:val="0"/>
                                              <w:marRight w:val="0"/>
                                              <w:marTop w:val="0"/>
                                              <w:marBottom w:val="0"/>
                                              <w:divBdr>
                                                <w:top w:val="none" w:sz="0" w:space="0" w:color="auto"/>
                                                <w:left w:val="none" w:sz="0" w:space="0" w:color="auto"/>
                                                <w:bottom w:val="none" w:sz="0" w:space="0" w:color="auto"/>
                                                <w:right w:val="none" w:sz="0" w:space="0" w:color="auto"/>
                                              </w:divBdr>
                                              <w:divsChild>
                                                <w:div w:id="959992110">
                                                  <w:marLeft w:val="0"/>
                                                  <w:marRight w:val="0"/>
                                                  <w:marTop w:val="0"/>
                                                  <w:marBottom w:val="0"/>
                                                  <w:divBdr>
                                                    <w:top w:val="none" w:sz="0" w:space="0" w:color="auto"/>
                                                    <w:left w:val="none" w:sz="0" w:space="0" w:color="auto"/>
                                                    <w:bottom w:val="none" w:sz="0" w:space="0" w:color="auto"/>
                                                    <w:right w:val="none" w:sz="0" w:space="0" w:color="auto"/>
                                                  </w:divBdr>
                                                  <w:divsChild>
                                                    <w:div w:id="996348037">
                                                      <w:marLeft w:val="0"/>
                                                      <w:marRight w:val="0"/>
                                                      <w:marTop w:val="0"/>
                                                      <w:marBottom w:val="94"/>
                                                      <w:divBdr>
                                                        <w:top w:val="none" w:sz="0" w:space="0" w:color="auto"/>
                                                        <w:left w:val="none" w:sz="0" w:space="0" w:color="auto"/>
                                                        <w:bottom w:val="none" w:sz="0" w:space="0" w:color="auto"/>
                                                        <w:right w:val="none" w:sz="0" w:space="0" w:color="auto"/>
                                                      </w:divBdr>
                                                      <w:divsChild>
                                                        <w:div w:id="8420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8274616">
      <w:bodyDiv w:val="1"/>
      <w:marLeft w:val="0"/>
      <w:marRight w:val="0"/>
      <w:marTop w:val="0"/>
      <w:marBottom w:val="0"/>
      <w:divBdr>
        <w:top w:val="none" w:sz="0" w:space="0" w:color="auto"/>
        <w:left w:val="none" w:sz="0" w:space="0" w:color="auto"/>
        <w:bottom w:val="none" w:sz="0" w:space="0" w:color="auto"/>
        <w:right w:val="none" w:sz="0" w:space="0" w:color="auto"/>
      </w:divBdr>
    </w:div>
    <w:div w:id="808208146">
      <w:bodyDiv w:val="1"/>
      <w:marLeft w:val="0"/>
      <w:marRight w:val="0"/>
      <w:marTop w:val="0"/>
      <w:marBottom w:val="0"/>
      <w:divBdr>
        <w:top w:val="none" w:sz="0" w:space="0" w:color="auto"/>
        <w:left w:val="none" w:sz="0" w:space="0" w:color="auto"/>
        <w:bottom w:val="none" w:sz="0" w:space="0" w:color="auto"/>
        <w:right w:val="none" w:sz="0" w:space="0" w:color="auto"/>
      </w:divBdr>
      <w:divsChild>
        <w:div w:id="1685397441">
          <w:marLeft w:val="0"/>
          <w:marRight w:val="0"/>
          <w:marTop w:val="0"/>
          <w:marBottom w:val="0"/>
          <w:divBdr>
            <w:top w:val="none" w:sz="0" w:space="0" w:color="auto"/>
            <w:left w:val="none" w:sz="0" w:space="0" w:color="auto"/>
            <w:bottom w:val="none" w:sz="0" w:space="0" w:color="auto"/>
            <w:right w:val="none" w:sz="0" w:space="0" w:color="auto"/>
          </w:divBdr>
          <w:divsChild>
            <w:div w:id="1542934393">
              <w:marLeft w:val="0"/>
              <w:marRight w:val="0"/>
              <w:marTop w:val="0"/>
              <w:marBottom w:val="0"/>
              <w:divBdr>
                <w:top w:val="none" w:sz="0" w:space="0" w:color="auto"/>
                <w:left w:val="none" w:sz="0" w:space="0" w:color="auto"/>
                <w:bottom w:val="none" w:sz="0" w:space="0" w:color="auto"/>
                <w:right w:val="none" w:sz="0" w:space="0" w:color="auto"/>
              </w:divBdr>
              <w:divsChild>
                <w:div w:id="1832256825">
                  <w:marLeft w:val="0"/>
                  <w:marRight w:val="0"/>
                  <w:marTop w:val="0"/>
                  <w:marBottom w:val="0"/>
                  <w:divBdr>
                    <w:top w:val="none" w:sz="0" w:space="0" w:color="auto"/>
                    <w:left w:val="none" w:sz="0" w:space="0" w:color="auto"/>
                    <w:bottom w:val="none" w:sz="0" w:space="0" w:color="auto"/>
                    <w:right w:val="none" w:sz="0" w:space="0" w:color="auto"/>
                  </w:divBdr>
                  <w:divsChild>
                    <w:div w:id="1881162009">
                      <w:marLeft w:val="0"/>
                      <w:marRight w:val="0"/>
                      <w:marTop w:val="0"/>
                      <w:marBottom w:val="0"/>
                      <w:divBdr>
                        <w:top w:val="none" w:sz="0" w:space="0" w:color="auto"/>
                        <w:left w:val="none" w:sz="0" w:space="0" w:color="auto"/>
                        <w:bottom w:val="none" w:sz="0" w:space="0" w:color="auto"/>
                        <w:right w:val="none" w:sz="0" w:space="0" w:color="auto"/>
                      </w:divBdr>
                      <w:divsChild>
                        <w:div w:id="1134253231">
                          <w:marLeft w:val="0"/>
                          <w:marRight w:val="0"/>
                          <w:marTop w:val="0"/>
                          <w:marBottom w:val="0"/>
                          <w:divBdr>
                            <w:top w:val="none" w:sz="0" w:space="0" w:color="auto"/>
                            <w:left w:val="none" w:sz="0" w:space="0" w:color="auto"/>
                            <w:bottom w:val="none" w:sz="0" w:space="0" w:color="auto"/>
                            <w:right w:val="none" w:sz="0" w:space="0" w:color="auto"/>
                          </w:divBdr>
                          <w:divsChild>
                            <w:div w:id="728840191">
                              <w:marLeft w:val="0"/>
                              <w:marRight w:val="0"/>
                              <w:marTop w:val="0"/>
                              <w:marBottom w:val="0"/>
                              <w:divBdr>
                                <w:top w:val="none" w:sz="0" w:space="0" w:color="auto"/>
                                <w:left w:val="none" w:sz="0" w:space="0" w:color="auto"/>
                                <w:bottom w:val="none" w:sz="0" w:space="0" w:color="auto"/>
                                <w:right w:val="none" w:sz="0" w:space="0" w:color="auto"/>
                              </w:divBdr>
                              <w:divsChild>
                                <w:div w:id="1409496179">
                                  <w:marLeft w:val="0"/>
                                  <w:marRight w:val="0"/>
                                  <w:marTop w:val="0"/>
                                  <w:marBottom w:val="0"/>
                                  <w:divBdr>
                                    <w:top w:val="none" w:sz="0" w:space="0" w:color="auto"/>
                                    <w:left w:val="none" w:sz="0" w:space="0" w:color="auto"/>
                                    <w:bottom w:val="none" w:sz="0" w:space="0" w:color="auto"/>
                                    <w:right w:val="none" w:sz="0" w:space="0" w:color="auto"/>
                                  </w:divBdr>
                                  <w:divsChild>
                                    <w:div w:id="315306056">
                                      <w:marLeft w:val="0"/>
                                      <w:marRight w:val="0"/>
                                      <w:marTop w:val="0"/>
                                      <w:marBottom w:val="0"/>
                                      <w:divBdr>
                                        <w:top w:val="none" w:sz="0" w:space="0" w:color="auto"/>
                                        <w:left w:val="none" w:sz="0" w:space="0" w:color="auto"/>
                                        <w:bottom w:val="none" w:sz="0" w:space="0" w:color="auto"/>
                                        <w:right w:val="none" w:sz="0" w:space="0" w:color="auto"/>
                                      </w:divBdr>
                                      <w:divsChild>
                                        <w:div w:id="1030374182">
                                          <w:marLeft w:val="0"/>
                                          <w:marRight w:val="0"/>
                                          <w:marTop w:val="0"/>
                                          <w:marBottom w:val="0"/>
                                          <w:divBdr>
                                            <w:top w:val="none" w:sz="0" w:space="0" w:color="auto"/>
                                            <w:left w:val="none" w:sz="0" w:space="0" w:color="auto"/>
                                            <w:bottom w:val="none" w:sz="0" w:space="0" w:color="auto"/>
                                            <w:right w:val="none" w:sz="0" w:space="0" w:color="auto"/>
                                          </w:divBdr>
                                          <w:divsChild>
                                            <w:div w:id="403768232">
                                              <w:marLeft w:val="0"/>
                                              <w:marRight w:val="0"/>
                                              <w:marTop w:val="0"/>
                                              <w:marBottom w:val="0"/>
                                              <w:divBdr>
                                                <w:top w:val="none" w:sz="0" w:space="0" w:color="auto"/>
                                                <w:left w:val="none" w:sz="0" w:space="0" w:color="auto"/>
                                                <w:bottom w:val="none" w:sz="0" w:space="0" w:color="auto"/>
                                                <w:right w:val="none" w:sz="0" w:space="0" w:color="auto"/>
                                              </w:divBdr>
                                              <w:divsChild>
                                                <w:div w:id="115874688">
                                                  <w:marLeft w:val="0"/>
                                                  <w:marRight w:val="0"/>
                                                  <w:marTop w:val="0"/>
                                                  <w:marBottom w:val="0"/>
                                                  <w:divBdr>
                                                    <w:top w:val="none" w:sz="0" w:space="0" w:color="auto"/>
                                                    <w:left w:val="none" w:sz="0" w:space="0" w:color="auto"/>
                                                    <w:bottom w:val="none" w:sz="0" w:space="0" w:color="auto"/>
                                                    <w:right w:val="none" w:sz="0" w:space="0" w:color="auto"/>
                                                  </w:divBdr>
                                                  <w:divsChild>
                                                    <w:div w:id="1716084269">
                                                      <w:marLeft w:val="0"/>
                                                      <w:marRight w:val="0"/>
                                                      <w:marTop w:val="0"/>
                                                      <w:marBottom w:val="94"/>
                                                      <w:divBdr>
                                                        <w:top w:val="none" w:sz="0" w:space="0" w:color="auto"/>
                                                        <w:left w:val="none" w:sz="0" w:space="0" w:color="auto"/>
                                                        <w:bottom w:val="none" w:sz="0" w:space="0" w:color="auto"/>
                                                        <w:right w:val="none" w:sz="0" w:space="0" w:color="auto"/>
                                                      </w:divBdr>
                                                      <w:divsChild>
                                                        <w:div w:id="12551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13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package" Target="embeddings/Microsoft_Word_Document2.docx"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image" Target="media/image2.emf"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webSettings" Target="webSettings.xml" Id="rId6" /><Relationship Type="http://schemas.openxmlformats.org/officeDocument/2006/relationships/package" Target="embeddings/Microsoft_Word_Document1.docx" Id="rId11" /><Relationship Type="http://schemas.openxmlformats.org/officeDocument/2006/relationships/settings" Target="settings.xml" Id="rId5" /><Relationship Type="http://schemas.openxmlformats.org/officeDocument/2006/relationships/package" Target="embeddings/Microsoft_Word_Document3.docx" Id="rId15" /><Relationship Type="http://schemas.openxmlformats.org/officeDocument/2006/relationships/image" Target="media/image1.emf"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hyperlink" Target="http://www.oecd.org" TargetMode="External" Id="rId9" /><Relationship Type="http://schemas.openxmlformats.org/officeDocument/2006/relationships/image" Target="media/image3.emf"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6392</ap:Words>
  <ap:Characters>37634</ap:Characters>
  <ap:DocSecurity>0</ap:DocSecurity>
  <ap:Lines>313</ap:Lines>
  <ap:Paragraphs>87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Goedkeuring van het op 6 oktober 2010 te Den Haag tot stand gekomen Verdrag tussen het Koninkrijk der Nederlanden en de Republ</vt:lpstr>
      <vt:lpstr>Goedkeuring van het op 6 oktober 2010 te Den Haag tot stand gekomen Verdrag tussen het Koninkrijk der Nederlanden en de Republ</vt:lpstr>
    </vt:vector>
  </ap:TitlesOfParts>
  <ap:LinksUpToDate>false</ap:LinksUpToDate>
  <ap:CharactersWithSpaces>43939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2013-10-07T09:05:00.0000000Z</lastPrinted>
  <dcterms:created xsi:type="dcterms:W3CDTF">2013-08-20T13:33:00.0000000Z</dcterms:created>
  <dcterms:modified xsi:type="dcterms:W3CDTF">2013-10-07T09:10:00.0000000Z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0x01010059314A2D2B30F04EB84597954817C69C</vt:lpwstr>
  </property>
</Properties>
</file>