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20B64" w:rsidR="002C6314" w:rsidP="002C6314" w:rsidRDefault="002C6314">
      <w:pPr>
        <w:rPr>
          <w:b/>
          <w:bCs/>
          <w:iCs/>
        </w:rPr>
      </w:pPr>
      <w:r w:rsidRPr="00E20B64">
        <w:rPr>
          <w:b/>
          <w:bCs/>
          <w:iCs/>
        </w:rPr>
        <w:t xml:space="preserve">Bijlage </w:t>
      </w:r>
      <w:r w:rsidR="007C10E9">
        <w:rPr>
          <w:b/>
          <w:bCs/>
          <w:iCs/>
        </w:rPr>
        <w:t>bij brief IENM/BSK-2013/27025 Asbest in scholen en ziekenhuizen</w:t>
      </w:r>
    </w:p>
    <w:p w:rsidRPr="00E20B64" w:rsidR="002C6314" w:rsidP="002C6314" w:rsidRDefault="002C6314">
      <w:pPr>
        <w:rPr>
          <w:iCs/>
        </w:rPr>
      </w:pPr>
    </w:p>
    <w:p w:rsidR="002C6314" w:rsidP="002C6314" w:rsidRDefault="002C6314">
      <w:pPr>
        <w:rPr>
          <w:bCs/>
          <w:iCs/>
        </w:rPr>
      </w:pPr>
      <w:r>
        <w:rPr>
          <w:b/>
          <w:bCs/>
          <w:iCs/>
        </w:rPr>
        <w:t>Enquêteresultaten</w:t>
      </w:r>
    </w:p>
    <w:p w:rsidRPr="00893F38" w:rsidR="002C6314" w:rsidP="002C6314" w:rsidRDefault="002C6314">
      <w:pPr>
        <w:rPr>
          <w:b/>
          <w:bCs/>
          <w:iCs/>
        </w:rPr>
      </w:pPr>
      <w:r>
        <w:t xml:space="preserve">Er zijn twee enquêterondes geweest, in 2011 en 2012. In de tweede ronde zijn alleen de scholen met locaties van voor 1994 bevraagd, die in de eerste ronde niet hadden gereageerd. Er zijn in totaal 6977 schoollocaties van voor 1994. De totale respons </w:t>
      </w:r>
      <w:r w:rsidRPr="00674B77">
        <w:t xml:space="preserve">van </w:t>
      </w:r>
      <w:r>
        <w:t>schoolgebouwen van voor 1994 is 5310, dat is 76%</w:t>
      </w:r>
      <w:r w:rsidRPr="00674B77">
        <w:t xml:space="preserve">. </w:t>
      </w:r>
      <w:r>
        <w:t>Uit de resultaten blijkt dat van deze groep respondenten 2574 gebouwen zijn geïnventariseerd op asbest. Dit is 48%.</w:t>
      </w:r>
    </w:p>
    <w:p w:rsidR="002C6314" w:rsidP="002C6314" w:rsidRDefault="002C6314">
      <w:pPr>
        <w:rPr>
          <w:b/>
          <w:bCs/>
          <w:iCs/>
        </w:rPr>
      </w:pPr>
    </w:p>
    <w:p w:rsidRPr="00E20B64" w:rsidR="002C6314" w:rsidP="002C6314" w:rsidRDefault="002C6314">
      <w:pPr>
        <w:rPr>
          <w:b/>
          <w:bCs/>
          <w:iCs/>
        </w:rPr>
      </w:pPr>
      <w:r w:rsidRPr="00E20B64">
        <w:rPr>
          <w:b/>
          <w:bCs/>
          <w:iCs/>
        </w:rPr>
        <w:t>Enquêteresultaten van de asbestsituatie in scholen in 2011</w:t>
      </w:r>
    </w:p>
    <w:p w:rsidRPr="00E20B64" w:rsidR="002C6314" w:rsidP="002C6314" w:rsidRDefault="002C6314">
      <w:pPr>
        <w:rPr>
          <w:iCs/>
        </w:rPr>
      </w:pPr>
      <w:r w:rsidRPr="00E20B64">
        <w:rPr>
          <w:iCs/>
        </w:rPr>
        <w:t>In mei 2011 is een internet-enquête gehouden onder de locatiebeheerders van alle 9168 schoolgebouwen in ons land. Begin 2012 had ruim 50% van de scholen gereageerd. Daaruit bleek dat 79% van de scholen een bouwjaar heeft van vóór 1994 en dat van deze scholen 40% ooit een asbestinventarisatie heeft uitgevoerd</w:t>
      </w:r>
      <w:r w:rsidRPr="00E20B64">
        <w:rPr>
          <w:rStyle w:val="FootnoteReference"/>
          <w:iCs/>
        </w:rPr>
        <w:footnoteReference w:id="1"/>
      </w:r>
      <w:r w:rsidRPr="00E20B64">
        <w:rPr>
          <w:iCs/>
        </w:rPr>
        <w:t xml:space="preserve">. </w:t>
      </w:r>
    </w:p>
    <w:p w:rsidRPr="00E20B64" w:rsidR="002C6314" w:rsidP="002C6314" w:rsidRDefault="002C6314">
      <w:pPr>
        <w:rPr>
          <w:iCs/>
        </w:rPr>
      </w:pPr>
    </w:p>
    <w:p w:rsidRPr="00E20B64" w:rsidR="002C6314" w:rsidP="002C6314" w:rsidRDefault="002C6314">
      <w:pPr>
        <w:rPr>
          <w:iCs/>
        </w:rPr>
      </w:pPr>
      <w:r w:rsidRPr="00E20B64">
        <w:rPr>
          <w:iCs/>
        </w:rPr>
        <w:t>Tabel 1: Overzicht van de enquêteresultaten in 2011.</w:t>
      </w:r>
    </w:p>
    <w:p w:rsidRPr="00E20B64" w:rsidR="002C6314" w:rsidP="002C6314" w:rsidRDefault="002C6314">
      <w:pPr>
        <w:rPr>
          <w:iCs/>
        </w:rPr>
      </w:pPr>
    </w:p>
    <w:tbl>
      <w:tblPr>
        <w:tblW w:w="7804" w:type="dxa"/>
        <w:tblInd w:w="108" w:type="dxa"/>
        <w:tblLayout w:type="fixed"/>
        <w:tblCellMar>
          <w:left w:w="0" w:type="dxa"/>
          <w:right w:w="0" w:type="dxa"/>
        </w:tblCellMar>
        <w:tblLook w:val="00A0"/>
      </w:tblPr>
      <w:tblGrid>
        <w:gridCol w:w="704"/>
        <w:gridCol w:w="2834"/>
        <w:gridCol w:w="710"/>
        <w:gridCol w:w="710"/>
        <w:gridCol w:w="710"/>
        <w:gridCol w:w="710"/>
        <w:gridCol w:w="710"/>
        <w:gridCol w:w="709"/>
        <w:gridCol w:w="7"/>
      </w:tblGrid>
      <w:tr w:rsidRPr="00E20B64" w:rsidR="002C6314" w:rsidTr="00A16149">
        <w:tc>
          <w:tcPr>
            <w:tcW w:w="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6"/>
                <w:szCs w:val="16"/>
              </w:rPr>
            </w:pPr>
          </w:p>
        </w:tc>
        <w:tc>
          <w:tcPr>
            <w:tcW w:w="283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6"/>
                <w:szCs w:val="16"/>
              </w:rPr>
            </w:pP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Aantal</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Perc.</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Aantal</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Perc.</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Aantal</w:t>
            </w:r>
          </w:p>
        </w:tc>
        <w:tc>
          <w:tcPr>
            <w:tcW w:w="71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Perc.</w:t>
            </w:r>
          </w:p>
        </w:tc>
      </w:tr>
      <w:tr w:rsidRPr="00E20B64" w:rsidR="002C6314" w:rsidTr="00A16149">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b/>
                <w:bCs/>
                <w:color w:val="000000"/>
                <w:sz w:val="16"/>
                <w:szCs w:val="16"/>
              </w:rPr>
            </w:pPr>
            <w:r w:rsidRPr="00E20B64">
              <w:rPr>
                <w:b/>
                <w:bCs/>
                <w:color w:val="000000"/>
                <w:sz w:val="16"/>
                <w:szCs w:val="16"/>
              </w:rPr>
              <w:t>2011</w:t>
            </w:r>
          </w:p>
        </w:tc>
        <w:tc>
          <w:tcPr>
            <w:tcW w:w="2834"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r w:rsidRPr="00E20B64">
              <w:rPr>
                <w:color w:val="000000"/>
                <w:sz w:val="16"/>
                <w:szCs w:val="16"/>
              </w:rPr>
              <w:t>Aangeschreven schoolbesturen</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b/>
                <w:bCs/>
                <w:color w:val="000000"/>
                <w:sz w:val="16"/>
                <w:szCs w:val="16"/>
              </w:rPr>
            </w:pPr>
            <w:r w:rsidRPr="00E20B64">
              <w:rPr>
                <w:b/>
                <w:bCs/>
                <w:color w:val="000000"/>
                <w:sz w:val="16"/>
                <w:szCs w:val="16"/>
              </w:rPr>
              <w:t>8200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p>
        </w:tc>
        <w:tc>
          <w:tcPr>
            <w:tcW w:w="716"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p>
        </w:tc>
      </w:tr>
      <w:tr w:rsidRPr="00E20B64" w:rsidR="002C6314" w:rsidTr="00A16149">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4"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r w:rsidRPr="00E20B64">
              <w:rPr>
                <w:color w:val="000000"/>
                <w:sz w:val="16"/>
                <w:szCs w:val="16"/>
              </w:rPr>
              <w:t>Schoollocaties in NL (VO en PO)</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b/>
                <w:bCs/>
                <w:color w:val="000000"/>
                <w:sz w:val="16"/>
                <w:szCs w:val="16"/>
              </w:rPr>
            </w:pPr>
            <w:r w:rsidRPr="00E20B64">
              <w:rPr>
                <w:b/>
                <w:bCs/>
                <w:color w:val="000000"/>
                <w:sz w:val="16"/>
                <w:szCs w:val="16"/>
              </w:rPr>
              <w:t>9168</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r w:rsidRPr="00E20B64">
              <w:rPr>
                <w:color w:val="000000"/>
                <w:sz w:val="16"/>
                <w:szCs w:val="16"/>
              </w:rPr>
              <w:t>100%</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6" w:type="dxa"/>
            <w:gridSpan w:val="2"/>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r>
      <w:tr w:rsidRPr="00E20B64" w:rsidR="002C6314" w:rsidTr="00A16149">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4"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Schoollocaties waarvoor de enquête is ingevuld</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5100</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56%</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b/>
                <w:bCs/>
                <w:color w:val="000000"/>
                <w:sz w:val="16"/>
                <w:szCs w:val="16"/>
              </w:rPr>
            </w:pPr>
            <w:r w:rsidRPr="00E20B64">
              <w:rPr>
                <w:b/>
                <w:bCs/>
                <w:color w:val="000000"/>
                <w:sz w:val="16"/>
                <w:szCs w:val="16"/>
              </w:rPr>
              <w:t>5100</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100%</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6" w:type="dxa"/>
            <w:gridSpan w:val="2"/>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highlight w:val="yellow"/>
              </w:rPr>
            </w:pPr>
          </w:p>
        </w:tc>
      </w:tr>
      <w:tr w:rsidRPr="00E20B64" w:rsidR="002C6314" w:rsidTr="00A16149">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4"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Locatie vóór 1994</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4020</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79%</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b/>
                <w:bCs/>
                <w:color w:val="000000"/>
                <w:sz w:val="16"/>
                <w:szCs w:val="16"/>
              </w:rPr>
            </w:pPr>
            <w:r w:rsidRPr="00E20B64">
              <w:rPr>
                <w:b/>
                <w:bCs/>
                <w:color w:val="000000"/>
                <w:sz w:val="16"/>
                <w:szCs w:val="16"/>
              </w:rPr>
              <w:t>4020</w:t>
            </w:r>
          </w:p>
        </w:tc>
        <w:tc>
          <w:tcPr>
            <w:tcW w:w="716" w:type="dxa"/>
            <w:gridSpan w:val="2"/>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100%</w:t>
            </w:r>
          </w:p>
        </w:tc>
      </w:tr>
      <w:tr w:rsidRPr="00E20B64" w:rsidR="002C6314" w:rsidTr="00A16149">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4"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Geïnventariseerd</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1604</w:t>
            </w:r>
          </w:p>
        </w:tc>
        <w:tc>
          <w:tcPr>
            <w:tcW w:w="716" w:type="dxa"/>
            <w:gridSpan w:val="2"/>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40%</w:t>
            </w:r>
          </w:p>
        </w:tc>
      </w:tr>
      <w:tr w:rsidRPr="00E20B64" w:rsidR="002C6314" w:rsidTr="00A16149">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4"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Niet–geïnventariseerd</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2416</w:t>
            </w:r>
          </w:p>
        </w:tc>
        <w:tc>
          <w:tcPr>
            <w:tcW w:w="716" w:type="dxa"/>
            <w:gridSpan w:val="2"/>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60%</w:t>
            </w:r>
          </w:p>
        </w:tc>
      </w:tr>
      <w:tr w:rsidRPr="00E20B64" w:rsidR="002C6314" w:rsidTr="00A16149">
        <w:trPr>
          <w:gridAfter w:val="1"/>
          <w:wAfter w:w="7" w:type="dxa"/>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4"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Locatie na 1994</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1080</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21%</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r>
      <w:tr w:rsidRPr="00E20B64" w:rsidR="002C6314" w:rsidTr="00A16149">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4"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Geen reactie - totaal</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4068</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44%</w:t>
            </w: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0"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6" w:type="dxa"/>
            <w:gridSpan w:val="2"/>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r>
    </w:tbl>
    <w:p w:rsidRPr="00E20B64" w:rsidR="002C6314" w:rsidP="002C6314" w:rsidRDefault="002C6314"/>
    <w:p w:rsidRPr="00E20B64" w:rsidR="002C6314" w:rsidP="002C6314" w:rsidRDefault="002C6314">
      <w:pPr>
        <w:rPr>
          <w:b/>
          <w:bCs/>
          <w:iCs/>
        </w:rPr>
      </w:pPr>
      <w:r>
        <w:rPr>
          <w:b/>
          <w:bCs/>
          <w:iCs/>
        </w:rPr>
        <w:t>E</w:t>
      </w:r>
      <w:r w:rsidRPr="00E20B64">
        <w:rPr>
          <w:b/>
          <w:bCs/>
          <w:iCs/>
        </w:rPr>
        <w:t>nquêteresultaten van asbestsituatie in scholen in 2012</w:t>
      </w:r>
    </w:p>
    <w:p w:rsidRPr="00E20B64" w:rsidR="002C6314" w:rsidP="002C6314" w:rsidRDefault="002C6314">
      <w:pPr>
        <w:rPr>
          <w:iCs/>
        </w:rPr>
      </w:pPr>
      <w:r w:rsidRPr="00E20B64">
        <w:rPr>
          <w:iCs/>
        </w:rPr>
        <w:t xml:space="preserve">In mei 2012 zijn alle scholen met een gebouw van vóór 1994 die niet op de eerste enquête van 2011 hebben gereageerd andermaal schriftelijk benaderd en verzocht om informatie over de asbestsituatie in het schoolgebouw aan te leveren. </w:t>
      </w:r>
    </w:p>
    <w:p w:rsidRPr="00E20B64" w:rsidR="002C6314" w:rsidP="002C6314" w:rsidRDefault="002C6314">
      <w:pPr>
        <w:rPr>
          <w:iCs/>
        </w:rPr>
      </w:pPr>
    </w:p>
    <w:p w:rsidRPr="00E20B64" w:rsidR="002C6314" w:rsidP="002C6314" w:rsidRDefault="002C6314">
      <w:pPr>
        <w:rPr>
          <w:iCs/>
        </w:rPr>
      </w:pPr>
      <w:r w:rsidRPr="00E20B64">
        <w:rPr>
          <w:iCs/>
        </w:rPr>
        <w:t xml:space="preserve">Van deze 2957 aangeschreven scholen, heeft 44% alsnog gereageerd door de internetenquête in te vullen (1290 scholen). Van de 2957 verzonden brieven zijn er 71 retour gezonden omdat de school is opgeheven. </w:t>
      </w:r>
    </w:p>
    <w:p w:rsidRPr="00E20B64" w:rsidR="002C6314" w:rsidP="002C6314" w:rsidRDefault="002C6314">
      <w:pPr>
        <w:rPr>
          <w:iCs/>
        </w:rPr>
      </w:pPr>
      <w:r w:rsidRPr="00E20B64">
        <w:rPr>
          <w:iCs/>
        </w:rPr>
        <w:t>Van de 1290 scholen die hebben gereageerd zegt 75% (970 scholen) dat een asbestinventarisatie is uitgevoerd. Bij 25 % (320 scholen) is nog niet geïnventariseerd, is de informatie niet bekend of is de schoollocatie niet meer in gebruik.</w:t>
      </w:r>
    </w:p>
    <w:p w:rsidR="002C6314" w:rsidP="002C6314" w:rsidRDefault="002C6314">
      <w:pPr>
        <w:rPr>
          <w:iCs/>
        </w:rPr>
      </w:pPr>
    </w:p>
    <w:p w:rsidR="00C4077C" w:rsidRDefault="00C4077C">
      <w:pPr>
        <w:widowControl/>
        <w:suppressAutoHyphens w:val="0"/>
        <w:autoSpaceDN/>
        <w:spacing w:line="360" w:lineRule="exact"/>
        <w:textAlignment w:val="auto"/>
        <w:rPr>
          <w:iCs/>
        </w:rPr>
      </w:pPr>
      <w:r>
        <w:rPr>
          <w:iCs/>
        </w:rPr>
        <w:br w:type="page"/>
      </w:r>
    </w:p>
    <w:p w:rsidRPr="00E20B64" w:rsidR="002C6314" w:rsidP="002C6314" w:rsidRDefault="002C6314">
      <w:pPr>
        <w:rPr>
          <w:iCs/>
        </w:rPr>
      </w:pPr>
      <w:r w:rsidRPr="00E20B64">
        <w:rPr>
          <w:iCs/>
        </w:rPr>
        <w:lastRenderedPageBreak/>
        <w:t>Tabel 2: Overzicht van de enquêteresultaten in 2012</w:t>
      </w:r>
    </w:p>
    <w:p w:rsidRPr="00E20B64" w:rsidR="002C6314" w:rsidP="002C6314" w:rsidRDefault="002C6314">
      <w:pPr>
        <w:rPr>
          <w:iCs/>
        </w:rPr>
      </w:pPr>
    </w:p>
    <w:tbl>
      <w:tblPr>
        <w:tblW w:w="6384" w:type="dxa"/>
        <w:tblInd w:w="108" w:type="dxa"/>
        <w:tblLayout w:type="fixed"/>
        <w:tblCellMar>
          <w:left w:w="0" w:type="dxa"/>
          <w:right w:w="0" w:type="dxa"/>
        </w:tblCellMar>
        <w:tblLook w:val="00A0"/>
      </w:tblPr>
      <w:tblGrid>
        <w:gridCol w:w="709"/>
        <w:gridCol w:w="2835"/>
        <w:gridCol w:w="709"/>
        <w:gridCol w:w="709"/>
        <w:gridCol w:w="709"/>
        <w:gridCol w:w="713"/>
      </w:tblGrid>
      <w:tr w:rsidRPr="00E20B64" w:rsidR="002C6314" w:rsidTr="00A16149">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6"/>
                <w:szCs w:val="16"/>
              </w:rPr>
            </w:pP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6"/>
                <w:szCs w:val="16"/>
              </w:rPr>
            </w:pP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Aantal</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Perc.</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Aantal</w:t>
            </w:r>
          </w:p>
        </w:tc>
        <w:tc>
          <w:tcPr>
            <w:tcW w:w="71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sz w:val="14"/>
                <w:szCs w:val="14"/>
              </w:rPr>
            </w:pPr>
            <w:r w:rsidRPr="00E20B64">
              <w:rPr>
                <w:sz w:val="14"/>
                <w:szCs w:val="14"/>
              </w:rPr>
              <w:t>Perc.</w:t>
            </w:r>
          </w:p>
        </w:tc>
      </w:tr>
      <w:tr w:rsidRPr="00E20B64" w:rsidR="002C6314" w:rsidTr="00A16149">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b/>
                <w:bCs/>
                <w:color w:val="000000"/>
                <w:sz w:val="16"/>
                <w:szCs w:val="16"/>
              </w:rPr>
            </w:pPr>
            <w:r w:rsidRPr="00E20B64">
              <w:rPr>
                <w:b/>
                <w:bCs/>
                <w:color w:val="000000"/>
                <w:sz w:val="16"/>
                <w:szCs w:val="16"/>
              </w:rPr>
              <w:t>2012</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r w:rsidRPr="00E20B64">
              <w:rPr>
                <w:color w:val="000000"/>
                <w:sz w:val="16"/>
                <w:szCs w:val="16"/>
              </w:rPr>
              <w:t>Aangeschreven schoollocaties</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b/>
                <w:bCs/>
                <w:color w:val="000000"/>
                <w:sz w:val="16"/>
                <w:szCs w:val="16"/>
              </w:rPr>
            </w:pPr>
            <w:r w:rsidRPr="00E20B64">
              <w:rPr>
                <w:b/>
                <w:bCs/>
                <w:color w:val="000000"/>
                <w:sz w:val="16"/>
                <w:szCs w:val="16"/>
              </w:rPr>
              <w:t>2957</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r w:rsidRPr="00E20B64">
              <w:rPr>
                <w:color w:val="000000"/>
                <w:sz w:val="16"/>
                <w:szCs w:val="16"/>
              </w:rPr>
              <w:t>100%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p>
        </w:tc>
        <w:tc>
          <w:tcPr>
            <w:tcW w:w="713"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A16149" w:rsidRDefault="002C6314">
            <w:pPr>
              <w:rPr>
                <w:color w:val="000000"/>
                <w:sz w:val="16"/>
                <w:szCs w:val="16"/>
              </w:rPr>
            </w:pPr>
          </w:p>
        </w:tc>
      </w:tr>
      <w:tr w:rsidRPr="00E20B64" w:rsidR="002C6314" w:rsidTr="00A16149">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Retour ontvangen als onbestelbaar</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b/>
                <w:bCs/>
                <w:color w:val="000000"/>
                <w:sz w:val="16"/>
                <w:szCs w:val="16"/>
              </w:rPr>
            </w:pPr>
            <w:r w:rsidRPr="00E20B64">
              <w:rPr>
                <w:b/>
                <w:bCs/>
                <w:color w:val="000000"/>
                <w:sz w:val="16"/>
                <w:szCs w:val="16"/>
              </w:rPr>
              <w:t>71</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3"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r>
      <w:tr w:rsidRPr="00E20B64" w:rsidR="002C6314" w:rsidTr="00A16149">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Geen reactie</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b/>
                <w:bCs/>
                <w:color w:val="000000"/>
                <w:sz w:val="16"/>
                <w:szCs w:val="16"/>
              </w:rPr>
            </w:pPr>
            <w:r w:rsidRPr="00E20B64">
              <w:rPr>
                <w:b/>
                <w:bCs/>
                <w:color w:val="000000"/>
                <w:sz w:val="16"/>
                <w:szCs w:val="16"/>
              </w:rPr>
              <w:t>1596</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54%</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3"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r>
      <w:tr w:rsidRPr="00E20B64" w:rsidR="002C6314" w:rsidTr="00A16149">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Enquête ingevuld</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b/>
                <w:bCs/>
                <w:color w:val="000000"/>
                <w:sz w:val="16"/>
                <w:szCs w:val="16"/>
              </w:rPr>
            </w:pPr>
            <w:r w:rsidRPr="00E20B64">
              <w:rPr>
                <w:b/>
                <w:bCs/>
                <w:color w:val="000000"/>
                <w:sz w:val="16"/>
                <w:szCs w:val="16"/>
              </w:rPr>
              <w:t>1290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44%</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13"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r>
      <w:tr w:rsidRPr="00E20B64" w:rsidR="002C6314" w:rsidTr="00A16149">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Geïnventariseerd</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970</w:t>
            </w:r>
          </w:p>
        </w:tc>
        <w:tc>
          <w:tcPr>
            <w:tcW w:w="713"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75%</w:t>
            </w:r>
          </w:p>
        </w:tc>
      </w:tr>
      <w:tr w:rsidRPr="00E20B64" w:rsidR="002C6314" w:rsidTr="00A16149">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 xml:space="preserve">Niet–geïnventariseerd </w:t>
            </w:r>
          </w:p>
          <w:p w:rsidRPr="00E20B64" w:rsidR="002C6314" w:rsidP="00A16149" w:rsidRDefault="002C6314">
            <w:pPr>
              <w:rPr>
                <w:color w:val="000000"/>
                <w:sz w:val="16"/>
                <w:szCs w:val="16"/>
              </w:rPr>
            </w:pPr>
            <w:r w:rsidRPr="00E20B64">
              <w:rPr>
                <w:color w:val="000000"/>
                <w:sz w:val="14"/>
                <w:szCs w:val="14"/>
              </w:rPr>
              <w:t>(inclusief onbekend of niet meer als school in gebruik)</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320</w:t>
            </w:r>
          </w:p>
        </w:tc>
        <w:tc>
          <w:tcPr>
            <w:tcW w:w="713"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A16149" w:rsidRDefault="002C6314">
            <w:pPr>
              <w:rPr>
                <w:color w:val="000000"/>
                <w:sz w:val="16"/>
                <w:szCs w:val="16"/>
              </w:rPr>
            </w:pPr>
            <w:r w:rsidRPr="00E20B64">
              <w:rPr>
                <w:color w:val="000000"/>
                <w:sz w:val="16"/>
                <w:szCs w:val="16"/>
              </w:rPr>
              <w:t>25%</w:t>
            </w:r>
          </w:p>
        </w:tc>
      </w:tr>
    </w:tbl>
    <w:p w:rsidRPr="00E20B64" w:rsidR="002C6314" w:rsidP="002C6314" w:rsidRDefault="002C6314">
      <w:pPr>
        <w:rPr>
          <w:b/>
          <w:bCs/>
          <w:iCs/>
          <w:highlight w:val="yellow"/>
        </w:rPr>
      </w:pPr>
    </w:p>
    <w:p w:rsidRPr="00E20B64" w:rsidR="002C6314" w:rsidP="002C6314" w:rsidRDefault="002C6314">
      <w:pPr>
        <w:rPr>
          <w:iCs/>
        </w:rPr>
      </w:pPr>
    </w:p>
    <w:p w:rsidRPr="00E20B64" w:rsidR="002C6314" w:rsidP="002C6314" w:rsidRDefault="002C6314">
      <w:pPr>
        <w:rPr>
          <w:iCs/>
        </w:rPr>
      </w:pPr>
      <w:r w:rsidRPr="00E20B64">
        <w:rPr>
          <w:iCs/>
        </w:rPr>
        <w:t>De scholen die niet hebben geïnventariseerd geven daar verschillende redenen voor op (tussen haakjes het aantal getelde respondenten):</w:t>
      </w:r>
    </w:p>
    <w:p w:rsidRPr="00E20B64" w:rsidR="002C6314" w:rsidP="002C6314" w:rsidRDefault="002C6314">
      <w:pPr>
        <w:rPr>
          <w:iCs/>
        </w:rPr>
      </w:pPr>
      <w:r w:rsidRPr="00E20B64">
        <w:rPr>
          <w:iCs/>
        </w:rPr>
        <w:t>Asbestinventarisatie wordt eind van het schooljaar of in 2013 uitgevoerd (59)</w:t>
      </w:r>
    </w:p>
    <w:p w:rsidRPr="00E20B64" w:rsidR="002C6314" w:rsidP="002C6314" w:rsidRDefault="002C6314">
      <w:pPr>
        <w:rPr>
          <w:iCs/>
        </w:rPr>
      </w:pPr>
      <w:r w:rsidRPr="00E20B64">
        <w:rPr>
          <w:iCs/>
        </w:rPr>
        <w:t>Schoolgebouw is volgens schoolbestuur van na 1994 en daardoor niet asbestverdacht (35)</w:t>
      </w:r>
    </w:p>
    <w:p w:rsidRPr="00E20B64" w:rsidR="002C6314" w:rsidP="002C6314" w:rsidRDefault="002C6314">
      <w:pPr>
        <w:rPr>
          <w:iCs/>
        </w:rPr>
      </w:pPr>
      <w:r w:rsidRPr="00E20B64">
        <w:rPr>
          <w:iCs/>
        </w:rPr>
        <w:t>De school zit inmiddels in een nieuw pand; het oude pand is niet meer als school in gebruik (8)</w:t>
      </w:r>
    </w:p>
    <w:p w:rsidRPr="00E20B64" w:rsidR="002C6314" w:rsidP="002C6314" w:rsidRDefault="002C6314">
      <w:pPr>
        <w:rPr>
          <w:iCs/>
        </w:rPr>
      </w:pPr>
      <w:r w:rsidRPr="00E20B64">
        <w:rPr>
          <w:iCs/>
        </w:rPr>
        <w:t>De school wordt in 2013 gesloopt en het uitvoeren van een inventarisatie is niet zinvol (8)</w:t>
      </w:r>
    </w:p>
    <w:p w:rsidRPr="00E20B64" w:rsidR="002C6314" w:rsidP="002C6314" w:rsidRDefault="002C6314">
      <w:pPr>
        <w:rPr>
          <w:iCs/>
        </w:rPr>
      </w:pPr>
      <w:r w:rsidRPr="00E20B64">
        <w:rPr>
          <w:iCs/>
        </w:rPr>
        <w:t>Het pand of een aantal ruimten in het pand is enkele jaren geleden onderzocht en er is geen aanleiding voor actie (1)</w:t>
      </w:r>
    </w:p>
    <w:p w:rsidRPr="00E20B64" w:rsidR="002C6314" w:rsidP="002C6314" w:rsidRDefault="002C6314">
      <w:pPr>
        <w:rPr>
          <w:iCs/>
        </w:rPr>
      </w:pPr>
      <w:r w:rsidRPr="00E20B64">
        <w:rPr>
          <w:iCs/>
        </w:rPr>
        <w:t>Het uitvoeren van een asbestinventarisatie is nog niet wettelijk verplicht (1)</w:t>
      </w:r>
    </w:p>
    <w:p w:rsidRPr="00E20B64" w:rsidR="002C6314" w:rsidP="002C6314" w:rsidRDefault="002C6314">
      <w:pPr>
        <w:rPr>
          <w:iCs/>
        </w:rPr>
      </w:pPr>
      <w:r w:rsidRPr="00E20B64">
        <w:rPr>
          <w:iCs/>
        </w:rPr>
        <w:t>De school is gebouwd zonder dat asbest werd toegepast (1)</w:t>
      </w:r>
    </w:p>
    <w:p w:rsidRPr="00E20B64" w:rsidR="002C6314" w:rsidP="002C6314" w:rsidRDefault="002C6314">
      <w:pPr>
        <w:rPr>
          <w:iCs/>
        </w:rPr>
      </w:pPr>
    </w:p>
    <w:p w:rsidRPr="00E20B64" w:rsidR="002C6314" w:rsidP="002C6314" w:rsidRDefault="002C6314">
      <w:pPr>
        <w:rPr>
          <w:iCs/>
        </w:rPr>
      </w:pPr>
      <w:r w:rsidRPr="00E20B64">
        <w:rPr>
          <w:iCs/>
        </w:rPr>
        <w:t xml:space="preserve">De asbestsector bevestigt dat er meer aandacht is voor asbest en dat de capaciteit nog steeds onder druk staat. Uitbreiding van de capaciteit kost veel tijd omdat mensen moeten worden aangezocht en opgeleid tot deskundige asbestinventariseerder of asbestsaneerder. </w:t>
      </w:r>
    </w:p>
    <w:p w:rsidRPr="00E20B64" w:rsidR="002C6314" w:rsidP="002C6314" w:rsidRDefault="002C6314">
      <w:pPr>
        <w:rPr>
          <w:iCs/>
        </w:rPr>
      </w:pPr>
    </w:p>
    <w:p w:rsidRPr="00E20B64" w:rsidR="002C6314" w:rsidP="002C6314" w:rsidRDefault="002C6314">
      <w:pPr>
        <w:rPr>
          <w:iCs/>
        </w:rPr>
      </w:pPr>
      <w:r w:rsidRPr="00E20B64">
        <w:rPr>
          <w:iCs/>
        </w:rPr>
        <w:t xml:space="preserve">Een aantal scholen heeft na de sluitingsdatum van 30 september 2012 gereageerd. Als reden voor de late reactie wordt vaak gegeven dat men van mening was dat de enquête pas kon worden ingevuld, zodra de inventarisatie was afgerond. Ook dit toont aan dat er nog altijd volop onderzoek wordt gedaan naar asbest in scholen. </w:t>
      </w:r>
    </w:p>
    <w:p w:rsidR="002C6314" w:rsidP="002C6314" w:rsidRDefault="002C6314">
      <w:pPr>
        <w:rPr>
          <w:b/>
          <w:bCs/>
        </w:rPr>
      </w:pPr>
    </w:p>
    <w:p w:rsidRPr="00E20B64" w:rsidR="002C6314" w:rsidP="002C6314" w:rsidRDefault="002C6314">
      <w:pPr>
        <w:rPr>
          <w:b/>
          <w:bCs/>
        </w:rPr>
      </w:pPr>
      <w:r w:rsidRPr="00E20B64">
        <w:rPr>
          <w:b/>
          <w:bCs/>
        </w:rPr>
        <w:t>Resultaten enquête naar asbestsituatie in ziekenhuizen</w:t>
      </w:r>
    </w:p>
    <w:p w:rsidRPr="00E20B64" w:rsidR="002C6314" w:rsidP="002C6314" w:rsidRDefault="002C6314">
      <w:r w:rsidRPr="00E20B64">
        <w:t>Het bestuur en de directie van 125 ziekenhuizen zijn op 17 augustus 2012 per brief gevraagd een digitale enquête in te vullen over de asbestsituatie in het ziekenhuis. In de enquête werd gevraagd om op hoofdlijnen informatie te verstrekken over de gebouwen en locaties. Voor de adresgegevens is gebruik gemaakt van de adreslijst van de Vereniging van Ziekenhuizen (NVZ) en de Nederlandse Federatie van Universitaire Medische Centra (NFU).</w:t>
      </w:r>
    </w:p>
    <w:p w:rsidRPr="00E20B64" w:rsidR="002C6314" w:rsidP="002C6314" w:rsidRDefault="002C6314"/>
    <w:p w:rsidR="002C6314" w:rsidRDefault="002C6314">
      <w:pPr>
        <w:widowControl/>
        <w:suppressAutoHyphens w:val="0"/>
        <w:autoSpaceDN/>
        <w:spacing w:line="360" w:lineRule="exact"/>
        <w:textAlignment w:val="auto"/>
        <w:rPr>
          <w:iCs/>
        </w:rPr>
      </w:pPr>
      <w:r>
        <w:rPr>
          <w:iCs/>
        </w:rPr>
        <w:br w:type="page"/>
      </w:r>
    </w:p>
    <w:p w:rsidRPr="00E20B64" w:rsidR="002C6314" w:rsidP="002C6314" w:rsidRDefault="002C6314">
      <w:pPr>
        <w:rPr>
          <w:iCs/>
        </w:rPr>
      </w:pPr>
      <w:r w:rsidRPr="00E20B64">
        <w:rPr>
          <w:iCs/>
        </w:rPr>
        <w:lastRenderedPageBreak/>
        <w:t>Tabel 3: Overzicht van de resultaten enquête asbest in ziekenhuizen in 2012</w:t>
      </w:r>
    </w:p>
    <w:p w:rsidRPr="00E20B64" w:rsidR="002C6314" w:rsidP="002C6314" w:rsidRDefault="002C6314">
      <w:pPr>
        <w:rPr>
          <w:iCs/>
        </w:rPr>
      </w:pPr>
    </w:p>
    <w:tbl>
      <w:tblPr>
        <w:tblpPr w:leftFromText="141" w:rightFromText="141" w:vertAnchor="text" w:tblpY="1"/>
        <w:tblOverlap w:val="never"/>
        <w:tblW w:w="6072" w:type="dxa"/>
        <w:tblInd w:w="108" w:type="dxa"/>
        <w:tblLayout w:type="fixed"/>
        <w:tblCellMar>
          <w:left w:w="0" w:type="dxa"/>
          <w:right w:w="0" w:type="dxa"/>
        </w:tblCellMar>
        <w:tblLook w:val="00A0"/>
      </w:tblPr>
      <w:tblGrid>
        <w:gridCol w:w="709"/>
        <w:gridCol w:w="2527"/>
        <w:gridCol w:w="709"/>
        <w:gridCol w:w="709"/>
        <w:gridCol w:w="709"/>
        <w:gridCol w:w="709"/>
      </w:tblGrid>
      <w:tr w:rsidRPr="00E20B64" w:rsidR="002C6314" w:rsidTr="002C6314">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sz w:val="16"/>
                <w:szCs w:val="16"/>
              </w:rPr>
            </w:pPr>
          </w:p>
        </w:tc>
        <w:tc>
          <w:tcPr>
            <w:tcW w:w="252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sz w:val="16"/>
                <w:szCs w:val="16"/>
              </w:rPr>
            </w:pP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sz w:val="14"/>
                <w:szCs w:val="14"/>
              </w:rPr>
            </w:pPr>
            <w:r w:rsidRPr="00E20B64">
              <w:rPr>
                <w:sz w:val="14"/>
                <w:szCs w:val="14"/>
              </w:rPr>
              <w:t>Aantal</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sz w:val="14"/>
                <w:szCs w:val="14"/>
              </w:rPr>
            </w:pPr>
            <w:r w:rsidRPr="00E20B64">
              <w:rPr>
                <w:sz w:val="14"/>
                <w:szCs w:val="14"/>
              </w:rPr>
              <w:t>Perc.</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sz w:val="14"/>
                <w:szCs w:val="14"/>
              </w:rPr>
            </w:pPr>
            <w:r w:rsidRPr="00E20B64">
              <w:rPr>
                <w:sz w:val="14"/>
                <w:szCs w:val="14"/>
              </w:rPr>
              <w:t>Aantal</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sz w:val="14"/>
                <w:szCs w:val="14"/>
              </w:rPr>
            </w:pPr>
            <w:r w:rsidRPr="00E20B64">
              <w:rPr>
                <w:sz w:val="14"/>
                <w:szCs w:val="14"/>
              </w:rPr>
              <w:t>Perc.</w:t>
            </w: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rsidRPr="00E20B64" w:rsidR="002C6314" w:rsidP="002C6314" w:rsidRDefault="002C6314">
            <w:pPr>
              <w:rPr>
                <w:b/>
                <w:bCs/>
                <w:color w:val="000000"/>
                <w:sz w:val="16"/>
                <w:szCs w:val="16"/>
              </w:rPr>
            </w:pPr>
            <w:r w:rsidRPr="00E20B64">
              <w:rPr>
                <w:b/>
                <w:bCs/>
                <w:color w:val="000000"/>
                <w:sz w:val="16"/>
                <w:szCs w:val="16"/>
              </w:rPr>
              <w:t>2012</w:t>
            </w:r>
          </w:p>
        </w:tc>
        <w:tc>
          <w:tcPr>
            <w:tcW w:w="2527"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2C6314" w:rsidRDefault="002C6314">
            <w:pPr>
              <w:rPr>
                <w:color w:val="000000"/>
                <w:sz w:val="16"/>
                <w:szCs w:val="16"/>
              </w:rPr>
            </w:pPr>
            <w:r w:rsidRPr="00E20B64">
              <w:rPr>
                <w:color w:val="000000"/>
                <w:sz w:val="16"/>
                <w:szCs w:val="16"/>
              </w:rPr>
              <w:t>Aangeschreven besturen</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2C6314" w:rsidRDefault="002C6314">
            <w:pPr>
              <w:rPr>
                <w:b/>
                <w:bCs/>
                <w:color w:val="000000"/>
                <w:sz w:val="14"/>
                <w:szCs w:val="14"/>
              </w:rPr>
            </w:pPr>
            <w:r w:rsidRPr="00E20B64">
              <w:rPr>
                <w:b/>
                <w:bCs/>
                <w:color w:val="000000"/>
                <w:sz w:val="14"/>
                <w:szCs w:val="14"/>
              </w:rPr>
              <w:t>125</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bottom"/>
          </w:tcPr>
          <w:p w:rsidRPr="00E20B64" w:rsidR="002C6314" w:rsidP="002C6314" w:rsidRDefault="002C6314">
            <w:pPr>
              <w:rPr>
                <w:b/>
                <w:bCs/>
                <w:color w:val="000000"/>
                <w:sz w:val="14"/>
                <w:szCs w:val="14"/>
              </w:rPr>
            </w:pPr>
            <w:r w:rsidRPr="00E20B64">
              <w:rPr>
                <w:b/>
                <w:bCs/>
                <w:color w:val="000000"/>
                <w:sz w:val="14"/>
                <w:szCs w:val="14"/>
              </w:rPr>
              <w:t>100%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Geen ziekenhuislocaties</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17</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 xml:space="preserve">Geen reactie </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8</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Reactie (per bestuur)</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r w:rsidRPr="00E20B64">
              <w:rPr>
                <w:b/>
                <w:bCs/>
                <w:color w:val="000000"/>
                <w:sz w:val="14"/>
                <w:szCs w:val="14"/>
              </w:rPr>
              <w:t>100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r w:rsidRPr="00E20B64">
              <w:rPr>
                <w:b/>
                <w:bCs/>
                <w:color w:val="000000"/>
                <w:sz w:val="14"/>
                <w:szCs w:val="14"/>
              </w:rPr>
              <w:t>100%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 xml:space="preserve">Locatie vóór 1994 </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90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90%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r w:rsidRPr="00E20B64">
              <w:rPr>
                <w:b/>
                <w:bCs/>
                <w:color w:val="000000"/>
                <w:sz w:val="14"/>
                <w:szCs w:val="14"/>
              </w:rPr>
              <w:t>90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r w:rsidRPr="00E20B64">
              <w:rPr>
                <w:b/>
                <w:bCs/>
                <w:color w:val="000000"/>
                <w:sz w:val="14"/>
                <w:szCs w:val="14"/>
              </w:rPr>
              <w:t>100%</w:t>
            </w: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Geheel geïnventariseerd</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b/>
                <w:bCs/>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38</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42%</w:t>
            </w: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 xml:space="preserve">Deels geïnventariseerd </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38</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42%</w:t>
            </w: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Niet geïnventariseerd</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14</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16%</w:t>
            </w:r>
          </w:p>
        </w:tc>
      </w:tr>
      <w:tr w:rsidRPr="00E20B64" w:rsidR="002C6314" w:rsidTr="002C6314">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6"/>
                <w:szCs w:val="16"/>
              </w:rPr>
            </w:pPr>
            <w:r w:rsidRPr="00E20B64">
              <w:rPr>
                <w:color w:val="000000"/>
                <w:sz w:val="16"/>
                <w:szCs w:val="16"/>
              </w:rPr>
              <w:t>Locatie na 1994</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10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r w:rsidRPr="00E20B64">
              <w:rPr>
                <w:color w:val="000000"/>
                <w:sz w:val="14"/>
                <w:szCs w:val="14"/>
              </w:rPr>
              <w:t>10%</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rsidRPr="00E20B64" w:rsidR="002C6314" w:rsidP="002C6314" w:rsidRDefault="002C6314">
            <w:pPr>
              <w:rPr>
                <w:color w:val="000000"/>
                <w:sz w:val="14"/>
                <w:szCs w:val="14"/>
              </w:rPr>
            </w:pPr>
          </w:p>
        </w:tc>
      </w:tr>
    </w:tbl>
    <w:p w:rsidRPr="00E20B64" w:rsidR="002C6314" w:rsidP="002C6314" w:rsidRDefault="002C6314">
      <w:r>
        <w:br w:type="textWrapping" w:clear="all"/>
      </w:r>
    </w:p>
    <w:p w:rsidRPr="00E20B64" w:rsidR="002C6314" w:rsidP="002C6314" w:rsidRDefault="002C6314">
      <w:r w:rsidRPr="00E20B64">
        <w:t xml:space="preserve">Van het totaal (125) aangeschreven besturen hebben 117 besturen (telefonisch of via de enquête) gereageerd. Dit is een respons van 94 %. 17 besturen hebben aangegeven geen ziekenhuis te zijn en worden om die reden niet verder meegenomen in deze inventarisatie. </w:t>
      </w:r>
    </w:p>
    <w:p w:rsidRPr="00E20B64" w:rsidR="002C6314" w:rsidP="002C6314" w:rsidRDefault="002C6314"/>
    <w:p w:rsidRPr="00E20B64" w:rsidR="002C6314" w:rsidP="002C6314" w:rsidRDefault="002C6314">
      <w:r w:rsidRPr="00E20B64">
        <w:t xml:space="preserve">Door 100 ziekenhuisbesturen is de enquête ingevuld. </w:t>
      </w:r>
    </w:p>
    <w:p w:rsidRPr="00E20B64" w:rsidR="002C6314" w:rsidP="002C6314" w:rsidRDefault="002C6314">
      <w:pPr>
        <w:rPr>
          <w:highlight w:val="yellow"/>
        </w:rPr>
      </w:pPr>
      <w:r w:rsidRPr="00E20B64">
        <w:t xml:space="preserve">Van de 100 besturen gaan er 10 uitsluitend over ziekenhuizen die volledig zijn gebouwd na 1994. De andere 90 besturen hebben ziekenhuisgebouwen die geheel (23) of gedeeltelijk (67) gebouwd zijn vóór 1994. </w:t>
      </w:r>
    </w:p>
    <w:p w:rsidRPr="00E20B64" w:rsidR="002C6314" w:rsidP="002C6314" w:rsidRDefault="002C6314"/>
    <w:p w:rsidRPr="00E20B64" w:rsidR="002C6314" w:rsidP="002C6314" w:rsidRDefault="002C6314">
      <w:r w:rsidRPr="00E20B64">
        <w:t xml:space="preserve">Van alle ziekenhuizen vóór 1994 (90) zijn er 38 die alles geïnventariseerd hebben en 38 die gedeeltelijk geïnventariseerd hebben. 14 ziekenhuizen hebben geen asbestinventarisatie gedaan. Bij de ziekenhuizen die geheel of gedeeltelijk hebben geïnventariseerd is in 74 gevallen asbest aangetroffen. </w:t>
      </w:r>
    </w:p>
    <w:p w:rsidRPr="00F22CDC" w:rsidR="00A17C6E" w:rsidRDefault="00A17C6E"/>
    <w:sectPr w:rsidRPr="00F22CDC" w:rsidR="00A17C6E" w:rsidSect="002C6314">
      <w:headerReference w:type="even" r:id="rId6"/>
      <w:headerReference w:type="default" r:id="rId7"/>
      <w:footerReference w:type="even" r:id="rId8"/>
      <w:footerReference w:type="default" r:id="rId9"/>
      <w:headerReference w:type="first" r:id="rId10"/>
      <w:footerReference w:type="first" r:id="rId11"/>
      <w:pgSz w:w="11905" w:h="16837"/>
      <w:pgMar w:top="2948" w:right="1415" w:bottom="1049" w:left="1134"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314" w:rsidRDefault="002C6314" w:rsidP="002C6314">
      <w:pPr>
        <w:spacing w:line="240" w:lineRule="auto"/>
      </w:pPr>
      <w:r>
        <w:separator/>
      </w:r>
    </w:p>
  </w:endnote>
  <w:endnote w:type="continuationSeparator" w:id="0">
    <w:p w:rsidR="002C6314" w:rsidRDefault="002C6314" w:rsidP="002C63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ejaVu Sans">
    <w:altName w:val="Arial"/>
    <w:charset w:val="00"/>
    <w:family w:val="swiss"/>
    <w:pitch w:val="variable"/>
    <w:sig w:usb0="E7002EFF" w:usb1="D200FDFF" w:usb2="0A042029" w:usb3="00000000" w:csb0="8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14" w:rsidRDefault="002C6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14" w:rsidRDefault="002C63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14" w:rsidRDefault="002C6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314" w:rsidRDefault="002C6314" w:rsidP="002C6314">
      <w:pPr>
        <w:spacing w:line="240" w:lineRule="auto"/>
      </w:pPr>
      <w:r>
        <w:separator/>
      </w:r>
    </w:p>
  </w:footnote>
  <w:footnote w:type="continuationSeparator" w:id="0">
    <w:p w:rsidR="002C6314" w:rsidRDefault="002C6314" w:rsidP="002C6314">
      <w:pPr>
        <w:spacing w:line="240" w:lineRule="auto"/>
      </w:pPr>
      <w:r>
        <w:continuationSeparator/>
      </w:r>
    </w:p>
  </w:footnote>
  <w:footnote w:id="1">
    <w:p w:rsidR="002C6314" w:rsidRDefault="002C6314" w:rsidP="002C6314">
      <w:pPr>
        <w:pStyle w:val="FootnoteText"/>
      </w:pPr>
      <w:r>
        <w:rPr>
          <w:rStyle w:val="FootnoteReference"/>
        </w:rPr>
        <w:footnoteRef/>
      </w:r>
      <w:r>
        <w:t xml:space="preserve"> </w:t>
      </w:r>
      <w:r w:rsidRPr="006A27B5">
        <w:rPr>
          <w:iCs/>
          <w:sz w:val="16"/>
          <w:szCs w:val="16"/>
        </w:rPr>
        <w:t>Zie de enquêteresultaten in de brief d.d. 26 januari 2012, TK 22 343, nr. 277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14" w:rsidRDefault="002C63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72" w:rsidRDefault="000906C4">
    <w:pPr>
      <w:pStyle w:val="Header"/>
    </w:pPr>
    <w:r w:rsidRPr="000906C4">
      <w:rPr>
        <w:noProof/>
        <w:lang w:eastAsia="nl-NL"/>
      </w:rPr>
      <w:pict>
        <v:shapetype id="_x0000_t202" coordsize="21600,21600" o:spt="202" path="m,l,21600r21600,l21600,xe">
          <v:stroke joinstyle="miter"/>
          <v:path gradientshapeok="t" o:connecttype="rect"/>
        </v:shapetype>
        <v:shape id="Text Box 18" o:spid="_x0000_s2050" type="#_x0000_t202" style="position:absolute;margin-left:466.35pt;margin-top:805.15pt;width:99.2pt;height:16.85pt;z-index:251663360;visibility:visible;mso-position-horizontal-relative:page;mso-position-vertical-relative:page" strokecolor="white" strokeweight="0">
          <v:textbox inset="0,0,0,0">
            <w:txbxContent>
              <w:p w:rsidR="00CA3472" w:rsidRDefault="002C6314">
                <w:pPr>
                  <w:pStyle w:val="Huisstijl-Paginanummer"/>
                </w:pPr>
                <w:r>
                  <w:t xml:space="preserve">Pagina </w:t>
                </w:r>
                <w:r w:rsidR="000906C4">
                  <w:fldChar w:fldCharType="begin"/>
                </w:r>
                <w:r>
                  <w:instrText xml:space="preserve"> PAGE    \* MERGEFORMAT </w:instrText>
                </w:r>
                <w:r w:rsidR="000906C4">
                  <w:fldChar w:fldCharType="separate"/>
                </w:r>
                <w:r w:rsidR="00E54A11">
                  <w:rPr>
                    <w:noProof/>
                  </w:rPr>
                  <w:t>2</w:t>
                </w:r>
                <w:r w:rsidR="000906C4">
                  <w:fldChar w:fldCharType="end"/>
                </w:r>
                <w:r>
                  <w:t xml:space="preserve"> van </w:t>
                </w:r>
                <w:fldSimple w:instr=" SECTIONPAGES  \* Arabic  \* MERGEFORMAT ">
                  <w:r w:rsidR="00E54A11">
                    <w:rPr>
                      <w:noProof/>
                    </w:rPr>
                    <w:t>2</w:t>
                  </w:r>
                </w:fldSimple>
              </w:p>
              <w:p w:rsidR="00CA3472" w:rsidRDefault="00E54A11"/>
              <w:p w:rsidR="00CA3472" w:rsidRDefault="00E54A11">
                <w:pPr>
                  <w:pStyle w:val="Huisstijl-Paginanummer"/>
                </w:pPr>
              </w:p>
              <w:p w:rsidR="00CA3472" w:rsidRDefault="00E54A11">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72" w:rsidRDefault="002C6314">
    <w:pPr>
      <w:pStyle w:val="Header"/>
    </w:pPr>
    <w:r>
      <w:rPr>
        <w:noProof/>
        <w:lang w:val="en-US" w:eastAsia="en-US"/>
      </w:rPr>
      <w:drawing>
        <wp:anchor distT="0" distB="0" distL="114300" distR="114300" simplePos="0" relativeHeight="251661312" behindDoc="0" locked="0" layoutInCell="1" allowOverlap="1">
          <wp:simplePos x="0" y="0"/>
          <wp:positionH relativeFrom="page">
            <wp:posOffset>3542665</wp:posOffset>
          </wp:positionH>
          <wp:positionV relativeFrom="page">
            <wp:posOffset>0</wp:posOffset>
          </wp:positionV>
          <wp:extent cx="464185" cy="1580515"/>
          <wp:effectExtent l="1905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Placeholder_Logo.png"/>
                  <pic:cNvPicPr>
                    <a:picLocks noChangeAspect="1" noChangeArrowheads="1"/>
                  </pic:cNvPicPr>
                </pic:nvPicPr>
                <pic:blipFill>
                  <a:blip r:embed="rId1"/>
                  <a:srcRect/>
                  <a:stretch>
                    <a:fillRect/>
                  </a:stretch>
                </pic:blipFill>
                <pic:spPr bwMode="auto">
                  <a:xfrm>
                    <a:off x="0" y="0"/>
                    <a:ext cx="464185" cy="1580515"/>
                  </a:xfrm>
                  <a:prstGeom prst="rect">
                    <a:avLst/>
                  </a:prstGeom>
                  <a:noFill/>
                  <a:ln w="3175">
                    <a:miter lim="800000"/>
                    <a:headEnd/>
                    <a:tailEnd/>
                  </a:ln>
                </pic:spPr>
              </pic:pic>
            </a:graphicData>
          </a:graphic>
        </wp:anchor>
      </w:drawing>
    </w:r>
    <w:r w:rsidR="000906C4" w:rsidRPr="000906C4">
      <w:rPr>
        <w:noProof/>
        <w:lang w:eastAsia="nl-NL"/>
      </w:rPr>
      <w:pict>
        <v:shapetype id="_x0000_t202" coordsize="21600,21600" o:spt="202" path="m,l,21600r21600,l21600,xe">
          <v:stroke joinstyle="miter"/>
          <v:path gradientshapeok="t" o:connecttype="rect"/>
        </v:shapetype>
        <v:shape id="_x0000_s2056" type="#_x0000_t202" style="position:absolute;margin-left:466.35pt;margin-top:805.1pt;width:57.55pt;height:8.5pt;z-index:251669504;visibility:visible;mso-position-horizontal-relative:page;mso-position-vertical-relative:page" strokecolor="white" strokeweight="0">
          <v:textbox inset="0,0,0,0">
            <w:txbxContent>
              <w:p w:rsidR="00CA3472" w:rsidRDefault="002C6314">
                <w:pPr>
                  <w:pStyle w:val="Huisstijl-Paginanummer"/>
                </w:pPr>
                <w:r>
                  <w:t xml:space="preserve">Pagina </w:t>
                </w:r>
                <w:r w:rsidR="000906C4">
                  <w:fldChar w:fldCharType="begin"/>
                </w:r>
                <w:r>
                  <w:instrText xml:space="preserve"> PAGE    \* MERGEFORMAT </w:instrText>
                </w:r>
                <w:r w:rsidR="000906C4">
                  <w:fldChar w:fldCharType="separate"/>
                </w:r>
                <w:r w:rsidR="00E54A11">
                  <w:rPr>
                    <w:noProof/>
                  </w:rPr>
                  <w:t>1</w:t>
                </w:r>
                <w:r w:rsidR="000906C4">
                  <w:fldChar w:fldCharType="end"/>
                </w:r>
                <w:r>
                  <w:t xml:space="preserve"> van </w:t>
                </w:r>
                <w:fldSimple w:instr=" SECTIONPAGES  \* Arabic  \* MERGEFORMAT ">
                  <w:r w:rsidR="00E54A11">
                    <w:rPr>
                      <w:noProof/>
                    </w:rPr>
                    <w:t>1</w:t>
                  </w:r>
                </w:fldSimple>
              </w:p>
            </w:txbxContent>
          </v:textbox>
          <w10:wrap anchorx="page" anchory="page"/>
          <w10:anchorlock/>
        </v:shape>
      </w:pict>
    </w:r>
    <w:r w:rsidR="000906C4" w:rsidRPr="000906C4">
      <w:rPr>
        <w:noProof/>
        <w:lang w:eastAsia="nl-NL"/>
      </w:rPr>
      <w:pict>
        <v:shape id="_x0000_s2053" type="#_x0000_t202" style="position:absolute;margin-left:79.4pt;margin-top:266.5pt;width:323.15pt;height:14.15pt;z-index:251666432;visibility:visible;mso-position-horizontal-relative:page;mso-position-vertical-relative:page" strokecolor="white" strokeweight="0">
          <v:textbox inset="0,0,0,0">
            <w:txbxContent>
              <w:p w:rsidR="00CA3472" w:rsidRDefault="00E54A11">
                <w:pPr>
                  <w:pStyle w:val="Huisstijl-Toezendgegevens"/>
                </w:pP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2C6314"/>
    <w:rsid w:val="000906C4"/>
    <w:rsid w:val="000F0575"/>
    <w:rsid w:val="00274A01"/>
    <w:rsid w:val="002C6314"/>
    <w:rsid w:val="00591B76"/>
    <w:rsid w:val="00683DD0"/>
    <w:rsid w:val="006C4870"/>
    <w:rsid w:val="006C4C03"/>
    <w:rsid w:val="007C10E9"/>
    <w:rsid w:val="007E7B26"/>
    <w:rsid w:val="008E5509"/>
    <w:rsid w:val="00906DB3"/>
    <w:rsid w:val="009F5FA9"/>
    <w:rsid w:val="00A17C6E"/>
    <w:rsid w:val="00A5537A"/>
    <w:rsid w:val="00AD0077"/>
    <w:rsid w:val="00B013B2"/>
    <w:rsid w:val="00B30839"/>
    <w:rsid w:val="00C0571C"/>
    <w:rsid w:val="00C4077C"/>
    <w:rsid w:val="00E266A2"/>
    <w:rsid w:val="00E369DA"/>
    <w:rsid w:val="00E54A11"/>
    <w:rsid w:val="00E7743D"/>
    <w:rsid w:val="00ED1365"/>
    <w:rsid w:val="00F22CDC"/>
    <w:rsid w:val="00F83652"/>
    <w:rsid w:val="00FB6D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314"/>
    <w:pPr>
      <w:widowControl w:val="0"/>
      <w:suppressAutoHyphens/>
      <w:autoSpaceDN w:val="0"/>
      <w:spacing w:line="240" w:lineRule="exact"/>
      <w:textAlignment w:val="baseline"/>
    </w:pPr>
    <w:rPr>
      <w:rFonts w:ascii="Verdana" w:eastAsia="DejaVu Sans" w:hAnsi="Verdana" w:cs="Verdana"/>
      <w:kern w:val="3"/>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etouradres">
    <w:name w:val="Huisstijl - Retouradres"/>
    <w:basedOn w:val="Normal"/>
    <w:next w:val="Normal"/>
    <w:uiPriority w:val="99"/>
    <w:rsid w:val="002C6314"/>
    <w:pPr>
      <w:spacing w:after="283" w:line="180" w:lineRule="exact"/>
    </w:pPr>
    <w:rPr>
      <w:sz w:val="13"/>
      <w:szCs w:val="13"/>
    </w:rPr>
  </w:style>
  <w:style w:type="paragraph" w:customStyle="1" w:styleId="Huisstijl-Toezendgegevens">
    <w:name w:val="Huisstijl - Toezendgegevens"/>
    <w:basedOn w:val="Normal"/>
    <w:uiPriority w:val="99"/>
    <w:rsid w:val="002C6314"/>
  </w:style>
  <w:style w:type="paragraph" w:customStyle="1" w:styleId="Huisstijl-Datumenbetreft">
    <w:name w:val="Huisstijl - Datum en betreft"/>
    <w:basedOn w:val="Normal"/>
    <w:uiPriority w:val="99"/>
    <w:rsid w:val="002C6314"/>
    <w:pPr>
      <w:tabs>
        <w:tab w:val="left" w:pos="737"/>
      </w:tabs>
    </w:pPr>
  </w:style>
  <w:style w:type="paragraph" w:customStyle="1" w:styleId="Huisstijl-Afzendgegevenskop">
    <w:name w:val="Huisstijl - Afzendgegevens kop"/>
    <w:basedOn w:val="Normal"/>
    <w:rsid w:val="002C6314"/>
    <w:pPr>
      <w:spacing w:line="180" w:lineRule="exact"/>
    </w:pPr>
    <w:rPr>
      <w:b/>
      <w:bCs/>
      <w:sz w:val="13"/>
      <w:szCs w:val="13"/>
    </w:rPr>
  </w:style>
  <w:style w:type="paragraph" w:customStyle="1" w:styleId="Huisstijl-Afzendgegevens">
    <w:name w:val="Huisstijl - Afzendgegevens"/>
    <w:basedOn w:val="Normal"/>
    <w:rsid w:val="002C6314"/>
    <w:pPr>
      <w:tabs>
        <w:tab w:val="left" w:pos="170"/>
      </w:tabs>
      <w:spacing w:line="180" w:lineRule="exact"/>
    </w:pPr>
    <w:rPr>
      <w:sz w:val="13"/>
      <w:szCs w:val="13"/>
    </w:rPr>
  </w:style>
  <w:style w:type="paragraph" w:customStyle="1" w:styleId="Huisstijl-AfzendgegevensW1">
    <w:name w:val="Huisstijl - Afzendgegevens W1"/>
    <w:basedOn w:val="Huisstijl-Afzendgegevens"/>
    <w:rsid w:val="002C6314"/>
    <w:pPr>
      <w:spacing w:before="90"/>
    </w:pPr>
  </w:style>
  <w:style w:type="paragraph" w:customStyle="1" w:styleId="Huisstijl-Referentiegegevens">
    <w:name w:val="Huisstijl - Referentiegegevens"/>
    <w:basedOn w:val="Normal"/>
    <w:uiPriority w:val="99"/>
    <w:rsid w:val="002C6314"/>
    <w:pPr>
      <w:spacing w:line="180" w:lineRule="exact"/>
    </w:pPr>
    <w:rPr>
      <w:sz w:val="13"/>
      <w:szCs w:val="13"/>
    </w:rPr>
  </w:style>
  <w:style w:type="paragraph" w:customStyle="1" w:styleId="Huisstijl-ReferentiegegevenskopW2">
    <w:name w:val="Huisstijl - Referentiegegevens kop W2"/>
    <w:basedOn w:val="Normal"/>
    <w:next w:val="Huisstijl-Referentiegegevens"/>
    <w:rsid w:val="002C6314"/>
    <w:pPr>
      <w:spacing w:before="270" w:line="180" w:lineRule="exact"/>
    </w:pPr>
    <w:rPr>
      <w:b/>
      <w:bCs/>
      <w:sz w:val="13"/>
      <w:szCs w:val="13"/>
    </w:rPr>
  </w:style>
  <w:style w:type="paragraph" w:customStyle="1" w:styleId="Huisstijl-Paginanummer">
    <w:name w:val="Huisstijl - Paginanummer"/>
    <w:basedOn w:val="Normal"/>
    <w:uiPriority w:val="99"/>
    <w:rsid w:val="002C6314"/>
    <w:pPr>
      <w:spacing w:line="240" w:lineRule="auto"/>
    </w:pPr>
    <w:rPr>
      <w:sz w:val="13"/>
      <w:szCs w:val="13"/>
    </w:rPr>
  </w:style>
  <w:style w:type="paragraph" w:styleId="Header">
    <w:name w:val="header"/>
    <w:basedOn w:val="Normal"/>
    <w:link w:val="HeaderChar"/>
    <w:uiPriority w:val="99"/>
    <w:rsid w:val="002C6314"/>
    <w:pPr>
      <w:tabs>
        <w:tab w:val="center" w:pos="4536"/>
        <w:tab w:val="right" w:pos="9072"/>
      </w:tabs>
    </w:pPr>
  </w:style>
  <w:style w:type="character" w:customStyle="1" w:styleId="HeaderChar">
    <w:name w:val="Header Char"/>
    <w:basedOn w:val="DefaultParagraphFont"/>
    <w:link w:val="Header"/>
    <w:uiPriority w:val="99"/>
    <w:rsid w:val="002C6314"/>
    <w:rPr>
      <w:rFonts w:ascii="Verdana" w:eastAsia="DejaVu Sans" w:hAnsi="Verdana" w:cs="Verdana"/>
      <w:kern w:val="3"/>
      <w:sz w:val="18"/>
      <w:szCs w:val="18"/>
      <w:lang w:eastAsia="zh-CN"/>
    </w:rPr>
  </w:style>
  <w:style w:type="paragraph" w:customStyle="1" w:styleId="Huisstijl-AfzendgegevenskopW1">
    <w:name w:val="Huisstijl - Afzendgegevens kop W1"/>
    <w:basedOn w:val="Huisstijl-Afzendgegevenskop"/>
    <w:uiPriority w:val="99"/>
    <w:rsid w:val="002C6314"/>
    <w:pPr>
      <w:spacing w:before="90"/>
    </w:pPr>
  </w:style>
  <w:style w:type="paragraph" w:styleId="FootnoteText">
    <w:name w:val="footnote text"/>
    <w:basedOn w:val="Normal"/>
    <w:link w:val="FootnoteTextChar"/>
    <w:uiPriority w:val="99"/>
    <w:semiHidden/>
    <w:rsid w:val="002C6314"/>
    <w:pPr>
      <w:spacing w:line="240" w:lineRule="auto"/>
    </w:pPr>
    <w:rPr>
      <w:sz w:val="20"/>
      <w:szCs w:val="20"/>
    </w:rPr>
  </w:style>
  <w:style w:type="character" w:customStyle="1" w:styleId="FootnoteTextChar">
    <w:name w:val="Footnote Text Char"/>
    <w:basedOn w:val="DefaultParagraphFont"/>
    <w:link w:val="FootnoteText"/>
    <w:uiPriority w:val="99"/>
    <w:semiHidden/>
    <w:rsid w:val="002C6314"/>
    <w:rPr>
      <w:rFonts w:ascii="Verdana" w:eastAsia="DejaVu Sans" w:hAnsi="Verdana" w:cs="Verdana"/>
      <w:kern w:val="3"/>
      <w:sz w:val="20"/>
      <w:szCs w:val="20"/>
      <w:lang w:eastAsia="zh-CN"/>
    </w:rPr>
  </w:style>
  <w:style w:type="character" w:styleId="FootnoteReference">
    <w:name w:val="footnote reference"/>
    <w:basedOn w:val="DefaultParagraphFont"/>
    <w:uiPriority w:val="99"/>
    <w:semiHidden/>
    <w:rsid w:val="002C6314"/>
    <w:rPr>
      <w:vertAlign w:val="superscript"/>
    </w:rPr>
  </w:style>
  <w:style w:type="paragraph" w:styleId="Footer">
    <w:name w:val="footer"/>
    <w:basedOn w:val="Normal"/>
    <w:link w:val="FooterChar"/>
    <w:uiPriority w:val="99"/>
    <w:semiHidden/>
    <w:unhideWhenUsed/>
    <w:rsid w:val="002C6314"/>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2C6314"/>
    <w:rPr>
      <w:rFonts w:ascii="Verdana" w:eastAsia="DejaVu Sans" w:hAnsi="Verdana" w:cs="Verdana"/>
      <w:kern w:val="3"/>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815</ap:Words>
  <ap:Characters>4649</ap:Characters>
  <ap:DocSecurity>0</ap:DocSecurity>
  <ap:Lines>38</ap:Lines>
  <ap:Paragraphs>10</ap:Paragraphs>
  <ap:ScaleCrop>false</ap:ScaleCrop>
  <ap:LinksUpToDate>false</ap:LinksUpToDate>
  <ap:CharactersWithSpaces>5454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2013-02-14T12:44:00.0000000Z</lastPrinted>
  <dcterms:created xsi:type="dcterms:W3CDTF">2013-03-05T14:39:00.0000000Z</dcterms:created>
  <dcterms:modified xsi:type="dcterms:W3CDTF">2013-03-05T14:39:00.0000000Z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0x010100030A96E0840E1F41851571AFD4CD3132</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