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723D8" w:rsidR="007A228F" w:rsidP="00734544" w:rsidRDefault="00E4593C">
      <w:pPr>
        <w:spacing w:after="0" w:line="360" w:lineRule="auto"/>
        <w:jc w:val="both"/>
        <w:rPr>
          <w:rFonts w:ascii="Arial" w:hAnsi="Arial" w:cs="Arial"/>
          <w:b/>
          <w:sz w:val="20"/>
          <w:szCs w:val="20"/>
        </w:rPr>
      </w:pPr>
      <w:r w:rsidRPr="00E723D8">
        <w:rPr>
          <w:rFonts w:ascii="Arial" w:hAnsi="Arial" w:cs="Arial"/>
          <w:b/>
          <w:sz w:val="20"/>
          <w:szCs w:val="20"/>
        </w:rPr>
        <w:t>Geannoteerde Agenda ten behoeve van de ingelaste Eurogroep en Ecofin Raad op 12 en 13 december 2012 te Brussel</w:t>
      </w:r>
    </w:p>
    <w:p w:rsidRPr="00E723D8" w:rsidR="00E4593C" w:rsidP="00734544" w:rsidRDefault="00E4593C">
      <w:pPr>
        <w:spacing w:after="0" w:line="360" w:lineRule="auto"/>
        <w:jc w:val="both"/>
        <w:rPr>
          <w:rFonts w:ascii="Arial" w:hAnsi="Arial" w:cs="Arial"/>
          <w:sz w:val="20"/>
          <w:szCs w:val="20"/>
        </w:rPr>
      </w:pPr>
      <w:r w:rsidRPr="00E723D8">
        <w:rPr>
          <w:rFonts w:ascii="Arial" w:hAnsi="Arial" w:cs="Arial"/>
          <w:sz w:val="20"/>
          <w:szCs w:val="20"/>
        </w:rPr>
        <w:t xml:space="preserve">De Ecofin Raad van 4 december jl. heeft besloten een extra bijeenkomst te houden </w:t>
      </w:r>
      <w:r w:rsidRPr="00E723D8" w:rsidR="00AD1782">
        <w:rPr>
          <w:rFonts w:ascii="Arial" w:hAnsi="Arial" w:cs="Arial"/>
          <w:sz w:val="20"/>
          <w:szCs w:val="20"/>
        </w:rPr>
        <w:t xml:space="preserve">over het Europees bankentoezicht </w:t>
      </w:r>
      <w:r w:rsidRPr="00E723D8">
        <w:rPr>
          <w:rFonts w:ascii="Arial" w:hAnsi="Arial" w:cs="Arial"/>
          <w:sz w:val="20"/>
          <w:szCs w:val="20"/>
        </w:rPr>
        <w:t>voor de Europese Raad van 13 en 14 december a.s. Dit met het doel om een algemene inzet vast te stellen voor de triloog met het Europees Parlement en de Europese Commissie en de intentie om voor het einde van dit jaar de finale teksten goed te kunnen keuren. Deze ingelaste Ecofin Raad vindt 12 december a.s. plaats.</w:t>
      </w:r>
    </w:p>
    <w:p w:rsidRPr="00E723D8" w:rsidR="00E4593C" w:rsidP="00734544" w:rsidRDefault="00E4593C">
      <w:pPr>
        <w:spacing w:after="0" w:line="360" w:lineRule="auto"/>
        <w:jc w:val="both"/>
        <w:rPr>
          <w:rFonts w:ascii="Arial" w:hAnsi="Arial" w:cs="Arial"/>
          <w:sz w:val="20"/>
          <w:szCs w:val="20"/>
        </w:rPr>
      </w:pPr>
      <w:r w:rsidRPr="00E723D8">
        <w:rPr>
          <w:rFonts w:ascii="Arial" w:hAnsi="Arial" w:cs="Arial"/>
          <w:sz w:val="20"/>
          <w:szCs w:val="20"/>
        </w:rPr>
        <w:t xml:space="preserve">Daarnaast zal er 13 december a.s. een ingelaste Eurogroep plaatsvinden over Griekenland en Cyprus. </w:t>
      </w:r>
    </w:p>
    <w:p w:rsidRPr="00E723D8" w:rsidR="00E4593C" w:rsidP="00734544" w:rsidRDefault="00E4593C">
      <w:pPr>
        <w:spacing w:after="0" w:line="360" w:lineRule="auto"/>
        <w:jc w:val="both"/>
        <w:rPr>
          <w:rFonts w:ascii="Arial" w:hAnsi="Arial" w:cs="Arial"/>
          <w:sz w:val="20"/>
          <w:szCs w:val="20"/>
        </w:rPr>
      </w:pPr>
    </w:p>
    <w:p w:rsidRPr="00E723D8" w:rsidR="00E4593C" w:rsidP="00734544" w:rsidRDefault="00E4593C">
      <w:pPr>
        <w:pStyle w:val="Lijstalinea"/>
        <w:numPr>
          <w:ilvl w:val="0"/>
          <w:numId w:val="1"/>
        </w:numPr>
        <w:spacing w:after="0" w:line="360" w:lineRule="auto"/>
        <w:jc w:val="both"/>
        <w:rPr>
          <w:rFonts w:ascii="Arial" w:hAnsi="Arial" w:cs="Arial"/>
          <w:b/>
          <w:sz w:val="20"/>
          <w:szCs w:val="20"/>
        </w:rPr>
      </w:pPr>
      <w:r w:rsidRPr="00E723D8">
        <w:rPr>
          <w:rFonts w:ascii="Arial" w:hAnsi="Arial" w:cs="Arial"/>
          <w:b/>
          <w:sz w:val="20"/>
          <w:szCs w:val="20"/>
        </w:rPr>
        <w:t xml:space="preserve">Europees </w:t>
      </w:r>
      <w:r w:rsidRPr="00E723D8" w:rsidR="00343A8A">
        <w:rPr>
          <w:rFonts w:ascii="Arial" w:hAnsi="Arial" w:cs="Arial"/>
          <w:b/>
          <w:sz w:val="20"/>
          <w:szCs w:val="20"/>
        </w:rPr>
        <w:t>toezichtmechanisme</w:t>
      </w:r>
    </w:p>
    <w:p w:rsidRPr="00E723D8" w:rsidR="00734544" w:rsidP="00734544" w:rsidRDefault="00734544">
      <w:pPr>
        <w:spacing w:after="0" w:line="360" w:lineRule="auto"/>
        <w:jc w:val="both"/>
        <w:rPr>
          <w:rFonts w:ascii="Arial" w:hAnsi="Arial" w:cs="Arial"/>
          <w:sz w:val="20"/>
          <w:szCs w:val="20"/>
        </w:rPr>
      </w:pPr>
      <w:r w:rsidRPr="00E723D8">
        <w:rPr>
          <w:rFonts w:ascii="Arial" w:hAnsi="Arial" w:cs="Arial"/>
          <w:b/>
          <w:bCs/>
          <w:sz w:val="20"/>
          <w:szCs w:val="20"/>
        </w:rPr>
        <w:t>Document:</w:t>
      </w:r>
      <w:r w:rsidRPr="00E723D8">
        <w:rPr>
          <w:rFonts w:ascii="Arial" w:hAnsi="Arial" w:cs="Arial"/>
          <w:sz w:val="20"/>
          <w:szCs w:val="20"/>
        </w:rPr>
        <w:t xml:space="preserve"> </w:t>
      </w:r>
      <w:r w:rsidRPr="00E723D8">
        <w:rPr>
          <w:rFonts w:ascii="Arial" w:hAnsi="Arial" w:cs="Arial"/>
          <w:sz w:val="20"/>
          <w:szCs w:val="20"/>
        </w:rPr>
        <w:br/>
        <w:t xml:space="preserve">- EC-voorstel voor een verordening ter oprichting van een Europese bankentoezichthouder bij de ECB </w:t>
      </w:r>
      <w:r w:rsidRPr="00E723D8">
        <w:rPr>
          <w:rFonts w:ascii="Arial" w:hAnsi="Arial" w:cs="Arial"/>
          <w:sz w:val="20"/>
          <w:szCs w:val="20"/>
        </w:rPr>
        <w:br/>
        <w:t xml:space="preserve">- EC-voorstel ter aanpassing van de bestaande verordening voor de </w:t>
      </w:r>
      <w:r w:rsidRPr="00E723D8">
        <w:rPr>
          <w:rFonts w:ascii="Arial" w:hAnsi="Arial" w:cs="Arial"/>
          <w:i/>
          <w:sz w:val="20"/>
          <w:szCs w:val="20"/>
        </w:rPr>
        <w:t>European Banking Authority</w:t>
      </w:r>
      <w:r w:rsidRPr="00E723D8">
        <w:rPr>
          <w:rFonts w:ascii="Arial" w:hAnsi="Arial" w:cs="Arial"/>
          <w:sz w:val="20"/>
          <w:szCs w:val="20"/>
        </w:rPr>
        <w:t xml:space="preserve"> (EBA) aan de nieuwe toezichtsituatie</w:t>
      </w:r>
    </w:p>
    <w:p w:rsidRPr="00E723D8" w:rsidR="00734544" w:rsidP="00734544" w:rsidRDefault="00734544">
      <w:pPr>
        <w:spacing w:after="0" w:line="360" w:lineRule="auto"/>
        <w:jc w:val="both"/>
        <w:rPr>
          <w:rFonts w:ascii="Arial" w:hAnsi="Arial" w:cs="Arial"/>
          <w:sz w:val="20"/>
          <w:szCs w:val="20"/>
        </w:rPr>
      </w:pPr>
      <w:r w:rsidRPr="00E723D8">
        <w:rPr>
          <w:rFonts w:ascii="Arial" w:hAnsi="Arial" w:cs="Arial"/>
          <w:b/>
          <w:bCs/>
          <w:sz w:val="20"/>
          <w:szCs w:val="20"/>
        </w:rPr>
        <w:t>Aard bespreking:</w:t>
      </w:r>
      <w:r w:rsidRPr="00E723D8">
        <w:rPr>
          <w:rFonts w:ascii="Arial" w:hAnsi="Arial" w:cs="Arial"/>
          <w:sz w:val="20"/>
          <w:szCs w:val="20"/>
        </w:rPr>
        <w:t xml:space="preserve"> Mogelijk vaststellen algemene inzet (</w:t>
      </w:r>
      <w:r w:rsidRPr="00E723D8" w:rsidR="00343A8A">
        <w:rPr>
          <w:rFonts w:ascii="Arial" w:hAnsi="Arial" w:cs="Arial"/>
          <w:i/>
          <w:sz w:val="20"/>
          <w:szCs w:val="20"/>
        </w:rPr>
        <w:t>algemene inzet</w:t>
      </w:r>
      <w:r w:rsidRPr="00E723D8">
        <w:rPr>
          <w:rFonts w:ascii="Arial" w:hAnsi="Arial" w:cs="Arial"/>
          <w:sz w:val="20"/>
          <w:szCs w:val="20"/>
        </w:rPr>
        <w:t>)</w:t>
      </w:r>
    </w:p>
    <w:p w:rsidRPr="00E723D8" w:rsidR="00734544" w:rsidP="00734544" w:rsidRDefault="00734544">
      <w:pPr>
        <w:spacing w:after="0" w:line="360" w:lineRule="auto"/>
        <w:jc w:val="both"/>
        <w:rPr>
          <w:rFonts w:ascii="Arial" w:hAnsi="Arial" w:cs="Arial"/>
          <w:sz w:val="20"/>
          <w:szCs w:val="20"/>
        </w:rPr>
      </w:pPr>
      <w:r w:rsidRPr="00E723D8">
        <w:rPr>
          <w:rFonts w:ascii="Arial" w:hAnsi="Arial" w:cs="Arial"/>
          <w:b/>
          <w:bCs/>
          <w:sz w:val="20"/>
          <w:szCs w:val="20"/>
        </w:rPr>
        <w:t>Besluitvormingsprocedure:</w:t>
      </w:r>
      <w:r w:rsidRPr="00E723D8" w:rsidR="002E7EA2">
        <w:rPr>
          <w:rFonts w:ascii="Arial" w:hAnsi="Arial" w:cs="Arial"/>
          <w:sz w:val="20"/>
          <w:szCs w:val="20"/>
        </w:rPr>
        <w:t xml:space="preserve"> u</w:t>
      </w:r>
      <w:r w:rsidRPr="00E723D8">
        <w:rPr>
          <w:rFonts w:ascii="Arial" w:hAnsi="Arial" w:cs="Arial"/>
          <w:sz w:val="20"/>
          <w:szCs w:val="20"/>
        </w:rPr>
        <w:t>nanimiteit</w:t>
      </w:r>
    </w:p>
    <w:p w:rsidRPr="00E723D8" w:rsidR="00734544" w:rsidP="00734544" w:rsidRDefault="00734544">
      <w:pPr>
        <w:spacing w:line="360" w:lineRule="auto"/>
        <w:jc w:val="both"/>
        <w:rPr>
          <w:rFonts w:ascii="Arial" w:hAnsi="Arial" w:cs="Arial"/>
          <w:sz w:val="20"/>
          <w:szCs w:val="20"/>
        </w:rPr>
      </w:pPr>
      <w:r w:rsidRPr="00E723D8">
        <w:rPr>
          <w:rFonts w:ascii="Arial" w:hAnsi="Arial" w:cs="Arial"/>
          <w:b/>
          <w:sz w:val="20"/>
          <w:szCs w:val="20"/>
        </w:rPr>
        <w:t>Toelichting:</w:t>
      </w:r>
      <w:r w:rsidRPr="00E723D8">
        <w:rPr>
          <w:rFonts w:ascii="Arial" w:hAnsi="Arial" w:cs="Arial"/>
          <w:sz w:val="20"/>
          <w:szCs w:val="20"/>
        </w:rPr>
        <w:t xml:space="preserve"> De Ecofin Raad van 12 december 2012 is gewijd aan het bereiken van een </w:t>
      </w:r>
      <w:r w:rsidRPr="00E723D8">
        <w:rPr>
          <w:rFonts w:ascii="Arial" w:hAnsi="Arial" w:cs="Arial"/>
          <w:i/>
          <w:iCs/>
          <w:sz w:val="20"/>
          <w:szCs w:val="20"/>
        </w:rPr>
        <w:t>algemene inzet</w:t>
      </w:r>
      <w:r w:rsidRPr="00E723D8">
        <w:rPr>
          <w:rFonts w:ascii="Arial" w:hAnsi="Arial" w:cs="Arial"/>
          <w:sz w:val="20"/>
          <w:szCs w:val="20"/>
        </w:rPr>
        <w:t xml:space="preserve"> inzake het Europees toezichtmechanisme (</w:t>
      </w:r>
      <w:r w:rsidRPr="00E723D8">
        <w:rPr>
          <w:rFonts w:ascii="Arial" w:hAnsi="Arial" w:cs="Arial"/>
          <w:i/>
          <w:iCs/>
          <w:sz w:val="20"/>
          <w:szCs w:val="20"/>
        </w:rPr>
        <w:t>Banking Supervision</w:t>
      </w:r>
      <w:r w:rsidRPr="00E723D8">
        <w:rPr>
          <w:rFonts w:ascii="Arial" w:hAnsi="Arial" w:cs="Arial"/>
          <w:sz w:val="20"/>
          <w:szCs w:val="20"/>
        </w:rPr>
        <w:t xml:space="preserve"> </w:t>
      </w:r>
      <w:r w:rsidRPr="00E723D8">
        <w:rPr>
          <w:rFonts w:ascii="Arial" w:hAnsi="Arial" w:cs="Arial"/>
          <w:i/>
          <w:iCs/>
          <w:sz w:val="20"/>
          <w:szCs w:val="20"/>
        </w:rPr>
        <w:t>Mechanism</w:t>
      </w:r>
      <w:r w:rsidRPr="00E723D8">
        <w:rPr>
          <w:rFonts w:ascii="Arial" w:hAnsi="Arial" w:cs="Arial"/>
          <w:sz w:val="20"/>
          <w:szCs w:val="20"/>
        </w:rPr>
        <w:t xml:space="preserve">, BSM). Het juridisch kader bestaat uit de verordening, die de ECB toezichthoudende bevoegdheden op banken geeft, en de aanpassing van de European Banking Authority (EBA) verordening aan de nieuwe toezichtsituatie. Zoals nu voorzien zal de ECB in de loop van 2013 het toezicht op Europees gesteunde banken op zich nemen. De andere banken volgen dan volgens het compromisvoorstel van het voorzitterschap op 1 januari 2014. De belangrijkste Nederlandse onderhandelingsinzet is dat de overgang naar het toezicht op alle banken pas kan als het ECB toezicht hier klaar voor is. Andere punten waar nog discussie over is, zijn de drempelwaardes waarboven banken onder direct ECB toezicht vallen en de stemverhoudingen binnen de supervisory board van de ECB en binnen de EBA. </w:t>
      </w:r>
    </w:p>
    <w:p w:rsidRPr="00E723D8" w:rsidR="00965FDC" w:rsidP="00734544" w:rsidRDefault="00965FDC">
      <w:pPr>
        <w:spacing w:after="0" w:line="360" w:lineRule="auto"/>
        <w:jc w:val="both"/>
        <w:rPr>
          <w:rFonts w:ascii="Arial" w:hAnsi="Arial" w:cs="Arial"/>
          <w:b/>
          <w:sz w:val="20"/>
          <w:szCs w:val="20"/>
        </w:rPr>
      </w:pPr>
    </w:p>
    <w:p w:rsidRPr="00E723D8" w:rsidR="002E7EA2" w:rsidP="002E7EA2" w:rsidRDefault="002E7EA2">
      <w:pPr>
        <w:pStyle w:val="Lijstalinea"/>
        <w:numPr>
          <w:ilvl w:val="0"/>
          <w:numId w:val="1"/>
        </w:numPr>
        <w:spacing w:after="0" w:line="360" w:lineRule="auto"/>
        <w:contextualSpacing w:val="0"/>
        <w:jc w:val="both"/>
        <w:rPr>
          <w:rFonts w:ascii="Arial" w:hAnsi="Arial" w:cs="Arial"/>
          <w:b/>
          <w:bCs/>
          <w:sz w:val="20"/>
          <w:szCs w:val="20"/>
        </w:rPr>
      </w:pPr>
      <w:r w:rsidRPr="00E723D8">
        <w:rPr>
          <w:rFonts w:ascii="Arial" w:hAnsi="Arial" w:cs="Arial"/>
          <w:b/>
          <w:bCs/>
          <w:sz w:val="20"/>
          <w:szCs w:val="20"/>
        </w:rPr>
        <w:t>Griekenland</w:t>
      </w:r>
    </w:p>
    <w:p w:rsidRPr="00E723D8" w:rsidR="002E7EA2" w:rsidP="002E7EA2" w:rsidRDefault="002E7EA2">
      <w:pPr>
        <w:spacing w:after="0" w:line="360" w:lineRule="auto"/>
        <w:jc w:val="both"/>
        <w:rPr>
          <w:rFonts w:ascii="Arial" w:hAnsi="Arial" w:cs="Arial"/>
          <w:sz w:val="20"/>
          <w:szCs w:val="20"/>
        </w:rPr>
      </w:pPr>
      <w:r w:rsidRPr="00E723D8">
        <w:rPr>
          <w:rFonts w:ascii="Arial" w:hAnsi="Arial" w:cs="Arial"/>
          <w:b/>
          <w:bCs/>
          <w:sz w:val="20"/>
          <w:szCs w:val="20"/>
        </w:rPr>
        <w:t xml:space="preserve">Document: </w:t>
      </w:r>
      <w:r w:rsidRPr="00E723D8">
        <w:rPr>
          <w:rFonts w:ascii="Arial" w:hAnsi="Arial" w:cs="Arial"/>
          <w:sz w:val="20"/>
          <w:szCs w:val="20"/>
        </w:rPr>
        <w:t>niet van toepassing</w:t>
      </w:r>
    </w:p>
    <w:p w:rsidRPr="00E723D8" w:rsidR="002E7EA2" w:rsidP="002E7EA2" w:rsidRDefault="002E7EA2">
      <w:pPr>
        <w:spacing w:after="0" w:line="360" w:lineRule="auto"/>
        <w:jc w:val="both"/>
        <w:rPr>
          <w:rFonts w:ascii="Arial" w:hAnsi="Arial" w:cs="Arial"/>
          <w:sz w:val="20"/>
          <w:szCs w:val="20"/>
        </w:rPr>
      </w:pPr>
      <w:r w:rsidRPr="00E723D8">
        <w:rPr>
          <w:rFonts w:ascii="Arial" w:hAnsi="Arial" w:cs="Arial"/>
          <w:b/>
          <w:bCs/>
          <w:sz w:val="20"/>
          <w:szCs w:val="20"/>
        </w:rPr>
        <w:t xml:space="preserve">Aard bespreking: </w:t>
      </w:r>
      <w:r w:rsidRPr="00E723D8">
        <w:rPr>
          <w:rFonts w:ascii="Arial" w:hAnsi="Arial" w:cs="Arial"/>
          <w:sz w:val="20"/>
          <w:szCs w:val="20"/>
        </w:rPr>
        <w:t xml:space="preserve">besluitvorming over de voortgang van het Griekse leningenprogramma en de uitkering van de volgende tranche. </w:t>
      </w:r>
    </w:p>
    <w:p w:rsidRPr="00E723D8" w:rsidR="002E7EA2" w:rsidP="002E7EA2" w:rsidRDefault="002E7EA2">
      <w:pPr>
        <w:spacing w:after="0" w:line="360" w:lineRule="auto"/>
        <w:jc w:val="both"/>
        <w:rPr>
          <w:rFonts w:ascii="Arial" w:hAnsi="Arial" w:cs="Arial"/>
          <w:b/>
          <w:bCs/>
          <w:sz w:val="20"/>
          <w:szCs w:val="20"/>
        </w:rPr>
      </w:pPr>
      <w:r w:rsidRPr="00E723D8">
        <w:rPr>
          <w:rFonts w:ascii="Arial" w:hAnsi="Arial" w:cs="Arial"/>
          <w:b/>
          <w:bCs/>
          <w:sz w:val="20"/>
          <w:szCs w:val="20"/>
        </w:rPr>
        <w:t>Besluitvormingsprocedure:</w:t>
      </w:r>
      <w:r w:rsidRPr="00E723D8">
        <w:rPr>
          <w:rFonts w:ascii="Arial" w:hAnsi="Arial" w:cs="Arial"/>
          <w:sz w:val="20"/>
          <w:szCs w:val="20"/>
        </w:rPr>
        <w:t xml:space="preserve"> unanimiteit</w:t>
      </w:r>
    </w:p>
    <w:p w:rsidRPr="00E723D8" w:rsidR="00E723D8" w:rsidP="00E723D8" w:rsidRDefault="00E723D8">
      <w:pPr>
        <w:pStyle w:val="Tekstzonderopmaak"/>
        <w:spacing w:line="360" w:lineRule="auto"/>
        <w:jc w:val="both"/>
        <w:rPr>
          <w:rFonts w:ascii="Arial" w:hAnsi="Arial" w:cs="Arial"/>
        </w:rPr>
      </w:pPr>
      <w:r w:rsidRPr="00E723D8">
        <w:rPr>
          <w:rFonts w:ascii="Arial" w:hAnsi="Arial" w:cs="Arial"/>
          <w:b/>
          <w:bCs/>
        </w:rPr>
        <w:t xml:space="preserve">Toelichting: </w:t>
      </w:r>
      <w:r w:rsidRPr="00E723D8">
        <w:rPr>
          <w:rFonts w:ascii="Arial" w:hAnsi="Arial" w:cs="Arial"/>
        </w:rPr>
        <w:t>De Eurogroep zal naar verwachting een definitief besluit nemen over de voortgang van het Griekse leningenprogramma en het ui</w:t>
      </w:r>
      <w:r w:rsidR="00C42404">
        <w:rPr>
          <w:rFonts w:ascii="Arial" w:hAnsi="Arial" w:cs="Arial"/>
        </w:rPr>
        <w:t xml:space="preserve">tkeren van de volgende tranche. </w:t>
      </w:r>
      <w:r w:rsidRPr="00E723D8">
        <w:rPr>
          <w:rFonts w:ascii="Arial" w:hAnsi="Arial" w:cs="Arial"/>
        </w:rPr>
        <w:t xml:space="preserve">In de oorspronkelijke tijdslijn (zie Kamerbrief aanvullende informatie leningenprogramma Griekenland, d.d. 3 december 2012, met kenmerk BFB2012-18036M) was voorzien dat obligatiehouders tot 7 december de tijd kregen om aan te geven tegen welke prijs ze hun obligaties zouden willen voorkopen. De Griekse regering heeft op 9 december jl. bekend gemaakt de veiling te verlengen tot dinsdag 11 december. Dit geeft de mogelijkheid aan investeerders om alsnog aan de terugkoop deel te nemen. Zoals reeds was </w:t>
      </w:r>
      <w:r w:rsidRPr="00E723D8">
        <w:rPr>
          <w:rFonts w:ascii="Arial" w:hAnsi="Arial" w:cs="Arial"/>
        </w:rPr>
        <w:lastRenderedPageBreak/>
        <w:t xml:space="preserve">voorzien, zullen voor donderdag 13 december de resultaten van de terugkoop van de Griekse schuld door Griekenland bekend worden. </w:t>
      </w:r>
    </w:p>
    <w:p w:rsidRPr="00E723D8" w:rsidR="00965FDC" w:rsidP="00734544" w:rsidRDefault="00965FDC">
      <w:pPr>
        <w:spacing w:after="0" w:line="360" w:lineRule="auto"/>
        <w:jc w:val="both"/>
        <w:rPr>
          <w:rFonts w:ascii="Arial" w:hAnsi="Arial" w:cs="Arial"/>
          <w:b/>
          <w:sz w:val="20"/>
          <w:szCs w:val="20"/>
        </w:rPr>
      </w:pPr>
    </w:p>
    <w:p w:rsidRPr="00E723D8" w:rsidR="00E4593C" w:rsidP="00734544" w:rsidRDefault="00E4593C">
      <w:pPr>
        <w:pStyle w:val="Lijstalinea"/>
        <w:numPr>
          <w:ilvl w:val="0"/>
          <w:numId w:val="1"/>
        </w:numPr>
        <w:spacing w:after="0" w:line="360" w:lineRule="auto"/>
        <w:jc w:val="both"/>
        <w:rPr>
          <w:rFonts w:ascii="Arial" w:hAnsi="Arial" w:cs="Arial"/>
          <w:b/>
          <w:sz w:val="20"/>
          <w:szCs w:val="20"/>
        </w:rPr>
      </w:pPr>
      <w:r w:rsidRPr="00E723D8">
        <w:rPr>
          <w:rFonts w:ascii="Arial" w:hAnsi="Arial" w:cs="Arial"/>
          <w:b/>
          <w:sz w:val="20"/>
          <w:szCs w:val="20"/>
        </w:rPr>
        <w:t>Cyprus</w:t>
      </w:r>
    </w:p>
    <w:p w:rsidRPr="00E723D8" w:rsidR="00811258" w:rsidP="00734544" w:rsidRDefault="00965FDC">
      <w:pPr>
        <w:spacing w:after="0" w:line="360" w:lineRule="auto"/>
        <w:jc w:val="both"/>
        <w:rPr>
          <w:rFonts w:ascii="Arial" w:hAnsi="Arial" w:cs="Arial"/>
          <w:bCs/>
          <w:sz w:val="20"/>
          <w:szCs w:val="20"/>
        </w:rPr>
      </w:pPr>
      <w:r w:rsidRPr="00E723D8">
        <w:rPr>
          <w:rFonts w:ascii="Arial" w:hAnsi="Arial" w:cs="Arial"/>
          <w:b/>
          <w:bCs/>
          <w:sz w:val="20"/>
          <w:szCs w:val="20"/>
        </w:rPr>
        <w:t xml:space="preserve">Document: </w:t>
      </w:r>
      <w:r w:rsidRPr="00E723D8">
        <w:rPr>
          <w:rFonts w:ascii="Arial" w:hAnsi="Arial" w:cs="Arial"/>
          <w:bCs/>
          <w:sz w:val="20"/>
          <w:szCs w:val="20"/>
        </w:rPr>
        <w:t>n.v.t.</w:t>
      </w:r>
    </w:p>
    <w:p w:rsidRPr="00E723D8" w:rsidR="00811258" w:rsidP="00734544" w:rsidRDefault="00965FDC">
      <w:pPr>
        <w:spacing w:after="0" w:line="360" w:lineRule="auto"/>
        <w:jc w:val="both"/>
        <w:rPr>
          <w:rFonts w:ascii="Arial" w:hAnsi="Arial" w:cs="Arial"/>
          <w:bCs/>
          <w:sz w:val="20"/>
          <w:szCs w:val="20"/>
        </w:rPr>
      </w:pPr>
      <w:r w:rsidRPr="00E723D8">
        <w:rPr>
          <w:rFonts w:ascii="Arial" w:hAnsi="Arial" w:cs="Arial"/>
          <w:b/>
          <w:bCs/>
          <w:sz w:val="20"/>
          <w:szCs w:val="20"/>
        </w:rPr>
        <w:t xml:space="preserve">Aard bespreking: </w:t>
      </w:r>
      <w:r w:rsidRPr="00E723D8">
        <w:rPr>
          <w:rFonts w:ascii="Arial" w:hAnsi="Arial" w:cs="Arial"/>
          <w:bCs/>
          <w:sz w:val="20"/>
          <w:szCs w:val="20"/>
        </w:rPr>
        <w:t>gedachtewisseling</w:t>
      </w:r>
    </w:p>
    <w:p w:rsidRPr="00E723D8" w:rsidR="00E4593C" w:rsidP="00734544" w:rsidRDefault="00965FDC">
      <w:pPr>
        <w:spacing w:after="0" w:line="360" w:lineRule="auto"/>
        <w:jc w:val="both"/>
        <w:rPr>
          <w:rFonts w:ascii="Arial" w:hAnsi="Arial" w:cs="Arial"/>
          <w:b/>
          <w:sz w:val="20"/>
          <w:szCs w:val="20"/>
        </w:rPr>
      </w:pPr>
      <w:r w:rsidRPr="00E723D8">
        <w:rPr>
          <w:rFonts w:ascii="Arial" w:hAnsi="Arial" w:cs="Arial"/>
          <w:b/>
          <w:bCs/>
          <w:sz w:val="20"/>
          <w:szCs w:val="20"/>
        </w:rPr>
        <w:t xml:space="preserve">Besluitvormingsprocedure: </w:t>
      </w:r>
      <w:r w:rsidRPr="00E723D8">
        <w:rPr>
          <w:rFonts w:ascii="Arial" w:hAnsi="Arial" w:cs="Arial"/>
          <w:bCs/>
          <w:sz w:val="20"/>
          <w:szCs w:val="20"/>
        </w:rPr>
        <w:t>n.v.t.</w:t>
      </w:r>
    </w:p>
    <w:p w:rsidRPr="00E723D8" w:rsidR="00965FDC" w:rsidP="00734544" w:rsidRDefault="00734544">
      <w:pPr>
        <w:spacing w:after="0" w:line="360" w:lineRule="auto"/>
        <w:jc w:val="both"/>
        <w:rPr>
          <w:rFonts w:ascii="Arial" w:hAnsi="Arial" w:eastAsia="Times New Roman" w:cs="Arial"/>
          <w:sz w:val="20"/>
          <w:szCs w:val="20"/>
        </w:rPr>
      </w:pPr>
      <w:r w:rsidRPr="00E723D8">
        <w:rPr>
          <w:rFonts w:ascii="Arial" w:hAnsi="Arial" w:eastAsia="Times New Roman" w:cs="Arial"/>
          <w:b/>
          <w:sz w:val="20"/>
          <w:szCs w:val="20"/>
        </w:rPr>
        <w:t>Toelichting:</w:t>
      </w:r>
      <w:r w:rsidRPr="00E723D8">
        <w:rPr>
          <w:rFonts w:ascii="Arial" w:hAnsi="Arial" w:eastAsia="Times New Roman" w:cs="Arial"/>
          <w:sz w:val="20"/>
          <w:szCs w:val="20"/>
        </w:rPr>
        <w:t xml:space="preserve"> </w:t>
      </w:r>
      <w:r w:rsidRPr="00E723D8" w:rsidR="00965FDC">
        <w:rPr>
          <w:rFonts w:ascii="Arial" w:hAnsi="Arial" w:eastAsia="Times New Roman" w:cs="Arial"/>
          <w:sz w:val="20"/>
          <w:szCs w:val="20"/>
        </w:rPr>
        <w:t>De Eurogroep zal spreken over de stand van zaken met betrekking tot de steunaanvraag van Cyprus in juni jl. Er zal met name gesproke</w:t>
      </w:r>
      <w:r w:rsidRPr="00E723D8" w:rsidR="00AD1782">
        <w:rPr>
          <w:rFonts w:ascii="Arial" w:hAnsi="Arial" w:eastAsia="Times New Roman" w:cs="Arial"/>
          <w:sz w:val="20"/>
          <w:szCs w:val="20"/>
        </w:rPr>
        <w:t>n worden over d</w:t>
      </w:r>
      <w:r w:rsidRPr="00E723D8" w:rsidR="00811258">
        <w:rPr>
          <w:rFonts w:ascii="Arial" w:hAnsi="Arial" w:eastAsia="Times New Roman" w:cs="Arial"/>
          <w:sz w:val="20"/>
          <w:szCs w:val="20"/>
        </w:rPr>
        <w:t>e situatie in de financiële sector. Er is geen besluitvorming voorzien.</w:t>
      </w:r>
    </w:p>
    <w:p w:rsidRPr="00E723D8" w:rsidR="00E4593C" w:rsidP="00734544" w:rsidRDefault="00811258">
      <w:pPr>
        <w:spacing w:after="0" w:line="360" w:lineRule="auto"/>
        <w:jc w:val="both"/>
        <w:rPr>
          <w:rFonts w:ascii="Arial" w:hAnsi="Arial" w:cs="Arial"/>
          <w:sz w:val="20"/>
          <w:szCs w:val="20"/>
        </w:rPr>
      </w:pPr>
      <w:r w:rsidRPr="00E723D8">
        <w:rPr>
          <w:rFonts w:ascii="Arial" w:hAnsi="Arial" w:eastAsia="Times New Roman" w:cs="Arial"/>
          <w:sz w:val="20"/>
          <w:szCs w:val="20"/>
        </w:rPr>
        <w:t xml:space="preserve">Nederland hecht eraan dat alle informatie over Cyprus beschikbaar moet zijn en dat alle mogelijke opties moeten worden bekeken voor het oplossen van de problemen, voor er een besluit genomen kan worden. </w:t>
      </w:r>
      <w:r w:rsidRPr="00E723D8" w:rsidR="00E4593C">
        <w:rPr>
          <w:rFonts w:ascii="Arial" w:hAnsi="Arial" w:cs="Arial"/>
          <w:sz w:val="20"/>
          <w:szCs w:val="20"/>
        </w:rPr>
        <w:t xml:space="preserve">De Tweede kamer wordt vooraf in de gelegenheid gesteld over het steunprogramma te oordelen alvorens het kabinet namens Nederland een definitief besluit kan nemen. De Tweede Kamer zal op de hoogte gehouden worden over de voortgang rond het MoU. </w:t>
      </w:r>
    </w:p>
    <w:p w:rsidRPr="00E723D8" w:rsidR="00E4593C" w:rsidP="00734544" w:rsidRDefault="00E4593C">
      <w:pPr>
        <w:spacing w:after="0" w:line="360" w:lineRule="auto"/>
        <w:jc w:val="both"/>
        <w:rPr>
          <w:rFonts w:ascii="Arial" w:hAnsi="Arial" w:cs="Arial"/>
          <w:b/>
          <w:sz w:val="20"/>
          <w:szCs w:val="20"/>
        </w:rPr>
      </w:pPr>
    </w:p>
    <w:p w:rsidRPr="00E723D8" w:rsidR="00E4593C" w:rsidP="00734544" w:rsidRDefault="00E4593C">
      <w:pPr>
        <w:spacing w:after="0" w:line="360" w:lineRule="auto"/>
        <w:jc w:val="both"/>
        <w:rPr>
          <w:rFonts w:ascii="Arial" w:hAnsi="Arial" w:cs="Arial"/>
          <w:b/>
          <w:sz w:val="20"/>
          <w:szCs w:val="20"/>
        </w:rPr>
      </w:pPr>
    </w:p>
    <w:sectPr w:rsidRPr="00E723D8" w:rsidR="00E4593C" w:rsidSect="007A22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CEF" w:rsidRDefault="00434CEF" w:rsidP="00434CEF">
      <w:pPr>
        <w:spacing w:after="0" w:line="240" w:lineRule="auto"/>
      </w:pPr>
      <w:r>
        <w:separator/>
      </w:r>
    </w:p>
  </w:endnote>
  <w:endnote w:type="continuationSeparator" w:id="0">
    <w:p w:rsidR="00434CEF" w:rsidRDefault="00434CEF" w:rsidP="00434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EF" w:rsidRDefault="00434CE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EF" w:rsidRDefault="00434CE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EF" w:rsidRDefault="00434CE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CEF" w:rsidRDefault="00434CEF" w:rsidP="00434CEF">
      <w:pPr>
        <w:spacing w:after="0" w:line="240" w:lineRule="auto"/>
      </w:pPr>
      <w:r>
        <w:separator/>
      </w:r>
    </w:p>
  </w:footnote>
  <w:footnote w:type="continuationSeparator" w:id="0">
    <w:p w:rsidR="00434CEF" w:rsidRDefault="00434CEF" w:rsidP="00434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EF" w:rsidRDefault="00434CE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EF" w:rsidRDefault="00434CEF">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CEF" w:rsidRDefault="00434CE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371A"/>
    <w:multiLevelType w:val="hybridMultilevel"/>
    <w:tmpl w:val="ACD4CB3A"/>
    <w:lvl w:ilvl="0" w:tplc="0CFC7138">
      <w:start w:val="1"/>
      <w:numFmt w:val="decimal"/>
      <w:lvlText w:val="%1."/>
      <w:lvlJc w:val="left"/>
      <w:pPr>
        <w:ind w:left="720" w:hanging="360"/>
      </w:pPr>
      <w:rPr>
        <w:color w:val="auto"/>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111B6CE7"/>
    <w:multiLevelType w:val="hybridMultilevel"/>
    <w:tmpl w:val="7248D8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E4593C"/>
    <w:rsid w:val="00154C45"/>
    <w:rsid w:val="002E7EA2"/>
    <w:rsid w:val="00343A8A"/>
    <w:rsid w:val="00434CEF"/>
    <w:rsid w:val="00734544"/>
    <w:rsid w:val="007A228F"/>
    <w:rsid w:val="00811258"/>
    <w:rsid w:val="008550B1"/>
    <w:rsid w:val="009620AA"/>
    <w:rsid w:val="00965FDC"/>
    <w:rsid w:val="009D4FAD"/>
    <w:rsid w:val="00AD1782"/>
    <w:rsid w:val="00C42404"/>
    <w:rsid w:val="00C72843"/>
    <w:rsid w:val="00D20980"/>
    <w:rsid w:val="00DF035D"/>
    <w:rsid w:val="00E4593C"/>
    <w:rsid w:val="00E723D8"/>
    <w:rsid w:val="00F710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593C"/>
    <w:pPr>
      <w:ind w:left="720"/>
      <w:contextualSpacing/>
    </w:pPr>
  </w:style>
  <w:style w:type="paragraph" w:styleId="Tekstzonderopmaak">
    <w:name w:val="Plain Text"/>
    <w:basedOn w:val="Standaard"/>
    <w:link w:val="TekstzonderopmaakChar"/>
    <w:uiPriority w:val="99"/>
    <w:semiHidden/>
    <w:unhideWhenUsed/>
    <w:rsid w:val="002E7EA2"/>
    <w:pPr>
      <w:spacing w:after="0" w:line="240" w:lineRule="auto"/>
    </w:pPr>
    <w:rPr>
      <w:rFonts w:cs="Times New Roman"/>
      <w:sz w:val="20"/>
      <w:szCs w:val="20"/>
      <w:lang w:eastAsia="nl-NL"/>
    </w:rPr>
  </w:style>
  <w:style w:type="character" w:customStyle="1" w:styleId="TekstzonderopmaakChar">
    <w:name w:val="Tekst zonder opmaak Char"/>
    <w:basedOn w:val="Standaardalinea-lettertype"/>
    <w:link w:val="Tekstzonderopmaak"/>
    <w:uiPriority w:val="99"/>
    <w:semiHidden/>
    <w:rsid w:val="002E7EA2"/>
    <w:rPr>
      <w:rFonts w:ascii="Verdana" w:hAnsi="Verdana" w:cs="Times New Roman"/>
      <w:sz w:val="20"/>
      <w:szCs w:val="20"/>
      <w:lang w:eastAsia="nl-NL"/>
    </w:rPr>
  </w:style>
  <w:style w:type="paragraph" w:styleId="Koptekst">
    <w:name w:val="header"/>
    <w:basedOn w:val="Standaard"/>
    <w:link w:val="KoptekstChar"/>
    <w:uiPriority w:val="99"/>
    <w:semiHidden/>
    <w:unhideWhenUsed/>
    <w:rsid w:val="00434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34CEF"/>
    <w:rPr>
      <w:rFonts w:ascii="Verdana" w:hAnsi="Verdana"/>
      <w:sz w:val="18"/>
    </w:rPr>
  </w:style>
  <w:style w:type="paragraph" w:styleId="Voettekst">
    <w:name w:val="footer"/>
    <w:basedOn w:val="Standaard"/>
    <w:link w:val="VoettekstChar"/>
    <w:uiPriority w:val="99"/>
    <w:semiHidden/>
    <w:unhideWhenUsed/>
    <w:rsid w:val="00434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34CEF"/>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574361459">
      <w:bodyDiv w:val="1"/>
      <w:marLeft w:val="0"/>
      <w:marRight w:val="0"/>
      <w:marTop w:val="0"/>
      <w:marBottom w:val="0"/>
      <w:divBdr>
        <w:top w:val="none" w:sz="0" w:space="0" w:color="auto"/>
        <w:left w:val="none" w:sz="0" w:space="0" w:color="auto"/>
        <w:bottom w:val="none" w:sz="0" w:space="0" w:color="auto"/>
        <w:right w:val="none" w:sz="0" w:space="0" w:color="auto"/>
      </w:divBdr>
    </w:div>
    <w:div w:id="1314528988">
      <w:bodyDiv w:val="1"/>
      <w:marLeft w:val="0"/>
      <w:marRight w:val="0"/>
      <w:marTop w:val="0"/>
      <w:marBottom w:val="0"/>
      <w:divBdr>
        <w:top w:val="none" w:sz="0" w:space="0" w:color="auto"/>
        <w:left w:val="none" w:sz="0" w:space="0" w:color="auto"/>
        <w:bottom w:val="none" w:sz="0" w:space="0" w:color="auto"/>
        <w:right w:val="none" w:sz="0" w:space="0" w:color="auto"/>
      </w:divBdr>
    </w:div>
    <w:div w:id="18632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575</ap:Words>
  <ap:Characters>3166</ap:Characters>
  <ap:DocSecurity>0</ap:DocSecurity>
  <ap:Lines>26</ap:Lines>
  <ap:Paragraphs>7</ap:Paragraphs>
  <ap:ScaleCrop>false</ap:ScaleCrop>
  <ap:LinksUpToDate>false</ap:LinksUpToDate>
  <ap:CharactersWithSpaces>3734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2012-12-10T17:15:00.0000000Z</dcterms:created>
  <dcterms:modified xsi:type="dcterms:W3CDTF">2012-12-10T17:15:00.0000000Z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0x010100076FC4CCFDE34A4D9DB7E89E32CE943B</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