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0921B0" w:rsidR="000921B0" w:rsidP="00C35A79" w:rsidRDefault="00C35A7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Fiscus</w:t>
      </w:r>
      <w:r w:rsidRPr="000921B0" w:rsidR="000921B0">
        <w:rPr>
          <w:b/>
          <w:sz w:val="20"/>
          <w:szCs w:val="20"/>
        </w:rPr>
        <w:t xml:space="preserve"> </w:t>
      </w:r>
      <w:r w:rsidRPr="000921B0" w:rsidR="008F351F">
        <w:rPr>
          <w:b/>
          <w:sz w:val="20"/>
          <w:szCs w:val="20"/>
        </w:rPr>
        <w:t>in beroep tegen uitspraak erfbelasting</w:t>
      </w:r>
    </w:p>
    <w:p w:rsidRPr="00951438" w:rsidR="00C35A79" w:rsidP="00C35A79" w:rsidRDefault="008F351F">
      <w:pPr>
        <w:spacing w:line="360" w:lineRule="auto"/>
        <w:rPr>
          <w:b/>
          <w:sz w:val="20"/>
          <w:szCs w:val="20"/>
        </w:rPr>
      </w:pPr>
      <w:r w:rsidRPr="00951438">
        <w:rPr>
          <w:b/>
          <w:sz w:val="20"/>
          <w:szCs w:val="20"/>
        </w:rPr>
        <w:t xml:space="preserve">De </w:t>
      </w:r>
      <w:r w:rsidRPr="00951438" w:rsidR="00C35A79">
        <w:rPr>
          <w:b/>
          <w:sz w:val="20"/>
          <w:szCs w:val="20"/>
        </w:rPr>
        <w:t>fiscus</w:t>
      </w:r>
      <w:r w:rsidRPr="00951438">
        <w:rPr>
          <w:b/>
          <w:sz w:val="20"/>
          <w:szCs w:val="20"/>
        </w:rPr>
        <w:t xml:space="preserve"> gaat in beroep tegen de uitspraak van </w:t>
      </w:r>
      <w:r w:rsidRPr="00951438" w:rsidR="00C35A79">
        <w:rPr>
          <w:b/>
          <w:sz w:val="20"/>
          <w:szCs w:val="20"/>
        </w:rPr>
        <w:t xml:space="preserve">de </w:t>
      </w:r>
      <w:r w:rsidRPr="00951438">
        <w:rPr>
          <w:b/>
          <w:sz w:val="20"/>
          <w:szCs w:val="20"/>
        </w:rPr>
        <w:t xml:space="preserve">rechtbank </w:t>
      </w:r>
      <w:r w:rsidRPr="00951438" w:rsidR="00C35A79">
        <w:rPr>
          <w:b/>
          <w:sz w:val="20"/>
          <w:szCs w:val="20"/>
        </w:rPr>
        <w:t xml:space="preserve">in </w:t>
      </w:r>
      <w:r w:rsidRPr="00951438">
        <w:rPr>
          <w:b/>
          <w:sz w:val="20"/>
          <w:szCs w:val="20"/>
        </w:rPr>
        <w:t>Breda</w:t>
      </w:r>
      <w:r w:rsidRPr="00951438" w:rsidR="00C35A79">
        <w:rPr>
          <w:b/>
          <w:sz w:val="20"/>
          <w:szCs w:val="20"/>
        </w:rPr>
        <w:t xml:space="preserve"> </w:t>
      </w:r>
      <w:r w:rsidR="00B63D6E">
        <w:rPr>
          <w:b/>
          <w:sz w:val="20"/>
          <w:szCs w:val="20"/>
        </w:rPr>
        <w:t>die</w:t>
      </w:r>
      <w:r w:rsidRPr="00951438" w:rsidR="00B63D6E">
        <w:rPr>
          <w:b/>
          <w:sz w:val="20"/>
          <w:szCs w:val="20"/>
        </w:rPr>
        <w:t xml:space="preserve"> </w:t>
      </w:r>
      <w:r w:rsidRPr="00951438" w:rsidR="00C35A79">
        <w:rPr>
          <w:b/>
          <w:sz w:val="20"/>
          <w:szCs w:val="20"/>
        </w:rPr>
        <w:t xml:space="preserve">de </w:t>
      </w:r>
      <w:r w:rsidR="00B63D6E">
        <w:rPr>
          <w:b/>
          <w:sz w:val="20"/>
          <w:szCs w:val="20"/>
        </w:rPr>
        <w:t xml:space="preserve">vrijstelling voor </w:t>
      </w:r>
      <w:r w:rsidRPr="00951438" w:rsidR="00C35A79">
        <w:rPr>
          <w:b/>
          <w:sz w:val="20"/>
          <w:szCs w:val="20"/>
        </w:rPr>
        <w:t>ondernem</w:t>
      </w:r>
      <w:r w:rsidR="00B63D6E">
        <w:rPr>
          <w:b/>
          <w:sz w:val="20"/>
          <w:szCs w:val="20"/>
        </w:rPr>
        <w:t>ingsvermogen</w:t>
      </w:r>
      <w:r w:rsidRPr="00951438" w:rsidR="00C35A79">
        <w:rPr>
          <w:b/>
          <w:sz w:val="20"/>
          <w:szCs w:val="20"/>
        </w:rPr>
        <w:t xml:space="preserve"> </w:t>
      </w:r>
      <w:r w:rsidR="00B63D6E">
        <w:rPr>
          <w:b/>
          <w:sz w:val="20"/>
          <w:szCs w:val="20"/>
        </w:rPr>
        <w:t>ook wil laten gelden voor privévermogen</w:t>
      </w:r>
      <w:r w:rsidRPr="00951438">
        <w:rPr>
          <w:b/>
          <w:sz w:val="20"/>
          <w:szCs w:val="20"/>
        </w:rPr>
        <w:t>.</w:t>
      </w:r>
      <w:r w:rsidRPr="00951438" w:rsidR="009B1620">
        <w:rPr>
          <w:b/>
          <w:sz w:val="20"/>
          <w:szCs w:val="20"/>
        </w:rPr>
        <w:t xml:space="preserve"> </w:t>
      </w:r>
      <w:r w:rsidRPr="00951438" w:rsidR="002D0160">
        <w:rPr>
          <w:b/>
          <w:sz w:val="20"/>
          <w:szCs w:val="20"/>
        </w:rPr>
        <w:t xml:space="preserve"> </w:t>
      </w:r>
    </w:p>
    <w:p w:rsidRPr="00C35A79" w:rsidR="005C447C" w:rsidP="00C35A79" w:rsidRDefault="002D0160">
      <w:pPr>
        <w:spacing w:line="360" w:lineRule="auto"/>
        <w:rPr>
          <w:sz w:val="20"/>
          <w:szCs w:val="20"/>
        </w:rPr>
      </w:pPr>
      <w:r w:rsidRPr="00C35A79">
        <w:rPr>
          <w:sz w:val="20"/>
          <w:szCs w:val="20"/>
        </w:rPr>
        <w:t xml:space="preserve">”De </w:t>
      </w:r>
      <w:r w:rsidR="00C35A79">
        <w:rPr>
          <w:sz w:val="20"/>
          <w:szCs w:val="20"/>
        </w:rPr>
        <w:t xml:space="preserve">bedrijfsopvolgingsregeling in de Successiewet is wat de wetgever betreft </w:t>
      </w:r>
      <w:r w:rsidRPr="00C35A79">
        <w:rPr>
          <w:sz w:val="20"/>
          <w:szCs w:val="20"/>
        </w:rPr>
        <w:t>expliciet bedoeld voor ondernemers</w:t>
      </w:r>
      <w:r w:rsidR="00C35A79">
        <w:rPr>
          <w:sz w:val="20"/>
          <w:szCs w:val="20"/>
        </w:rPr>
        <w:t xml:space="preserve">: de bedoeling is immers om </w:t>
      </w:r>
      <w:r w:rsidRPr="00C35A79" w:rsidR="009B1620">
        <w:rPr>
          <w:sz w:val="20"/>
          <w:szCs w:val="20"/>
        </w:rPr>
        <w:t>bedrijfsopvolging</w:t>
      </w:r>
      <w:r w:rsidR="00B63D6E">
        <w:rPr>
          <w:sz w:val="20"/>
          <w:szCs w:val="20"/>
        </w:rPr>
        <w:t>en</w:t>
      </w:r>
      <w:r w:rsidR="00C35A79">
        <w:rPr>
          <w:sz w:val="20"/>
          <w:szCs w:val="20"/>
        </w:rPr>
        <w:t xml:space="preserve"> fiscaal zo soepel mogelijk te laten verlopen. Vooral familiebedrijven maken gebruik van deze </w:t>
      </w:r>
      <w:r w:rsidRPr="00B63D6E" w:rsidR="00C35A79">
        <w:rPr>
          <w:sz w:val="20"/>
          <w:szCs w:val="20"/>
        </w:rPr>
        <w:t xml:space="preserve">regeling waarmee de heffing van erf- en schenkbelasting </w:t>
      </w:r>
      <w:r w:rsidRPr="00B63D6E" w:rsidR="00B63D6E">
        <w:rPr>
          <w:sz w:val="20"/>
          <w:szCs w:val="20"/>
        </w:rPr>
        <w:t>wordt beperkt</w:t>
      </w:r>
      <w:r w:rsidR="00C35A79">
        <w:rPr>
          <w:sz w:val="20"/>
          <w:szCs w:val="20"/>
        </w:rPr>
        <w:t>.</w:t>
      </w:r>
      <w:r w:rsidRPr="00C35A79" w:rsidR="009B1620">
        <w:rPr>
          <w:sz w:val="20"/>
          <w:szCs w:val="20"/>
        </w:rPr>
        <w:t>”</w:t>
      </w:r>
      <w:r w:rsidR="00C35A79">
        <w:rPr>
          <w:sz w:val="20"/>
          <w:szCs w:val="20"/>
        </w:rPr>
        <w:t>, al</w:t>
      </w:r>
      <w:r w:rsidRPr="00C35A79" w:rsidR="00C35A79">
        <w:rPr>
          <w:sz w:val="20"/>
          <w:szCs w:val="20"/>
        </w:rPr>
        <w:t xml:space="preserve">dus staatssecretaris Frans Weekers van Financiën. </w:t>
      </w:r>
      <w:r w:rsidRPr="00C35A79" w:rsidR="009B1620">
        <w:rPr>
          <w:sz w:val="20"/>
          <w:szCs w:val="20"/>
        </w:rPr>
        <w:t xml:space="preserve">  </w:t>
      </w:r>
      <w:r w:rsidRPr="00C35A79" w:rsidR="000921B0">
        <w:rPr>
          <w:sz w:val="20"/>
          <w:szCs w:val="20"/>
        </w:rPr>
        <w:t xml:space="preserve"> </w:t>
      </w:r>
    </w:p>
    <w:p w:rsidR="00AC7FA6" w:rsidP="005920D1" w:rsidRDefault="002D0160">
      <w:pPr>
        <w:spacing w:line="360" w:lineRule="auto"/>
        <w:rPr>
          <w:rFonts w:eastAsia="Times New Roman" w:cs="Arial"/>
          <w:color w:val="000000" w:themeColor="text1"/>
          <w:sz w:val="20"/>
          <w:szCs w:val="20"/>
        </w:rPr>
      </w:pPr>
      <w:r w:rsidRPr="002D0160">
        <w:rPr>
          <w:sz w:val="20"/>
          <w:szCs w:val="20"/>
        </w:rPr>
        <w:t xml:space="preserve">Volgens </w:t>
      </w:r>
      <w:r w:rsidR="00C35A79">
        <w:rPr>
          <w:sz w:val="20"/>
          <w:szCs w:val="20"/>
        </w:rPr>
        <w:t xml:space="preserve">de </w:t>
      </w:r>
      <w:r w:rsidRPr="002D0160">
        <w:rPr>
          <w:sz w:val="20"/>
          <w:szCs w:val="20"/>
        </w:rPr>
        <w:t xml:space="preserve">rechtbank </w:t>
      </w:r>
      <w:r w:rsidR="00C35A7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Breda zou </w:t>
      </w:r>
      <w:r w:rsidRPr="002D0160">
        <w:rPr>
          <w:sz w:val="20"/>
          <w:szCs w:val="20"/>
        </w:rPr>
        <w:t>de vrijstelling voor ondernem</w:t>
      </w:r>
      <w:r w:rsidR="00B63D6E">
        <w:rPr>
          <w:sz w:val="20"/>
          <w:szCs w:val="20"/>
        </w:rPr>
        <w:t>ingsvermogen</w:t>
      </w:r>
      <w:r w:rsidRPr="002D0160">
        <w:rPr>
          <w:sz w:val="20"/>
          <w:szCs w:val="20"/>
        </w:rPr>
        <w:t xml:space="preserve"> ook moeten gelden voor privévermogen.</w:t>
      </w:r>
      <w:r w:rsidR="00951438">
        <w:rPr>
          <w:sz w:val="20"/>
          <w:szCs w:val="20"/>
        </w:rPr>
        <w:t xml:space="preserve"> </w:t>
      </w:r>
      <w:r w:rsidR="00C35A79">
        <w:rPr>
          <w:sz w:val="20"/>
          <w:szCs w:val="20"/>
        </w:rPr>
        <w:t>Andere rechters waaronder de Hoge Raad stelden de Belastingdienst eerder in het gelijk.</w:t>
      </w:r>
      <w:r w:rsidR="005920D1">
        <w:rPr>
          <w:sz w:val="20"/>
          <w:szCs w:val="20"/>
        </w:rPr>
        <w:t xml:space="preserve"> Zo oordeelde het gerechtshof in </w:t>
      </w:r>
      <w:r w:rsidRPr="002D0160" w:rsidR="005920D1">
        <w:rPr>
          <w:sz w:val="20"/>
          <w:szCs w:val="20"/>
        </w:rPr>
        <w:t xml:space="preserve">Arnhem </w:t>
      </w:r>
      <w:r w:rsidR="005920D1">
        <w:rPr>
          <w:sz w:val="20"/>
          <w:szCs w:val="20"/>
        </w:rPr>
        <w:t>dat</w:t>
      </w:r>
      <w:r w:rsidRPr="002D0160" w:rsidR="005920D1">
        <w:rPr>
          <w:sz w:val="20"/>
          <w:szCs w:val="20"/>
        </w:rPr>
        <w:t xml:space="preserve"> </w:t>
      </w:r>
      <w:r w:rsidRPr="002D0160" w:rsidR="005920D1">
        <w:rPr>
          <w:rFonts w:eastAsia="Times New Roman" w:cs="Arial"/>
          <w:color w:val="000000" w:themeColor="text1"/>
          <w:sz w:val="20"/>
          <w:szCs w:val="20"/>
        </w:rPr>
        <w:t xml:space="preserve">de vrijstelling voor ondernemers niet </w:t>
      </w:r>
      <w:r w:rsidR="005920D1">
        <w:rPr>
          <w:rFonts w:eastAsia="Times New Roman" w:cs="Arial"/>
          <w:color w:val="000000" w:themeColor="text1"/>
          <w:sz w:val="20"/>
          <w:szCs w:val="20"/>
        </w:rPr>
        <w:t xml:space="preserve">kon </w:t>
      </w:r>
      <w:r w:rsidRPr="002D0160" w:rsidR="005920D1">
        <w:rPr>
          <w:rFonts w:eastAsia="Times New Roman" w:cs="Arial"/>
          <w:color w:val="000000" w:themeColor="text1"/>
          <w:sz w:val="20"/>
          <w:szCs w:val="20"/>
        </w:rPr>
        <w:t xml:space="preserve">worden toegepast in andere situaties en </w:t>
      </w:r>
      <w:r w:rsidR="005920D1">
        <w:rPr>
          <w:rFonts w:eastAsia="Times New Roman" w:cs="Arial"/>
          <w:color w:val="000000" w:themeColor="text1"/>
          <w:sz w:val="20"/>
          <w:szCs w:val="20"/>
        </w:rPr>
        <w:t xml:space="preserve">wees de claim </w:t>
      </w:r>
      <w:r w:rsidRPr="002D0160" w:rsidR="005920D1">
        <w:rPr>
          <w:rFonts w:eastAsia="Times New Roman" w:cs="Arial"/>
          <w:color w:val="000000" w:themeColor="text1"/>
          <w:sz w:val="20"/>
          <w:szCs w:val="20"/>
        </w:rPr>
        <w:t>van onaanvaardbare discriminatie</w:t>
      </w:r>
      <w:r w:rsidR="005920D1">
        <w:rPr>
          <w:rFonts w:eastAsia="Times New Roman" w:cs="Arial"/>
          <w:color w:val="000000" w:themeColor="text1"/>
          <w:sz w:val="20"/>
          <w:szCs w:val="20"/>
        </w:rPr>
        <w:t xml:space="preserve"> af</w:t>
      </w:r>
      <w:r w:rsidRPr="002D0160" w:rsidR="005920D1">
        <w:rPr>
          <w:rFonts w:eastAsia="Times New Roman" w:cs="Arial"/>
          <w:color w:val="000000" w:themeColor="text1"/>
          <w:sz w:val="20"/>
          <w:szCs w:val="20"/>
        </w:rPr>
        <w:t>.</w:t>
      </w:r>
      <w:r w:rsidR="005920D1">
        <w:rPr>
          <w:rFonts w:eastAsia="Times New Roman" w:cs="Arial"/>
          <w:color w:val="000000" w:themeColor="text1"/>
          <w:sz w:val="20"/>
          <w:szCs w:val="20"/>
        </w:rPr>
        <w:t xml:space="preserve"> De Hoge Raad bevestigde deze uitspraak van het gerechtshof. </w:t>
      </w:r>
    </w:p>
    <w:p w:rsidR="005920D1" w:rsidRDefault="005920D1">
      <w:pPr>
        <w:spacing w:line="360" w:lineRule="auto"/>
        <w:rPr>
          <w:rFonts w:eastAsia="Times New Roman" w:cs="Arial"/>
          <w:color w:val="000000" w:themeColor="text1"/>
          <w:sz w:val="20"/>
          <w:szCs w:val="20"/>
        </w:rPr>
      </w:pPr>
    </w:p>
    <w:sectPr w:rsidR="005920D1" w:rsidSect="007A22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2A" w:rsidRDefault="00AC212A" w:rsidP="000921B0">
      <w:pPr>
        <w:spacing w:after="0" w:line="240" w:lineRule="auto"/>
      </w:pPr>
      <w:r>
        <w:separator/>
      </w:r>
    </w:p>
  </w:endnote>
  <w:endnote w:type="continuationSeparator" w:id="0">
    <w:p w:rsidR="00AC212A" w:rsidRDefault="00AC212A" w:rsidP="0009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2A" w:rsidRDefault="00AC212A" w:rsidP="000921B0">
      <w:pPr>
        <w:spacing w:after="0" w:line="240" w:lineRule="auto"/>
      </w:pPr>
      <w:r>
        <w:separator/>
      </w:r>
    </w:p>
  </w:footnote>
  <w:footnote w:type="continuationSeparator" w:id="0">
    <w:p w:rsidR="00AC212A" w:rsidRDefault="00AC212A" w:rsidP="0009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51F"/>
    <w:rsid w:val="00057F88"/>
    <w:rsid w:val="000921B0"/>
    <w:rsid w:val="00190CF9"/>
    <w:rsid w:val="00236DF9"/>
    <w:rsid w:val="002D0160"/>
    <w:rsid w:val="003A1665"/>
    <w:rsid w:val="00463A8E"/>
    <w:rsid w:val="005920D1"/>
    <w:rsid w:val="005A0298"/>
    <w:rsid w:val="005C447C"/>
    <w:rsid w:val="0076213C"/>
    <w:rsid w:val="007A228F"/>
    <w:rsid w:val="008E0A98"/>
    <w:rsid w:val="008F351F"/>
    <w:rsid w:val="00950E6B"/>
    <w:rsid w:val="00951438"/>
    <w:rsid w:val="009B1620"/>
    <w:rsid w:val="009D4FAD"/>
    <w:rsid w:val="00AC212A"/>
    <w:rsid w:val="00AC7FA6"/>
    <w:rsid w:val="00AD356A"/>
    <w:rsid w:val="00AD6E53"/>
    <w:rsid w:val="00B63D6E"/>
    <w:rsid w:val="00C35A79"/>
    <w:rsid w:val="00CE5DFE"/>
    <w:rsid w:val="00DB3D21"/>
    <w:rsid w:val="00E63C05"/>
    <w:rsid w:val="00F67651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4FAD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0921B0"/>
    <w:pPr>
      <w:spacing w:after="0" w:line="180" w:lineRule="atLeast"/>
    </w:pPr>
    <w:rPr>
      <w:rFonts w:eastAsia="Times New Roman" w:cs="Times New Roman"/>
      <w:sz w:val="13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0921B0"/>
    <w:rPr>
      <w:rFonts w:ascii="Verdana" w:eastAsia="Times New Roman" w:hAnsi="Verdana" w:cs="Times New Roman"/>
      <w:sz w:val="13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21B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3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2012-08-21T15:00:00.0000000Z</dcterms:created>
  <dcterms:modified xsi:type="dcterms:W3CDTF">2012-08-21T15:00:00.0000000Z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0x01010033294B175591F745B734599227095A04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