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c="http://schemas.openxmlformats.org/drawingml/2006/char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EF792D" w:rsidR="00512FA2" w:rsidP="00781CF8" w:rsidRDefault="00512FA2">
      <w:pPr>
        <w:spacing w:after="0" w:line="240" w:lineRule="auto"/>
        <w:jc w:val="center"/>
        <w:rPr>
          <w:b/>
          <w:color w:val="000000" w:themeColor="text1"/>
          <w:sz w:val="18"/>
          <w:szCs w:val="18"/>
        </w:rPr>
      </w:pPr>
    </w:p>
    <w:p w:rsidR="00512FA2" w:rsidP="00781CF8" w:rsidRDefault="00512FA2">
      <w:pPr>
        <w:spacing w:after="0" w:line="240" w:lineRule="auto"/>
        <w:jc w:val="center"/>
        <w:rPr>
          <w:b/>
          <w:color w:val="000000" w:themeColor="text1"/>
          <w:sz w:val="48"/>
          <w:szCs w:val="48"/>
        </w:rPr>
      </w:pPr>
    </w:p>
    <w:p w:rsidR="00512FA2" w:rsidP="00781CF8" w:rsidRDefault="00512FA2">
      <w:pPr>
        <w:spacing w:after="0" w:line="240" w:lineRule="auto"/>
        <w:jc w:val="center"/>
        <w:rPr>
          <w:b/>
          <w:color w:val="000000" w:themeColor="text1"/>
          <w:sz w:val="48"/>
          <w:szCs w:val="48"/>
        </w:rPr>
      </w:pPr>
    </w:p>
    <w:p w:rsidR="00512FA2" w:rsidP="00781CF8" w:rsidRDefault="00512FA2">
      <w:pPr>
        <w:spacing w:after="0" w:line="240" w:lineRule="auto"/>
        <w:jc w:val="center"/>
        <w:rPr>
          <w:b/>
          <w:color w:val="000000" w:themeColor="text1"/>
          <w:sz w:val="48"/>
          <w:szCs w:val="48"/>
        </w:rPr>
      </w:pPr>
    </w:p>
    <w:p w:rsidR="00512FA2" w:rsidP="00781CF8" w:rsidRDefault="00512FA2">
      <w:pPr>
        <w:spacing w:after="0" w:line="240" w:lineRule="auto"/>
        <w:jc w:val="center"/>
        <w:rPr>
          <w:b/>
          <w:color w:val="000000" w:themeColor="text1"/>
          <w:sz w:val="48"/>
          <w:szCs w:val="48"/>
        </w:rPr>
      </w:pPr>
    </w:p>
    <w:p w:rsidR="00512FA2" w:rsidP="00781CF8" w:rsidRDefault="00512FA2">
      <w:pPr>
        <w:spacing w:after="0" w:line="240" w:lineRule="auto"/>
        <w:jc w:val="center"/>
        <w:rPr>
          <w:b/>
          <w:color w:val="000000" w:themeColor="text1"/>
          <w:sz w:val="48"/>
          <w:szCs w:val="48"/>
        </w:rPr>
      </w:pPr>
    </w:p>
    <w:p w:rsidRPr="00C00573" w:rsidR="00512FA2" w:rsidP="00781CF8" w:rsidRDefault="00512FA2">
      <w:pPr>
        <w:spacing w:after="0" w:line="240" w:lineRule="auto"/>
        <w:jc w:val="center"/>
        <w:rPr>
          <w:b/>
          <w:color w:val="000000" w:themeColor="text1"/>
          <w:sz w:val="48"/>
          <w:szCs w:val="48"/>
        </w:rPr>
      </w:pPr>
      <w:r w:rsidRPr="00C00573">
        <w:rPr>
          <w:b/>
          <w:color w:val="000000" w:themeColor="text1"/>
          <w:sz w:val="48"/>
          <w:szCs w:val="48"/>
        </w:rPr>
        <w:t xml:space="preserve"> </w:t>
      </w:r>
      <w:r w:rsidR="00B53E22">
        <w:rPr>
          <w:b/>
          <w:color w:val="000000" w:themeColor="text1"/>
          <w:sz w:val="48"/>
          <w:szCs w:val="48"/>
        </w:rPr>
        <w:t>A</w:t>
      </w:r>
      <w:r w:rsidR="00004AFD">
        <w:rPr>
          <w:b/>
          <w:color w:val="000000" w:themeColor="text1"/>
          <w:sz w:val="48"/>
          <w:szCs w:val="48"/>
        </w:rPr>
        <w:t>utobrief</w:t>
      </w:r>
    </w:p>
    <w:p w:rsidR="00512FA2" w:rsidP="00781CF8" w:rsidRDefault="00512FA2">
      <w:pPr>
        <w:spacing w:after="0" w:line="240" w:lineRule="auto"/>
        <w:jc w:val="center"/>
        <w:rPr>
          <w:b/>
          <w:color w:val="000000" w:themeColor="text1"/>
          <w:sz w:val="32"/>
          <w:szCs w:val="32"/>
        </w:rPr>
      </w:pPr>
    </w:p>
    <w:p w:rsidR="00512FA2" w:rsidP="00781CF8" w:rsidRDefault="00512FA2">
      <w:pPr>
        <w:spacing w:after="0" w:line="240" w:lineRule="auto"/>
        <w:jc w:val="center"/>
        <w:rPr>
          <w:b/>
          <w:color w:val="000000" w:themeColor="text1"/>
          <w:sz w:val="32"/>
          <w:szCs w:val="32"/>
        </w:rPr>
      </w:pPr>
    </w:p>
    <w:p w:rsidR="00512FA2" w:rsidP="00781CF8" w:rsidRDefault="00512FA2">
      <w:pPr>
        <w:spacing w:after="0" w:line="240" w:lineRule="auto"/>
        <w:jc w:val="center"/>
        <w:rPr>
          <w:b/>
          <w:color w:val="000000" w:themeColor="text1"/>
          <w:sz w:val="32"/>
          <w:szCs w:val="32"/>
        </w:rPr>
      </w:pPr>
    </w:p>
    <w:p w:rsidR="00512FA2" w:rsidP="00781CF8" w:rsidRDefault="00512FA2">
      <w:pPr>
        <w:spacing w:after="0" w:line="240" w:lineRule="auto"/>
        <w:jc w:val="center"/>
        <w:rPr>
          <w:b/>
          <w:color w:val="000000" w:themeColor="text1"/>
          <w:sz w:val="32"/>
          <w:szCs w:val="32"/>
        </w:rPr>
      </w:pPr>
    </w:p>
    <w:p w:rsidR="00512FA2" w:rsidP="00781CF8" w:rsidRDefault="00512FA2">
      <w:pPr>
        <w:spacing w:after="0" w:line="240" w:lineRule="auto"/>
        <w:jc w:val="center"/>
        <w:rPr>
          <w:b/>
          <w:color w:val="000000" w:themeColor="text1"/>
          <w:sz w:val="32"/>
          <w:szCs w:val="32"/>
        </w:rPr>
      </w:pPr>
    </w:p>
    <w:p w:rsidR="00B16379" w:rsidP="00781CF8" w:rsidRDefault="00306E50">
      <w:pPr>
        <w:spacing w:after="0" w:line="240" w:lineRule="auto"/>
        <w:jc w:val="center"/>
        <w:rPr>
          <w:b/>
          <w:color w:val="000000"/>
          <w:sz w:val="18"/>
          <w:szCs w:val="18"/>
        </w:rPr>
      </w:pPr>
      <w:r>
        <w:rPr>
          <w:b/>
          <w:color w:val="000000"/>
          <w:sz w:val="18"/>
          <w:szCs w:val="18"/>
        </w:rPr>
        <w:t>F</w:t>
      </w:r>
      <w:r w:rsidR="00004AFD">
        <w:rPr>
          <w:b/>
          <w:color w:val="000000"/>
          <w:sz w:val="18"/>
          <w:szCs w:val="18"/>
        </w:rPr>
        <w:t xml:space="preserve">iscale stimulering </w:t>
      </w:r>
      <w:r w:rsidR="00A878C4">
        <w:rPr>
          <w:b/>
          <w:color w:val="000000"/>
          <w:sz w:val="18"/>
          <w:szCs w:val="18"/>
        </w:rPr>
        <w:t xml:space="preserve">van </w:t>
      </w:r>
      <w:r w:rsidR="00004AFD">
        <w:rPr>
          <w:b/>
          <w:color w:val="000000"/>
          <w:sz w:val="18"/>
          <w:szCs w:val="18"/>
        </w:rPr>
        <w:t xml:space="preserve">(zeer) zuinige </w:t>
      </w:r>
      <w:r w:rsidR="0051461B">
        <w:rPr>
          <w:b/>
          <w:color w:val="000000"/>
          <w:sz w:val="18"/>
          <w:szCs w:val="18"/>
        </w:rPr>
        <w:t xml:space="preserve">auto’s en </w:t>
      </w:r>
      <w:r>
        <w:rPr>
          <w:b/>
          <w:color w:val="000000"/>
          <w:sz w:val="18"/>
          <w:szCs w:val="18"/>
        </w:rPr>
        <w:t>enkele andere</w:t>
      </w:r>
      <w:r w:rsidR="00A878C4">
        <w:rPr>
          <w:b/>
          <w:color w:val="000000"/>
          <w:sz w:val="18"/>
          <w:szCs w:val="18"/>
        </w:rPr>
        <w:t xml:space="preserve"> onderwerpen</w:t>
      </w:r>
      <w:r>
        <w:rPr>
          <w:b/>
          <w:color w:val="000000"/>
          <w:sz w:val="18"/>
          <w:szCs w:val="18"/>
        </w:rPr>
        <w:t xml:space="preserve"> op het gebied van de autobelastingen</w:t>
      </w:r>
    </w:p>
    <w:p w:rsidR="00F84CAA" w:rsidP="00781CF8" w:rsidRDefault="00512FA2">
      <w:pPr>
        <w:spacing w:after="0" w:line="240" w:lineRule="auto"/>
        <w:jc w:val="center"/>
        <w:rPr>
          <w:b/>
          <w:color w:val="000000"/>
          <w:sz w:val="18"/>
          <w:szCs w:val="18"/>
        </w:rPr>
      </w:pPr>
      <w:r>
        <w:rPr>
          <w:b/>
          <w:color w:val="000000"/>
          <w:sz w:val="18"/>
          <w:szCs w:val="18"/>
        </w:rPr>
        <w:br w:type="page"/>
      </w:r>
    </w:p>
    <w:sdt>
      <w:sdtPr>
        <w:rPr>
          <w:rFonts w:ascii="Verdana" w:hAnsi="Verdana" w:eastAsia="Verdana" w:cs="Verdana"/>
          <w:b w:val="0"/>
          <w:bCs w:val="0"/>
          <w:color w:val="auto"/>
          <w:sz w:val="18"/>
          <w:szCs w:val="18"/>
        </w:rPr>
        <w:id w:val="24603965"/>
        <w:docPartObj>
          <w:docPartGallery w:val="Table of Contents"/>
          <w:docPartUnique/>
        </w:docPartObj>
      </w:sdtPr>
      <w:sdtContent>
        <w:p w:rsidRPr="005E0987" w:rsidR="0062433D" w:rsidP="00781CF8" w:rsidRDefault="0062433D">
          <w:pPr>
            <w:pStyle w:val="Kopvaninhoudsopgave"/>
            <w:spacing w:before="0"/>
            <w:rPr>
              <w:rFonts w:ascii="Verdana" w:hAnsi="Verdana"/>
              <w:color w:val="auto"/>
              <w:sz w:val="18"/>
              <w:szCs w:val="18"/>
            </w:rPr>
          </w:pPr>
          <w:r w:rsidRPr="005E0987">
            <w:rPr>
              <w:rFonts w:ascii="Verdana" w:hAnsi="Verdana"/>
              <w:color w:val="auto"/>
              <w:sz w:val="18"/>
              <w:szCs w:val="18"/>
            </w:rPr>
            <w:t>Inhoud</w:t>
          </w:r>
          <w:r w:rsidRPr="005E0987" w:rsidR="00B16379">
            <w:rPr>
              <w:rFonts w:ascii="Verdana" w:hAnsi="Verdana"/>
              <w:color w:val="auto"/>
              <w:sz w:val="18"/>
              <w:szCs w:val="18"/>
            </w:rPr>
            <w:t>sopgave</w:t>
          </w:r>
        </w:p>
        <w:p w:rsidRPr="00EA4FC4" w:rsidR="00DB70BD" w:rsidP="00781CF8" w:rsidRDefault="00DB70BD">
          <w:pPr>
            <w:pStyle w:val="Inhopg1"/>
            <w:tabs>
              <w:tab w:val="right" w:leader="dot" w:pos="9061"/>
            </w:tabs>
            <w:spacing w:after="0"/>
            <w:rPr>
              <w:rFonts w:ascii="Verdana" w:hAnsi="Verdana"/>
              <w:sz w:val="18"/>
              <w:szCs w:val="18"/>
            </w:rPr>
          </w:pPr>
        </w:p>
        <w:p w:rsidRPr="00EA4FC4" w:rsidR="00EA4FC4" w:rsidRDefault="00531060">
          <w:pPr>
            <w:pStyle w:val="Inhopg1"/>
            <w:tabs>
              <w:tab w:val="right" w:leader="dot" w:pos="9061"/>
            </w:tabs>
            <w:rPr>
              <w:rFonts w:ascii="Verdana" w:hAnsi="Verdana"/>
              <w:noProof/>
              <w:sz w:val="18"/>
              <w:szCs w:val="18"/>
              <w:lang w:eastAsia="nl-NL"/>
            </w:rPr>
          </w:pPr>
          <w:r w:rsidRPr="00531060">
            <w:rPr>
              <w:rFonts w:ascii="Verdana" w:hAnsi="Verdana"/>
              <w:sz w:val="18"/>
              <w:szCs w:val="18"/>
            </w:rPr>
            <w:fldChar w:fldCharType="begin"/>
          </w:r>
          <w:r w:rsidRPr="00EA4FC4" w:rsidR="0062433D">
            <w:rPr>
              <w:rFonts w:ascii="Verdana" w:hAnsi="Verdana"/>
              <w:sz w:val="18"/>
              <w:szCs w:val="18"/>
            </w:rPr>
            <w:instrText xml:space="preserve"> TOC \o "1-3" \h \z \u </w:instrText>
          </w:r>
          <w:r w:rsidRPr="00531060">
            <w:rPr>
              <w:rFonts w:ascii="Verdana" w:hAnsi="Verdana"/>
              <w:sz w:val="18"/>
              <w:szCs w:val="18"/>
            </w:rPr>
            <w:fldChar w:fldCharType="separate"/>
          </w:r>
          <w:hyperlink w:history="1" w:anchor="_Toc293998516">
            <w:r w:rsidRPr="00EA4FC4" w:rsidR="00EA4FC4">
              <w:rPr>
                <w:rStyle w:val="Hyperlink"/>
                <w:rFonts w:ascii="Verdana" w:hAnsi="Verdana"/>
                <w:noProof/>
                <w:sz w:val="18"/>
                <w:szCs w:val="18"/>
              </w:rPr>
              <w:t>Hoofdstuk 1. Inleiding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_Toc293998516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4</w:t>
            </w:r>
            <w:r w:rsidRPr="00EA4FC4">
              <w:rPr>
                <w:rFonts w:ascii="Verdana" w:hAnsi="Verdana"/>
                <w:noProof/>
                <w:webHidden/>
                <w:sz w:val="18"/>
                <w:szCs w:val="18"/>
              </w:rPr>
              <w:fldChar w:fldCharType="end"/>
            </w:r>
          </w:hyperlink>
        </w:p>
        <w:p w:rsidRPr="00EA4FC4" w:rsidR="00EA4FC4" w:rsidRDefault="00531060">
          <w:pPr>
            <w:pStyle w:val="Inhopg1"/>
            <w:tabs>
              <w:tab w:val="right" w:leader="dot" w:pos="9061"/>
            </w:tabs>
            <w:rPr>
              <w:rFonts w:ascii="Verdana" w:hAnsi="Verdana"/>
              <w:noProof/>
              <w:sz w:val="18"/>
              <w:szCs w:val="18"/>
              <w:lang w:eastAsia="nl-NL"/>
            </w:rPr>
          </w:pPr>
          <w:hyperlink w:history="1" w:anchor="_Toc293998517">
            <w:r w:rsidRPr="00EA4FC4" w:rsidR="00EA4FC4">
              <w:rPr>
                <w:rStyle w:val="Hyperlink"/>
                <w:rFonts w:ascii="Verdana" w:hAnsi="Verdana"/>
                <w:noProof/>
                <w:sz w:val="18"/>
                <w:szCs w:val="18"/>
              </w:rPr>
              <w:t>Hoofdstuk 2. De autogerelateerde belastingen in perspectief</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_Toc293998517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6</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18">
            <w:r w:rsidRPr="00EA4FC4" w:rsidR="00EA4FC4">
              <w:rPr>
                <w:rStyle w:val="Hyperlink"/>
                <w:rFonts w:ascii="Verdana" w:hAnsi="Verdana"/>
                <w:noProof/>
                <w:sz w:val="18"/>
                <w:szCs w:val="18"/>
              </w:rPr>
              <w:t>2.1 Inleiding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_Toc293998518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6</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19">
            <w:r w:rsidRPr="00EA4FC4" w:rsidR="00EA4FC4">
              <w:rPr>
                <w:rStyle w:val="Hyperlink"/>
                <w:rFonts w:ascii="Verdana" w:hAnsi="Verdana"/>
                <w:noProof/>
                <w:sz w:val="18"/>
                <w:szCs w:val="18"/>
              </w:rPr>
              <w:t>2.2 (Europese) samenhang autogerelateerde belastingen</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_Toc293998519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7</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20">
            <w:r w:rsidRPr="00EA4FC4" w:rsidR="00EA4FC4">
              <w:rPr>
                <w:rStyle w:val="Hyperlink"/>
                <w:rFonts w:ascii="Verdana" w:hAnsi="Verdana"/>
                <w:i/>
                <w:noProof/>
                <w:sz w:val="18"/>
                <w:szCs w:val="18"/>
              </w:rPr>
              <w:t>2.2.1 Compensatie accijnzen in de MRB en BPM</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_Toc293998520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7</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21">
            <w:r w:rsidRPr="00EA4FC4" w:rsidR="00EA4FC4">
              <w:rPr>
                <w:rStyle w:val="Hyperlink"/>
                <w:rFonts w:ascii="Verdana" w:hAnsi="Verdana"/>
                <w:i/>
                <w:noProof/>
                <w:sz w:val="18"/>
                <w:szCs w:val="18"/>
              </w:rPr>
              <w:t>2.2.2 Bepaling van de CO</w:t>
            </w:r>
            <w:r w:rsidRPr="00EA4FC4" w:rsidR="00EA4FC4">
              <w:rPr>
                <w:rStyle w:val="Hyperlink"/>
                <w:rFonts w:ascii="Verdana" w:hAnsi="Verdana"/>
                <w:i/>
                <w:noProof/>
                <w:sz w:val="18"/>
                <w:szCs w:val="18"/>
                <w:vertAlign w:val="subscript"/>
              </w:rPr>
              <w:t>2</w:t>
            </w:r>
            <w:r w:rsidRPr="00EA4FC4" w:rsidR="00EA4FC4">
              <w:rPr>
                <w:rStyle w:val="Hyperlink"/>
                <w:rFonts w:ascii="Verdana" w:hAnsi="Verdana"/>
                <w:i/>
                <w:noProof/>
                <w:sz w:val="18"/>
                <w:szCs w:val="18"/>
              </w:rPr>
              <w:t>-uitstoot (well to wheel)</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_Toc293998521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8</w:t>
            </w:r>
            <w:r w:rsidRPr="00EA4FC4">
              <w:rPr>
                <w:rFonts w:ascii="Verdana" w:hAnsi="Verdana"/>
                <w:noProof/>
                <w:webHidden/>
                <w:sz w:val="18"/>
                <w:szCs w:val="18"/>
              </w:rPr>
              <w:fldChar w:fldCharType="end"/>
            </w:r>
          </w:hyperlink>
        </w:p>
        <w:p w:rsidRPr="00EA4FC4" w:rsidR="00EA4FC4" w:rsidRDefault="00531060">
          <w:pPr>
            <w:pStyle w:val="Inhopg1"/>
            <w:tabs>
              <w:tab w:val="right" w:leader="dot" w:pos="9061"/>
            </w:tabs>
            <w:rPr>
              <w:rFonts w:ascii="Verdana" w:hAnsi="Verdana"/>
              <w:noProof/>
              <w:sz w:val="18"/>
              <w:szCs w:val="18"/>
              <w:lang w:eastAsia="nl-NL"/>
            </w:rPr>
          </w:pPr>
          <w:hyperlink w:history="1" w:anchor="_Toc293998522">
            <w:r w:rsidRPr="00EA4FC4" w:rsidR="00EA4FC4">
              <w:rPr>
                <w:rStyle w:val="Hyperlink"/>
                <w:rFonts w:ascii="Verdana" w:hAnsi="Verdana"/>
                <w:noProof/>
                <w:sz w:val="18"/>
                <w:szCs w:val="18"/>
              </w:rPr>
              <w:t>Hoofdstuk 3. Het onderzoek naar de fiscale stimulering (zeer) zuinige auto’s</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_Toc293998522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11</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23">
            <w:r w:rsidRPr="00EA4FC4" w:rsidR="00EA4FC4">
              <w:rPr>
                <w:rStyle w:val="Hyperlink"/>
                <w:rFonts w:ascii="Verdana" w:hAnsi="Verdana"/>
                <w:noProof/>
                <w:sz w:val="18"/>
                <w:szCs w:val="18"/>
              </w:rPr>
              <w:t>3.1. Een terugblik op fiscale stimulering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_Toc293998523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11</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24">
            <w:r w:rsidRPr="00EA4FC4" w:rsidR="00EA4FC4">
              <w:rPr>
                <w:rStyle w:val="Hyperlink"/>
                <w:rFonts w:ascii="Verdana" w:hAnsi="Verdana"/>
                <w:noProof/>
                <w:sz w:val="18"/>
                <w:szCs w:val="18"/>
              </w:rPr>
              <w:t>3.2 Technologische ontwikkelingen</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_Toc293998524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13</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25">
            <w:r w:rsidRPr="00EA4FC4" w:rsidR="00EA4FC4">
              <w:rPr>
                <w:rStyle w:val="Hyperlink"/>
                <w:rFonts w:ascii="Verdana" w:hAnsi="Verdana"/>
                <w:noProof/>
                <w:sz w:val="18"/>
                <w:szCs w:val="18"/>
              </w:rPr>
              <w:t>3.3.Voortzetting huidige fiscale stimulering: referentiescenario</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_Toc293998525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14</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26">
            <w:r w:rsidRPr="00EA4FC4" w:rsidR="00EA4FC4">
              <w:rPr>
                <w:rStyle w:val="Hyperlink"/>
                <w:rFonts w:ascii="Verdana" w:hAnsi="Verdana"/>
                <w:noProof/>
                <w:sz w:val="18"/>
                <w:szCs w:val="18"/>
              </w:rPr>
              <w:t>3.4. Scenario zonder fiscale stimulering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_Toc293998526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14</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27">
            <w:r w:rsidRPr="00EA4FC4" w:rsidR="00EA4FC4">
              <w:rPr>
                <w:rStyle w:val="Hyperlink"/>
                <w:rFonts w:ascii="Verdana" w:hAnsi="Verdana"/>
                <w:noProof/>
                <w:sz w:val="18"/>
                <w:szCs w:val="18"/>
              </w:rPr>
              <w:t>3.5. Mogelijk scenario voor fiscale stimulering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_Toc293998527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15</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28">
            <w:r w:rsidRPr="00EA4FC4" w:rsidR="00EA4FC4">
              <w:rPr>
                <w:rStyle w:val="Hyperlink"/>
                <w:rFonts w:ascii="Verdana" w:hAnsi="Verdana"/>
                <w:i/>
                <w:noProof/>
                <w:sz w:val="18"/>
                <w:szCs w:val="18"/>
              </w:rPr>
              <w:t>3.5.1. Inleiding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_Toc293998528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15</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29">
            <w:r w:rsidRPr="00EA4FC4" w:rsidR="00EA4FC4">
              <w:rPr>
                <w:rStyle w:val="Hyperlink"/>
                <w:rFonts w:ascii="Verdana" w:hAnsi="Verdana"/>
                <w:i/>
                <w:noProof/>
                <w:sz w:val="18"/>
                <w:szCs w:val="18"/>
              </w:rPr>
              <w:t>3.5.2. BPM</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_Toc293998529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15</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30">
            <w:r w:rsidRPr="00EA4FC4" w:rsidR="00EA4FC4">
              <w:rPr>
                <w:rStyle w:val="Hyperlink"/>
                <w:rFonts w:ascii="Verdana" w:hAnsi="Verdana"/>
                <w:i/>
                <w:noProof/>
                <w:sz w:val="18"/>
                <w:szCs w:val="18"/>
              </w:rPr>
              <w:t>3.5.3. MRB</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_Toc293998530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18</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31">
            <w:r w:rsidRPr="00EA4FC4" w:rsidR="00EA4FC4">
              <w:rPr>
                <w:rStyle w:val="Hyperlink"/>
                <w:rFonts w:ascii="Verdana" w:hAnsi="Verdana"/>
                <w:i/>
                <w:noProof/>
                <w:sz w:val="18"/>
                <w:szCs w:val="18"/>
              </w:rPr>
              <w:t>3.5.4. Bijtelling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_Toc293998531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18</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32">
            <w:r w:rsidRPr="00EA4FC4" w:rsidR="00EA4FC4">
              <w:rPr>
                <w:rStyle w:val="Hyperlink"/>
                <w:rFonts w:ascii="Verdana" w:hAnsi="Verdana"/>
                <w:i/>
                <w:noProof/>
                <w:sz w:val="18"/>
                <w:szCs w:val="18"/>
              </w:rPr>
              <w:t>3.5.5. Samenvattend</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_Toc293998532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18</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33">
            <w:r w:rsidRPr="00EA4FC4" w:rsidR="00EA4FC4">
              <w:rPr>
                <w:rStyle w:val="Hyperlink"/>
                <w:rFonts w:ascii="Verdana" w:hAnsi="Verdana"/>
                <w:noProof/>
                <w:sz w:val="18"/>
                <w:szCs w:val="18"/>
              </w:rPr>
              <w:t>3.6. Uitvoering toekomstig scenario</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_Toc293998533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20</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34">
            <w:r w:rsidRPr="00EA4FC4" w:rsidR="00EA4FC4">
              <w:rPr>
                <w:rStyle w:val="Hyperlink"/>
                <w:rFonts w:ascii="Verdana" w:hAnsi="Verdana"/>
                <w:i/>
                <w:noProof/>
                <w:sz w:val="18"/>
                <w:szCs w:val="18"/>
              </w:rPr>
              <w:t>3.6.1. inleiding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_Toc293998534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20</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35">
            <w:r w:rsidRPr="00EA4FC4" w:rsidR="00EA4FC4">
              <w:rPr>
                <w:rStyle w:val="Hyperlink"/>
                <w:rFonts w:ascii="Verdana" w:hAnsi="Verdana"/>
                <w:i/>
                <w:noProof/>
                <w:sz w:val="18"/>
                <w:szCs w:val="18"/>
              </w:rPr>
              <w:t>3.6.2 Voorstellen ten aanzien van de BPM</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_Toc293998535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21</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36">
            <w:r w:rsidRPr="00EA4FC4" w:rsidR="00EA4FC4">
              <w:rPr>
                <w:rStyle w:val="Hyperlink"/>
                <w:rFonts w:ascii="Verdana" w:hAnsi="Verdana"/>
                <w:i/>
                <w:noProof/>
                <w:sz w:val="18"/>
                <w:szCs w:val="18"/>
              </w:rPr>
              <w:t>3.6.3 Voorstellen ten aanzien van de MRB</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_Toc293998536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24</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37">
            <w:r w:rsidRPr="00EA4FC4" w:rsidR="00EA4FC4">
              <w:rPr>
                <w:rStyle w:val="Hyperlink"/>
                <w:rFonts w:ascii="Verdana" w:hAnsi="Verdana"/>
                <w:i/>
                <w:noProof/>
                <w:sz w:val="18"/>
                <w:szCs w:val="18"/>
              </w:rPr>
              <w:t>3.6.4. Bijtelling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_Toc293998537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25</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38">
            <w:r w:rsidRPr="00EA4FC4" w:rsidR="00EA4FC4">
              <w:rPr>
                <w:rStyle w:val="Hyperlink"/>
                <w:rFonts w:ascii="Verdana" w:hAnsi="Verdana"/>
                <w:i/>
                <w:noProof/>
                <w:sz w:val="18"/>
                <w:szCs w:val="18"/>
              </w:rPr>
              <w:t>3.6.5 Effecten voorgesteld scenario</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_Toc293998538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26</w:t>
            </w:r>
            <w:r w:rsidRPr="00EA4FC4">
              <w:rPr>
                <w:rFonts w:ascii="Verdana" w:hAnsi="Verdana"/>
                <w:noProof/>
                <w:webHidden/>
                <w:sz w:val="18"/>
                <w:szCs w:val="18"/>
              </w:rPr>
              <w:fldChar w:fldCharType="end"/>
            </w:r>
          </w:hyperlink>
        </w:p>
        <w:p w:rsidRPr="00EA4FC4" w:rsidR="00EA4FC4" w:rsidRDefault="00531060">
          <w:pPr>
            <w:pStyle w:val="Inhopg1"/>
            <w:tabs>
              <w:tab w:val="right" w:leader="dot" w:pos="9061"/>
            </w:tabs>
            <w:rPr>
              <w:rFonts w:ascii="Verdana" w:hAnsi="Verdana"/>
              <w:noProof/>
              <w:sz w:val="18"/>
              <w:szCs w:val="18"/>
              <w:lang w:eastAsia="nl-NL"/>
            </w:rPr>
          </w:pPr>
          <w:hyperlink w:history="1" w:anchor="_Toc293998539">
            <w:r w:rsidRPr="00EA4FC4" w:rsidR="00EA4FC4">
              <w:rPr>
                <w:rStyle w:val="Hyperlink"/>
                <w:rFonts w:ascii="Verdana" w:hAnsi="Verdana"/>
                <w:noProof/>
                <w:sz w:val="18"/>
                <w:szCs w:val="18"/>
              </w:rPr>
              <w:t>Hoofdstuk 4. Variabilisatie</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_Toc293998539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27</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40">
            <w:r w:rsidRPr="00EA4FC4" w:rsidR="00EA4FC4">
              <w:rPr>
                <w:rStyle w:val="Hyperlink"/>
                <w:rFonts w:ascii="Verdana" w:hAnsi="Verdana"/>
                <w:noProof/>
                <w:sz w:val="18"/>
                <w:szCs w:val="18"/>
              </w:rPr>
              <w:t>4.0. Samenvatting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_Toc293998540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27</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41">
            <w:r w:rsidRPr="00EA4FC4" w:rsidR="00EA4FC4">
              <w:rPr>
                <w:rStyle w:val="Hyperlink"/>
                <w:rFonts w:ascii="Verdana" w:hAnsi="Verdana"/>
                <w:noProof/>
                <w:sz w:val="18"/>
                <w:szCs w:val="18"/>
              </w:rPr>
              <w:t>4.1. Inleiding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_Toc293998541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27</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42">
            <w:r w:rsidRPr="00EA4FC4" w:rsidR="00EA4FC4">
              <w:rPr>
                <w:rStyle w:val="Hyperlink"/>
                <w:rFonts w:ascii="Verdana" w:hAnsi="Verdana"/>
                <w:noProof/>
                <w:sz w:val="18"/>
                <w:szCs w:val="18"/>
              </w:rPr>
              <w:t>4.2. Benzine- en dieseltarieven</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_Toc293998542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27</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43">
            <w:r w:rsidRPr="00EA4FC4" w:rsidR="00EA4FC4">
              <w:rPr>
                <w:rStyle w:val="Hyperlink"/>
                <w:rFonts w:ascii="Verdana" w:hAnsi="Verdana"/>
                <w:noProof/>
                <w:sz w:val="18"/>
                <w:szCs w:val="18"/>
              </w:rPr>
              <w:t>4.3. Overleg buurlanden</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_Toc293998543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29</w:t>
            </w:r>
            <w:r w:rsidRPr="00EA4FC4">
              <w:rPr>
                <w:rFonts w:ascii="Verdana" w:hAnsi="Verdana"/>
                <w:noProof/>
                <w:webHidden/>
                <w:sz w:val="18"/>
                <w:szCs w:val="18"/>
              </w:rPr>
              <w:fldChar w:fldCharType="end"/>
            </w:r>
          </w:hyperlink>
        </w:p>
        <w:p w:rsidRPr="00EA4FC4" w:rsidR="00EA4FC4" w:rsidRDefault="00531060">
          <w:pPr>
            <w:pStyle w:val="Inhopg1"/>
            <w:tabs>
              <w:tab w:val="right" w:leader="dot" w:pos="9061"/>
            </w:tabs>
            <w:rPr>
              <w:rFonts w:ascii="Verdana" w:hAnsi="Verdana"/>
              <w:noProof/>
              <w:sz w:val="18"/>
              <w:szCs w:val="18"/>
              <w:lang w:eastAsia="nl-NL"/>
            </w:rPr>
          </w:pPr>
          <w:hyperlink w:history="1" w:anchor="_Toc293998544">
            <w:r w:rsidRPr="00EA4FC4" w:rsidR="00EA4FC4">
              <w:rPr>
                <w:rStyle w:val="Hyperlink"/>
                <w:rFonts w:ascii="Verdana" w:hAnsi="Verdana"/>
                <w:noProof/>
                <w:sz w:val="18"/>
                <w:szCs w:val="18"/>
              </w:rPr>
              <w:t>Hoofdstuk 5. Gasvormige brandstoffen</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_Toc293998544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30</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45">
            <w:r w:rsidRPr="00EA4FC4" w:rsidR="00EA4FC4">
              <w:rPr>
                <w:rStyle w:val="Hyperlink"/>
                <w:rFonts w:ascii="Verdana" w:hAnsi="Verdana"/>
                <w:noProof/>
                <w:sz w:val="18"/>
                <w:szCs w:val="18"/>
              </w:rPr>
              <w:t>5.0. Samenvatting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_Toc293998545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30</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46">
            <w:r w:rsidRPr="00EA4FC4" w:rsidR="00EA4FC4">
              <w:rPr>
                <w:rStyle w:val="Hyperlink"/>
                <w:rFonts w:ascii="Verdana" w:hAnsi="Verdana"/>
                <w:noProof/>
                <w:sz w:val="18"/>
                <w:szCs w:val="18"/>
              </w:rPr>
              <w:t>5.1. Inleiding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_Toc293998546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30</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47">
            <w:r w:rsidRPr="00EA4FC4" w:rsidR="00EA4FC4">
              <w:rPr>
                <w:rStyle w:val="Hyperlink"/>
                <w:rFonts w:ascii="Verdana" w:hAnsi="Verdana"/>
                <w:noProof/>
                <w:sz w:val="18"/>
                <w:szCs w:val="18"/>
              </w:rPr>
              <w:t>5.2 Vergelijking brandstoffen</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_Toc293998547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31</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48">
            <w:r w:rsidRPr="00EA4FC4" w:rsidR="00EA4FC4">
              <w:rPr>
                <w:rStyle w:val="Hyperlink"/>
                <w:rFonts w:ascii="Verdana" w:hAnsi="Verdana"/>
                <w:i/>
                <w:noProof/>
                <w:sz w:val="18"/>
                <w:szCs w:val="18"/>
              </w:rPr>
              <w:t>5.2.1.</w:t>
            </w:r>
            <w:r w:rsidRPr="00EA4FC4" w:rsidR="00EA4FC4">
              <w:rPr>
                <w:rStyle w:val="Hyperlink"/>
                <w:rFonts w:ascii="Verdana" w:hAnsi="Verdana" w:eastAsia="Calibri" w:cs="Times New Roman"/>
                <w:i/>
                <w:noProof/>
                <w:sz w:val="18"/>
                <w:szCs w:val="18"/>
              </w:rPr>
              <w:t xml:space="preserve"> </w:t>
            </w:r>
            <w:r w:rsidRPr="00EA4FC4" w:rsidR="00EA4FC4">
              <w:rPr>
                <w:rStyle w:val="Hyperlink"/>
                <w:rFonts w:ascii="Verdana" w:hAnsi="Verdana"/>
                <w:i/>
                <w:noProof/>
                <w:sz w:val="18"/>
                <w:szCs w:val="18"/>
              </w:rPr>
              <w:t>Aanpassing tarieven</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_Toc293998548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31</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49">
            <w:r w:rsidRPr="00EA4FC4" w:rsidR="00EA4FC4">
              <w:rPr>
                <w:rStyle w:val="Hyperlink"/>
                <w:rFonts w:ascii="Verdana" w:hAnsi="Verdana"/>
                <w:i/>
                <w:noProof/>
                <w:sz w:val="18"/>
                <w:szCs w:val="18"/>
              </w:rPr>
              <w:t>5.2.2. Terugsluis</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_Toc293998549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32</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50">
            <w:r w:rsidRPr="00EA4FC4" w:rsidR="00EA4FC4">
              <w:rPr>
                <w:rStyle w:val="Hyperlink"/>
                <w:rFonts w:ascii="Verdana" w:hAnsi="Verdana"/>
                <w:noProof/>
                <w:sz w:val="18"/>
                <w:szCs w:val="18"/>
              </w:rPr>
              <w:t>5.3. Biogassen/groen gas</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_Toc293998550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32</w:t>
            </w:r>
            <w:r w:rsidRPr="00EA4FC4">
              <w:rPr>
                <w:rFonts w:ascii="Verdana" w:hAnsi="Verdana"/>
                <w:noProof/>
                <w:webHidden/>
                <w:sz w:val="18"/>
                <w:szCs w:val="18"/>
              </w:rPr>
              <w:fldChar w:fldCharType="end"/>
            </w:r>
          </w:hyperlink>
        </w:p>
        <w:p w:rsidRPr="00EA4FC4" w:rsidR="00EA4FC4" w:rsidRDefault="00531060">
          <w:pPr>
            <w:pStyle w:val="Inhopg1"/>
            <w:tabs>
              <w:tab w:val="right" w:leader="dot" w:pos="9061"/>
            </w:tabs>
            <w:rPr>
              <w:rFonts w:ascii="Verdana" w:hAnsi="Verdana"/>
              <w:noProof/>
              <w:sz w:val="18"/>
              <w:szCs w:val="18"/>
              <w:lang w:eastAsia="nl-NL"/>
            </w:rPr>
          </w:pPr>
          <w:hyperlink w:history="1" w:anchor="_Toc293998551">
            <w:r w:rsidRPr="00EA4FC4" w:rsidR="00EA4FC4">
              <w:rPr>
                <w:rStyle w:val="Hyperlink"/>
                <w:rFonts w:ascii="Verdana" w:hAnsi="Verdana"/>
                <w:noProof/>
                <w:sz w:val="18"/>
                <w:szCs w:val="18"/>
              </w:rPr>
              <w:t>Hoofdstuk 6. Biobrandstoffen</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_Toc293998551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35</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52">
            <w:r w:rsidRPr="00EA4FC4" w:rsidR="00EA4FC4">
              <w:rPr>
                <w:rStyle w:val="Hyperlink"/>
                <w:rFonts w:ascii="Verdana" w:hAnsi="Verdana"/>
                <w:noProof/>
                <w:sz w:val="18"/>
                <w:szCs w:val="18"/>
              </w:rPr>
              <w:t>6.0. Samenvatting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_Toc293998552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35</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53">
            <w:r w:rsidRPr="00EA4FC4" w:rsidR="00EA4FC4">
              <w:rPr>
                <w:rStyle w:val="Hyperlink"/>
                <w:rFonts w:ascii="Verdana" w:hAnsi="Verdana"/>
                <w:noProof/>
                <w:sz w:val="18"/>
                <w:szCs w:val="18"/>
              </w:rPr>
              <w:t>6.1. Inleiding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_Toc293998553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35</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54">
            <w:r w:rsidRPr="00EA4FC4" w:rsidR="00EA4FC4">
              <w:rPr>
                <w:rStyle w:val="Hyperlink"/>
                <w:rFonts w:ascii="Verdana" w:hAnsi="Verdana"/>
                <w:noProof/>
                <w:sz w:val="18"/>
                <w:szCs w:val="18"/>
              </w:rPr>
              <w:t>6.2. Biobrandstofverplichtingen</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_Toc293998554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35</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55">
            <w:r w:rsidRPr="00EA4FC4" w:rsidR="00EA4FC4">
              <w:rPr>
                <w:rStyle w:val="Hyperlink"/>
                <w:rFonts w:ascii="Verdana" w:hAnsi="Verdana"/>
                <w:noProof/>
                <w:sz w:val="18"/>
                <w:szCs w:val="18"/>
              </w:rPr>
              <w:t>6.3. Energie-inhoud</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_Toc293998555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35</w:t>
            </w:r>
            <w:r w:rsidRPr="00EA4FC4">
              <w:rPr>
                <w:rFonts w:ascii="Verdana" w:hAnsi="Verdana"/>
                <w:noProof/>
                <w:webHidden/>
                <w:sz w:val="18"/>
                <w:szCs w:val="18"/>
              </w:rPr>
              <w:fldChar w:fldCharType="end"/>
            </w:r>
          </w:hyperlink>
        </w:p>
        <w:p w:rsidRPr="00EA4FC4" w:rsidR="00EA4FC4" w:rsidRDefault="00531060">
          <w:pPr>
            <w:pStyle w:val="Inhopg1"/>
            <w:tabs>
              <w:tab w:val="right" w:leader="dot" w:pos="9061"/>
            </w:tabs>
            <w:rPr>
              <w:rFonts w:ascii="Verdana" w:hAnsi="Verdana"/>
              <w:noProof/>
              <w:sz w:val="18"/>
              <w:szCs w:val="18"/>
              <w:lang w:eastAsia="nl-NL"/>
            </w:rPr>
          </w:pPr>
          <w:hyperlink w:history="1" w:anchor="_Toc293998556">
            <w:r w:rsidRPr="00EA4FC4" w:rsidR="00EA4FC4">
              <w:rPr>
                <w:rStyle w:val="Hyperlink"/>
                <w:rFonts w:ascii="Verdana" w:hAnsi="Verdana"/>
                <w:noProof/>
                <w:sz w:val="18"/>
                <w:szCs w:val="18"/>
              </w:rPr>
              <w:t>Hoofdstuk 7. Eurovignet (belasting op zware motorrijtuigen)</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_Toc293998556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37</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57">
            <w:r w:rsidRPr="00EA4FC4" w:rsidR="00EA4FC4">
              <w:rPr>
                <w:rStyle w:val="Hyperlink"/>
                <w:rFonts w:ascii="Verdana" w:hAnsi="Verdana"/>
                <w:noProof/>
                <w:sz w:val="18"/>
                <w:szCs w:val="18"/>
              </w:rPr>
              <w:t>7.0. Samenvatting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_Toc293998557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37</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58">
            <w:r w:rsidRPr="00EA4FC4" w:rsidR="00EA4FC4">
              <w:rPr>
                <w:rStyle w:val="Hyperlink"/>
                <w:rFonts w:ascii="Verdana" w:hAnsi="Verdana"/>
                <w:noProof/>
                <w:sz w:val="18"/>
                <w:szCs w:val="18"/>
              </w:rPr>
              <w:t>7.1 Inleiding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_Toc293998558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37</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59">
            <w:r w:rsidRPr="00EA4FC4" w:rsidR="00EA4FC4">
              <w:rPr>
                <w:rStyle w:val="Hyperlink"/>
                <w:rFonts w:ascii="Verdana" w:hAnsi="Verdana"/>
                <w:noProof/>
                <w:sz w:val="18"/>
                <w:szCs w:val="18"/>
              </w:rPr>
              <w:t>7.2. Samenwerkingsverband</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_Toc293998559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37</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60">
            <w:r w:rsidRPr="00EA4FC4" w:rsidR="00EA4FC4">
              <w:rPr>
                <w:rStyle w:val="Hyperlink"/>
                <w:rFonts w:ascii="Verdana" w:hAnsi="Verdana"/>
                <w:i/>
                <w:noProof/>
                <w:sz w:val="18"/>
                <w:szCs w:val="18"/>
              </w:rPr>
              <w:t>7.2.1. Samenwerking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_Toc293998560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37</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61">
            <w:r w:rsidRPr="00EA4FC4" w:rsidR="00EA4FC4">
              <w:rPr>
                <w:rStyle w:val="Hyperlink"/>
                <w:rFonts w:ascii="Verdana" w:hAnsi="Verdana"/>
                <w:i/>
                <w:noProof/>
                <w:sz w:val="18"/>
                <w:szCs w:val="18"/>
              </w:rPr>
              <w:t>7.2.2.Toekomst verdrag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_Toc293998561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37</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62">
            <w:r w:rsidRPr="00EA4FC4" w:rsidR="00EA4FC4">
              <w:rPr>
                <w:rStyle w:val="Hyperlink"/>
                <w:rFonts w:ascii="Verdana" w:hAnsi="Verdana"/>
                <w:i/>
                <w:noProof/>
                <w:sz w:val="18"/>
                <w:szCs w:val="18"/>
              </w:rPr>
              <w:t>7.2.3. Planning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_Toc293998562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38</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63">
            <w:r w:rsidRPr="00EA4FC4" w:rsidR="00EA4FC4">
              <w:rPr>
                <w:rStyle w:val="Hyperlink"/>
                <w:rFonts w:ascii="Verdana" w:hAnsi="Verdana"/>
                <w:noProof/>
                <w:sz w:val="18"/>
                <w:szCs w:val="18"/>
              </w:rPr>
              <w:t>7.3. Uitvoeringskosten en administratieve lasten</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_Toc293998563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38</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64">
            <w:r w:rsidRPr="00EA4FC4" w:rsidR="00EA4FC4">
              <w:rPr>
                <w:rStyle w:val="Hyperlink"/>
                <w:rFonts w:ascii="Verdana" w:hAnsi="Verdana"/>
                <w:noProof/>
                <w:sz w:val="18"/>
                <w:szCs w:val="18"/>
              </w:rPr>
              <w:t>7.4. Milieu</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_Toc293998564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38</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65">
            <w:r w:rsidRPr="00EA4FC4" w:rsidR="00EA4FC4">
              <w:rPr>
                <w:rStyle w:val="Hyperlink"/>
                <w:rFonts w:ascii="Verdana" w:hAnsi="Verdana"/>
                <w:noProof/>
                <w:sz w:val="18"/>
                <w:szCs w:val="18"/>
              </w:rPr>
              <w:t>7.5. Dekking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_Toc293998565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38</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66">
            <w:r w:rsidRPr="00EA4FC4" w:rsidR="00EA4FC4">
              <w:rPr>
                <w:rStyle w:val="Hyperlink"/>
                <w:rFonts w:ascii="Verdana" w:hAnsi="Verdana"/>
                <w:noProof/>
                <w:sz w:val="18"/>
                <w:szCs w:val="18"/>
              </w:rPr>
              <w:t>7.6. Effecten voor de Nederlandse vervoerbranche</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_Toc293998566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38</w:t>
            </w:r>
            <w:r w:rsidRPr="00EA4FC4">
              <w:rPr>
                <w:rFonts w:ascii="Verdana" w:hAnsi="Verdana"/>
                <w:noProof/>
                <w:webHidden/>
                <w:sz w:val="18"/>
                <w:szCs w:val="18"/>
              </w:rPr>
              <w:fldChar w:fldCharType="end"/>
            </w:r>
          </w:hyperlink>
        </w:p>
        <w:p w:rsidRPr="00EA4FC4" w:rsidR="00EA4FC4" w:rsidRDefault="00531060">
          <w:pPr>
            <w:pStyle w:val="Inhopg1"/>
            <w:tabs>
              <w:tab w:val="right" w:leader="dot" w:pos="9061"/>
            </w:tabs>
            <w:rPr>
              <w:rFonts w:ascii="Verdana" w:hAnsi="Verdana"/>
              <w:noProof/>
              <w:sz w:val="18"/>
              <w:szCs w:val="18"/>
              <w:lang w:eastAsia="nl-NL"/>
            </w:rPr>
          </w:pPr>
          <w:hyperlink w:history="1" w:anchor="_Toc293998567">
            <w:r w:rsidRPr="00EA4FC4" w:rsidR="00EA4FC4">
              <w:rPr>
                <w:rStyle w:val="Hyperlink"/>
                <w:rFonts w:ascii="Verdana" w:hAnsi="Verdana"/>
                <w:noProof/>
                <w:sz w:val="18"/>
                <w:szCs w:val="18"/>
              </w:rPr>
              <w:t>Hoofdstuk 8. Bestelauto’s</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_Toc293998567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40</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68">
            <w:r w:rsidRPr="00EA4FC4" w:rsidR="00EA4FC4">
              <w:rPr>
                <w:rStyle w:val="Hyperlink"/>
                <w:rFonts w:ascii="Verdana" w:hAnsi="Verdana"/>
                <w:noProof/>
                <w:sz w:val="18"/>
                <w:szCs w:val="18"/>
              </w:rPr>
              <w:t>8.0. Samenvatting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_Toc293998568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40</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69">
            <w:r w:rsidRPr="00EA4FC4" w:rsidR="00EA4FC4">
              <w:rPr>
                <w:rStyle w:val="Hyperlink"/>
                <w:rFonts w:ascii="Verdana" w:hAnsi="Verdana"/>
                <w:noProof/>
                <w:sz w:val="18"/>
                <w:szCs w:val="18"/>
              </w:rPr>
              <w:t>8.1. Inleiding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_Toc293998569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40</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70">
            <w:r w:rsidRPr="00EA4FC4" w:rsidR="00EA4FC4">
              <w:rPr>
                <w:rStyle w:val="Hyperlink"/>
                <w:rFonts w:ascii="Verdana" w:hAnsi="Verdana"/>
                <w:noProof/>
                <w:sz w:val="18"/>
                <w:szCs w:val="18"/>
              </w:rPr>
              <w:t>8.2.Overleg met branche</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_Toc293998570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40</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71">
            <w:r w:rsidRPr="00EA4FC4" w:rsidR="00EA4FC4">
              <w:rPr>
                <w:rStyle w:val="Hyperlink"/>
                <w:rFonts w:ascii="Verdana" w:hAnsi="Verdana"/>
                <w:noProof/>
                <w:sz w:val="18"/>
                <w:szCs w:val="18"/>
              </w:rPr>
              <w:t>8.3 Alternatieve regeling(en)</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_Toc293998571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41</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72">
            <w:r w:rsidRPr="00EA4FC4" w:rsidR="00EA4FC4">
              <w:rPr>
                <w:rStyle w:val="Hyperlink"/>
                <w:rFonts w:ascii="Verdana" w:hAnsi="Verdana"/>
                <w:noProof/>
                <w:sz w:val="18"/>
                <w:szCs w:val="18"/>
              </w:rPr>
              <w:t>8.4 Regelgeving per 1 januari 2012?</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_Toc293998572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44</w:t>
            </w:r>
            <w:r w:rsidRPr="00EA4FC4">
              <w:rPr>
                <w:rFonts w:ascii="Verdana" w:hAnsi="Verdana"/>
                <w:noProof/>
                <w:webHidden/>
                <w:sz w:val="18"/>
                <w:szCs w:val="18"/>
              </w:rPr>
              <w:fldChar w:fldCharType="end"/>
            </w:r>
          </w:hyperlink>
        </w:p>
        <w:p w:rsidRPr="00EA4FC4" w:rsidR="00EA4FC4" w:rsidRDefault="00531060">
          <w:pPr>
            <w:pStyle w:val="Inhopg1"/>
            <w:tabs>
              <w:tab w:val="right" w:leader="dot" w:pos="9061"/>
            </w:tabs>
            <w:rPr>
              <w:rFonts w:ascii="Verdana" w:hAnsi="Verdana"/>
              <w:noProof/>
              <w:sz w:val="18"/>
              <w:szCs w:val="18"/>
              <w:lang w:eastAsia="nl-NL"/>
            </w:rPr>
          </w:pPr>
          <w:hyperlink w:history="1" w:anchor="_Toc293998573">
            <w:r w:rsidRPr="00EA4FC4" w:rsidR="00EA4FC4">
              <w:rPr>
                <w:rStyle w:val="Hyperlink"/>
                <w:rFonts w:ascii="Verdana" w:hAnsi="Verdana"/>
                <w:noProof/>
                <w:sz w:val="18"/>
                <w:szCs w:val="18"/>
              </w:rPr>
              <w:t>Hoofdstuk 9. Overige bijzondere regelingen en enkele aandachtspunten in de autobelastingen</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_Toc293998573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45</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74">
            <w:r w:rsidRPr="00EA4FC4" w:rsidR="00EA4FC4">
              <w:rPr>
                <w:rStyle w:val="Hyperlink"/>
                <w:rFonts w:ascii="Verdana" w:hAnsi="Verdana"/>
                <w:noProof/>
                <w:sz w:val="18"/>
                <w:szCs w:val="18"/>
              </w:rPr>
              <w:t>9.0. Samenvatting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_Toc293998574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45</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75">
            <w:r w:rsidRPr="00EA4FC4" w:rsidR="00EA4FC4">
              <w:rPr>
                <w:rStyle w:val="Hyperlink"/>
                <w:rFonts w:ascii="Verdana" w:hAnsi="Verdana"/>
                <w:noProof/>
                <w:sz w:val="18"/>
                <w:szCs w:val="18"/>
              </w:rPr>
              <w:t>9.1. Inleiding</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_Toc293998575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45</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76">
            <w:r w:rsidRPr="00EA4FC4" w:rsidR="00EA4FC4">
              <w:rPr>
                <w:rStyle w:val="Hyperlink"/>
                <w:rFonts w:ascii="Verdana" w:hAnsi="Verdana"/>
                <w:noProof/>
                <w:sz w:val="18"/>
                <w:szCs w:val="18"/>
              </w:rPr>
              <w:t>9.2. Aanleiding heroverweging bijzondere regelingen</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_Toc293998576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46</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77">
            <w:r w:rsidRPr="00EA4FC4" w:rsidR="00EA4FC4">
              <w:rPr>
                <w:rStyle w:val="Hyperlink"/>
                <w:rFonts w:ascii="Verdana" w:hAnsi="Verdana"/>
                <w:i/>
                <w:noProof/>
                <w:sz w:val="18"/>
                <w:szCs w:val="18"/>
              </w:rPr>
              <w:t>9.2.1. Taakstelling Belastingdienst</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_Toc293998577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47</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78">
            <w:r w:rsidRPr="00EA4FC4" w:rsidR="00EA4FC4">
              <w:rPr>
                <w:rStyle w:val="Hyperlink"/>
                <w:rFonts w:ascii="Verdana" w:hAnsi="Verdana"/>
                <w:i/>
                <w:noProof/>
                <w:sz w:val="18"/>
                <w:szCs w:val="18"/>
              </w:rPr>
              <w:t>9.2.2. Mogelijk geen noodzaak voor ondersteuning beleidsdoel via fiscaliteit</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_Toc293998578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47</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79">
            <w:r w:rsidRPr="00EA4FC4" w:rsidR="00EA4FC4">
              <w:rPr>
                <w:rStyle w:val="Hyperlink"/>
                <w:rFonts w:ascii="Verdana" w:hAnsi="Verdana"/>
                <w:i/>
                <w:noProof/>
                <w:sz w:val="18"/>
                <w:szCs w:val="18"/>
              </w:rPr>
              <w:t>9.2.3. Samenhang met andere beleidsdoelen en –instrumenten</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_Toc293998579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48</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80">
            <w:r w:rsidRPr="00EA4FC4" w:rsidR="00EA4FC4">
              <w:rPr>
                <w:rStyle w:val="Hyperlink"/>
                <w:rFonts w:ascii="Verdana" w:hAnsi="Verdana"/>
                <w:noProof/>
                <w:sz w:val="18"/>
                <w:szCs w:val="18"/>
              </w:rPr>
              <w:t>9.3. Mogelijke criteria heroverweging bijzondere regelingen</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_Toc293998580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48</w:t>
            </w:r>
            <w:r w:rsidRPr="00EA4FC4">
              <w:rPr>
                <w:rFonts w:ascii="Verdana" w:hAnsi="Verdana"/>
                <w:noProof/>
                <w:webHidden/>
                <w:sz w:val="18"/>
                <w:szCs w:val="18"/>
              </w:rPr>
              <w:fldChar w:fldCharType="end"/>
            </w:r>
          </w:hyperlink>
        </w:p>
        <w:p w:rsidRPr="00EA4FC4" w:rsidR="00EA4FC4" w:rsidRDefault="00531060">
          <w:pPr>
            <w:pStyle w:val="Inhopg2"/>
            <w:tabs>
              <w:tab w:val="right" w:leader="dot" w:pos="9061"/>
            </w:tabs>
            <w:rPr>
              <w:rFonts w:ascii="Verdana" w:hAnsi="Verdana"/>
              <w:noProof/>
              <w:sz w:val="18"/>
              <w:szCs w:val="18"/>
              <w:lang w:eastAsia="nl-NL"/>
            </w:rPr>
          </w:pPr>
          <w:hyperlink w:history="1" w:anchor="_Toc293998581">
            <w:r w:rsidRPr="00EA4FC4" w:rsidR="00EA4FC4">
              <w:rPr>
                <w:rStyle w:val="Hyperlink"/>
                <w:rFonts w:ascii="Verdana" w:hAnsi="Verdana"/>
                <w:noProof/>
                <w:sz w:val="18"/>
                <w:szCs w:val="18"/>
              </w:rPr>
              <w:t>9.4. Enkele andere aandachtspunten in de autobelastingen</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_Toc293998581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48</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82">
            <w:r w:rsidRPr="00EA4FC4" w:rsidR="00EA4FC4">
              <w:rPr>
                <w:rStyle w:val="Hyperlink"/>
                <w:rFonts w:ascii="Verdana" w:hAnsi="Verdana"/>
                <w:i/>
                <w:noProof/>
                <w:sz w:val="18"/>
                <w:szCs w:val="18"/>
              </w:rPr>
              <w:t>9.4.1. De BPM in Europees perspectief</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_Toc293998582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49</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83">
            <w:r w:rsidRPr="00EA4FC4" w:rsidR="00EA4FC4">
              <w:rPr>
                <w:rStyle w:val="Hyperlink"/>
                <w:rFonts w:ascii="Verdana" w:hAnsi="Verdana" w:eastAsia="Times New Roman"/>
                <w:i/>
                <w:noProof/>
                <w:sz w:val="18"/>
                <w:szCs w:val="18"/>
              </w:rPr>
              <w:t>9.4.2.Toezicht en fraudebestrijding: het kentekenregister als fiscaal autopaspoort</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_Toc293998583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49</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84">
            <w:r w:rsidRPr="00EA4FC4" w:rsidR="00EA4FC4">
              <w:rPr>
                <w:rStyle w:val="Hyperlink"/>
                <w:rFonts w:ascii="Verdana" w:hAnsi="Verdana"/>
                <w:i/>
                <w:noProof/>
                <w:sz w:val="18"/>
                <w:szCs w:val="18"/>
              </w:rPr>
              <w:t>9.4.3. BTW-correctie privégebruik zakelijke auto</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_Toc293998584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49</w:t>
            </w:r>
            <w:r w:rsidRPr="00EA4FC4">
              <w:rPr>
                <w:rFonts w:ascii="Verdana" w:hAnsi="Verdana"/>
                <w:noProof/>
                <w:webHidden/>
                <w:sz w:val="18"/>
                <w:szCs w:val="18"/>
              </w:rPr>
              <w:fldChar w:fldCharType="end"/>
            </w:r>
          </w:hyperlink>
        </w:p>
        <w:p w:rsidRPr="00EA4FC4" w:rsidR="00EA4FC4" w:rsidRDefault="00531060">
          <w:pPr>
            <w:pStyle w:val="Inhopg3"/>
            <w:tabs>
              <w:tab w:val="right" w:leader="dot" w:pos="9061"/>
            </w:tabs>
            <w:rPr>
              <w:rFonts w:ascii="Verdana" w:hAnsi="Verdana"/>
              <w:noProof/>
              <w:sz w:val="18"/>
              <w:szCs w:val="18"/>
              <w:lang w:eastAsia="nl-NL"/>
            </w:rPr>
          </w:pPr>
          <w:hyperlink w:history="1" w:anchor="_Toc293998585">
            <w:r w:rsidRPr="00EA4FC4" w:rsidR="00EA4FC4">
              <w:rPr>
                <w:rStyle w:val="Hyperlink"/>
                <w:rFonts w:ascii="Verdana" w:hAnsi="Verdana"/>
                <w:i/>
                <w:noProof/>
                <w:sz w:val="18"/>
                <w:szCs w:val="18"/>
              </w:rPr>
              <w:t>9.4.4. Motoren en bromfietsen</w:t>
            </w:r>
            <w:r w:rsidRPr="00EA4FC4" w:rsidR="00EA4FC4">
              <w:rPr>
                <w:rFonts w:ascii="Verdana" w:hAnsi="Verdana"/>
                <w:noProof/>
                <w:webHidden/>
                <w:sz w:val="18"/>
                <w:szCs w:val="18"/>
              </w:rPr>
              <w:tab/>
            </w:r>
            <w:r w:rsidRPr="00EA4FC4">
              <w:rPr>
                <w:rFonts w:ascii="Verdana" w:hAnsi="Verdana"/>
                <w:noProof/>
                <w:webHidden/>
                <w:sz w:val="18"/>
                <w:szCs w:val="18"/>
              </w:rPr>
              <w:fldChar w:fldCharType="begin"/>
            </w:r>
            <w:r w:rsidRPr="00EA4FC4" w:rsidR="00EA4FC4">
              <w:rPr>
                <w:rFonts w:ascii="Verdana" w:hAnsi="Verdana"/>
                <w:noProof/>
                <w:webHidden/>
                <w:sz w:val="18"/>
                <w:szCs w:val="18"/>
              </w:rPr>
              <w:instrText xml:space="preserve"> PAGEREF _Toc293998585 \h </w:instrText>
            </w:r>
            <w:r w:rsidRPr="00EA4FC4">
              <w:rPr>
                <w:rFonts w:ascii="Verdana" w:hAnsi="Verdana"/>
                <w:noProof/>
                <w:webHidden/>
                <w:sz w:val="18"/>
                <w:szCs w:val="18"/>
              </w:rPr>
            </w:r>
            <w:r w:rsidRPr="00EA4FC4">
              <w:rPr>
                <w:rFonts w:ascii="Verdana" w:hAnsi="Verdana"/>
                <w:noProof/>
                <w:webHidden/>
                <w:sz w:val="18"/>
                <w:szCs w:val="18"/>
              </w:rPr>
              <w:fldChar w:fldCharType="separate"/>
            </w:r>
            <w:r w:rsidR="00B07C02">
              <w:rPr>
                <w:rFonts w:ascii="Verdana" w:hAnsi="Verdana"/>
                <w:noProof/>
                <w:webHidden/>
                <w:sz w:val="18"/>
                <w:szCs w:val="18"/>
              </w:rPr>
              <w:t>50</w:t>
            </w:r>
            <w:r w:rsidRPr="00EA4FC4">
              <w:rPr>
                <w:rFonts w:ascii="Verdana" w:hAnsi="Verdana"/>
                <w:noProof/>
                <w:webHidden/>
                <w:sz w:val="18"/>
                <w:szCs w:val="18"/>
              </w:rPr>
              <w:fldChar w:fldCharType="end"/>
            </w:r>
          </w:hyperlink>
        </w:p>
        <w:p w:rsidRPr="00764475" w:rsidR="0062433D" w:rsidP="00781CF8" w:rsidRDefault="00531060">
          <w:pPr>
            <w:spacing w:after="0"/>
            <w:rPr>
              <w:sz w:val="18"/>
              <w:szCs w:val="18"/>
            </w:rPr>
          </w:pPr>
          <w:r w:rsidRPr="00EA4FC4">
            <w:rPr>
              <w:sz w:val="18"/>
              <w:szCs w:val="18"/>
            </w:rPr>
            <w:fldChar w:fldCharType="end"/>
          </w:r>
        </w:p>
      </w:sdtContent>
    </w:sdt>
    <w:p w:rsidR="0062433D" w:rsidP="00781CF8" w:rsidRDefault="0062433D">
      <w:pPr>
        <w:spacing w:after="0" w:line="240" w:lineRule="auto"/>
        <w:rPr>
          <w:b/>
          <w:color w:val="000000"/>
          <w:sz w:val="18"/>
          <w:szCs w:val="18"/>
        </w:rPr>
      </w:pPr>
    </w:p>
    <w:p w:rsidR="0062433D" w:rsidP="00781CF8" w:rsidRDefault="0062433D">
      <w:pPr>
        <w:spacing w:after="0" w:line="240" w:lineRule="auto"/>
        <w:rPr>
          <w:rFonts w:eastAsiaTheme="majorEastAsia" w:cstheme="majorBidi"/>
          <w:b/>
          <w:bCs/>
          <w:sz w:val="18"/>
          <w:szCs w:val="18"/>
        </w:rPr>
      </w:pPr>
      <w:r>
        <w:rPr>
          <w:sz w:val="18"/>
          <w:szCs w:val="18"/>
        </w:rPr>
        <w:br w:type="page"/>
      </w:r>
    </w:p>
    <w:p w:rsidRPr="0062433D" w:rsidR="001351DF" w:rsidP="00781CF8" w:rsidRDefault="001351DF">
      <w:pPr>
        <w:pStyle w:val="Kop1"/>
        <w:spacing w:before="0"/>
        <w:rPr>
          <w:rFonts w:ascii="Verdana" w:hAnsi="Verdana"/>
          <w:color w:val="auto"/>
          <w:sz w:val="18"/>
          <w:szCs w:val="18"/>
        </w:rPr>
      </w:pPr>
      <w:bookmarkStart w:name="_Toc293998516" w:id="0"/>
      <w:r w:rsidRPr="0062433D">
        <w:rPr>
          <w:rFonts w:ascii="Verdana" w:hAnsi="Verdana"/>
          <w:color w:val="auto"/>
          <w:sz w:val="18"/>
          <w:szCs w:val="18"/>
        </w:rPr>
        <w:lastRenderedPageBreak/>
        <w:t>Hoofdstuk 1. Inleiding</w:t>
      </w:r>
      <w:bookmarkEnd w:id="0"/>
    </w:p>
    <w:p w:rsidR="001351DF" w:rsidP="00781CF8" w:rsidRDefault="001351DF">
      <w:pPr>
        <w:spacing w:after="0" w:line="240" w:lineRule="atLeast"/>
        <w:rPr>
          <w:color w:val="000000"/>
          <w:sz w:val="18"/>
          <w:szCs w:val="18"/>
        </w:rPr>
      </w:pPr>
    </w:p>
    <w:p w:rsidR="001351DF" w:rsidP="00781CF8" w:rsidRDefault="001351DF">
      <w:pPr>
        <w:spacing w:after="0" w:line="240" w:lineRule="atLeast"/>
        <w:rPr>
          <w:sz w:val="18"/>
          <w:szCs w:val="18"/>
        </w:rPr>
      </w:pPr>
      <w:r>
        <w:rPr>
          <w:sz w:val="18"/>
          <w:szCs w:val="18"/>
        </w:rPr>
        <w:t xml:space="preserve">De huidige </w:t>
      </w:r>
      <w:r w:rsidR="005A2C8C">
        <w:rPr>
          <w:sz w:val="18"/>
          <w:szCs w:val="18"/>
        </w:rPr>
        <w:t>m</w:t>
      </w:r>
      <w:r>
        <w:rPr>
          <w:sz w:val="18"/>
          <w:szCs w:val="18"/>
        </w:rPr>
        <w:t xml:space="preserve">inister van Financiën heeft in zijn </w:t>
      </w:r>
      <w:r w:rsidR="0026687E">
        <w:rPr>
          <w:sz w:val="18"/>
          <w:szCs w:val="18"/>
        </w:rPr>
        <w:t xml:space="preserve">vorige </w:t>
      </w:r>
      <w:r>
        <w:rPr>
          <w:sz w:val="18"/>
          <w:szCs w:val="18"/>
        </w:rPr>
        <w:t xml:space="preserve">functie als </w:t>
      </w:r>
      <w:r w:rsidR="005A2C8C">
        <w:rPr>
          <w:sz w:val="18"/>
          <w:szCs w:val="18"/>
        </w:rPr>
        <w:t>s</w:t>
      </w:r>
      <w:r>
        <w:rPr>
          <w:sz w:val="18"/>
          <w:szCs w:val="18"/>
        </w:rPr>
        <w:t xml:space="preserve">taatssecretaris </w:t>
      </w:r>
      <w:r w:rsidR="0026687E">
        <w:rPr>
          <w:sz w:val="18"/>
          <w:szCs w:val="18"/>
        </w:rPr>
        <w:t xml:space="preserve">van Financiën </w:t>
      </w:r>
      <w:r>
        <w:rPr>
          <w:sz w:val="18"/>
          <w:szCs w:val="18"/>
        </w:rPr>
        <w:t xml:space="preserve">vanaf 2008 </w:t>
      </w:r>
      <w:r w:rsidRPr="00A878C4">
        <w:rPr>
          <w:sz w:val="18"/>
          <w:szCs w:val="18"/>
        </w:rPr>
        <w:t xml:space="preserve">een aantal </w:t>
      </w:r>
      <w:r>
        <w:rPr>
          <w:sz w:val="18"/>
          <w:szCs w:val="18"/>
        </w:rPr>
        <w:t xml:space="preserve">betekenisvolle </w:t>
      </w:r>
      <w:r w:rsidRPr="00A878C4">
        <w:rPr>
          <w:sz w:val="18"/>
          <w:szCs w:val="18"/>
        </w:rPr>
        <w:t xml:space="preserve">stappen gezet in het </w:t>
      </w:r>
      <w:r>
        <w:rPr>
          <w:sz w:val="18"/>
          <w:szCs w:val="18"/>
        </w:rPr>
        <w:t xml:space="preserve">fiscale </w:t>
      </w:r>
      <w:r w:rsidRPr="00A878C4">
        <w:rPr>
          <w:sz w:val="18"/>
          <w:szCs w:val="18"/>
        </w:rPr>
        <w:t xml:space="preserve">vergroeningsbeleid. Een centraal onderdeel van dit vergroeningsbeleid was het stimuleren van de aanschaf en het gebruik van zuinige en zeer zuinige auto’s. Dit beleid heeft </w:t>
      </w:r>
      <w:r>
        <w:rPr>
          <w:sz w:val="18"/>
          <w:szCs w:val="18"/>
        </w:rPr>
        <w:t>de</w:t>
      </w:r>
      <w:r w:rsidRPr="00A878C4">
        <w:rPr>
          <w:sz w:val="18"/>
          <w:szCs w:val="18"/>
        </w:rPr>
        <w:t xml:space="preserve"> nieuwverkopen van (zeer) zuinige auto’s sterk doen toenemen van een paar duizend in 2005 tot een kleine 200 000 </w:t>
      </w:r>
      <w:r>
        <w:rPr>
          <w:sz w:val="18"/>
          <w:szCs w:val="18"/>
        </w:rPr>
        <w:t>in</w:t>
      </w:r>
      <w:r w:rsidRPr="00A878C4">
        <w:rPr>
          <w:sz w:val="18"/>
          <w:szCs w:val="18"/>
        </w:rPr>
        <w:t xml:space="preserve"> 2010. Het percentage zeer zuinige personenauto</w:t>
      </w:r>
      <w:r>
        <w:rPr>
          <w:sz w:val="18"/>
          <w:szCs w:val="18"/>
        </w:rPr>
        <w:t>’</w:t>
      </w:r>
      <w:r w:rsidRPr="00A878C4">
        <w:rPr>
          <w:sz w:val="18"/>
          <w:szCs w:val="18"/>
        </w:rPr>
        <w:t xml:space="preserve">s </w:t>
      </w:r>
      <w:r>
        <w:rPr>
          <w:sz w:val="18"/>
          <w:szCs w:val="18"/>
        </w:rPr>
        <w:t>in de totale</w:t>
      </w:r>
      <w:r w:rsidRPr="00A878C4">
        <w:rPr>
          <w:sz w:val="18"/>
          <w:szCs w:val="18"/>
        </w:rPr>
        <w:t xml:space="preserve"> nieuwverkopen is daarmee in 2010 opgelopen tot 24</w:t>
      </w:r>
      <w:r>
        <w:rPr>
          <w:sz w:val="18"/>
          <w:szCs w:val="18"/>
        </w:rPr>
        <w:t xml:space="preserve"> procent</w:t>
      </w:r>
      <w:r w:rsidRPr="00A878C4">
        <w:rPr>
          <w:sz w:val="18"/>
          <w:szCs w:val="18"/>
        </w:rPr>
        <w:t>. Voor 2011 is de verwachting dat dit percentage verder zal oplopen tot boven de 30</w:t>
      </w:r>
      <w:r>
        <w:rPr>
          <w:sz w:val="18"/>
          <w:szCs w:val="18"/>
        </w:rPr>
        <w:t xml:space="preserve"> procent</w:t>
      </w:r>
      <w:r w:rsidRPr="00A878C4">
        <w:rPr>
          <w:sz w:val="18"/>
          <w:szCs w:val="18"/>
        </w:rPr>
        <w:t>. Ter illustratie: van de in het eerste kwartaal verkochte nieuwe personenauto’s kwalificeerde ongeveer een</w:t>
      </w:r>
      <w:r w:rsidR="00F764D8">
        <w:rPr>
          <w:sz w:val="18"/>
          <w:szCs w:val="18"/>
        </w:rPr>
        <w:t xml:space="preserve"> </w:t>
      </w:r>
      <w:r w:rsidRPr="00A878C4">
        <w:rPr>
          <w:sz w:val="18"/>
          <w:szCs w:val="18"/>
        </w:rPr>
        <w:t>derde als zeer zuinig</w:t>
      </w:r>
      <w:r>
        <w:rPr>
          <w:sz w:val="18"/>
          <w:szCs w:val="18"/>
        </w:rPr>
        <w:t xml:space="preserve">. </w:t>
      </w:r>
      <w:r w:rsidRPr="00A878C4">
        <w:rPr>
          <w:sz w:val="18"/>
          <w:szCs w:val="18"/>
        </w:rPr>
        <w:t>De explosieve toename van het aandeel zeer zuinige auto’s in de nieuwverkopen heeft er</w:t>
      </w:r>
      <w:r>
        <w:rPr>
          <w:sz w:val="18"/>
          <w:szCs w:val="18"/>
        </w:rPr>
        <w:t xml:space="preserve"> enerzijds </w:t>
      </w:r>
      <w:r w:rsidRPr="00A878C4">
        <w:rPr>
          <w:sz w:val="18"/>
          <w:szCs w:val="18"/>
        </w:rPr>
        <w:t>toe geleid dat de gemiddelde CO</w:t>
      </w:r>
      <w:r w:rsidRPr="00A878C4">
        <w:rPr>
          <w:sz w:val="18"/>
          <w:szCs w:val="18"/>
          <w:vertAlign w:val="subscript"/>
        </w:rPr>
        <w:t>2</w:t>
      </w:r>
      <w:r w:rsidRPr="00A878C4">
        <w:rPr>
          <w:sz w:val="18"/>
          <w:szCs w:val="18"/>
        </w:rPr>
        <w:t>-uitstoot van nieuwe personenauto’s significant is afgenomen. Waar in 2007 de gemiddelde uitstoot van alle nieuwverkopen nog circa 164 gram CO</w:t>
      </w:r>
      <w:r w:rsidRPr="00A878C4">
        <w:rPr>
          <w:sz w:val="18"/>
          <w:szCs w:val="18"/>
          <w:vertAlign w:val="subscript"/>
        </w:rPr>
        <w:t>2</w:t>
      </w:r>
      <w:r w:rsidRPr="00A878C4">
        <w:rPr>
          <w:sz w:val="18"/>
          <w:szCs w:val="18"/>
        </w:rPr>
        <w:t xml:space="preserve"> per kilometer bedroeg</w:t>
      </w:r>
      <w:r>
        <w:rPr>
          <w:sz w:val="18"/>
          <w:szCs w:val="18"/>
        </w:rPr>
        <w:t>,</w:t>
      </w:r>
      <w:r w:rsidRPr="00A878C4">
        <w:rPr>
          <w:sz w:val="18"/>
          <w:szCs w:val="18"/>
        </w:rPr>
        <w:t xml:space="preserve"> is deze in 2010 afgenomen tot circa 136 gram CO</w:t>
      </w:r>
      <w:r w:rsidRPr="00A878C4">
        <w:rPr>
          <w:sz w:val="18"/>
          <w:szCs w:val="18"/>
          <w:vertAlign w:val="subscript"/>
        </w:rPr>
        <w:t>2</w:t>
      </w:r>
      <w:r w:rsidRPr="00A878C4">
        <w:rPr>
          <w:sz w:val="18"/>
          <w:szCs w:val="18"/>
        </w:rPr>
        <w:t xml:space="preserve"> per kilometer. De voor 2015 vastgestelde Europese norm voor de CO</w:t>
      </w:r>
      <w:r w:rsidRPr="00A878C4">
        <w:rPr>
          <w:sz w:val="18"/>
          <w:szCs w:val="18"/>
          <w:vertAlign w:val="subscript"/>
        </w:rPr>
        <w:t>2</w:t>
      </w:r>
      <w:r w:rsidRPr="00A878C4">
        <w:rPr>
          <w:sz w:val="18"/>
          <w:szCs w:val="18"/>
        </w:rPr>
        <w:t>-uitstoot van nieuwverkopen van 130 gram CO</w:t>
      </w:r>
      <w:r w:rsidRPr="00A878C4">
        <w:rPr>
          <w:sz w:val="18"/>
          <w:szCs w:val="18"/>
          <w:vertAlign w:val="subscript"/>
        </w:rPr>
        <w:t>2</w:t>
      </w:r>
      <w:r w:rsidRPr="00A878C4">
        <w:rPr>
          <w:sz w:val="18"/>
          <w:szCs w:val="18"/>
        </w:rPr>
        <w:t xml:space="preserve"> is daarmee </w:t>
      </w:r>
      <w:r w:rsidR="001214DD">
        <w:rPr>
          <w:sz w:val="18"/>
          <w:szCs w:val="18"/>
        </w:rPr>
        <w:t xml:space="preserve">wat betreft de verkoop van nieuwe personenauto’s in Nederland </w:t>
      </w:r>
      <w:r w:rsidRPr="00A878C4">
        <w:rPr>
          <w:sz w:val="18"/>
          <w:szCs w:val="18"/>
        </w:rPr>
        <w:t>reeds in 2011 binnen bereik</w:t>
      </w:r>
      <w:r>
        <w:rPr>
          <w:sz w:val="18"/>
          <w:szCs w:val="18"/>
        </w:rPr>
        <w:t xml:space="preserve"> gekomen</w:t>
      </w:r>
      <w:r w:rsidRPr="00A878C4">
        <w:rPr>
          <w:sz w:val="18"/>
          <w:szCs w:val="18"/>
        </w:rPr>
        <w:t xml:space="preserve">. </w:t>
      </w:r>
      <w:r>
        <w:rPr>
          <w:sz w:val="18"/>
          <w:szCs w:val="18"/>
        </w:rPr>
        <w:t xml:space="preserve">Anderzijds moet de vraag gesteld worden of een beleid waarin </w:t>
      </w:r>
      <w:r w:rsidR="00B90DEC">
        <w:rPr>
          <w:sz w:val="18"/>
          <w:szCs w:val="18"/>
        </w:rPr>
        <w:t>een</w:t>
      </w:r>
      <w:r w:rsidR="00F764D8">
        <w:rPr>
          <w:sz w:val="18"/>
          <w:szCs w:val="18"/>
        </w:rPr>
        <w:t xml:space="preserve"> </w:t>
      </w:r>
      <w:r w:rsidR="00B90DEC">
        <w:rPr>
          <w:sz w:val="18"/>
          <w:szCs w:val="18"/>
        </w:rPr>
        <w:t>derde</w:t>
      </w:r>
      <w:r>
        <w:rPr>
          <w:sz w:val="18"/>
          <w:szCs w:val="18"/>
        </w:rPr>
        <w:t xml:space="preserve"> van de nieuw verkochte auto</w:t>
      </w:r>
      <w:r w:rsidR="004C2D91">
        <w:rPr>
          <w:sz w:val="18"/>
          <w:szCs w:val="18"/>
        </w:rPr>
        <w:t>’</w:t>
      </w:r>
      <w:r>
        <w:rPr>
          <w:sz w:val="18"/>
          <w:szCs w:val="18"/>
        </w:rPr>
        <w:t>s als zeer zuinig kwalificeert</w:t>
      </w:r>
      <w:r w:rsidR="00B90DEC">
        <w:rPr>
          <w:sz w:val="18"/>
          <w:szCs w:val="18"/>
        </w:rPr>
        <w:t>,</w:t>
      </w:r>
      <w:r>
        <w:rPr>
          <w:sz w:val="18"/>
          <w:szCs w:val="18"/>
        </w:rPr>
        <w:t xml:space="preserve"> efficiënt kan worden genoemd. Dit beleid zorgt in ieder geval niet voor de maximale prikkel om te kiezen voor de </w:t>
      </w:r>
      <w:r w:rsidR="005A289B">
        <w:rPr>
          <w:sz w:val="18"/>
          <w:szCs w:val="18"/>
        </w:rPr>
        <w:t>meest zuinige</w:t>
      </w:r>
      <w:r>
        <w:rPr>
          <w:sz w:val="18"/>
          <w:szCs w:val="18"/>
        </w:rPr>
        <w:t xml:space="preserve"> auto.</w:t>
      </w:r>
    </w:p>
    <w:p w:rsidRPr="00A878C4" w:rsidR="001351DF" w:rsidP="00781CF8" w:rsidRDefault="001351DF">
      <w:pPr>
        <w:spacing w:after="0" w:line="240" w:lineRule="atLeast"/>
        <w:rPr>
          <w:sz w:val="18"/>
          <w:szCs w:val="18"/>
        </w:rPr>
      </w:pPr>
      <w:r w:rsidRPr="00A878C4">
        <w:rPr>
          <w:sz w:val="18"/>
          <w:szCs w:val="18"/>
        </w:rPr>
        <w:t xml:space="preserve">Bij het opstellen van het Belastingplan 2011 </w:t>
      </w:r>
      <w:r w:rsidR="004C2D91">
        <w:rPr>
          <w:sz w:val="18"/>
          <w:szCs w:val="18"/>
        </w:rPr>
        <w:t xml:space="preserve">was </w:t>
      </w:r>
      <w:r w:rsidRPr="00A878C4">
        <w:rPr>
          <w:sz w:val="18"/>
          <w:szCs w:val="18"/>
        </w:rPr>
        <w:t xml:space="preserve">deze trend </w:t>
      </w:r>
      <w:r w:rsidR="004C2D91">
        <w:rPr>
          <w:sz w:val="18"/>
          <w:szCs w:val="18"/>
        </w:rPr>
        <w:t xml:space="preserve">al voorzien en was ook al gesignaleerd </w:t>
      </w:r>
      <w:r w:rsidRPr="00A878C4">
        <w:rPr>
          <w:sz w:val="18"/>
          <w:szCs w:val="18"/>
        </w:rPr>
        <w:t xml:space="preserve">dat een steeds groter percentage van </w:t>
      </w:r>
      <w:r>
        <w:rPr>
          <w:sz w:val="18"/>
          <w:szCs w:val="18"/>
        </w:rPr>
        <w:t xml:space="preserve">zowel de nieuwverkopen als van </w:t>
      </w:r>
      <w:r w:rsidRPr="00A878C4">
        <w:rPr>
          <w:sz w:val="18"/>
          <w:szCs w:val="18"/>
        </w:rPr>
        <w:t>het autopark voor fiscale stimulering in aanmerking</w:t>
      </w:r>
      <w:r w:rsidR="004C2D91">
        <w:rPr>
          <w:sz w:val="18"/>
          <w:szCs w:val="18"/>
        </w:rPr>
        <w:t xml:space="preserve"> zou komen</w:t>
      </w:r>
      <w:r w:rsidRPr="00A878C4">
        <w:rPr>
          <w:sz w:val="18"/>
          <w:szCs w:val="18"/>
        </w:rPr>
        <w:t xml:space="preserve">. Dat is voor mijn ambtsvoorganger aanleiding geweest om een onderzoek te starten naar de wijze waarop de stimuleringsmaatregelen in de BPM, de MRB en de bijtelling </w:t>
      </w:r>
      <w:r>
        <w:rPr>
          <w:sz w:val="18"/>
          <w:szCs w:val="18"/>
        </w:rPr>
        <w:t xml:space="preserve">zodanig vorm kunnen worden gegeven </w:t>
      </w:r>
      <w:r w:rsidR="005A2C8C">
        <w:rPr>
          <w:sz w:val="18"/>
          <w:szCs w:val="18"/>
        </w:rPr>
        <w:t>dat</w:t>
      </w:r>
      <w:r>
        <w:rPr>
          <w:sz w:val="18"/>
          <w:szCs w:val="18"/>
        </w:rPr>
        <w:t xml:space="preserve"> deze </w:t>
      </w:r>
      <w:r w:rsidRPr="00A878C4">
        <w:rPr>
          <w:sz w:val="18"/>
          <w:szCs w:val="18"/>
        </w:rPr>
        <w:t xml:space="preserve">ook in de toekomst een stimulans kunnen blijven om steeds te kiezen voor de </w:t>
      </w:r>
      <w:r w:rsidR="005A289B">
        <w:rPr>
          <w:sz w:val="18"/>
          <w:szCs w:val="18"/>
        </w:rPr>
        <w:t>meest zuinige</w:t>
      </w:r>
      <w:r w:rsidRPr="00A878C4">
        <w:rPr>
          <w:sz w:val="18"/>
          <w:szCs w:val="18"/>
        </w:rPr>
        <w:t xml:space="preserve"> auto.</w:t>
      </w:r>
    </w:p>
    <w:p w:rsidRPr="00A878C4" w:rsidR="001351DF" w:rsidP="00781CF8" w:rsidRDefault="001351DF">
      <w:pPr>
        <w:spacing w:after="0" w:line="240" w:lineRule="atLeast"/>
        <w:rPr>
          <w:sz w:val="18"/>
          <w:szCs w:val="18"/>
        </w:rPr>
      </w:pPr>
    </w:p>
    <w:p w:rsidR="004D61FB" w:rsidP="00781CF8" w:rsidRDefault="004D61FB">
      <w:pPr>
        <w:spacing w:after="0" w:line="240" w:lineRule="atLeast"/>
        <w:rPr>
          <w:sz w:val="18"/>
          <w:szCs w:val="18"/>
        </w:rPr>
      </w:pPr>
      <w:r>
        <w:rPr>
          <w:sz w:val="18"/>
          <w:szCs w:val="18"/>
        </w:rPr>
        <w:t>In</w:t>
      </w:r>
      <w:r w:rsidRPr="0077377F">
        <w:rPr>
          <w:sz w:val="18"/>
          <w:szCs w:val="18"/>
        </w:rPr>
        <w:t xml:space="preserve"> de </w:t>
      </w:r>
      <w:r>
        <w:rPr>
          <w:sz w:val="18"/>
          <w:szCs w:val="18"/>
        </w:rPr>
        <w:t>Fiscale agenda</w:t>
      </w:r>
      <w:r>
        <w:rPr>
          <w:rStyle w:val="Voetnootmarkering"/>
          <w:sz w:val="18"/>
          <w:szCs w:val="18"/>
        </w:rPr>
        <w:footnoteReference w:id="1"/>
      </w:r>
      <w:r>
        <w:rPr>
          <w:sz w:val="18"/>
          <w:szCs w:val="18"/>
        </w:rPr>
        <w:t xml:space="preserve"> heeft het kabinet de beleidsvisie geformuleerd op het Nederlandse belastingstelsel. In aanvulling daarop zend ik u nu de resultaten van het hiervoor bedoelde onderzoek alsmede de conclusies die ik daaruit trek, conclusies die ik waar mogelijk omzet in concrete </w:t>
      </w:r>
      <w:r w:rsidR="00276DC1">
        <w:rPr>
          <w:sz w:val="18"/>
          <w:szCs w:val="18"/>
        </w:rPr>
        <w:t xml:space="preserve">voorstellen </w:t>
      </w:r>
      <w:r>
        <w:rPr>
          <w:sz w:val="18"/>
          <w:szCs w:val="18"/>
        </w:rPr>
        <w:t xml:space="preserve">op het gebied van de autogerelateerde belastingen. De reden dat ik u dit separaat toezend is dat de afronding van het (deels externe) onderzoek naar de optimale wijze van stimulering van de meest zuinige auto in de BPM, de MRB en de bijtelling, zoals </w:t>
      </w:r>
      <w:r w:rsidRPr="00887B63">
        <w:rPr>
          <w:sz w:val="18"/>
          <w:szCs w:val="18"/>
        </w:rPr>
        <w:t>geïnitieerd</w:t>
      </w:r>
      <w:r>
        <w:rPr>
          <w:sz w:val="18"/>
          <w:szCs w:val="18"/>
        </w:rPr>
        <w:t xml:space="preserve"> door mijn ambtsvoorganger en aangekondigd in het Belastingplan 2011, op een later tijdstip was voorzien dan de afronding van de Fiscale agenda.</w:t>
      </w:r>
    </w:p>
    <w:p w:rsidR="00B90DEC" w:rsidP="00781CF8" w:rsidRDefault="001351DF">
      <w:pPr>
        <w:spacing w:after="0" w:line="240" w:lineRule="atLeast"/>
        <w:rPr>
          <w:sz w:val="18"/>
          <w:szCs w:val="18"/>
        </w:rPr>
      </w:pPr>
      <w:r>
        <w:rPr>
          <w:sz w:val="18"/>
          <w:szCs w:val="18"/>
        </w:rPr>
        <w:t>De resultaten van het externe onderzoek</w:t>
      </w:r>
      <w:r>
        <w:rPr>
          <w:rStyle w:val="Voetnootmarkering"/>
          <w:sz w:val="18"/>
          <w:szCs w:val="18"/>
        </w:rPr>
        <w:footnoteReference w:id="2"/>
      </w:r>
      <w:r>
        <w:rPr>
          <w:sz w:val="18"/>
          <w:szCs w:val="18"/>
        </w:rPr>
        <w:t xml:space="preserve"> naar de</w:t>
      </w:r>
      <w:r w:rsidRPr="007F276B">
        <w:rPr>
          <w:sz w:val="18"/>
          <w:szCs w:val="18"/>
        </w:rPr>
        <w:t xml:space="preserve"> aanpassing </w:t>
      </w:r>
      <w:r>
        <w:rPr>
          <w:sz w:val="18"/>
          <w:szCs w:val="18"/>
        </w:rPr>
        <w:t xml:space="preserve">van de </w:t>
      </w:r>
      <w:r w:rsidRPr="007F276B">
        <w:rPr>
          <w:sz w:val="18"/>
          <w:szCs w:val="18"/>
        </w:rPr>
        <w:t xml:space="preserve">zuinigheidsgrenzen </w:t>
      </w:r>
      <w:r>
        <w:rPr>
          <w:sz w:val="18"/>
          <w:szCs w:val="18"/>
        </w:rPr>
        <w:t xml:space="preserve">in de BPM, de MRB en de bijtelling, op basis van een analyse van de ontwikkelingen tot en met 2010, zijn als bijlage bij deze brief gevoegd. </w:t>
      </w:r>
    </w:p>
    <w:p w:rsidR="00F764D8" w:rsidP="00781CF8" w:rsidRDefault="00F764D8">
      <w:pPr>
        <w:spacing w:after="0" w:line="240" w:lineRule="atLeast"/>
        <w:rPr>
          <w:sz w:val="18"/>
          <w:szCs w:val="18"/>
        </w:rPr>
      </w:pPr>
    </w:p>
    <w:p w:rsidR="00B90DEC" w:rsidP="00781CF8" w:rsidRDefault="00B90DEC">
      <w:pPr>
        <w:spacing w:after="0" w:line="240" w:lineRule="atLeast"/>
        <w:rPr>
          <w:sz w:val="18"/>
          <w:szCs w:val="18"/>
        </w:rPr>
      </w:pPr>
      <w:r>
        <w:rPr>
          <w:sz w:val="18"/>
          <w:szCs w:val="18"/>
        </w:rPr>
        <w:t>Deze brief beoogt geen antwoord te geven op de mobiliteitsproblemen</w:t>
      </w:r>
      <w:r w:rsidR="00276DC1">
        <w:rPr>
          <w:sz w:val="18"/>
          <w:szCs w:val="18"/>
        </w:rPr>
        <w:t>.</w:t>
      </w:r>
      <w:r>
        <w:rPr>
          <w:sz w:val="18"/>
          <w:szCs w:val="18"/>
        </w:rPr>
        <w:t xml:space="preserve"> Dat behoort tot het werkterrein van de minister van Infrastructuur en Milieu. Zij zal u op korte termijn per brief het Programma Beter Benutten doen toekomen. In dat kader heb ik </w:t>
      </w:r>
      <w:r w:rsidR="00F764D8">
        <w:rPr>
          <w:sz w:val="18"/>
          <w:szCs w:val="18"/>
        </w:rPr>
        <w:t xml:space="preserve">wel </w:t>
      </w:r>
      <w:r>
        <w:rPr>
          <w:sz w:val="18"/>
          <w:szCs w:val="18"/>
        </w:rPr>
        <w:t xml:space="preserve">met haar afgesproken dat ik samen met haar </w:t>
      </w:r>
      <w:r w:rsidRPr="00E45DB6">
        <w:rPr>
          <w:sz w:val="18"/>
          <w:szCs w:val="18"/>
        </w:rPr>
        <w:t xml:space="preserve">de mogelijkheden </w:t>
      </w:r>
      <w:r>
        <w:rPr>
          <w:sz w:val="18"/>
          <w:szCs w:val="18"/>
        </w:rPr>
        <w:t xml:space="preserve">zal </w:t>
      </w:r>
      <w:r w:rsidRPr="00E45DB6">
        <w:rPr>
          <w:sz w:val="18"/>
          <w:szCs w:val="18"/>
        </w:rPr>
        <w:t>verkennen om langs fiscale weg een bijdrage te leveren aan het bestrijden van de files. Het doel van die verkenning is te bezien of en zo ja</w:t>
      </w:r>
      <w:r w:rsidR="00FD4649">
        <w:rPr>
          <w:sz w:val="18"/>
          <w:szCs w:val="18"/>
        </w:rPr>
        <w:t>,</w:t>
      </w:r>
      <w:r w:rsidRPr="00E45DB6">
        <w:rPr>
          <w:sz w:val="18"/>
          <w:szCs w:val="18"/>
        </w:rPr>
        <w:t xml:space="preserve"> op welke wijze </w:t>
      </w:r>
      <w:r>
        <w:rPr>
          <w:sz w:val="18"/>
          <w:szCs w:val="18"/>
        </w:rPr>
        <w:t xml:space="preserve">en binnen de uitgangspunten van een solide, eenvoudig en fraudebestendig fiscaal systeem, een </w:t>
      </w:r>
      <w:r w:rsidRPr="00FD4BC4">
        <w:rPr>
          <w:sz w:val="18"/>
          <w:szCs w:val="18"/>
        </w:rPr>
        <w:t xml:space="preserve">aanpassing van bestaande fiscale instrumenten </w:t>
      </w:r>
      <w:r w:rsidRPr="00E45DB6">
        <w:rPr>
          <w:sz w:val="18"/>
          <w:szCs w:val="18"/>
        </w:rPr>
        <w:t xml:space="preserve">ertoe kan bijdragen dat </w:t>
      </w:r>
      <w:r>
        <w:rPr>
          <w:sz w:val="18"/>
          <w:szCs w:val="18"/>
        </w:rPr>
        <w:t xml:space="preserve">bijvoorbeeld </w:t>
      </w:r>
      <w:r w:rsidRPr="00E45DB6">
        <w:rPr>
          <w:sz w:val="18"/>
          <w:szCs w:val="18"/>
        </w:rPr>
        <w:t>in het woonwerkverkeer minder wordt gereden.</w:t>
      </w:r>
    </w:p>
    <w:p w:rsidR="00B90DEC" w:rsidP="00781CF8" w:rsidRDefault="00B90DEC">
      <w:pPr>
        <w:spacing w:after="0" w:line="240" w:lineRule="atLeast"/>
        <w:rPr>
          <w:sz w:val="18"/>
          <w:szCs w:val="18"/>
        </w:rPr>
      </w:pPr>
    </w:p>
    <w:p w:rsidR="00200312" w:rsidP="00781CF8" w:rsidRDefault="004D61FB">
      <w:pPr>
        <w:spacing w:after="0" w:line="240" w:lineRule="atLeast"/>
        <w:rPr>
          <w:sz w:val="18"/>
          <w:szCs w:val="18"/>
        </w:rPr>
      </w:pPr>
      <w:r>
        <w:rPr>
          <w:sz w:val="18"/>
          <w:szCs w:val="18"/>
        </w:rPr>
        <w:t xml:space="preserve">Hierna ga ik allereerst in op de historische ontwikkelingen van de autogerelateerde belastingen die hebben geleid tot het stelsel zoals we dat thans kennen. Daarbij geef ik ook aan welke belemmeringen er zijn om het stelsel op korte termijn te wijzigen in een meer logisch en meer samenhangend geheel. </w:t>
      </w:r>
      <w:r w:rsidR="00FD4649">
        <w:rPr>
          <w:sz w:val="18"/>
          <w:szCs w:val="18"/>
        </w:rPr>
        <w:t xml:space="preserve">Als voorbeeld kunt u daarbij denken </w:t>
      </w:r>
      <w:r>
        <w:rPr>
          <w:sz w:val="18"/>
          <w:szCs w:val="18"/>
        </w:rPr>
        <w:t xml:space="preserve">aan de verschillen tussen benzine en diesel die vanwege economische belangen en verschillen met de ons omringende landen niet kunnen worden weggenomen, maar ook aan het ontbreken van voldoende gegevens waardoor de soms gewenste well to wheel benadering </w:t>
      </w:r>
      <w:r w:rsidR="009E748A">
        <w:rPr>
          <w:sz w:val="18"/>
          <w:szCs w:val="18"/>
        </w:rPr>
        <w:t xml:space="preserve">(zie ook </w:t>
      </w:r>
      <w:r w:rsidRPr="00AD1DAA" w:rsidR="009E748A">
        <w:rPr>
          <w:sz w:val="18"/>
          <w:szCs w:val="18"/>
        </w:rPr>
        <w:t>paragraaf 2.2.2)</w:t>
      </w:r>
      <w:r w:rsidR="009E748A">
        <w:rPr>
          <w:sz w:val="18"/>
          <w:szCs w:val="18"/>
        </w:rPr>
        <w:t xml:space="preserve"> </w:t>
      </w:r>
      <w:r w:rsidR="00200312">
        <w:rPr>
          <w:sz w:val="18"/>
          <w:szCs w:val="18"/>
        </w:rPr>
        <w:t xml:space="preserve">niet kan worden gevolgd. </w:t>
      </w:r>
    </w:p>
    <w:p w:rsidR="001351DF" w:rsidP="00781CF8" w:rsidRDefault="00200312">
      <w:pPr>
        <w:spacing w:after="0" w:line="240" w:lineRule="atLeast"/>
        <w:rPr>
          <w:sz w:val="18"/>
          <w:szCs w:val="18"/>
        </w:rPr>
      </w:pPr>
      <w:r>
        <w:rPr>
          <w:sz w:val="18"/>
          <w:szCs w:val="18"/>
        </w:rPr>
        <w:lastRenderedPageBreak/>
        <w:t xml:space="preserve">Daarna </w:t>
      </w:r>
      <w:r w:rsidRPr="004E3404" w:rsidR="001351DF">
        <w:rPr>
          <w:sz w:val="18"/>
          <w:szCs w:val="18"/>
        </w:rPr>
        <w:t xml:space="preserve">ga ik </w:t>
      </w:r>
      <w:r>
        <w:rPr>
          <w:sz w:val="18"/>
          <w:szCs w:val="18"/>
        </w:rPr>
        <w:t xml:space="preserve">specifiek </w:t>
      </w:r>
      <w:r w:rsidRPr="004E3404" w:rsidR="001351DF">
        <w:rPr>
          <w:sz w:val="18"/>
          <w:szCs w:val="18"/>
        </w:rPr>
        <w:t xml:space="preserve">in op </w:t>
      </w:r>
      <w:r w:rsidRPr="00A878C4" w:rsidR="001351DF">
        <w:rPr>
          <w:sz w:val="18"/>
          <w:szCs w:val="18"/>
        </w:rPr>
        <w:t xml:space="preserve">de effecten van het </w:t>
      </w:r>
      <w:r>
        <w:rPr>
          <w:sz w:val="18"/>
          <w:szCs w:val="18"/>
        </w:rPr>
        <w:t xml:space="preserve">tot nu toe gevolgde </w:t>
      </w:r>
      <w:r w:rsidRPr="00A878C4" w:rsidR="001351DF">
        <w:rPr>
          <w:sz w:val="18"/>
          <w:szCs w:val="18"/>
        </w:rPr>
        <w:t xml:space="preserve">beleid </w:t>
      </w:r>
      <w:r>
        <w:rPr>
          <w:sz w:val="18"/>
          <w:szCs w:val="18"/>
        </w:rPr>
        <w:t xml:space="preserve">tot stimulering van de aanschaf en het gebruik van de meest zuinige auto </w:t>
      </w:r>
      <w:r w:rsidRPr="00A878C4" w:rsidR="001351DF">
        <w:rPr>
          <w:sz w:val="18"/>
          <w:szCs w:val="18"/>
        </w:rPr>
        <w:t>en de kanttekeningen die daarbij kunnen worden gemaakt</w:t>
      </w:r>
      <w:r w:rsidR="001351DF">
        <w:rPr>
          <w:sz w:val="18"/>
          <w:szCs w:val="18"/>
        </w:rPr>
        <w:t xml:space="preserve">. Ik sluit </w:t>
      </w:r>
      <w:r w:rsidR="00F764D8">
        <w:rPr>
          <w:sz w:val="18"/>
          <w:szCs w:val="18"/>
        </w:rPr>
        <w:t>dat</w:t>
      </w:r>
      <w:r w:rsidRPr="00A878C4" w:rsidR="00F764D8">
        <w:rPr>
          <w:sz w:val="18"/>
          <w:szCs w:val="18"/>
        </w:rPr>
        <w:t xml:space="preserve"> </w:t>
      </w:r>
      <w:r w:rsidRPr="00A878C4" w:rsidR="001351DF">
        <w:rPr>
          <w:sz w:val="18"/>
          <w:szCs w:val="18"/>
        </w:rPr>
        <w:t xml:space="preserve">onderdeel af met een voorstel om de </w:t>
      </w:r>
      <w:r w:rsidR="001351DF">
        <w:rPr>
          <w:sz w:val="18"/>
          <w:szCs w:val="18"/>
        </w:rPr>
        <w:t>tarieven en vormgeving van de autobelastingen zodanig aan te passen dat ook de komende jaren</w:t>
      </w:r>
      <w:r w:rsidRPr="00A878C4" w:rsidR="001351DF">
        <w:rPr>
          <w:sz w:val="18"/>
          <w:szCs w:val="18"/>
        </w:rPr>
        <w:t xml:space="preserve"> </w:t>
      </w:r>
      <w:r w:rsidR="001351DF">
        <w:rPr>
          <w:sz w:val="18"/>
          <w:szCs w:val="18"/>
        </w:rPr>
        <w:t xml:space="preserve">de aankoop en het gebruik van </w:t>
      </w:r>
      <w:r w:rsidRPr="00A878C4" w:rsidR="001351DF">
        <w:rPr>
          <w:sz w:val="18"/>
          <w:szCs w:val="18"/>
        </w:rPr>
        <w:t>de meest zuinige auto</w:t>
      </w:r>
      <w:r w:rsidR="001351DF">
        <w:rPr>
          <w:sz w:val="18"/>
          <w:szCs w:val="18"/>
        </w:rPr>
        <w:t>’s effectief en efficiënt wordt gestimuleerd</w:t>
      </w:r>
      <w:r w:rsidRPr="00A878C4" w:rsidR="001351DF">
        <w:rPr>
          <w:sz w:val="18"/>
          <w:szCs w:val="18"/>
        </w:rPr>
        <w:t>. Ik hanteer daarbij</w:t>
      </w:r>
      <w:r w:rsidR="001351DF">
        <w:rPr>
          <w:sz w:val="18"/>
          <w:szCs w:val="18"/>
        </w:rPr>
        <w:t xml:space="preserve">, net als in de </w:t>
      </w:r>
      <w:r w:rsidR="005A2C8C">
        <w:rPr>
          <w:sz w:val="18"/>
          <w:szCs w:val="18"/>
        </w:rPr>
        <w:t>F</w:t>
      </w:r>
      <w:r w:rsidR="001351DF">
        <w:rPr>
          <w:sz w:val="18"/>
          <w:szCs w:val="18"/>
        </w:rPr>
        <w:t>iscale agenda,</w:t>
      </w:r>
      <w:r w:rsidR="00A2703A">
        <w:rPr>
          <w:sz w:val="18"/>
          <w:szCs w:val="18"/>
        </w:rPr>
        <w:t xml:space="preserve"> </w:t>
      </w:r>
      <w:r w:rsidRPr="00A878C4" w:rsidR="001351DF">
        <w:rPr>
          <w:sz w:val="18"/>
          <w:szCs w:val="18"/>
        </w:rPr>
        <w:t xml:space="preserve">het uitgangspunt dat deze </w:t>
      </w:r>
      <w:r w:rsidR="001351DF">
        <w:rPr>
          <w:sz w:val="18"/>
          <w:szCs w:val="18"/>
        </w:rPr>
        <w:t>aanpassingen</w:t>
      </w:r>
      <w:r w:rsidRPr="00A878C4" w:rsidR="001351DF">
        <w:rPr>
          <w:sz w:val="18"/>
          <w:szCs w:val="18"/>
        </w:rPr>
        <w:t xml:space="preserve"> moeten leiden tot een eenvoudig, solide </w:t>
      </w:r>
      <w:r w:rsidR="001351DF">
        <w:rPr>
          <w:sz w:val="18"/>
          <w:szCs w:val="18"/>
        </w:rPr>
        <w:t xml:space="preserve">en fraudebestendig </w:t>
      </w:r>
      <w:r w:rsidRPr="00A878C4" w:rsidR="001351DF">
        <w:rPr>
          <w:sz w:val="18"/>
          <w:szCs w:val="18"/>
        </w:rPr>
        <w:t>systeem. Het voorstel op dit punt heeft betrekking op de verschillende in het geding zijnde fiscale instrumenten, te weten de BPM, de MRB en de bijtelling voor de personenauto van de zaak.</w:t>
      </w:r>
    </w:p>
    <w:p w:rsidRPr="00A878C4" w:rsidR="001351DF" w:rsidP="00781CF8" w:rsidRDefault="001351DF">
      <w:pPr>
        <w:spacing w:after="0" w:line="240" w:lineRule="atLeast"/>
        <w:rPr>
          <w:sz w:val="18"/>
          <w:szCs w:val="18"/>
        </w:rPr>
      </w:pPr>
    </w:p>
    <w:p w:rsidR="001351DF" w:rsidP="00781CF8" w:rsidRDefault="001351DF">
      <w:pPr>
        <w:spacing w:after="0" w:line="240" w:lineRule="atLeast"/>
        <w:rPr>
          <w:sz w:val="18"/>
          <w:szCs w:val="18"/>
        </w:rPr>
      </w:pPr>
      <w:r w:rsidRPr="00A878C4">
        <w:rPr>
          <w:sz w:val="18"/>
          <w:szCs w:val="18"/>
        </w:rPr>
        <w:t xml:space="preserve">Ik maak van de gelegenheid gebruik om in deze brief een aantal andere zaken op het gebied van de autobelastingen aan u voor te leggen. Voor een deel wordt daarmee invulling gegeven aan een aantal toezeggingen aan uw Kamer die gedaan zijn tijdens de behandeling van het Belastingplan 2011. </w:t>
      </w:r>
      <w:r>
        <w:rPr>
          <w:sz w:val="18"/>
          <w:szCs w:val="18"/>
        </w:rPr>
        <w:t>Het gaat om de volgende onderwerpen:</w:t>
      </w:r>
    </w:p>
    <w:p w:rsidR="001351DF" w:rsidP="00781CF8" w:rsidRDefault="001351DF">
      <w:pPr>
        <w:pStyle w:val="Lijstalinea"/>
        <w:numPr>
          <w:ilvl w:val="0"/>
          <w:numId w:val="24"/>
        </w:numPr>
        <w:spacing w:after="0" w:line="240" w:lineRule="atLeast"/>
        <w:rPr>
          <w:sz w:val="18"/>
          <w:szCs w:val="18"/>
        </w:rPr>
      </w:pPr>
      <w:r w:rsidRPr="008633E6">
        <w:rPr>
          <w:sz w:val="18"/>
          <w:szCs w:val="18"/>
        </w:rPr>
        <w:t>de variabilisatie van de autokosten zoals aangekondigd in het regeerakkoord</w:t>
      </w:r>
      <w:r w:rsidR="005A2C8C">
        <w:rPr>
          <w:sz w:val="18"/>
          <w:szCs w:val="18"/>
        </w:rPr>
        <w:t>;</w:t>
      </w:r>
      <w:r w:rsidRPr="008633E6">
        <w:rPr>
          <w:sz w:val="18"/>
          <w:szCs w:val="18"/>
        </w:rPr>
        <w:t xml:space="preserve"> </w:t>
      </w:r>
    </w:p>
    <w:p w:rsidR="001351DF" w:rsidP="00781CF8" w:rsidRDefault="001351DF">
      <w:pPr>
        <w:pStyle w:val="Lijstalinea"/>
        <w:numPr>
          <w:ilvl w:val="0"/>
          <w:numId w:val="24"/>
        </w:numPr>
        <w:spacing w:after="0" w:line="240" w:lineRule="atLeast"/>
        <w:rPr>
          <w:sz w:val="18"/>
          <w:szCs w:val="18"/>
        </w:rPr>
      </w:pPr>
      <w:r w:rsidRPr="000B41F7">
        <w:rPr>
          <w:sz w:val="18"/>
          <w:szCs w:val="18"/>
        </w:rPr>
        <w:t>de fiscale behandeling van de verschillende gasvormige brandstoffen zoals LPG, LNG en CNG</w:t>
      </w:r>
      <w:r w:rsidR="005A2C8C">
        <w:rPr>
          <w:sz w:val="18"/>
          <w:szCs w:val="18"/>
        </w:rPr>
        <w:t>;</w:t>
      </w:r>
    </w:p>
    <w:p w:rsidR="001351DF" w:rsidP="00781CF8" w:rsidRDefault="001351DF">
      <w:pPr>
        <w:pStyle w:val="Lijstalinea"/>
        <w:numPr>
          <w:ilvl w:val="0"/>
          <w:numId w:val="24"/>
        </w:numPr>
        <w:spacing w:after="0" w:line="240" w:lineRule="atLeast"/>
        <w:rPr>
          <w:sz w:val="18"/>
          <w:szCs w:val="18"/>
        </w:rPr>
      </w:pPr>
      <w:r w:rsidRPr="008633E6">
        <w:rPr>
          <w:sz w:val="18"/>
          <w:szCs w:val="18"/>
        </w:rPr>
        <w:t>de fiscale behandeling van groen gas</w:t>
      </w:r>
      <w:r>
        <w:rPr>
          <w:sz w:val="18"/>
          <w:szCs w:val="18"/>
        </w:rPr>
        <w:t xml:space="preserve">, mede in relatie tot de </w:t>
      </w:r>
      <w:r w:rsidRPr="008633E6">
        <w:rPr>
          <w:sz w:val="18"/>
          <w:szCs w:val="18"/>
        </w:rPr>
        <w:t>zogenoemde well to wheel benadering</w:t>
      </w:r>
      <w:r w:rsidR="005A2C8C">
        <w:rPr>
          <w:sz w:val="18"/>
          <w:szCs w:val="18"/>
        </w:rPr>
        <w:t>;</w:t>
      </w:r>
      <w:r w:rsidRPr="008633E6">
        <w:rPr>
          <w:sz w:val="18"/>
          <w:szCs w:val="18"/>
        </w:rPr>
        <w:t xml:space="preserve"> </w:t>
      </w:r>
    </w:p>
    <w:p w:rsidR="001351DF" w:rsidP="00781CF8" w:rsidRDefault="005A2C8C">
      <w:pPr>
        <w:pStyle w:val="Lijstalinea"/>
        <w:numPr>
          <w:ilvl w:val="0"/>
          <w:numId w:val="24"/>
        </w:numPr>
        <w:spacing w:after="0" w:line="240" w:lineRule="atLeast"/>
        <w:rPr>
          <w:sz w:val="18"/>
          <w:szCs w:val="18"/>
        </w:rPr>
      </w:pPr>
      <w:r>
        <w:rPr>
          <w:sz w:val="18"/>
          <w:szCs w:val="18"/>
        </w:rPr>
        <w:t>b</w:t>
      </w:r>
      <w:r w:rsidR="001351DF">
        <w:rPr>
          <w:sz w:val="18"/>
          <w:szCs w:val="18"/>
        </w:rPr>
        <w:t>iobrandstoffen (in het bijzonder de positie van E85 en vergelijkbare mengsels)</w:t>
      </w:r>
      <w:r>
        <w:rPr>
          <w:sz w:val="18"/>
          <w:szCs w:val="18"/>
        </w:rPr>
        <w:t>;</w:t>
      </w:r>
    </w:p>
    <w:p w:rsidRPr="000B41F7" w:rsidR="001351DF" w:rsidP="00781CF8" w:rsidRDefault="001351DF">
      <w:pPr>
        <w:pStyle w:val="Lijstalinea"/>
        <w:numPr>
          <w:ilvl w:val="0"/>
          <w:numId w:val="24"/>
        </w:numPr>
        <w:spacing w:after="0" w:line="240" w:lineRule="atLeast"/>
        <w:rPr>
          <w:sz w:val="18"/>
          <w:szCs w:val="18"/>
        </w:rPr>
      </w:pPr>
      <w:r w:rsidRPr="000B41F7">
        <w:rPr>
          <w:sz w:val="18"/>
          <w:szCs w:val="18"/>
        </w:rPr>
        <w:t xml:space="preserve">de toezegging in de </w:t>
      </w:r>
      <w:r w:rsidR="005A2C8C">
        <w:rPr>
          <w:sz w:val="18"/>
          <w:szCs w:val="18"/>
        </w:rPr>
        <w:t>F</w:t>
      </w:r>
      <w:r w:rsidRPr="000B41F7">
        <w:rPr>
          <w:sz w:val="18"/>
          <w:szCs w:val="18"/>
        </w:rPr>
        <w:t>iscale agenda om de mogelijkheden te onderzoeken om de belasting zware motorrijtuigen, het zogenoemde Eurovignet, af te schaffen</w:t>
      </w:r>
      <w:r w:rsidR="005A2C8C">
        <w:rPr>
          <w:sz w:val="18"/>
          <w:szCs w:val="18"/>
        </w:rPr>
        <w:t>;</w:t>
      </w:r>
      <w:r w:rsidRPr="000B41F7">
        <w:rPr>
          <w:sz w:val="18"/>
          <w:szCs w:val="18"/>
        </w:rPr>
        <w:t xml:space="preserve"> </w:t>
      </w:r>
    </w:p>
    <w:p w:rsidR="001351DF" w:rsidP="00781CF8" w:rsidRDefault="001351DF">
      <w:pPr>
        <w:pStyle w:val="Lijstalinea"/>
        <w:numPr>
          <w:ilvl w:val="0"/>
          <w:numId w:val="24"/>
        </w:numPr>
        <w:spacing w:after="0" w:line="240" w:lineRule="atLeast"/>
        <w:rPr>
          <w:sz w:val="18"/>
          <w:szCs w:val="18"/>
        </w:rPr>
      </w:pPr>
      <w:r>
        <w:rPr>
          <w:sz w:val="18"/>
          <w:szCs w:val="18"/>
        </w:rPr>
        <w:t>de</w:t>
      </w:r>
      <w:r w:rsidRPr="00DB5518">
        <w:rPr>
          <w:sz w:val="18"/>
          <w:szCs w:val="18"/>
        </w:rPr>
        <w:t xml:space="preserve"> toezegging</w:t>
      </w:r>
      <w:r w:rsidRPr="00DB5518" w:rsidR="005A2C8C">
        <w:rPr>
          <w:sz w:val="18"/>
          <w:szCs w:val="18"/>
          <w:vertAlign w:val="superscript"/>
        </w:rPr>
        <w:footnoteReference w:id="3"/>
      </w:r>
      <w:r w:rsidRPr="00DB5518">
        <w:rPr>
          <w:sz w:val="18"/>
          <w:szCs w:val="18"/>
        </w:rPr>
        <w:t xml:space="preserve"> om in overleg met het bedrijfsleven een alternatief te ontwikkelen voor de rittenregistratie die in het kader van de bijtelling voor de bestelauto van de zaak </w:t>
      </w:r>
      <w:r w:rsidR="00257F9F">
        <w:rPr>
          <w:sz w:val="18"/>
          <w:szCs w:val="18"/>
        </w:rPr>
        <w:t xml:space="preserve">vaak </w:t>
      </w:r>
      <w:r w:rsidRPr="00DB5518">
        <w:rPr>
          <w:sz w:val="18"/>
          <w:szCs w:val="18"/>
        </w:rPr>
        <w:t xml:space="preserve">noodzakelijk is om bijtelling te voorkomen als er minder dan 500 km per jaar privé wordt gereden. </w:t>
      </w:r>
    </w:p>
    <w:p w:rsidR="002A30DC" w:rsidRDefault="002A30DC">
      <w:pPr>
        <w:spacing w:after="0" w:line="240" w:lineRule="atLeast"/>
        <w:rPr>
          <w:sz w:val="18"/>
          <w:szCs w:val="18"/>
        </w:rPr>
      </w:pPr>
    </w:p>
    <w:p w:rsidRPr="00A878C4" w:rsidR="001351DF" w:rsidP="00781CF8" w:rsidRDefault="001351DF">
      <w:pPr>
        <w:spacing w:after="0" w:line="240" w:lineRule="atLeast"/>
        <w:rPr>
          <w:sz w:val="18"/>
          <w:szCs w:val="18"/>
        </w:rPr>
      </w:pPr>
      <w:r w:rsidRPr="00DB5518">
        <w:rPr>
          <w:sz w:val="18"/>
          <w:szCs w:val="18"/>
        </w:rPr>
        <w:t xml:space="preserve">Daarnaast ga ik in op de </w:t>
      </w:r>
      <w:r w:rsidR="006A61F7">
        <w:rPr>
          <w:sz w:val="18"/>
          <w:szCs w:val="18"/>
        </w:rPr>
        <w:t>tientallen b</w:t>
      </w:r>
      <w:r w:rsidR="005A2C8C">
        <w:rPr>
          <w:sz w:val="18"/>
          <w:szCs w:val="18"/>
        </w:rPr>
        <w:t>ijzondere regelingen</w:t>
      </w:r>
      <w:r w:rsidR="006A61F7">
        <w:rPr>
          <w:sz w:val="18"/>
          <w:szCs w:val="18"/>
        </w:rPr>
        <w:t xml:space="preserve"> in de autobelastingen, zoals</w:t>
      </w:r>
      <w:r w:rsidRPr="00A878C4">
        <w:rPr>
          <w:sz w:val="18"/>
          <w:szCs w:val="18"/>
        </w:rPr>
        <w:t xml:space="preserve"> vrijste</w:t>
      </w:r>
      <w:r>
        <w:rPr>
          <w:sz w:val="18"/>
          <w:szCs w:val="18"/>
        </w:rPr>
        <w:t>llingen en verlaagde tarieven</w:t>
      </w:r>
      <w:r w:rsidR="006A61F7">
        <w:rPr>
          <w:sz w:val="18"/>
          <w:szCs w:val="18"/>
        </w:rPr>
        <w:t>. Deze bijzondere regelingen leiden</w:t>
      </w:r>
      <w:r w:rsidRPr="00A878C4">
        <w:rPr>
          <w:sz w:val="18"/>
          <w:szCs w:val="18"/>
        </w:rPr>
        <w:t xml:space="preserve"> niet alleen tot een (soms forse) budgettaire derving maar </w:t>
      </w:r>
      <w:r w:rsidR="006A61F7">
        <w:rPr>
          <w:sz w:val="18"/>
          <w:szCs w:val="18"/>
        </w:rPr>
        <w:t>leiden vaak ook</w:t>
      </w:r>
      <w:r w:rsidRPr="00A878C4">
        <w:rPr>
          <w:sz w:val="18"/>
          <w:szCs w:val="18"/>
        </w:rPr>
        <w:t xml:space="preserve"> tot </w:t>
      </w:r>
      <w:r w:rsidR="0039208D">
        <w:rPr>
          <w:sz w:val="18"/>
          <w:szCs w:val="18"/>
        </w:rPr>
        <w:t xml:space="preserve">relatief </w:t>
      </w:r>
      <w:r>
        <w:rPr>
          <w:sz w:val="18"/>
          <w:szCs w:val="18"/>
        </w:rPr>
        <w:t xml:space="preserve">hoge administratieve lasten en </w:t>
      </w:r>
      <w:r w:rsidRPr="00A878C4">
        <w:rPr>
          <w:sz w:val="18"/>
          <w:szCs w:val="18"/>
        </w:rPr>
        <w:t xml:space="preserve">uitvoeringskosten </w:t>
      </w:r>
      <w:r>
        <w:rPr>
          <w:sz w:val="18"/>
          <w:szCs w:val="18"/>
        </w:rPr>
        <w:t>voor</w:t>
      </w:r>
      <w:r w:rsidRPr="00A878C4">
        <w:rPr>
          <w:sz w:val="18"/>
          <w:szCs w:val="18"/>
        </w:rPr>
        <w:t xml:space="preserve"> de Belastingdienst. In het licht van de taakstelling van de Belastingdienst is er </w:t>
      </w:r>
      <w:r w:rsidR="0026687E">
        <w:rPr>
          <w:sz w:val="18"/>
          <w:szCs w:val="18"/>
        </w:rPr>
        <w:t xml:space="preserve">dan ook </w:t>
      </w:r>
      <w:r w:rsidRPr="00A878C4">
        <w:rPr>
          <w:sz w:val="18"/>
          <w:szCs w:val="18"/>
        </w:rPr>
        <w:t xml:space="preserve">aanleiding kritisch te kijken naar de mogelijkheden om het aantal </w:t>
      </w:r>
      <w:r w:rsidR="006A61F7">
        <w:rPr>
          <w:sz w:val="18"/>
          <w:szCs w:val="18"/>
        </w:rPr>
        <w:t>bijzondere regelingen</w:t>
      </w:r>
      <w:r w:rsidRPr="00A878C4">
        <w:rPr>
          <w:sz w:val="18"/>
          <w:szCs w:val="18"/>
        </w:rPr>
        <w:t xml:space="preserve"> te beperken. Ook ga ik in op een recent gestart onderzoek naar de mogelijkheden om de fraudebestrijding op het terrein van de autobelastingen te verbeteren. </w:t>
      </w:r>
    </w:p>
    <w:p w:rsidRPr="00A878C4" w:rsidR="001351DF" w:rsidP="00781CF8" w:rsidRDefault="001351DF">
      <w:pPr>
        <w:spacing w:after="0" w:line="240" w:lineRule="atLeast"/>
        <w:rPr>
          <w:sz w:val="18"/>
          <w:szCs w:val="18"/>
        </w:rPr>
      </w:pPr>
    </w:p>
    <w:p w:rsidR="00B9709A" w:rsidP="00781CF8" w:rsidRDefault="001351DF">
      <w:pPr>
        <w:spacing w:after="0" w:line="240" w:lineRule="atLeast"/>
        <w:rPr>
          <w:sz w:val="18"/>
          <w:szCs w:val="18"/>
        </w:rPr>
      </w:pPr>
      <w:r>
        <w:rPr>
          <w:sz w:val="18"/>
          <w:szCs w:val="18"/>
        </w:rPr>
        <w:t>Een deel van d</w:t>
      </w:r>
      <w:r w:rsidRPr="00A878C4">
        <w:rPr>
          <w:sz w:val="18"/>
          <w:szCs w:val="18"/>
        </w:rPr>
        <w:t>e in deze brief opgenomen voorstellen</w:t>
      </w:r>
      <w:r>
        <w:rPr>
          <w:sz w:val="18"/>
          <w:szCs w:val="18"/>
        </w:rPr>
        <w:t xml:space="preserve"> en beleidsopties</w:t>
      </w:r>
      <w:r w:rsidRPr="00A878C4">
        <w:rPr>
          <w:sz w:val="18"/>
          <w:szCs w:val="18"/>
        </w:rPr>
        <w:t xml:space="preserve"> </w:t>
      </w:r>
      <w:r>
        <w:rPr>
          <w:sz w:val="18"/>
          <w:szCs w:val="18"/>
        </w:rPr>
        <w:t>vergt</w:t>
      </w:r>
      <w:r w:rsidRPr="00A878C4">
        <w:rPr>
          <w:sz w:val="18"/>
          <w:szCs w:val="18"/>
        </w:rPr>
        <w:t xml:space="preserve"> nader onderzoek</w:t>
      </w:r>
      <w:r w:rsidR="00276DC1">
        <w:rPr>
          <w:sz w:val="18"/>
          <w:szCs w:val="18"/>
        </w:rPr>
        <w:t>, maar h</w:t>
      </w:r>
      <w:r>
        <w:rPr>
          <w:sz w:val="18"/>
          <w:szCs w:val="18"/>
        </w:rPr>
        <w:t xml:space="preserve">et streven is er op gericht een aantal voorstellen </w:t>
      </w:r>
      <w:r w:rsidR="0026687E">
        <w:rPr>
          <w:sz w:val="18"/>
          <w:szCs w:val="18"/>
        </w:rPr>
        <w:t xml:space="preserve">uit deze brief als concrete wetswijzigingen </w:t>
      </w:r>
      <w:r>
        <w:rPr>
          <w:sz w:val="18"/>
          <w:szCs w:val="18"/>
        </w:rPr>
        <w:t>op te nemen</w:t>
      </w:r>
      <w:r w:rsidRPr="00A878C4">
        <w:rPr>
          <w:sz w:val="18"/>
          <w:szCs w:val="18"/>
        </w:rPr>
        <w:t xml:space="preserve"> in het Belastingplan 2012. </w:t>
      </w:r>
      <w:r>
        <w:rPr>
          <w:sz w:val="18"/>
          <w:szCs w:val="18"/>
        </w:rPr>
        <w:t xml:space="preserve">Dit geldt in het bijzonder voor de tariefaanpassingen </w:t>
      </w:r>
      <w:r w:rsidR="0026687E">
        <w:rPr>
          <w:sz w:val="18"/>
          <w:szCs w:val="18"/>
        </w:rPr>
        <w:t xml:space="preserve">in de BPM, de MRB en de bijtelling </w:t>
      </w:r>
      <w:r>
        <w:rPr>
          <w:sz w:val="18"/>
          <w:szCs w:val="18"/>
        </w:rPr>
        <w:t xml:space="preserve">die nodig zijn om de komende jaren een maximale prikkel voor de aanschaf van de </w:t>
      </w:r>
      <w:r w:rsidR="005A289B">
        <w:rPr>
          <w:sz w:val="18"/>
          <w:szCs w:val="18"/>
        </w:rPr>
        <w:t>meest zuinige</w:t>
      </w:r>
      <w:r>
        <w:rPr>
          <w:sz w:val="18"/>
          <w:szCs w:val="18"/>
        </w:rPr>
        <w:t xml:space="preserve"> auto’s te creëren</w:t>
      </w:r>
      <w:r w:rsidR="00276DC1">
        <w:rPr>
          <w:sz w:val="18"/>
          <w:szCs w:val="18"/>
        </w:rPr>
        <w:t>.</w:t>
      </w:r>
      <w:r>
        <w:rPr>
          <w:sz w:val="18"/>
          <w:szCs w:val="18"/>
        </w:rPr>
        <w:t xml:space="preserve"> </w:t>
      </w:r>
      <w:r w:rsidR="00B9709A">
        <w:rPr>
          <w:sz w:val="18"/>
          <w:szCs w:val="18"/>
        </w:rPr>
        <w:t>In het Belastingplan 2012 zullen de budgettaire gevolgen en de administratieve lasten en de uitvoeringskosten nader worden uitgewerkt op basis van de dan concrete voorstellen.</w:t>
      </w:r>
    </w:p>
    <w:p w:rsidR="001351DF" w:rsidP="00781CF8" w:rsidRDefault="001351DF">
      <w:pPr>
        <w:spacing w:after="0" w:line="240" w:lineRule="atLeast"/>
        <w:rPr>
          <w:color w:val="000000"/>
          <w:sz w:val="18"/>
          <w:szCs w:val="18"/>
        </w:rPr>
      </w:pPr>
      <w:r w:rsidRPr="00A878C4">
        <w:rPr>
          <w:sz w:val="18"/>
          <w:szCs w:val="18"/>
        </w:rPr>
        <w:t xml:space="preserve">Daaraan voorafgaand hoop ik dat uw Kamer mij de gelegenheid geeft </w:t>
      </w:r>
      <w:r>
        <w:rPr>
          <w:sz w:val="18"/>
          <w:szCs w:val="18"/>
        </w:rPr>
        <w:t xml:space="preserve">over </w:t>
      </w:r>
      <w:r w:rsidRPr="00A878C4">
        <w:rPr>
          <w:sz w:val="18"/>
          <w:szCs w:val="18"/>
        </w:rPr>
        <w:t>de in deze autobrief opgenomen voorstellen</w:t>
      </w:r>
      <w:r>
        <w:rPr>
          <w:sz w:val="18"/>
          <w:szCs w:val="18"/>
        </w:rPr>
        <w:t xml:space="preserve"> en beleidsopties nader met u van gedachten te wisselen.</w:t>
      </w:r>
    </w:p>
    <w:p w:rsidR="00BE50EB" w:rsidP="00781CF8" w:rsidRDefault="00BE50EB">
      <w:pPr>
        <w:spacing w:after="0" w:line="240" w:lineRule="atLeast"/>
        <w:rPr>
          <w:color w:val="000000"/>
          <w:sz w:val="18"/>
          <w:szCs w:val="18"/>
        </w:rPr>
      </w:pPr>
    </w:p>
    <w:p w:rsidR="005C6B0E" w:rsidP="00781CF8" w:rsidRDefault="005C6B0E">
      <w:pPr>
        <w:spacing w:after="0" w:line="240" w:lineRule="auto"/>
        <w:rPr>
          <w:b/>
          <w:bCs/>
          <w:sz w:val="18"/>
          <w:szCs w:val="18"/>
        </w:rPr>
      </w:pPr>
    </w:p>
    <w:p w:rsidR="00921222" w:rsidP="00781CF8" w:rsidRDefault="00921222">
      <w:pPr>
        <w:spacing w:after="0" w:line="240" w:lineRule="auto"/>
        <w:rPr>
          <w:b/>
          <w:bCs/>
          <w:sz w:val="18"/>
          <w:szCs w:val="18"/>
        </w:rPr>
      </w:pPr>
      <w:r>
        <w:rPr>
          <w:b/>
          <w:bCs/>
          <w:sz w:val="18"/>
          <w:szCs w:val="18"/>
        </w:rPr>
        <w:br w:type="page"/>
      </w:r>
    </w:p>
    <w:p w:rsidRPr="008064EC" w:rsidR="00DD7257" w:rsidP="008064EC" w:rsidRDefault="00DD7257">
      <w:pPr>
        <w:pStyle w:val="Kop1"/>
        <w:rPr>
          <w:rFonts w:ascii="Verdana" w:hAnsi="Verdana"/>
          <w:color w:val="auto"/>
          <w:sz w:val="18"/>
          <w:szCs w:val="18"/>
        </w:rPr>
      </w:pPr>
      <w:bookmarkStart w:name="_Toc293998517" w:id="1"/>
      <w:r w:rsidRPr="008064EC">
        <w:rPr>
          <w:rFonts w:ascii="Verdana" w:hAnsi="Verdana"/>
          <w:color w:val="auto"/>
          <w:sz w:val="18"/>
          <w:szCs w:val="18"/>
        </w:rPr>
        <w:lastRenderedPageBreak/>
        <w:t xml:space="preserve">Hoofdstuk 2. </w:t>
      </w:r>
      <w:r w:rsidRPr="008064EC" w:rsidR="00A91F32">
        <w:rPr>
          <w:rFonts w:ascii="Verdana" w:hAnsi="Verdana"/>
          <w:color w:val="auto"/>
          <w:sz w:val="18"/>
          <w:szCs w:val="18"/>
        </w:rPr>
        <w:t xml:space="preserve">De </w:t>
      </w:r>
      <w:r w:rsidRPr="008064EC">
        <w:rPr>
          <w:rFonts w:ascii="Verdana" w:hAnsi="Verdana"/>
          <w:color w:val="auto"/>
          <w:sz w:val="18"/>
          <w:szCs w:val="18"/>
        </w:rPr>
        <w:t>autogerelateerde belastingen</w:t>
      </w:r>
      <w:r w:rsidRPr="008064EC" w:rsidR="00A91F32">
        <w:rPr>
          <w:rFonts w:ascii="Verdana" w:hAnsi="Verdana"/>
          <w:color w:val="auto"/>
          <w:sz w:val="18"/>
          <w:szCs w:val="18"/>
        </w:rPr>
        <w:t xml:space="preserve"> in perspectief</w:t>
      </w:r>
      <w:bookmarkEnd w:id="1"/>
    </w:p>
    <w:p w:rsidRPr="00C4281E" w:rsidR="00DD7257" w:rsidP="00781CF8" w:rsidRDefault="00DD7257">
      <w:pPr>
        <w:pStyle w:val="Geenafstand"/>
      </w:pPr>
    </w:p>
    <w:p w:rsidRPr="007D152B" w:rsidR="00DD7257" w:rsidP="00781CF8" w:rsidRDefault="00DD7257">
      <w:pPr>
        <w:pStyle w:val="Kop2"/>
        <w:spacing w:before="0"/>
        <w:rPr>
          <w:rFonts w:ascii="Verdana" w:hAnsi="Verdana"/>
          <w:color w:val="auto"/>
          <w:sz w:val="18"/>
          <w:szCs w:val="18"/>
        </w:rPr>
      </w:pPr>
      <w:bookmarkStart w:name="_Toc293998518" w:id="2"/>
      <w:r w:rsidRPr="007D152B">
        <w:rPr>
          <w:rFonts w:ascii="Verdana" w:hAnsi="Verdana"/>
          <w:color w:val="auto"/>
          <w:sz w:val="18"/>
          <w:szCs w:val="18"/>
        </w:rPr>
        <w:t>2.1 Inleiding</w:t>
      </w:r>
      <w:bookmarkEnd w:id="2"/>
      <w:r w:rsidRPr="007D152B">
        <w:rPr>
          <w:rFonts w:ascii="Verdana" w:hAnsi="Verdana"/>
          <w:color w:val="auto"/>
          <w:sz w:val="18"/>
          <w:szCs w:val="18"/>
        </w:rPr>
        <w:t xml:space="preserve"> </w:t>
      </w:r>
    </w:p>
    <w:p w:rsidR="00AF799F" w:rsidP="00781CF8" w:rsidRDefault="00DD7257">
      <w:pPr>
        <w:spacing w:after="0"/>
        <w:rPr>
          <w:sz w:val="18"/>
          <w:szCs w:val="18"/>
        </w:rPr>
      </w:pPr>
      <w:r w:rsidRPr="00C4281E">
        <w:rPr>
          <w:sz w:val="18"/>
          <w:szCs w:val="18"/>
        </w:rPr>
        <w:t>Het belangrijkste doel van de heffing van belastingen is het financieren van overheidsuitgaven. Dat was zo en dat blijft zo</w:t>
      </w:r>
      <w:r w:rsidR="00C147C7">
        <w:rPr>
          <w:sz w:val="18"/>
          <w:szCs w:val="18"/>
        </w:rPr>
        <w:t>, ook voor de autogerelateerde belastingen</w:t>
      </w:r>
      <w:r w:rsidRPr="00C4281E">
        <w:rPr>
          <w:sz w:val="18"/>
          <w:szCs w:val="18"/>
        </w:rPr>
        <w:t xml:space="preserve">. Door </w:t>
      </w:r>
      <w:r w:rsidR="00AF799F">
        <w:rPr>
          <w:sz w:val="18"/>
          <w:szCs w:val="18"/>
        </w:rPr>
        <w:t xml:space="preserve">fiscale instrumenten niet alleen te gebruiken voor het financieren van overheidsuitgaven, maar ook bijvoorbeeld voor </w:t>
      </w:r>
      <w:r w:rsidRPr="00C4281E">
        <w:rPr>
          <w:sz w:val="18"/>
          <w:szCs w:val="18"/>
        </w:rPr>
        <w:t>vergroening en het ontmoedigen van ongewenst gedrag, kan een andere indruk zijn ontstaan. De</w:t>
      </w:r>
      <w:r w:rsidR="00AF799F">
        <w:rPr>
          <w:sz w:val="18"/>
          <w:szCs w:val="18"/>
        </w:rPr>
        <w:t xml:space="preserve">rgelijke </w:t>
      </w:r>
      <w:r w:rsidRPr="00C4281E">
        <w:rPr>
          <w:sz w:val="18"/>
          <w:szCs w:val="18"/>
        </w:rPr>
        <w:t>nevendoelen zijn op zichzelf nastrevenswaardig</w:t>
      </w:r>
      <w:r w:rsidR="00147822">
        <w:rPr>
          <w:sz w:val="18"/>
          <w:szCs w:val="18"/>
        </w:rPr>
        <w:t>;</w:t>
      </w:r>
      <w:r w:rsidR="006A61F7">
        <w:rPr>
          <w:sz w:val="18"/>
          <w:szCs w:val="18"/>
        </w:rPr>
        <w:t xml:space="preserve"> </w:t>
      </w:r>
      <w:r w:rsidR="00147822">
        <w:rPr>
          <w:sz w:val="18"/>
          <w:szCs w:val="18"/>
        </w:rPr>
        <w:t>d</w:t>
      </w:r>
      <w:r w:rsidR="006A61F7">
        <w:rPr>
          <w:sz w:val="18"/>
          <w:szCs w:val="18"/>
        </w:rPr>
        <w:t xml:space="preserve">e </w:t>
      </w:r>
      <w:r w:rsidR="00AF799F">
        <w:rPr>
          <w:sz w:val="18"/>
          <w:szCs w:val="18"/>
        </w:rPr>
        <w:t xml:space="preserve">betreffende </w:t>
      </w:r>
      <w:r w:rsidR="006A61F7">
        <w:rPr>
          <w:sz w:val="18"/>
          <w:szCs w:val="18"/>
        </w:rPr>
        <w:t>maatregelen zijn</w:t>
      </w:r>
      <w:r w:rsidRPr="00C4281E">
        <w:rPr>
          <w:sz w:val="18"/>
          <w:szCs w:val="18"/>
        </w:rPr>
        <w:t xml:space="preserve"> stimulerend geweest en hebben er </w:t>
      </w:r>
      <w:r w:rsidR="006A61F7">
        <w:rPr>
          <w:sz w:val="18"/>
          <w:szCs w:val="18"/>
        </w:rPr>
        <w:t xml:space="preserve">bijvoorbeeld </w:t>
      </w:r>
      <w:r w:rsidRPr="00C4281E">
        <w:rPr>
          <w:sz w:val="18"/>
          <w:szCs w:val="18"/>
        </w:rPr>
        <w:t xml:space="preserve">toe bijgedragen dat het wagenpark in Nederland qua zuinigheid in de Europese kopgroep zit. </w:t>
      </w:r>
      <w:r>
        <w:rPr>
          <w:sz w:val="18"/>
          <w:szCs w:val="18"/>
        </w:rPr>
        <w:t>Aan de andere kant hebben dezelfde nevendoel</w:t>
      </w:r>
      <w:r w:rsidR="00AF799F">
        <w:rPr>
          <w:sz w:val="18"/>
          <w:szCs w:val="18"/>
        </w:rPr>
        <w:t>en</w:t>
      </w:r>
      <w:r>
        <w:rPr>
          <w:sz w:val="18"/>
          <w:szCs w:val="18"/>
        </w:rPr>
        <w:t>, geleid tot een</w:t>
      </w:r>
      <w:r w:rsidRPr="00C4281E">
        <w:rPr>
          <w:sz w:val="18"/>
          <w:szCs w:val="18"/>
        </w:rPr>
        <w:t xml:space="preserve"> </w:t>
      </w:r>
      <w:r>
        <w:rPr>
          <w:sz w:val="18"/>
          <w:szCs w:val="18"/>
        </w:rPr>
        <w:t xml:space="preserve">stapeling van </w:t>
      </w:r>
      <w:r w:rsidRPr="00C4281E">
        <w:rPr>
          <w:sz w:val="18"/>
          <w:szCs w:val="18"/>
        </w:rPr>
        <w:t>fiscale maatregelen</w:t>
      </w:r>
      <w:r>
        <w:rPr>
          <w:sz w:val="18"/>
          <w:szCs w:val="18"/>
        </w:rPr>
        <w:t xml:space="preserve"> waardoor </w:t>
      </w:r>
      <w:r w:rsidR="00147822">
        <w:rPr>
          <w:sz w:val="18"/>
          <w:szCs w:val="18"/>
        </w:rPr>
        <w:t xml:space="preserve">veelal de logica binnen </w:t>
      </w:r>
      <w:r w:rsidR="00C147C7">
        <w:rPr>
          <w:sz w:val="18"/>
          <w:szCs w:val="18"/>
        </w:rPr>
        <w:t xml:space="preserve">en tussen </w:t>
      </w:r>
      <w:r w:rsidR="00147822">
        <w:rPr>
          <w:sz w:val="18"/>
          <w:szCs w:val="18"/>
        </w:rPr>
        <w:t xml:space="preserve">de verschillende belastingen, niet altijd even helder is. Mede daardoor wordt </w:t>
      </w:r>
      <w:r>
        <w:rPr>
          <w:sz w:val="18"/>
          <w:szCs w:val="18"/>
        </w:rPr>
        <w:t xml:space="preserve">het systeem </w:t>
      </w:r>
      <w:r w:rsidR="00147822">
        <w:rPr>
          <w:sz w:val="18"/>
          <w:szCs w:val="18"/>
        </w:rPr>
        <w:t xml:space="preserve">ook </w:t>
      </w:r>
      <w:r>
        <w:rPr>
          <w:sz w:val="18"/>
          <w:szCs w:val="18"/>
        </w:rPr>
        <w:t xml:space="preserve">als complex ervaren. </w:t>
      </w:r>
    </w:p>
    <w:p w:rsidR="00DD7257" w:rsidP="00781CF8" w:rsidRDefault="00DD7257">
      <w:pPr>
        <w:spacing w:after="0"/>
        <w:rPr>
          <w:sz w:val="18"/>
          <w:szCs w:val="18"/>
        </w:rPr>
      </w:pPr>
      <w:r>
        <w:rPr>
          <w:sz w:val="18"/>
          <w:szCs w:val="18"/>
        </w:rPr>
        <w:t xml:space="preserve">Bovendien </w:t>
      </w:r>
      <w:r w:rsidR="00AF799F">
        <w:rPr>
          <w:sz w:val="18"/>
          <w:szCs w:val="18"/>
        </w:rPr>
        <w:t xml:space="preserve">heeft de inzet van een toch generiek instrument als de fiscaliteit tot gevolg dat </w:t>
      </w:r>
      <w:r w:rsidR="00C64562">
        <w:rPr>
          <w:sz w:val="18"/>
          <w:szCs w:val="18"/>
        </w:rPr>
        <w:t xml:space="preserve">de gewenste stimulering </w:t>
      </w:r>
      <w:r w:rsidR="00276DC1">
        <w:rPr>
          <w:sz w:val="18"/>
          <w:szCs w:val="18"/>
        </w:rPr>
        <w:t xml:space="preserve">vaak </w:t>
      </w:r>
      <w:r w:rsidR="00C64562">
        <w:rPr>
          <w:sz w:val="18"/>
          <w:szCs w:val="18"/>
        </w:rPr>
        <w:t xml:space="preserve">niet optimaal is. Er is sprake van een zekere vorm van ongerichtheid, beperkte mogelijkheid tot afbakening en er is sprake van </w:t>
      </w:r>
      <w:r>
        <w:rPr>
          <w:sz w:val="18"/>
          <w:szCs w:val="18"/>
        </w:rPr>
        <w:t>een zogenoemde deadweight loss</w:t>
      </w:r>
      <w:r w:rsidR="00C64562">
        <w:rPr>
          <w:sz w:val="18"/>
          <w:szCs w:val="18"/>
        </w:rPr>
        <w:t xml:space="preserve">, dat </w:t>
      </w:r>
      <w:r>
        <w:rPr>
          <w:sz w:val="18"/>
          <w:szCs w:val="18"/>
        </w:rPr>
        <w:t>wil zeggen dat fiscale stimulering deels heeft plaatsgevonden op ontwikkeling</w:t>
      </w:r>
      <w:r w:rsidR="00A20BD4">
        <w:rPr>
          <w:sz w:val="18"/>
          <w:szCs w:val="18"/>
        </w:rPr>
        <w:t>en</w:t>
      </w:r>
      <w:r>
        <w:rPr>
          <w:sz w:val="18"/>
          <w:szCs w:val="18"/>
        </w:rPr>
        <w:t xml:space="preserve"> die zich ook zonder stimuleringsmaatregelen had</w:t>
      </w:r>
      <w:r w:rsidR="00A20BD4">
        <w:rPr>
          <w:sz w:val="18"/>
          <w:szCs w:val="18"/>
        </w:rPr>
        <w:t>den</w:t>
      </w:r>
      <w:r>
        <w:rPr>
          <w:sz w:val="18"/>
          <w:szCs w:val="18"/>
        </w:rPr>
        <w:t xml:space="preserve"> voorgedaan.</w:t>
      </w:r>
      <w:r w:rsidR="00A2703A">
        <w:rPr>
          <w:sz w:val="18"/>
          <w:szCs w:val="18"/>
        </w:rPr>
        <w:t xml:space="preserve"> </w:t>
      </w:r>
      <w:r w:rsidR="00C64562">
        <w:rPr>
          <w:sz w:val="18"/>
          <w:szCs w:val="18"/>
        </w:rPr>
        <w:t xml:space="preserve">Zo heeft de </w:t>
      </w:r>
      <w:r w:rsidR="00147822">
        <w:rPr>
          <w:sz w:val="18"/>
          <w:szCs w:val="18"/>
        </w:rPr>
        <w:t>in opzet budgettair neutrale stimulering van (zeer) zuinige auto’s, mede vorm gegeven door een ombouw van de grondslag van de BPM naar de CO</w:t>
      </w:r>
      <w:r w:rsidRPr="00AC16A6" w:rsidR="00AC16A6">
        <w:rPr>
          <w:sz w:val="18"/>
          <w:szCs w:val="18"/>
          <w:vertAlign w:val="subscript"/>
        </w:rPr>
        <w:t>2</w:t>
      </w:r>
      <w:r w:rsidR="00147822">
        <w:rPr>
          <w:sz w:val="18"/>
          <w:szCs w:val="18"/>
        </w:rPr>
        <w:t>-uitstoot, uiteindelijk geleid tot een (forse) niet voorziene budgettaire derving.</w:t>
      </w:r>
    </w:p>
    <w:p w:rsidR="00C64562" w:rsidP="00781CF8" w:rsidRDefault="00C64562">
      <w:pPr>
        <w:spacing w:after="0"/>
        <w:rPr>
          <w:sz w:val="18"/>
          <w:szCs w:val="18"/>
        </w:rPr>
      </w:pPr>
    </w:p>
    <w:p w:rsidR="00C64562" w:rsidP="00781CF8" w:rsidRDefault="00DD7257">
      <w:pPr>
        <w:spacing w:after="0"/>
        <w:rPr>
          <w:color w:val="000000"/>
          <w:sz w:val="18"/>
          <w:szCs w:val="18"/>
        </w:rPr>
      </w:pPr>
      <w:r>
        <w:rPr>
          <w:sz w:val="18"/>
          <w:szCs w:val="18"/>
        </w:rPr>
        <w:t xml:space="preserve">In de afzonderlijke hoofdstukken zal uitgebreid worden ingegaan op de verschillende autogerelateerde </w:t>
      </w:r>
      <w:r w:rsidR="00276DC1">
        <w:rPr>
          <w:sz w:val="18"/>
          <w:szCs w:val="18"/>
        </w:rPr>
        <w:t>belastingen</w:t>
      </w:r>
      <w:r>
        <w:rPr>
          <w:sz w:val="18"/>
          <w:szCs w:val="18"/>
        </w:rPr>
        <w:t>. Deze zijn</w:t>
      </w:r>
      <w:r w:rsidRPr="00C4281E">
        <w:rPr>
          <w:sz w:val="18"/>
          <w:szCs w:val="18"/>
        </w:rPr>
        <w:t xml:space="preserve"> </w:t>
      </w:r>
      <w:r>
        <w:rPr>
          <w:sz w:val="18"/>
          <w:szCs w:val="18"/>
        </w:rPr>
        <w:t xml:space="preserve">niet altijd in de gewenste snelheid mee geëvolueerd met maatschappelijke ontwikkelingen. Het feit dat fiscale maatregelen niet altijd aansluiten op maatschappelijke ontwikkelingen is </w:t>
      </w:r>
      <w:r w:rsidR="00276DC1">
        <w:rPr>
          <w:sz w:val="18"/>
          <w:szCs w:val="18"/>
        </w:rPr>
        <w:t xml:space="preserve">overigens </w:t>
      </w:r>
      <w:r>
        <w:rPr>
          <w:sz w:val="18"/>
          <w:szCs w:val="18"/>
        </w:rPr>
        <w:t xml:space="preserve">verklaarbaar omdat het </w:t>
      </w:r>
      <w:r w:rsidR="00276DC1">
        <w:rPr>
          <w:sz w:val="18"/>
          <w:szCs w:val="18"/>
        </w:rPr>
        <w:t xml:space="preserve">vaak </w:t>
      </w:r>
      <w:r>
        <w:rPr>
          <w:sz w:val="18"/>
          <w:szCs w:val="18"/>
        </w:rPr>
        <w:t xml:space="preserve">moeilijk blijkt eenmaal bestaande fiscale stimuleringsmaatregelen bij gewijzigde inzichten of omstandigheden weer af te schaffen. </w:t>
      </w:r>
      <w:r w:rsidR="00C64562">
        <w:rPr>
          <w:sz w:val="18"/>
          <w:szCs w:val="18"/>
        </w:rPr>
        <w:t xml:space="preserve">Bij een dergelijke afschaffing of herziening </w:t>
      </w:r>
      <w:r>
        <w:rPr>
          <w:sz w:val="18"/>
          <w:szCs w:val="18"/>
        </w:rPr>
        <w:t xml:space="preserve">spelen </w:t>
      </w:r>
      <w:r w:rsidR="00C64562">
        <w:rPr>
          <w:sz w:val="18"/>
          <w:szCs w:val="18"/>
        </w:rPr>
        <w:t xml:space="preserve">bestaande </w:t>
      </w:r>
      <w:r>
        <w:rPr>
          <w:sz w:val="18"/>
          <w:szCs w:val="18"/>
        </w:rPr>
        <w:t>financiële belangen</w:t>
      </w:r>
      <w:r w:rsidR="00147822">
        <w:rPr>
          <w:sz w:val="18"/>
          <w:szCs w:val="18"/>
        </w:rPr>
        <w:t xml:space="preserve"> en</w:t>
      </w:r>
      <w:r>
        <w:rPr>
          <w:sz w:val="18"/>
          <w:szCs w:val="18"/>
        </w:rPr>
        <w:t xml:space="preserve"> (inter)nationale concurrentieoverwegingen vaak een rol. Het</w:t>
      </w:r>
      <w:r w:rsidRPr="00C4281E">
        <w:rPr>
          <w:sz w:val="18"/>
          <w:szCs w:val="18"/>
        </w:rPr>
        <w:t xml:space="preserve"> bestaande fiscale instrumentalisme </w:t>
      </w:r>
      <w:r>
        <w:rPr>
          <w:sz w:val="18"/>
          <w:szCs w:val="18"/>
        </w:rPr>
        <w:t xml:space="preserve">in de autobelastingen </w:t>
      </w:r>
      <w:r w:rsidRPr="00C4281E">
        <w:rPr>
          <w:sz w:val="18"/>
          <w:szCs w:val="18"/>
        </w:rPr>
        <w:t xml:space="preserve">is vanuit </w:t>
      </w:r>
      <w:r>
        <w:rPr>
          <w:sz w:val="18"/>
          <w:szCs w:val="18"/>
        </w:rPr>
        <w:t xml:space="preserve">historisch perspectief </w:t>
      </w:r>
      <w:r w:rsidR="00C64562">
        <w:rPr>
          <w:sz w:val="18"/>
          <w:szCs w:val="18"/>
        </w:rPr>
        <w:t xml:space="preserve">weliswaar </w:t>
      </w:r>
      <w:r>
        <w:rPr>
          <w:sz w:val="18"/>
          <w:szCs w:val="18"/>
        </w:rPr>
        <w:t>goed verklaarbaar</w:t>
      </w:r>
      <w:r w:rsidRPr="00C4281E">
        <w:rPr>
          <w:sz w:val="18"/>
          <w:szCs w:val="18"/>
        </w:rPr>
        <w:t xml:space="preserve">, maar heeft door stapeling geleid tot een </w:t>
      </w:r>
      <w:r>
        <w:rPr>
          <w:sz w:val="18"/>
          <w:szCs w:val="18"/>
        </w:rPr>
        <w:t xml:space="preserve">gecompliceerd </w:t>
      </w:r>
      <w:r w:rsidRPr="00C4281E">
        <w:rPr>
          <w:color w:val="000000"/>
          <w:sz w:val="18"/>
          <w:szCs w:val="18"/>
        </w:rPr>
        <w:t>stelsel</w:t>
      </w:r>
      <w:r w:rsidR="00276DC1">
        <w:rPr>
          <w:color w:val="000000"/>
          <w:sz w:val="18"/>
          <w:szCs w:val="18"/>
        </w:rPr>
        <w:t>.</w:t>
      </w:r>
      <w:r w:rsidRPr="00C4281E">
        <w:rPr>
          <w:color w:val="000000"/>
          <w:sz w:val="18"/>
          <w:szCs w:val="18"/>
        </w:rPr>
        <w:t xml:space="preserve"> Het vereist bovendien een uitvoeringsapparaat dat de capaciteit heeft om dat allemaal uit te voeren</w:t>
      </w:r>
      <w:r w:rsidR="00276DC1">
        <w:rPr>
          <w:color w:val="000000"/>
          <w:sz w:val="18"/>
          <w:szCs w:val="18"/>
        </w:rPr>
        <w:t xml:space="preserve"> e</w:t>
      </w:r>
      <w:r w:rsidRPr="00C4281E">
        <w:rPr>
          <w:color w:val="000000"/>
          <w:sz w:val="18"/>
          <w:szCs w:val="18"/>
        </w:rPr>
        <w:t xml:space="preserve">n </w:t>
      </w:r>
      <w:r w:rsidR="00276DC1">
        <w:rPr>
          <w:color w:val="000000"/>
          <w:sz w:val="18"/>
          <w:szCs w:val="18"/>
        </w:rPr>
        <w:t xml:space="preserve">biedt als gevolg van die compexiteit </w:t>
      </w:r>
      <w:r w:rsidRPr="00C4281E">
        <w:rPr>
          <w:color w:val="000000"/>
          <w:sz w:val="18"/>
          <w:szCs w:val="18"/>
        </w:rPr>
        <w:t xml:space="preserve">mogelijkheden </w:t>
      </w:r>
      <w:r w:rsidR="00C64562">
        <w:rPr>
          <w:color w:val="000000"/>
          <w:sz w:val="18"/>
          <w:szCs w:val="18"/>
        </w:rPr>
        <w:t xml:space="preserve">tot </w:t>
      </w:r>
      <w:r w:rsidRPr="00C4281E">
        <w:rPr>
          <w:color w:val="000000"/>
          <w:sz w:val="18"/>
          <w:szCs w:val="18"/>
        </w:rPr>
        <w:t xml:space="preserve">fraude. </w:t>
      </w:r>
      <w:r>
        <w:rPr>
          <w:color w:val="000000"/>
          <w:sz w:val="18"/>
          <w:szCs w:val="18"/>
        </w:rPr>
        <w:t xml:space="preserve"> </w:t>
      </w:r>
    </w:p>
    <w:p w:rsidR="00C64562" w:rsidP="00781CF8" w:rsidRDefault="00C64562">
      <w:pPr>
        <w:spacing w:after="0"/>
        <w:rPr>
          <w:color w:val="000000"/>
          <w:sz w:val="18"/>
          <w:szCs w:val="18"/>
        </w:rPr>
      </w:pPr>
    </w:p>
    <w:p w:rsidR="00514000" w:rsidP="00781CF8" w:rsidRDefault="00DD7257">
      <w:pPr>
        <w:spacing w:after="0"/>
        <w:rPr>
          <w:color w:val="000000"/>
          <w:sz w:val="18"/>
          <w:szCs w:val="18"/>
        </w:rPr>
      </w:pPr>
      <w:r>
        <w:rPr>
          <w:color w:val="000000"/>
          <w:sz w:val="18"/>
          <w:szCs w:val="18"/>
        </w:rPr>
        <w:t>Om die reden wil ik toe naar een meer</w:t>
      </w:r>
      <w:r w:rsidRPr="00C4281E">
        <w:rPr>
          <w:color w:val="000000"/>
          <w:sz w:val="18"/>
          <w:szCs w:val="18"/>
        </w:rPr>
        <w:t xml:space="preserve"> eenvoudig, meer solide en fraudebestendig</w:t>
      </w:r>
      <w:r w:rsidR="00147822">
        <w:rPr>
          <w:color w:val="000000"/>
          <w:sz w:val="18"/>
          <w:szCs w:val="18"/>
        </w:rPr>
        <w:t>er</w:t>
      </w:r>
      <w:r w:rsidRPr="00C4281E">
        <w:rPr>
          <w:color w:val="000000"/>
          <w:sz w:val="18"/>
          <w:szCs w:val="18"/>
        </w:rPr>
        <w:t xml:space="preserve"> </w:t>
      </w:r>
      <w:r>
        <w:rPr>
          <w:color w:val="000000"/>
          <w:sz w:val="18"/>
          <w:szCs w:val="18"/>
        </w:rPr>
        <w:t xml:space="preserve">stelsel van </w:t>
      </w:r>
      <w:r w:rsidRPr="00C4281E">
        <w:rPr>
          <w:color w:val="000000"/>
          <w:sz w:val="18"/>
          <w:szCs w:val="18"/>
        </w:rPr>
        <w:t xml:space="preserve">autogerelateerde belastingen. Een </w:t>
      </w:r>
      <w:r w:rsidR="005A05DB">
        <w:rPr>
          <w:color w:val="000000"/>
          <w:sz w:val="18"/>
          <w:szCs w:val="18"/>
        </w:rPr>
        <w:t xml:space="preserve">begrijpelijk </w:t>
      </w:r>
      <w:r w:rsidRPr="00C4281E">
        <w:rPr>
          <w:color w:val="000000"/>
          <w:sz w:val="18"/>
          <w:szCs w:val="18"/>
        </w:rPr>
        <w:t xml:space="preserve">stelsel </w:t>
      </w:r>
      <w:r w:rsidR="005A05DB">
        <w:rPr>
          <w:color w:val="000000"/>
          <w:sz w:val="18"/>
          <w:szCs w:val="18"/>
        </w:rPr>
        <w:t>van belastingen die</w:t>
      </w:r>
      <w:r w:rsidRPr="00C4281E">
        <w:rPr>
          <w:color w:val="000000"/>
          <w:sz w:val="18"/>
          <w:szCs w:val="18"/>
        </w:rPr>
        <w:t xml:space="preserve"> op elkaar aansluit</w:t>
      </w:r>
      <w:r w:rsidR="005A05DB">
        <w:rPr>
          <w:color w:val="000000"/>
          <w:sz w:val="18"/>
          <w:szCs w:val="18"/>
        </w:rPr>
        <w:t>en</w:t>
      </w:r>
      <w:r w:rsidRPr="00C4281E">
        <w:rPr>
          <w:color w:val="000000"/>
          <w:sz w:val="18"/>
          <w:szCs w:val="18"/>
        </w:rPr>
        <w:t xml:space="preserve">. </w:t>
      </w:r>
      <w:r w:rsidR="005A05DB">
        <w:rPr>
          <w:color w:val="000000"/>
          <w:sz w:val="18"/>
          <w:szCs w:val="18"/>
        </w:rPr>
        <w:t>Een stelsel dat</w:t>
      </w:r>
      <w:r w:rsidRPr="00C4281E">
        <w:rPr>
          <w:color w:val="000000"/>
          <w:sz w:val="18"/>
          <w:szCs w:val="18"/>
        </w:rPr>
        <w:t xml:space="preserve"> de administratieve lasten voor burgers en bedrijven en de uitvoeringskosten voor de Belastingdienst beperkt houdt. Een stelsel </w:t>
      </w:r>
      <w:r w:rsidR="00C64562">
        <w:rPr>
          <w:color w:val="000000"/>
          <w:sz w:val="18"/>
          <w:szCs w:val="18"/>
        </w:rPr>
        <w:t xml:space="preserve">van autogerelateerde belastingen </w:t>
      </w:r>
      <w:r w:rsidRPr="00C4281E">
        <w:rPr>
          <w:color w:val="000000"/>
          <w:sz w:val="18"/>
          <w:szCs w:val="18"/>
        </w:rPr>
        <w:t xml:space="preserve">dat een </w:t>
      </w:r>
      <w:r w:rsidR="005A05DB">
        <w:rPr>
          <w:color w:val="000000"/>
          <w:sz w:val="18"/>
          <w:szCs w:val="18"/>
        </w:rPr>
        <w:t>gelijk speelveld</w:t>
      </w:r>
      <w:r>
        <w:rPr>
          <w:color w:val="000000"/>
          <w:sz w:val="18"/>
          <w:szCs w:val="18"/>
        </w:rPr>
        <w:t xml:space="preserve"> creëert</w:t>
      </w:r>
      <w:r w:rsidR="005A05DB">
        <w:rPr>
          <w:color w:val="000000"/>
          <w:sz w:val="18"/>
          <w:szCs w:val="18"/>
        </w:rPr>
        <w:t xml:space="preserve"> </w:t>
      </w:r>
      <w:r w:rsidR="00147822">
        <w:rPr>
          <w:color w:val="000000"/>
          <w:sz w:val="18"/>
          <w:szCs w:val="18"/>
        </w:rPr>
        <w:t xml:space="preserve">maar tegelijkertijd een </w:t>
      </w:r>
      <w:r w:rsidRPr="00C4281E">
        <w:rPr>
          <w:color w:val="000000"/>
          <w:sz w:val="18"/>
          <w:szCs w:val="18"/>
        </w:rPr>
        <w:t xml:space="preserve">solide belastingopbrengst </w:t>
      </w:r>
      <w:r w:rsidR="00147822">
        <w:rPr>
          <w:color w:val="000000"/>
          <w:sz w:val="18"/>
          <w:szCs w:val="18"/>
        </w:rPr>
        <w:t>waarborgt</w:t>
      </w:r>
      <w:r w:rsidRPr="00C4281E">
        <w:rPr>
          <w:color w:val="000000"/>
          <w:sz w:val="18"/>
          <w:szCs w:val="18"/>
        </w:rPr>
        <w:t>.</w:t>
      </w:r>
      <w:r w:rsidR="00C64562">
        <w:rPr>
          <w:color w:val="000000"/>
          <w:sz w:val="18"/>
          <w:szCs w:val="18"/>
        </w:rPr>
        <w:t xml:space="preserve"> </w:t>
      </w:r>
      <w:r w:rsidR="00514000">
        <w:rPr>
          <w:color w:val="000000"/>
          <w:sz w:val="18"/>
          <w:szCs w:val="18"/>
        </w:rPr>
        <w:t>Dit gezegd hebbende hecht ik eraan op te merken dat</w:t>
      </w:r>
      <w:r w:rsidR="00C64562">
        <w:rPr>
          <w:color w:val="000000"/>
          <w:sz w:val="18"/>
          <w:szCs w:val="18"/>
        </w:rPr>
        <w:t xml:space="preserve">, ondanks de hiervoor genoemde nadelen </w:t>
      </w:r>
      <w:r w:rsidRPr="00C4281E">
        <w:rPr>
          <w:color w:val="000000"/>
          <w:sz w:val="18"/>
          <w:szCs w:val="18"/>
        </w:rPr>
        <w:t>er ook veel goede kanten aan het huidige stelsel</w:t>
      </w:r>
      <w:r w:rsidR="00C64562">
        <w:rPr>
          <w:color w:val="000000"/>
          <w:sz w:val="18"/>
          <w:szCs w:val="18"/>
        </w:rPr>
        <w:t xml:space="preserve"> zitten</w:t>
      </w:r>
      <w:r w:rsidRPr="00C4281E">
        <w:rPr>
          <w:color w:val="000000"/>
          <w:sz w:val="18"/>
          <w:szCs w:val="18"/>
        </w:rPr>
        <w:t xml:space="preserve">. </w:t>
      </w:r>
      <w:r w:rsidR="00C64562">
        <w:rPr>
          <w:color w:val="000000"/>
          <w:sz w:val="18"/>
          <w:szCs w:val="18"/>
        </w:rPr>
        <w:t>Dus: o</w:t>
      </w:r>
      <w:r w:rsidR="003A309E">
        <w:rPr>
          <w:color w:val="000000"/>
          <w:sz w:val="18"/>
          <w:szCs w:val="18"/>
        </w:rPr>
        <w:t>ok hier g</w:t>
      </w:r>
      <w:r w:rsidRPr="00C4281E">
        <w:rPr>
          <w:color w:val="000000"/>
          <w:sz w:val="18"/>
          <w:szCs w:val="18"/>
        </w:rPr>
        <w:t xml:space="preserve">een sloop en nieuwbouw, maar modernisering. </w:t>
      </w:r>
      <w:r w:rsidR="00C64562">
        <w:rPr>
          <w:color w:val="000000"/>
          <w:sz w:val="18"/>
          <w:szCs w:val="18"/>
        </w:rPr>
        <w:t xml:space="preserve">Dat houdt in dat ik doorga op de ingeslagen </w:t>
      </w:r>
      <w:r w:rsidR="009E748A">
        <w:rPr>
          <w:color w:val="000000"/>
          <w:sz w:val="18"/>
          <w:szCs w:val="18"/>
        </w:rPr>
        <w:t xml:space="preserve">weg </w:t>
      </w:r>
      <w:r w:rsidR="00C64562">
        <w:rPr>
          <w:color w:val="000000"/>
          <w:sz w:val="18"/>
          <w:szCs w:val="18"/>
        </w:rPr>
        <w:t xml:space="preserve">om maximaal </w:t>
      </w:r>
      <w:r w:rsidR="00514000">
        <w:rPr>
          <w:color w:val="000000"/>
          <w:sz w:val="18"/>
          <w:szCs w:val="18"/>
        </w:rPr>
        <w:t xml:space="preserve">te blijven inzetten op de stimulering van de meest zuinige auto. Daarbij staat voorop dat ik (tijdelijk) vooral dat gedrag wil belonen waarbij een fabrikant of </w:t>
      </w:r>
      <w:r w:rsidR="009E748A">
        <w:rPr>
          <w:color w:val="000000"/>
          <w:sz w:val="18"/>
          <w:szCs w:val="18"/>
        </w:rPr>
        <w:t>importeur</w:t>
      </w:r>
      <w:r w:rsidR="00514000">
        <w:rPr>
          <w:color w:val="000000"/>
          <w:sz w:val="18"/>
          <w:szCs w:val="18"/>
        </w:rPr>
        <w:t xml:space="preserve">, maar ook een consument, zijn nek durft uit te steken om te investeren </w:t>
      </w:r>
      <w:r w:rsidR="009E748A">
        <w:rPr>
          <w:color w:val="000000"/>
          <w:sz w:val="18"/>
          <w:szCs w:val="18"/>
        </w:rPr>
        <w:t>in doorbraaktechnologieën</w:t>
      </w:r>
      <w:r w:rsidR="00514000">
        <w:rPr>
          <w:color w:val="000000"/>
          <w:sz w:val="18"/>
          <w:szCs w:val="18"/>
        </w:rPr>
        <w:t xml:space="preserve">. Tijdelijke stimulering is hier gewenst om een dusdanig volume te realiseren waardoor het mogelijk wordt dat de prijs van het product kan dalen en daardoor een doorbraak van het product een kans </w:t>
      </w:r>
      <w:r w:rsidR="009E748A">
        <w:rPr>
          <w:color w:val="000000"/>
          <w:sz w:val="18"/>
          <w:szCs w:val="18"/>
        </w:rPr>
        <w:t>krijgt</w:t>
      </w:r>
      <w:r w:rsidR="00514000">
        <w:rPr>
          <w:color w:val="000000"/>
          <w:sz w:val="18"/>
          <w:szCs w:val="18"/>
        </w:rPr>
        <w:t>.</w:t>
      </w:r>
      <w:r w:rsidR="00A91F32">
        <w:rPr>
          <w:color w:val="000000"/>
          <w:sz w:val="18"/>
          <w:szCs w:val="18"/>
        </w:rPr>
        <w:t xml:space="preserve"> Ik sluit hierbij waar mogelijk aan bij de Europese regelgeving waarin voor voertuigen met een CO</w:t>
      </w:r>
      <w:r w:rsidRPr="00A91F32" w:rsidR="00A91F32">
        <w:rPr>
          <w:color w:val="000000"/>
          <w:sz w:val="18"/>
          <w:szCs w:val="18"/>
          <w:vertAlign w:val="subscript"/>
        </w:rPr>
        <w:t>2</w:t>
      </w:r>
      <w:r w:rsidR="00A91F32">
        <w:rPr>
          <w:color w:val="000000"/>
          <w:sz w:val="18"/>
          <w:szCs w:val="18"/>
        </w:rPr>
        <w:t>-uitstoot van maximaal 50 gr/km zogenoemde super-credits kunnen worden verkregen.</w:t>
      </w:r>
      <w:r w:rsidR="00514000">
        <w:rPr>
          <w:color w:val="000000"/>
          <w:sz w:val="18"/>
          <w:szCs w:val="18"/>
        </w:rPr>
        <w:t xml:space="preserve"> </w:t>
      </w:r>
      <w:r w:rsidR="00276DC1">
        <w:rPr>
          <w:color w:val="000000"/>
          <w:sz w:val="18"/>
          <w:szCs w:val="18"/>
        </w:rPr>
        <w:t>De bijzondere regelingen in de MIA en de VAMIL voor elektrische en semi-elektrische auto’s sluiten overigens aan bij de specifieke uitstootgrens van 50 gr/km.</w:t>
      </w:r>
    </w:p>
    <w:p w:rsidR="00DD7257" w:rsidP="00781CF8" w:rsidRDefault="00DD7257">
      <w:pPr>
        <w:spacing w:after="0"/>
        <w:rPr>
          <w:color w:val="000000"/>
          <w:sz w:val="18"/>
          <w:szCs w:val="18"/>
        </w:rPr>
      </w:pPr>
      <w:r>
        <w:rPr>
          <w:color w:val="000000"/>
          <w:sz w:val="18"/>
          <w:szCs w:val="18"/>
        </w:rPr>
        <w:t>Zoals gezegd worden v</w:t>
      </w:r>
      <w:r w:rsidRPr="00C4281E">
        <w:rPr>
          <w:color w:val="000000"/>
          <w:sz w:val="18"/>
          <w:szCs w:val="18"/>
        </w:rPr>
        <w:t xml:space="preserve">oor bepaalde onderwerpen in deze </w:t>
      </w:r>
      <w:r>
        <w:rPr>
          <w:color w:val="000000"/>
          <w:sz w:val="18"/>
          <w:szCs w:val="18"/>
        </w:rPr>
        <w:t>brief</w:t>
      </w:r>
      <w:r w:rsidRPr="00C4281E">
        <w:rPr>
          <w:color w:val="000000"/>
          <w:sz w:val="18"/>
          <w:szCs w:val="18"/>
        </w:rPr>
        <w:t xml:space="preserve"> concrete voorstellen gedaan. Voor andere onderwerpen worden varianten geschetst of wordt voorgesteld deze nader te onderzoeken. </w:t>
      </w:r>
    </w:p>
    <w:p w:rsidRPr="0003388D" w:rsidR="00B9709A" w:rsidP="00781CF8" w:rsidRDefault="00B9709A">
      <w:pPr>
        <w:spacing w:after="0"/>
        <w:rPr>
          <w:color w:val="000000"/>
          <w:sz w:val="18"/>
          <w:szCs w:val="18"/>
        </w:rPr>
      </w:pPr>
      <w:r>
        <w:rPr>
          <w:color w:val="000000"/>
          <w:sz w:val="18"/>
          <w:szCs w:val="18"/>
        </w:rPr>
        <w:t xml:space="preserve">Mijn horizon daarbij is deze kabinetsperiode, te weten 2015. In een eerder stadium zal ik een onderzoek starten op welke wijze de in deze brief geformuleerde en in wetgeving uitgewerkte voorstellen na 2015 hun vervolg zouden moeten of kunnen krijgen. </w:t>
      </w:r>
      <w:r w:rsidR="00276DC1">
        <w:rPr>
          <w:color w:val="000000"/>
          <w:sz w:val="18"/>
          <w:szCs w:val="18"/>
        </w:rPr>
        <w:t>Aan d</w:t>
      </w:r>
      <w:r>
        <w:rPr>
          <w:color w:val="000000"/>
          <w:sz w:val="18"/>
          <w:szCs w:val="18"/>
        </w:rPr>
        <w:t xml:space="preserve">e nadere uitwerking van </w:t>
      </w:r>
      <w:r>
        <w:rPr>
          <w:color w:val="000000"/>
          <w:sz w:val="18"/>
          <w:szCs w:val="18"/>
        </w:rPr>
        <w:lastRenderedPageBreak/>
        <w:t>de resultaten van dat onderzoek kan dan door een volgend kabinet nadere invulling worden gegeven.</w:t>
      </w:r>
    </w:p>
    <w:p w:rsidR="00781CF8" w:rsidP="00781CF8" w:rsidRDefault="00781CF8">
      <w:pPr>
        <w:pStyle w:val="Kop2"/>
        <w:spacing w:before="0"/>
        <w:rPr>
          <w:rFonts w:ascii="Verdana" w:hAnsi="Verdana"/>
          <w:color w:val="auto"/>
          <w:sz w:val="18"/>
          <w:szCs w:val="18"/>
        </w:rPr>
      </w:pPr>
    </w:p>
    <w:p w:rsidRPr="007D152B" w:rsidR="00DD7257" w:rsidP="00781CF8" w:rsidRDefault="00DD7257">
      <w:pPr>
        <w:pStyle w:val="Kop2"/>
        <w:spacing w:before="0"/>
        <w:rPr>
          <w:rFonts w:ascii="Verdana" w:hAnsi="Verdana"/>
          <w:color w:val="auto"/>
          <w:sz w:val="18"/>
          <w:szCs w:val="18"/>
        </w:rPr>
      </w:pPr>
      <w:bookmarkStart w:name="_Toc293998519" w:id="3"/>
      <w:r w:rsidRPr="007D152B">
        <w:rPr>
          <w:rFonts w:ascii="Verdana" w:hAnsi="Verdana"/>
          <w:color w:val="auto"/>
          <w:sz w:val="18"/>
          <w:szCs w:val="18"/>
        </w:rPr>
        <w:t xml:space="preserve">2.2 </w:t>
      </w:r>
      <w:r w:rsidR="00AB44CE">
        <w:rPr>
          <w:rFonts w:ascii="Verdana" w:hAnsi="Verdana"/>
          <w:color w:val="auto"/>
          <w:sz w:val="18"/>
          <w:szCs w:val="18"/>
        </w:rPr>
        <w:t>(Europese) s</w:t>
      </w:r>
      <w:r w:rsidRPr="007D152B">
        <w:rPr>
          <w:rFonts w:ascii="Verdana" w:hAnsi="Verdana"/>
          <w:color w:val="auto"/>
          <w:sz w:val="18"/>
          <w:szCs w:val="18"/>
        </w:rPr>
        <w:t>amenhang autogerelateerde belastingen</w:t>
      </w:r>
      <w:bookmarkEnd w:id="3"/>
    </w:p>
    <w:p w:rsidR="00DD7257" w:rsidP="00781CF8" w:rsidRDefault="00DD7257">
      <w:pPr>
        <w:spacing w:after="0"/>
        <w:rPr>
          <w:sz w:val="18"/>
          <w:szCs w:val="18"/>
        </w:rPr>
      </w:pPr>
      <w:r>
        <w:rPr>
          <w:color w:val="000000"/>
          <w:sz w:val="18"/>
          <w:szCs w:val="18"/>
        </w:rPr>
        <w:t xml:space="preserve">Indien wordt uitgegaan van modernisering van het bestaande stelsel is het van belang eerst de essentie van de autogerelateerde belastingen te beschrijven. </w:t>
      </w:r>
      <w:r>
        <w:rPr>
          <w:sz w:val="18"/>
          <w:szCs w:val="18"/>
        </w:rPr>
        <w:t>De v</w:t>
      </w:r>
      <w:r w:rsidR="00AC20D2">
        <w:rPr>
          <w:sz w:val="18"/>
          <w:szCs w:val="18"/>
        </w:rPr>
        <w:t>ier</w:t>
      </w:r>
      <w:r>
        <w:rPr>
          <w:sz w:val="18"/>
          <w:szCs w:val="18"/>
        </w:rPr>
        <w:t xml:space="preserve"> belangrijkste voertuig</w:t>
      </w:r>
      <w:r w:rsidR="00FC6A21">
        <w:rPr>
          <w:sz w:val="18"/>
          <w:szCs w:val="18"/>
        </w:rPr>
        <w:t xml:space="preserve">- of voertuiggerelateerde </w:t>
      </w:r>
      <w:r>
        <w:rPr>
          <w:sz w:val="18"/>
          <w:szCs w:val="18"/>
        </w:rPr>
        <w:t>belastingen zijn:</w:t>
      </w:r>
    </w:p>
    <w:p w:rsidR="00DD7257" w:rsidP="00781CF8" w:rsidRDefault="00DD7257">
      <w:pPr>
        <w:pStyle w:val="Lijstalinea"/>
        <w:numPr>
          <w:ilvl w:val="0"/>
          <w:numId w:val="32"/>
        </w:numPr>
        <w:spacing w:after="0"/>
        <w:rPr>
          <w:sz w:val="18"/>
          <w:szCs w:val="18"/>
        </w:rPr>
      </w:pPr>
      <w:r>
        <w:rPr>
          <w:sz w:val="18"/>
          <w:szCs w:val="18"/>
        </w:rPr>
        <w:t>De BPM</w:t>
      </w:r>
      <w:r w:rsidR="005A05DB">
        <w:rPr>
          <w:sz w:val="18"/>
          <w:szCs w:val="18"/>
        </w:rPr>
        <w:t xml:space="preserve"> (belasting van personenauto’s en motorrijwielen)</w:t>
      </w:r>
      <w:r>
        <w:rPr>
          <w:sz w:val="18"/>
          <w:szCs w:val="18"/>
        </w:rPr>
        <w:t>. Dit is</w:t>
      </w:r>
      <w:r w:rsidRPr="00A96AD8">
        <w:rPr>
          <w:sz w:val="18"/>
          <w:szCs w:val="18"/>
        </w:rPr>
        <w:t xml:space="preserve"> </w:t>
      </w:r>
      <w:r>
        <w:rPr>
          <w:sz w:val="18"/>
          <w:szCs w:val="18"/>
        </w:rPr>
        <w:t xml:space="preserve">een registratiebelasting </w:t>
      </w:r>
      <w:r w:rsidR="00091338">
        <w:rPr>
          <w:sz w:val="18"/>
          <w:szCs w:val="18"/>
        </w:rPr>
        <w:t xml:space="preserve">voor personenauto’s, particuliere bestelauto’s en motoren, </w:t>
      </w:r>
      <w:r>
        <w:rPr>
          <w:sz w:val="18"/>
          <w:szCs w:val="18"/>
        </w:rPr>
        <w:t>die aanvankelijk gebaseerd was op de netto catalogusprijs van de auto, maar die vanaf 2013 volledig gebaseerd zal zijn op CO</w:t>
      </w:r>
      <w:r w:rsidRPr="00A96AD8">
        <w:rPr>
          <w:sz w:val="18"/>
          <w:szCs w:val="18"/>
          <w:vertAlign w:val="subscript"/>
        </w:rPr>
        <w:t>2</w:t>
      </w:r>
      <w:r>
        <w:rPr>
          <w:sz w:val="18"/>
          <w:szCs w:val="18"/>
        </w:rPr>
        <w:t>-uitstoot per kilometer. Er geldt onder</w:t>
      </w:r>
      <w:r w:rsidR="00A20BD4">
        <w:rPr>
          <w:sz w:val="18"/>
          <w:szCs w:val="18"/>
        </w:rPr>
        <w:t xml:space="preserve"> </w:t>
      </w:r>
      <w:r>
        <w:rPr>
          <w:sz w:val="18"/>
          <w:szCs w:val="18"/>
        </w:rPr>
        <w:t xml:space="preserve">meer een korting voor benzineauto’s en een toeslag voor dieselauto’s. </w:t>
      </w:r>
      <w:r w:rsidR="00514000">
        <w:rPr>
          <w:sz w:val="18"/>
          <w:szCs w:val="18"/>
        </w:rPr>
        <w:t>Voor a</w:t>
      </w:r>
      <w:r>
        <w:rPr>
          <w:sz w:val="18"/>
          <w:szCs w:val="18"/>
        </w:rPr>
        <w:t>uto’s die minder uitstoten dan een bepaalde hoeveelheid CO</w:t>
      </w:r>
      <w:r>
        <w:rPr>
          <w:sz w:val="18"/>
          <w:szCs w:val="18"/>
          <w:vertAlign w:val="subscript"/>
        </w:rPr>
        <w:t>2</w:t>
      </w:r>
      <w:r>
        <w:rPr>
          <w:sz w:val="18"/>
          <w:szCs w:val="18"/>
        </w:rPr>
        <w:t xml:space="preserve"> per kilometer </w:t>
      </w:r>
      <w:r w:rsidR="00514000">
        <w:rPr>
          <w:sz w:val="18"/>
          <w:szCs w:val="18"/>
        </w:rPr>
        <w:t xml:space="preserve">geldt </w:t>
      </w:r>
      <w:r>
        <w:rPr>
          <w:sz w:val="18"/>
          <w:szCs w:val="18"/>
        </w:rPr>
        <w:t>een vrijstelling. De CO</w:t>
      </w:r>
      <w:r w:rsidRPr="00665358">
        <w:rPr>
          <w:sz w:val="18"/>
          <w:szCs w:val="18"/>
          <w:vertAlign w:val="subscript"/>
        </w:rPr>
        <w:t>2</w:t>
      </w:r>
      <w:r>
        <w:rPr>
          <w:sz w:val="18"/>
          <w:szCs w:val="18"/>
        </w:rPr>
        <w:t>-grens is afhankelijk van de brandstof (110 gr</w:t>
      </w:r>
      <w:r w:rsidR="00FC6A21">
        <w:rPr>
          <w:sz w:val="18"/>
          <w:szCs w:val="18"/>
        </w:rPr>
        <w:t>/km</w:t>
      </w:r>
      <w:r>
        <w:rPr>
          <w:sz w:val="18"/>
          <w:szCs w:val="18"/>
        </w:rPr>
        <w:t xml:space="preserve"> voor benzineauto’s en 95 gr</w:t>
      </w:r>
      <w:r w:rsidR="00FC6A21">
        <w:rPr>
          <w:sz w:val="18"/>
          <w:szCs w:val="18"/>
        </w:rPr>
        <w:t>/km</w:t>
      </w:r>
      <w:r>
        <w:rPr>
          <w:sz w:val="18"/>
          <w:szCs w:val="18"/>
        </w:rPr>
        <w:t xml:space="preserve"> voor dieselauto’s). </w:t>
      </w:r>
    </w:p>
    <w:p w:rsidR="00DD7257" w:rsidP="00781CF8" w:rsidRDefault="00DD7257">
      <w:pPr>
        <w:pStyle w:val="Lijstalinea"/>
        <w:numPr>
          <w:ilvl w:val="0"/>
          <w:numId w:val="32"/>
        </w:numPr>
        <w:spacing w:after="0"/>
        <w:rPr>
          <w:sz w:val="18"/>
          <w:szCs w:val="18"/>
        </w:rPr>
      </w:pPr>
      <w:r>
        <w:rPr>
          <w:sz w:val="18"/>
          <w:szCs w:val="18"/>
        </w:rPr>
        <w:t>D</w:t>
      </w:r>
      <w:r w:rsidRPr="00A96AD8">
        <w:rPr>
          <w:sz w:val="18"/>
          <w:szCs w:val="18"/>
        </w:rPr>
        <w:t>e MRB</w:t>
      </w:r>
      <w:r w:rsidR="00091338">
        <w:rPr>
          <w:sz w:val="18"/>
          <w:szCs w:val="18"/>
        </w:rPr>
        <w:t xml:space="preserve"> (motorrijtuigenbelasting)</w:t>
      </w:r>
      <w:r>
        <w:rPr>
          <w:sz w:val="18"/>
          <w:szCs w:val="18"/>
        </w:rPr>
        <w:t>. Dit is een</w:t>
      </w:r>
      <w:r w:rsidRPr="00A96AD8">
        <w:rPr>
          <w:sz w:val="18"/>
          <w:szCs w:val="18"/>
        </w:rPr>
        <w:t xml:space="preserve"> </w:t>
      </w:r>
      <w:r>
        <w:rPr>
          <w:sz w:val="18"/>
          <w:szCs w:val="18"/>
        </w:rPr>
        <w:t>periodiek</w:t>
      </w:r>
      <w:r w:rsidR="00FC6A21">
        <w:rPr>
          <w:sz w:val="18"/>
          <w:szCs w:val="18"/>
        </w:rPr>
        <w:t xml:space="preserve"> verschuldigde </w:t>
      </w:r>
      <w:r>
        <w:rPr>
          <w:sz w:val="18"/>
          <w:szCs w:val="18"/>
        </w:rPr>
        <w:t xml:space="preserve">houderschapsbelasting voor in Nederland geregistreerde </w:t>
      </w:r>
      <w:r w:rsidR="00091338">
        <w:rPr>
          <w:sz w:val="18"/>
          <w:szCs w:val="18"/>
        </w:rPr>
        <w:t>motorrijtuigen</w:t>
      </w:r>
      <w:r>
        <w:rPr>
          <w:sz w:val="18"/>
          <w:szCs w:val="18"/>
        </w:rPr>
        <w:t xml:space="preserve">. De grondslag van de belasting is het gewicht van het voertuig. Daarnaast kent de MRB vrijstellingen voor </w:t>
      </w:r>
      <w:r w:rsidR="00FC6A21">
        <w:rPr>
          <w:sz w:val="18"/>
          <w:szCs w:val="18"/>
        </w:rPr>
        <w:t xml:space="preserve">(zeer) </w:t>
      </w:r>
      <w:r>
        <w:rPr>
          <w:sz w:val="18"/>
          <w:szCs w:val="18"/>
        </w:rPr>
        <w:t xml:space="preserve">zuinige </w:t>
      </w:r>
      <w:r w:rsidR="00091338">
        <w:rPr>
          <w:sz w:val="18"/>
          <w:szCs w:val="18"/>
        </w:rPr>
        <w:t>personen</w:t>
      </w:r>
      <w:r>
        <w:rPr>
          <w:sz w:val="18"/>
          <w:szCs w:val="18"/>
        </w:rPr>
        <w:t>auto’s en wordt er onderscheid gemaakt naar brandstof.</w:t>
      </w:r>
      <w:r w:rsidR="00514000">
        <w:rPr>
          <w:sz w:val="18"/>
          <w:szCs w:val="18"/>
        </w:rPr>
        <w:t xml:space="preserve"> Voor auto’s die minder uitstoten dan een bepaalde hoeveelheid CO</w:t>
      </w:r>
      <w:r w:rsidR="00514000">
        <w:rPr>
          <w:sz w:val="18"/>
          <w:szCs w:val="18"/>
          <w:vertAlign w:val="subscript"/>
        </w:rPr>
        <w:t>2</w:t>
      </w:r>
      <w:r w:rsidR="00514000">
        <w:rPr>
          <w:sz w:val="18"/>
          <w:szCs w:val="18"/>
        </w:rPr>
        <w:t xml:space="preserve"> per kilometer geldt een vrijstelling. De CO</w:t>
      </w:r>
      <w:r w:rsidRPr="00665358" w:rsidR="00514000">
        <w:rPr>
          <w:sz w:val="18"/>
          <w:szCs w:val="18"/>
          <w:vertAlign w:val="subscript"/>
        </w:rPr>
        <w:t>2</w:t>
      </w:r>
      <w:r w:rsidR="00514000">
        <w:rPr>
          <w:sz w:val="18"/>
          <w:szCs w:val="18"/>
        </w:rPr>
        <w:t>-grens is afhankelijk van de brandstof (110 gr/km voor benzineauto’s en 95 gr/km voor dieselauto’s).</w:t>
      </w:r>
    </w:p>
    <w:p w:rsidR="00DD7257" w:rsidP="00781CF8" w:rsidRDefault="00DD7257">
      <w:pPr>
        <w:pStyle w:val="Lijstalinea"/>
        <w:numPr>
          <w:ilvl w:val="0"/>
          <w:numId w:val="32"/>
        </w:numPr>
        <w:spacing w:after="0"/>
        <w:rPr>
          <w:sz w:val="18"/>
          <w:szCs w:val="18"/>
        </w:rPr>
      </w:pPr>
      <w:r>
        <w:rPr>
          <w:sz w:val="18"/>
          <w:szCs w:val="18"/>
        </w:rPr>
        <w:t>De brandstofaccijnzen</w:t>
      </w:r>
      <w:r w:rsidR="00091338">
        <w:rPr>
          <w:sz w:val="18"/>
          <w:szCs w:val="18"/>
        </w:rPr>
        <w:t xml:space="preserve"> (accijns minerale oliën)</w:t>
      </w:r>
      <w:r>
        <w:rPr>
          <w:sz w:val="18"/>
          <w:szCs w:val="18"/>
        </w:rPr>
        <w:t xml:space="preserve">. Deze worden </w:t>
      </w:r>
      <w:r w:rsidR="00091338">
        <w:rPr>
          <w:sz w:val="18"/>
          <w:szCs w:val="18"/>
        </w:rPr>
        <w:t xml:space="preserve">onder meer </w:t>
      </w:r>
      <w:r>
        <w:rPr>
          <w:sz w:val="18"/>
          <w:szCs w:val="18"/>
        </w:rPr>
        <w:t xml:space="preserve">geheven per liter verkochte brandstof. Het tarief </w:t>
      </w:r>
      <w:r w:rsidR="00514000">
        <w:rPr>
          <w:sz w:val="18"/>
          <w:szCs w:val="18"/>
        </w:rPr>
        <w:t xml:space="preserve">verschilt per </w:t>
      </w:r>
      <w:r>
        <w:rPr>
          <w:sz w:val="18"/>
          <w:szCs w:val="18"/>
        </w:rPr>
        <w:t xml:space="preserve">brandstof. Historisch gegroeide verschillen in accijns </w:t>
      </w:r>
      <w:r w:rsidR="007E5C91">
        <w:rPr>
          <w:sz w:val="18"/>
          <w:szCs w:val="18"/>
        </w:rPr>
        <w:t xml:space="preserve">op bijvoorbeeld benzine en diesel </w:t>
      </w:r>
      <w:r>
        <w:rPr>
          <w:sz w:val="18"/>
          <w:szCs w:val="18"/>
        </w:rPr>
        <w:t xml:space="preserve">worden gecompenseerd in de MRB en de BPM door middel van een </w:t>
      </w:r>
      <w:r w:rsidR="00FC6A21">
        <w:rPr>
          <w:sz w:val="18"/>
          <w:szCs w:val="18"/>
        </w:rPr>
        <w:t>brandstof</w:t>
      </w:r>
      <w:r>
        <w:rPr>
          <w:sz w:val="18"/>
          <w:szCs w:val="18"/>
        </w:rPr>
        <w:t>toeslag.</w:t>
      </w:r>
    </w:p>
    <w:p w:rsidR="002A30DC" w:rsidRDefault="00DD7257">
      <w:pPr>
        <w:pStyle w:val="Lijstalinea"/>
        <w:numPr>
          <w:ilvl w:val="0"/>
          <w:numId w:val="32"/>
        </w:numPr>
        <w:shd w:val="clear" w:color="auto" w:fill="FFFFFF"/>
        <w:spacing w:after="0"/>
        <w:rPr>
          <w:rFonts w:eastAsia="Arial Unicode MS" w:cs="Arial Unicode MS"/>
          <w:color w:val="333333"/>
          <w:sz w:val="18"/>
          <w:szCs w:val="18"/>
          <w:lang w:eastAsia="nl-NL"/>
        </w:rPr>
      </w:pPr>
      <w:r>
        <w:rPr>
          <w:sz w:val="18"/>
          <w:szCs w:val="18"/>
        </w:rPr>
        <w:t xml:space="preserve">De </w:t>
      </w:r>
      <w:r w:rsidRPr="00D16D04">
        <w:rPr>
          <w:sz w:val="18"/>
          <w:szCs w:val="18"/>
        </w:rPr>
        <w:t>bijtelling</w:t>
      </w:r>
      <w:r>
        <w:rPr>
          <w:sz w:val="18"/>
          <w:szCs w:val="18"/>
        </w:rPr>
        <w:t>/onttrekking</w:t>
      </w:r>
      <w:r w:rsidRPr="00D16D04">
        <w:rPr>
          <w:sz w:val="18"/>
          <w:szCs w:val="18"/>
        </w:rPr>
        <w:t xml:space="preserve"> v</w:t>
      </w:r>
      <w:r>
        <w:rPr>
          <w:sz w:val="18"/>
          <w:szCs w:val="18"/>
        </w:rPr>
        <w:t>oor</w:t>
      </w:r>
      <w:r w:rsidRPr="00D16D04">
        <w:rPr>
          <w:sz w:val="18"/>
          <w:szCs w:val="18"/>
        </w:rPr>
        <w:t xml:space="preserve"> </w:t>
      </w:r>
      <w:r>
        <w:rPr>
          <w:sz w:val="18"/>
          <w:szCs w:val="18"/>
        </w:rPr>
        <w:t xml:space="preserve">privégebruik van </w:t>
      </w:r>
      <w:r w:rsidRPr="00D16D04">
        <w:rPr>
          <w:sz w:val="18"/>
          <w:szCs w:val="18"/>
        </w:rPr>
        <w:t>de zakelijke auto in de loon- en inkomstenbelasting (fiscale bijtelling)</w:t>
      </w:r>
      <w:r>
        <w:rPr>
          <w:sz w:val="18"/>
          <w:szCs w:val="18"/>
        </w:rPr>
        <w:t>. P</w:t>
      </w:r>
      <w:r w:rsidRPr="00D16D04">
        <w:rPr>
          <w:sz w:val="18"/>
          <w:szCs w:val="18"/>
        </w:rPr>
        <w:t>rivégebruik van de auto van de zaak wordt als loon- en inkomenscomponent belast in de loon- en inkomstenbelasting en bedraagt 25% van de catalogusprijs van de auto. Afhankelijk van de CO</w:t>
      </w:r>
      <w:r w:rsidRPr="00D16D04">
        <w:rPr>
          <w:sz w:val="18"/>
          <w:szCs w:val="18"/>
          <w:vertAlign w:val="subscript"/>
        </w:rPr>
        <w:t>2</w:t>
      </w:r>
      <w:r w:rsidRPr="00D16D04">
        <w:rPr>
          <w:sz w:val="18"/>
          <w:szCs w:val="18"/>
        </w:rPr>
        <w:t xml:space="preserve">-uitstoot van de auto wordt een korting gegeven, waarmee de percentages uitkomen op 20% en 14%. </w:t>
      </w:r>
      <w:r w:rsidR="00FC6A21">
        <w:rPr>
          <w:sz w:val="18"/>
          <w:szCs w:val="18"/>
        </w:rPr>
        <w:t xml:space="preserve">Voor nulemissie auto’s bedraagt de bijtelling nihil. </w:t>
      </w:r>
      <w:r w:rsidRPr="00D16D04">
        <w:rPr>
          <w:sz w:val="18"/>
          <w:szCs w:val="18"/>
        </w:rPr>
        <w:t xml:space="preserve">Er is </w:t>
      </w:r>
      <w:r w:rsidR="00FC6A21">
        <w:rPr>
          <w:sz w:val="18"/>
          <w:szCs w:val="18"/>
        </w:rPr>
        <w:t>g</w:t>
      </w:r>
      <w:r w:rsidRPr="00D16D04">
        <w:rPr>
          <w:sz w:val="18"/>
          <w:szCs w:val="18"/>
        </w:rPr>
        <w:t xml:space="preserve">een </w:t>
      </w:r>
      <w:r w:rsidR="001A6A8F">
        <w:rPr>
          <w:sz w:val="18"/>
          <w:szCs w:val="18"/>
        </w:rPr>
        <w:t xml:space="preserve">belasting </w:t>
      </w:r>
      <w:r w:rsidR="00FC6A21">
        <w:rPr>
          <w:sz w:val="18"/>
          <w:szCs w:val="18"/>
        </w:rPr>
        <w:t xml:space="preserve">verschuldigd </w:t>
      </w:r>
      <w:r w:rsidRPr="00D16D04">
        <w:rPr>
          <w:sz w:val="18"/>
          <w:szCs w:val="18"/>
        </w:rPr>
        <w:t xml:space="preserve">indien niet meer dan 500 km per jaar </w:t>
      </w:r>
      <w:r w:rsidR="00FC6A21">
        <w:rPr>
          <w:sz w:val="18"/>
          <w:szCs w:val="18"/>
        </w:rPr>
        <w:t xml:space="preserve">privé </w:t>
      </w:r>
      <w:r w:rsidRPr="00D16D04">
        <w:rPr>
          <w:sz w:val="18"/>
          <w:szCs w:val="18"/>
        </w:rPr>
        <w:t xml:space="preserve">wordt gereden. </w:t>
      </w:r>
    </w:p>
    <w:p w:rsidR="00DD7257" w:rsidP="00781CF8" w:rsidRDefault="00DD7257">
      <w:pPr>
        <w:shd w:val="clear" w:color="auto" w:fill="FFFFFF"/>
        <w:spacing w:after="0" w:line="240" w:lineRule="auto"/>
        <w:rPr>
          <w:rFonts w:eastAsia="Arial Unicode MS" w:cs="Arial Unicode MS"/>
          <w:color w:val="333333"/>
          <w:sz w:val="18"/>
          <w:szCs w:val="18"/>
          <w:lang w:eastAsia="nl-NL"/>
        </w:rPr>
      </w:pPr>
    </w:p>
    <w:p w:rsidR="00AF7000" w:rsidP="00781CF8" w:rsidRDefault="007E5C91">
      <w:pPr>
        <w:spacing w:after="0" w:line="240" w:lineRule="atLeast"/>
        <w:rPr>
          <w:sz w:val="18"/>
          <w:szCs w:val="18"/>
        </w:rPr>
      </w:pPr>
      <w:r>
        <w:rPr>
          <w:rFonts w:eastAsia="Arial Unicode MS" w:cs="Arial Unicode MS"/>
          <w:color w:val="333333"/>
          <w:sz w:val="18"/>
          <w:szCs w:val="18"/>
          <w:lang w:eastAsia="nl-NL"/>
        </w:rPr>
        <w:t xml:space="preserve">De bovengenoemde autogerelateerde belastingen </w:t>
      </w:r>
      <w:r w:rsidR="00DD7257">
        <w:rPr>
          <w:rFonts w:eastAsia="Arial Unicode MS" w:cs="Arial Unicode MS"/>
          <w:color w:val="333333"/>
          <w:sz w:val="18"/>
          <w:szCs w:val="18"/>
          <w:lang w:eastAsia="nl-NL"/>
        </w:rPr>
        <w:t>kennen nog een variëteit aan</w:t>
      </w:r>
      <w:r w:rsidRPr="00000269" w:rsidR="00DD7257">
        <w:rPr>
          <w:sz w:val="18"/>
          <w:szCs w:val="18"/>
        </w:rPr>
        <w:t xml:space="preserve"> </w:t>
      </w:r>
      <w:r w:rsidR="00DD7257">
        <w:rPr>
          <w:sz w:val="18"/>
          <w:szCs w:val="18"/>
        </w:rPr>
        <w:t xml:space="preserve">bijzondere regelingen voor specifieke groepen voertuigen. Tussen de diverse </w:t>
      </w:r>
      <w:r>
        <w:rPr>
          <w:sz w:val="18"/>
          <w:szCs w:val="18"/>
        </w:rPr>
        <w:t>auto</w:t>
      </w:r>
      <w:r w:rsidR="00DD7257">
        <w:rPr>
          <w:sz w:val="18"/>
          <w:szCs w:val="18"/>
        </w:rPr>
        <w:t xml:space="preserve">gerelateerde belastingen bestaan veel dwarsverbanden en </w:t>
      </w:r>
      <w:r w:rsidR="00091338">
        <w:rPr>
          <w:sz w:val="18"/>
          <w:szCs w:val="18"/>
        </w:rPr>
        <w:t xml:space="preserve">er worden </w:t>
      </w:r>
      <w:r w:rsidR="00DD7257">
        <w:rPr>
          <w:sz w:val="18"/>
          <w:szCs w:val="18"/>
        </w:rPr>
        <w:t>soortgelijke begrippenkaders</w:t>
      </w:r>
      <w:r w:rsidR="00091338">
        <w:rPr>
          <w:sz w:val="18"/>
          <w:szCs w:val="18"/>
        </w:rPr>
        <w:t xml:space="preserve"> gehanteerd</w:t>
      </w:r>
      <w:r w:rsidR="00DD7257">
        <w:rPr>
          <w:sz w:val="18"/>
          <w:szCs w:val="18"/>
        </w:rPr>
        <w:t xml:space="preserve">. </w:t>
      </w:r>
      <w:r w:rsidR="00793E1C">
        <w:rPr>
          <w:sz w:val="18"/>
          <w:szCs w:val="18"/>
        </w:rPr>
        <w:t xml:space="preserve">Een voorbeeld van een begrip dat terugkomt in de diverse belastingen is het begrip bestelauto. Daarnaast kennen wij ook de invloed vanuit </w:t>
      </w:r>
      <w:r w:rsidR="00AC20D2">
        <w:rPr>
          <w:sz w:val="18"/>
          <w:szCs w:val="18"/>
        </w:rPr>
        <w:t>E</w:t>
      </w:r>
      <w:r w:rsidR="00793E1C">
        <w:rPr>
          <w:sz w:val="18"/>
          <w:szCs w:val="18"/>
        </w:rPr>
        <w:t xml:space="preserve">uropa op de Nederlandse autogerelateerde belastingen. </w:t>
      </w:r>
    </w:p>
    <w:p w:rsidR="007E5C91" w:rsidP="00781CF8" w:rsidRDefault="007E5C91">
      <w:pPr>
        <w:spacing w:after="0" w:line="240" w:lineRule="atLeast"/>
        <w:rPr>
          <w:sz w:val="18"/>
          <w:szCs w:val="18"/>
        </w:rPr>
      </w:pPr>
    </w:p>
    <w:p w:rsidRPr="00F2526C" w:rsidR="00CF6010" w:rsidP="00781CF8" w:rsidRDefault="00CF6010">
      <w:pPr>
        <w:pStyle w:val="Kop3"/>
        <w:spacing w:before="0"/>
        <w:rPr>
          <w:rFonts w:ascii="Verdana" w:hAnsi="Verdana"/>
          <w:b w:val="0"/>
          <w:i/>
          <w:color w:val="auto"/>
          <w:sz w:val="18"/>
          <w:szCs w:val="18"/>
        </w:rPr>
      </w:pPr>
      <w:bookmarkStart w:name="_Toc293998520" w:id="4"/>
      <w:r w:rsidRPr="00F2526C">
        <w:rPr>
          <w:rFonts w:ascii="Verdana" w:hAnsi="Verdana"/>
          <w:b w:val="0"/>
          <w:i/>
          <w:color w:val="auto"/>
          <w:sz w:val="18"/>
          <w:szCs w:val="18"/>
        </w:rPr>
        <w:t xml:space="preserve">2.2.1 </w:t>
      </w:r>
      <w:r w:rsidRPr="00F2526C" w:rsidR="00793E1C">
        <w:rPr>
          <w:rFonts w:ascii="Verdana" w:hAnsi="Verdana"/>
          <w:b w:val="0"/>
          <w:i/>
          <w:color w:val="auto"/>
          <w:sz w:val="18"/>
          <w:szCs w:val="18"/>
        </w:rPr>
        <w:t xml:space="preserve">Compensatie </w:t>
      </w:r>
      <w:r w:rsidRPr="00F2526C" w:rsidR="00BD1A71">
        <w:rPr>
          <w:rFonts w:ascii="Verdana" w:hAnsi="Verdana"/>
          <w:b w:val="0"/>
          <w:i/>
          <w:color w:val="auto"/>
          <w:sz w:val="18"/>
          <w:szCs w:val="18"/>
        </w:rPr>
        <w:t>accijn</w:t>
      </w:r>
      <w:r w:rsidR="00BD1A71">
        <w:rPr>
          <w:rFonts w:ascii="Verdana" w:hAnsi="Verdana"/>
          <w:b w:val="0"/>
          <w:i/>
          <w:color w:val="auto"/>
          <w:sz w:val="18"/>
          <w:szCs w:val="18"/>
        </w:rPr>
        <w:t>z</w:t>
      </w:r>
      <w:r w:rsidRPr="00F2526C" w:rsidR="00BD1A71">
        <w:rPr>
          <w:rFonts w:ascii="Verdana" w:hAnsi="Verdana"/>
          <w:b w:val="0"/>
          <w:i/>
          <w:color w:val="auto"/>
          <w:sz w:val="18"/>
          <w:szCs w:val="18"/>
        </w:rPr>
        <w:t xml:space="preserve">en </w:t>
      </w:r>
      <w:r w:rsidRPr="00F2526C" w:rsidR="00793E1C">
        <w:rPr>
          <w:rFonts w:ascii="Verdana" w:hAnsi="Verdana"/>
          <w:b w:val="0"/>
          <w:i/>
          <w:color w:val="auto"/>
          <w:sz w:val="18"/>
          <w:szCs w:val="18"/>
        </w:rPr>
        <w:t>in de MRB en BPM</w:t>
      </w:r>
      <w:bookmarkEnd w:id="4"/>
    </w:p>
    <w:p w:rsidRPr="00C438FD" w:rsidR="003A309E" w:rsidP="00781CF8" w:rsidRDefault="00DD7257">
      <w:pPr>
        <w:spacing w:after="0" w:line="240" w:lineRule="atLeast"/>
        <w:rPr>
          <w:rFonts w:cs="Univers"/>
          <w:sz w:val="18"/>
          <w:szCs w:val="18"/>
        </w:rPr>
      </w:pPr>
      <w:r>
        <w:rPr>
          <w:sz w:val="18"/>
          <w:szCs w:val="18"/>
        </w:rPr>
        <w:t xml:space="preserve">Een voorbeeld van </w:t>
      </w:r>
      <w:r w:rsidR="00793E1C">
        <w:rPr>
          <w:sz w:val="18"/>
          <w:szCs w:val="18"/>
        </w:rPr>
        <w:t>een</w:t>
      </w:r>
      <w:r w:rsidR="00CF6010">
        <w:rPr>
          <w:sz w:val="18"/>
          <w:szCs w:val="18"/>
        </w:rPr>
        <w:t xml:space="preserve"> </w:t>
      </w:r>
      <w:r>
        <w:rPr>
          <w:sz w:val="18"/>
          <w:szCs w:val="18"/>
        </w:rPr>
        <w:t xml:space="preserve">dwarsverband </w:t>
      </w:r>
      <w:r w:rsidR="00CF6010">
        <w:rPr>
          <w:sz w:val="18"/>
          <w:szCs w:val="18"/>
        </w:rPr>
        <w:t xml:space="preserve">in de autogerelateerde belastingen </w:t>
      </w:r>
      <w:r>
        <w:rPr>
          <w:sz w:val="18"/>
          <w:szCs w:val="18"/>
        </w:rPr>
        <w:t xml:space="preserve">is de compensatie in de MRB en de BPM voor verschillen in accijns voor de diverse brandstofsoorten. </w:t>
      </w:r>
      <w:r w:rsidRPr="00C438FD" w:rsidR="00B56B8A">
        <w:rPr>
          <w:rFonts w:cs="Univers"/>
          <w:sz w:val="18"/>
          <w:szCs w:val="18"/>
        </w:rPr>
        <w:t xml:space="preserve">De huidige verhouding </w:t>
      </w:r>
      <w:r w:rsidR="007E5C91">
        <w:rPr>
          <w:rFonts w:cs="Univers"/>
          <w:sz w:val="18"/>
          <w:szCs w:val="18"/>
        </w:rPr>
        <w:t xml:space="preserve">tussen </w:t>
      </w:r>
      <w:r w:rsidRPr="00C438FD" w:rsidR="00B56B8A">
        <w:rPr>
          <w:rFonts w:cs="Univers"/>
          <w:sz w:val="18"/>
          <w:szCs w:val="18"/>
        </w:rPr>
        <w:t>de belasting</w:t>
      </w:r>
      <w:r w:rsidR="007E5C91">
        <w:rPr>
          <w:rFonts w:cs="Univers"/>
          <w:sz w:val="18"/>
          <w:szCs w:val="18"/>
        </w:rPr>
        <w:t>en</w:t>
      </w:r>
      <w:r w:rsidRPr="00C438FD" w:rsidR="00B56B8A">
        <w:rPr>
          <w:rFonts w:cs="Univers"/>
          <w:sz w:val="18"/>
          <w:szCs w:val="18"/>
        </w:rPr>
        <w:t xml:space="preserve"> op diesel </w:t>
      </w:r>
      <w:r w:rsidR="00B56B8A">
        <w:rPr>
          <w:rFonts w:cs="Univers"/>
          <w:sz w:val="18"/>
          <w:szCs w:val="18"/>
        </w:rPr>
        <w:t xml:space="preserve">en benzine </w:t>
      </w:r>
      <w:r w:rsidR="007E5C91">
        <w:rPr>
          <w:rFonts w:cs="Univers"/>
          <w:sz w:val="18"/>
          <w:szCs w:val="18"/>
        </w:rPr>
        <w:t xml:space="preserve">(diesel is aanzienlijk lager belast dan benzine) </w:t>
      </w:r>
      <w:r w:rsidR="00F3794B">
        <w:rPr>
          <w:rFonts w:cs="Univers"/>
          <w:sz w:val="18"/>
          <w:szCs w:val="18"/>
        </w:rPr>
        <w:t>word</w:t>
      </w:r>
      <w:r w:rsidR="007E5C91">
        <w:rPr>
          <w:rFonts w:cs="Univers"/>
          <w:sz w:val="18"/>
          <w:szCs w:val="18"/>
        </w:rPr>
        <w:t>en</w:t>
      </w:r>
      <w:r w:rsidR="00F3794B">
        <w:rPr>
          <w:rFonts w:cs="Univers"/>
          <w:sz w:val="18"/>
          <w:szCs w:val="18"/>
        </w:rPr>
        <w:t xml:space="preserve"> gecompenseerd in de BPM en de MRB</w:t>
      </w:r>
      <w:r w:rsidR="00AC20D2">
        <w:rPr>
          <w:rFonts w:cs="Univers"/>
          <w:sz w:val="18"/>
          <w:szCs w:val="18"/>
        </w:rPr>
        <w:t>.</w:t>
      </w:r>
      <w:r w:rsidR="00F3794B">
        <w:rPr>
          <w:rFonts w:cs="Univers"/>
          <w:sz w:val="18"/>
          <w:szCs w:val="18"/>
        </w:rPr>
        <w:t xml:space="preserve"> </w:t>
      </w:r>
      <w:r w:rsidR="00AC20D2">
        <w:rPr>
          <w:rFonts w:cs="Univers"/>
          <w:sz w:val="18"/>
          <w:szCs w:val="18"/>
        </w:rPr>
        <w:t>D</w:t>
      </w:r>
      <w:r w:rsidR="00F3794B">
        <w:rPr>
          <w:rFonts w:cs="Univers"/>
          <w:sz w:val="18"/>
          <w:szCs w:val="18"/>
        </w:rPr>
        <w:t xml:space="preserve">eze gecompliceerde regeling </w:t>
      </w:r>
      <w:r w:rsidRPr="00C438FD" w:rsidR="00B56B8A">
        <w:rPr>
          <w:rFonts w:cs="Univers"/>
          <w:sz w:val="18"/>
          <w:szCs w:val="18"/>
        </w:rPr>
        <w:t>is alleen te verklaren vanuit de historie waarin het vrachtvervoer – vanuit concurrentieoogpunt – is ontzien</w:t>
      </w:r>
      <w:r w:rsidR="00276DC1">
        <w:rPr>
          <w:rFonts w:cs="Univers"/>
          <w:sz w:val="18"/>
          <w:szCs w:val="18"/>
        </w:rPr>
        <w:t xml:space="preserve"> in de accijns</w:t>
      </w:r>
      <w:r w:rsidRPr="00C438FD" w:rsidR="00B56B8A">
        <w:rPr>
          <w:rFonts w:cs="Univers"/>
          <w:sz w:val="18"/>
          <w:szCs w:val="18"/>
        </w:rPr>
        <w:t xml:space="preserve">. </w:t>
      </w:r>
      <w:r w:rsidRPr="00C438FD" w:rsidR="003A309E">
        <w:rPr>
          <w:rFonts w:cs="Univers"/>
          <w:sz w:val="18"/>
          <w:szCs w:val="18"/>
        </w:rPr>
        <w:t xml:space="preserve">De verhouding </w:t>
      </w:r>
      <w:r w:rsidR="007E5C91">
        <w:rPr>
          <w:rFonts w:cs="Univers"/>
          <w:sz w:val="18"/>
          <w:szCs w:val="18"/>
        </w:rPr>
        <w:t xml:space="preserve">tussen benzine en diesel </w:t>
      </w:r>
      <w:r w:rsidRPr="00C438FD" w:rsidR="003A309E">
        <w:rPr>
          <w:rFonts w:cs="Univers"/>
          <w:sz w:val="18"/>
          <w:szCs w:val="18"/>
        </w:rPr>
        <w:t xml:space="preserve">is overigens niet uniek voor Nederland. Vrijwel alle EU-landen hanteren een naar verhouding laag tarief voor diesel en zelfs het Europese minimumaccijnstarief is voor diesel lager dan voor benzine. </w:t>
      </w:r>
    </w:p>
    <w:p w:rsidRPr="00C438FD" w:rsidR="00B56B8A" w:rsidP="00781CF8" w:rsidRDefault="00F3794B">
      <w:pPr>
        <w:spacing w:after="0" w:line="240" w:lineRule="atLeast"/>
        <w:rPr>
          <w:rFonts w:cs="Univers"/>
          <w:sz w:val="18"/>
          <w:szCs w:val="18"/>
        </w:rPr>
      </w:pPr>
      <w:r>
        <w:rPr>
          <w:color w:val="000000"/>
          <w:sz w:val="18"/>
          <w:szCs w:val="18"/>
        </w:rPr>
        <w:t>Dat is ook de reden dat er Europese ontwikkelingen gaande zijn om te komen tot meer harmonisatie. Momenteel ligt er een herziening v</w:t>
      </w:r>
      <w:r w:rsidRPr="0003388D">
        <w:rPr>
          <w:color w:val="000000"/>
          <w:sz w:val="18"/>
          <w:szCs w:val="18"/>
        </w:rPr>
        <w:t xml:space="preserve">an de </w:t>
      </w:r>
      <w:r>
        <w:rPr>
          <w:color w:val="000000"/>
          <w:sz w:val="18"/>
          <w:szCs w:val="18"/>
        </w:rPr>
        <w:t xml:space="preserve">Richtlijn </w:t>
      </w:r>
      <w:r w:rsidRPr="0003388D">
        <w:rPr>
          <w:color w:val="000000"/>
          <w:sz w:val="18"/>
          <w:szCs w:val="18"/>
        </w:rPr>
        <w:t>energiebelasting</w:t>
      </w:r>
      <w:r>
        <w:rPr>
          <w:color w:val="000000"/>
          <w:sz w:val="18"/>
          <w:szCs w:val="18"/>
        </w:rPr>
        <w:t>en</w:t>
      </w:r>
      <w:r>
        <w:rPr>
          <w:rStyle w:val="Voetnootmarkering"/>
          <w:color w:val="000000"/>
          <w:sz w:val="18"/>
          <w:szCs w:val="18"/>
        </w:rPr>
        <w:footnoteReference w:id="4"/>
      </w:r>
      <w:r w:rsidRPr="0003388D">
        <w:rPr>
          <w:color w:val="000000"/>
          <w:sz w:val="18"/>
          <w:szCs w:val="18"/>
        </w:rPr>
        <w:t xml:space="preserve"> (</w:t>
      </w:r>
      <w:r>
        <w:rPr>
          <w:color w:val="000000"/>
          <w:sz w:val="18"/>
          <w:szCs w:val="18"/>
        </w:rPr>
        <w:t xml:space="preserve">hierna: </w:t>
      </w:r>
      <w:r w:rsidRPr="0003388D">
        <w:rPr>
          <w:color w:val="000000"/>
          <w:sz w:val="18"/>
          <w:szCs w:val="18"/>
        </w:rPr>
        <w:t>EBR)</w:t>
      </w:r>
      <w:r>
        <w:rPr>
          <w:color w:val="000000"/>
          <w:sz w:val="18"/>
          <w:szCs w:val="18"/>
        </w:rPr>
        <w:t xml:space="preserve"> voor </w:t>
      </w:r>
      <w:r w:rsidR="00B56B8A">
        <w:rPr>
          <w:rFonts w:cs="Univers"/>
          <w:sz w:val="18"/>
          <w:szCs w:val="18"/>
        </w:rPr>
        <w:t xml:space="preserve">die </w:t>
      </w:r>
      <w:r w:rsidRPr="00C438FD" w:rsidR="00B56B8A">
        <w:rPr>
          <w:rFonts w:cs="Univers"/>
          <w:sz w:val="18"/>
          <w:szCs w:val="18"/>
        </w:rPr>
        <w:t xml:space="preserve">een poging </w:t>
      </w:r>
      <w:r w:rsidR="003A309E">
        <w:rPr>
          <w:rFonts w:cs="Univers"/>
          <w:sz w:val="18"/>
          <w:szCs w:val="18"/>
        </w:rPr>
        <w:t xml:space="preserve">doet </w:t>
      </w:r>
      <w:r w:rsidR="00AC20D2">
        <w:rPr>
          <w:rFonts w:cs="Univers"/>
          <w:sz w:val="18"/>
          <w:szCs w:val="18"/>
        </w:rPr>
        <w:t xml:space="preserve">om </w:t>
      </w:r>
      <w:r w:rsidRPr="00C438FD" w:rsidR="00B56B8A">
        <w:rPr>
          <w:rFonts w:cs="Univers"/>
          <w:sz w:val="18"/>
          <w:szCs w:val="18"/>
        </w:rPr>
        <w:t xml:space="preserve">deze scheve verhouding te corrigeren. De onderhandelingen over die </w:t>
      </w:r>
      <w:r w:rsidRPr="00C438FD" w:rsidR="00B56B8A">
        <w:rPr>
          <w:rFonts w:cs="Univers"/>
          <w:sz w:val="18"/>
          <w:szCs w:val="18"/>
        </w:rPr>
        <w:lastRenderedPageBreak/>
        <w:t>herziening zullen echter nog enige tijd in beslag nemen</w:t>
      </w:r>
      <w:r w:rsidR="00A26936">
        <w:rPr>
          <w:rFonts w:cs="Univers"/>
          <w:sz w:val="18"/>
          <w:szCs w:val="18"/>
        </w:rPr>
        <w:t>.</w:t>
      </w:r>
      <w:r w:rsidRPr="00C438FD" w:rsidR="00B56B8A">
        <w:rPr>
          <w:rFonts w:cs="Univers"/>
          <w:sz w:val="18"/>
          <w:szCs w:val="18"/>
        </w:rPr>
        <w:t xml:space="preserve"> </w:t>
      </w:r>
      <w:r w:rsidR="00276DC1">
        <w:rPr>
          <w:rFonts w:cs="Univers"/>
          <w:sz w:val="18"/>
          <w:szCs w:val="18"/>
        </w:rPr>
        <w:t xml:space="preserve">Door </w:t>
      </w:r>
      <w:r w:rsidRPr="009433A7" w:rsidR="003A309E">
        <w:rPr>
          <w:rFonts w:cs="Univers"/>
          <w:sz w:val="18"/>
          <w:szCs w:val="18"/>
        </w:rPr>
        <w:t xml:space="preserve">dit voorstel </w:t>
      </w:r>
      <w:r w:rsidR="00276DC1">
        <w:rPr>
          <w:rFonts w:cs="Univers"/>
          <w:sz w:val="18"/>
          <w:szCs w:val="18"/>
        </w:rPr>
        <w:t xml:space="preserve">wordt </w:t>
      </w:r>
      <w:r w:rsidRPr="009433A7" w:rsidR="003A309E">
        <w:rPr>
          <w:rFonts w:cs="Univers"/>
          <w:sz w:val="18"/>
          <w:szCs w:val="18"/>
        </w:rPr>
        <w:t>de opbouw van de brandstofaccijnzen gewijzigd door deze deels te baseren op de CO</w:t>
      </w:r>
      <w:r w:rsidRPr="009433A7" w:rsidR="003A309E">
        <w:rPr>
          <w:rFonts w:cs="Univers"/>
          <w:sz w:val="18"/>
          <w:szCs w:val="18"/>
          <w:vertAlign w:val="subscript"/>
        </w:rPr>
        <w:t>2</w:t>
      </w:r>
      <w:r w:rsidRPr="009433A7" w:rsidR="003A309E">
        <w:rPr>
          <w:rFonts w:cs="Univers"/>
          <w:sz w:val="18"/>
          <w:szCs w:val="18"/>
        </w:rPr>
        <w:t>-uitstoot en deels op de energie-inhoud</w:t>
      </w:r>
      <w:r w:rsidR="00276DC1">
        <w:rPr>
          <w:rFonts w:cs="Univers"/>
          <w:sz w:val="18"/>
          <w:szCs w:val="18"/>
        </w:rPr>
        <w:t xml:space="preserve">. </w:t>
      </w:r>
      <w:r w:rsidR="003A309E">
        <w:rPr>
          <w:rFonts w:cs="Univers"/>
          <w:sz w:val="18"/>
          <w:szCs w:val="18"/>
        </w:rPr>
        <w:t>Als</w:t>
      </w:r>
      <w:r w:rsidRPr="006458AB" w:rsidR="003A309E">
        <w:rPr>
          <w:rFonts w:cs="Univers"/>
          <w:sz w:val="18"/>
          <w:szCs w:val="18"/>
        </w:rPr>
        <w:t xml:space="preserve"> het voorstel door de lidstaten wordt geaccordeerd, zal dit wel leiden tot een onderlinge herziening van de tarieven </w:t>
      </w:r>
      <w:r w:rsidR="003A309E">
        <w:rPr>
          <w:rFonts w:cs="Univers"/>
          <w:sz w:val="18"/>
          <w:szCs w:val="18"/>
        </w:rPr>
        <w:t xml:space="preserve">van de diverse brandstoffen </w:t>
      </w:r>
      <w:r w:rsidRPr="006458AB" w:rsidR="003A309E">
        <w:rPr>
          <w:rFonts w:cs="Univers"/>
          <w:sz w:val="18"/>
          <w:szCs w:val="18"/>
        </w:rPr>
        <w:t>op basis van energie-inhoud</w:t>
      </w:r>
      <w:r w:rsidR="00276DC1">
        <w:rPr>
          <w:rFonts w:cs="Univers"/>
          <w:sz w:val="18"/>
          <w:szCs w:val="18"/>
        </w:rPr>
        <w:t xml:space="preserve"> en de CO</w:t>
      </w:r>
      <w:r w:rsidRPr="00276DC1" w:rsidR="00276DC1">
        <w:rPr>
          <w:rFonts w:cs="Univers"/>
          <w:sz w:val="18"/>
          <w:szCs w:val="18"/>
          <w:vertAlign w:val="subscript"/>
        </w:rPr>
        <w:t>2</w:t>
      </w:r>
      <w:r w:rsidR="00276DC1">
        <w:rPr>
          <w:rFonts w:cs="Univers"/>
          <w:sz w:val="18"/>
          <w:szCs w:val="18"/>
        </w:rPr>
        <w:t>-uitstoot</w:t>
      </w:r>
      <w:r w:rsidRPr="006458AB" w:rsidR="003A309E">
        <w:rPr>
          <w:rFonts w:cs="Univers"/>
          <w:sz w:val="18"/>
          <w:szCs w:val="18"/>
        </w:rPr>
        <w:t xml:space="preserve">. </w:t>
      </w:r>
    </w:p>
    <w:p w:rsidR="00DD7257" w:rsidP="00781CF8" w:rsidRDefault="00DD7257">
      <w:pPr>
        <w:pStyle w:val="Lijstalinea"/>
        <w:shd w:val="clear" w:color="auto" w:fill="FFFFFF"/>
        <w:spacing w:after="0" w:line="240" w:lineRule="auto"/>
        <w:ind w:left="360"/>
        <w:rPr>
          <w:rFonts w:eastAsia="Arial Unicode MS" w:cs="Arial Unicode MS"/>
          <w:color w:val="333333"/>
          <w:sz w:val="18"/>
          <w:szCs w:val="18"/>
          <w:lang w:eastAsia="nl-NL"/>
        </w:rPr>
      </w:pPr>
    </w:p>
    <w:p w:rsidRPr="00AB44CE" w:rsidR="00DD7257" w:rsidP="00781CF8" w:rsidRDefault="00DD7257">
      <w:pPr>
        <w:pStyle w:val="Kop3"/>
        <w:spacing w:before="0"/>
        <w:rPr>
          <w:rFonts w:ascii="Verdana" w:hAnsi="Verdana"/>
          <w:b w:val="0"/>
          <w:i/>
          <w:color w:val="auto"/>
          <w:sz w:val="18"/>
          <w:szCs w:val="18"/>
        </w:rPr>
      </w:pPr>
      <w:bookmarkStart w:name="_Toc293998521" w:id="5"/>
      <w:r w:rsidRPr="00AB44CE">
        <w:rPr>
          <w:rFonts w:ascii="Verdana" w:hAnsi="Verdana"/>
          <w:b w:val="0"/>
          <w:i/>
          <w:color w:val="auto"/>
          <w:sz w:val="18"/>
          <w:szCs w:val="18"/>
        </w:rPr>
        <w:t>2.</w:t>
      </w:r>
      <w:r w:rsidRPr="00AB44CE" w:rsidR="00AB44CE">
        <w:rPr>
          <w:rFonts w:ascii="Verdana" w:hAnsi="Verdana"/>
          <w:b w:val="0"/>
          <w:i/>
          <w:color w:val="auto"/>
          <w:sz w:val="18"/>
          <w:szCs w:val="18"/>
        </w:rPr>
        <w:t>2.2</w:t>
      </w:r>
      <w:r w:rsidRPr="00AB44CE">
        <w:rPr>
          <w:rFonts w:ascii="Verdana" w:hAnsi="Verdana"/>
          <w:b w:val="0"/>
          <w:i/>
          <w:color w:val="auto"/>
          <w:sz w:val="18"/>
          <w:szCs w:val="18"/>
        </w:rPr>
        <w:t xml:space="preserve"> Bepal</w:t>
      </w:r>
      <w:r w:rsidR="007E5C91">
        <w:rPr>
          <w:rFonts w:ascii="Verdana" w:hAnsi="Verdana"/>
          <w:b w:val="0"/>
          <w:i/>
          <w:color w:val="auto"/>
          <w:sz w:val="18"/>
          <w:szCs w:val="18"/>
        </w:rPr>
        <w:t>i</w:t>
      </w:r>
      <w:r w:rsidRPr="00AB44CE">
        <w:rPr>
          <w:rFonts w:ascii="Verdana" w:hAnsi="Verdana"/>
          <w:b w:val="0"/>
          <w:i/>
          <w:color w:val="auto"/>
          <w:sz w:val="18"/>
          <w:szCs w:val="18"/>
        </w:rPr>
        <w:t>n</w:t>
      </w:r>
      <w:r w:rsidR="007E5C91">
        <w:rPr>
          <w:rFonts w:ascii="Verdana" w:hAnsi="Verdana"/>
          <w:b w:val="0"/>
          <w:i/>
          <w:color w:val="auto"/>
          <w:sz w:val="18"/>
          <w:szCs w:val="18"/>
        </w:rPr>
        <w:t>g</w:t>
      </w:r>
      <w:r w:rsidRPr="00AB44CE">
        <w:rPr>
          <w:rFonts w:ascii="Verdana" w:hAnsi="Verdana"/>
          <w:b w:val="0"/>
          <w:i/>
          <w:color w:val="auto"/>
          <w:sz w:val="18"/>
          <w:szCs w:val="18"/>
        </w:rPr>
        <w:t xml:space="preserve"> van de CO</w:t>
      </w:r>
      <w:r w:rsidRPr="00AB44CE">
        <w:rPr>
          <w:rFonts w:ascii="Verdana" w:hAnsi="Verdana"/>
          <w:b w:val="0"/>
          <w:i/>
          <w:color w:val="auto"/>
          <w:sz w:val="18"/>
          <w:szCs w:val="18"/>
          <w:vertAlign w:val="subscript"/>
        </w:rPr>
        <w:t>2</w:t>
      </w:r>
      <w:r w:rsidRPr="00AB44CE">
        <w:rPr>
          <w:rFonts w:ascii="Verdana" w:hAnsi="Verdana"/>
          <w:b w:val="0"/>
          <w:i/>
          <w:color w:val="auto"/>
          <w:sz w:val="18"/>
          <w:szCs w:val="18"/>
        </w:rPr>
        <w:t>-uitstoot</w:t>
      </w:r>
      <w:r w:rsidR="00A91F32">
        <w:rPr>
          <w:rFonts w:ascii="Verdana" w:hAnsi="Verdana"/>
          <w:b w:val="0"/>
          <w:i/>
          <w:color w:val="auto"/>
          <w:sz w:val="18"/>
          <w:szCs w:val="18"/>
        </w:rPr>
        <w:t xml:space="preserve"> (well to wheel)</w:t>
      </w:r>
      <w:bookmarkEnd w:id="5"/>
    </w:p>
    <w:p w:rsidR="00DD7257" w:rsidP="00781CF8" w:rsidRDefault="007E5C91">
      <w:pPr>
        <w:spacing w:after="0"/>
        <w:rPr>
          <w:bCs/>
          <w:sz w:val="18"/>
          <w:szCs w:val="18"/>
        </w:rPr>
      </w:pPr>
      <w:r>
        <w:rPr>
          <w:bCs/>
          <w:sz w:val="18"/>
          <w:szCs w:val="18"/>
        </w:rPr>
        <w:t xml:space="preserve">Om de hoogte van de BPM, de MRB en de fiscale bijtelling te kunnen berekenen is een objectief vastgestelde waarde van de </w:t>
      </w:r>
      <w:r w:rsidR="00DD7257">
        <w:rPr>
          <w:bCs/>
          <w:sz w:val="18"/>
          <w:szCs w:val="18"/>
        </w:rPr>
        <w:t>CO</w:t>
      </w:r>
      <w:r w:rsidRPr="00DD11E7" w:rsidR="00DD7257">
        <w:rPr>
          <w:bCs/>
          <w:sz w:val="18"/>
          <w:szCs w:val="18"/>
          <w:vertAlign w:val="subscript"/>
        </w:rPr>
        <w:t>2</w:t>
      </w:r>
      <w:r w:rsidR="00DD7257">
        <w:rPr>
          <w:bCs/>
          <w:sz w:val="18"/>
          <w:szCs w:val="18"/>
        </w:rPr>
        <w:t xml:space="preserve">-uitstoot </w:t>
      </w:r>
      <w:r>
        <w:rPr>
          <w:bCs/>
          <w:sz w:val="18"/>
          <w:szCs w:val="18"/>
        </w:rPr>
        <w:t xml:space="preserve">noodzakelijk. </w:t>
      </w:r>
      <w:r w:rsidR="00DD7257">
        <w:rPr>
          <w:bCs/>
          <w:sz w:val="18"/>
          <w:szCs w:val="18"/>
        </w:rPr>
        <w:t>De emissie</w:t>
      </w:r>
      <w:r w:rsidRPr="00000269" w:rsidR="00DD7257">
        <w:rPr>
          <w:bCs/>
          <w:sz w:val="18"/>
          <w:szCs w:val="18"/>
        </w:rPr>
        <w:t xml:space="preserve"> van een voertuig </w:t>
      </w:r>
      <w:r w:rsidR="00DD7257">
        <w:rPr>
          <w:bCs/>
          <w:sz w:val="18"/>
          <w:szCs w:val="18"/>
        </w:rPr>
        <w:t>kan op tweeërlei wijze worden berekend:</w:t>
      </w:r>
      <w:r w:rsidR="00A2703A">
        <w:rPr>
          <w:bCs/>
          <w:sz w:val="18"/>
          <w:szCs w:val="18"/>
        </w:rPr>
        <w:t xml:space="preserve"> </w:t>
      </w:r>
      <w:r w:rsidRPr="00000269" w:rsidR="00DD7257">
        <w:rPr>
          <w:bCs/>
          <w:sz w:val="18"/>
          <w:szCs w:val="18"/>
        </w:rPr>
        <w:t xml:space="preserve"> </w:t>
      </w:r>
    </w:p>
    <w:p w:rsidR="00DD7257" w:rsidP="00781CF8" w:rsidRDefault="00DD7257">
      <w:pPr>
        <w:pStyle w:val="Lijstalinea"/>
        <w:numPr>
          <w:ilvl w:val="0"/>
          <w:numId w:val="33"/>
        </w:numPr>
        <w:spacing w:after="0"/>
        <w:rPr>
          <w:bCs/>
          <w:sz w:val="18"/>
          <w:szCs w:val="18"/>
        </w:rPr>
      </w:pPr>
      <w:r w:rsidRPr="00000269">
        <w:rPr>
          <w:sz w:val="18"/>
        </w:rPr>
        <w:t xml:space="preserve">directe emissie: </w:t>
      </w:r>
      <w:r w:rsidR="002A30DC">
        <w:rPr>
          <w:sz w:val="18"/>
        </w:rPr>
        <w:t xml:space="preserve">de </w:t>
      </w:r>
      <w:r w:rsidRPr="00000269">
        <w:rPr>
          <w:sz w:val="18"/>
        </w:rPr>
        <w:t xml:space="preserve">emissie die ontstaat als gevolg van verbruik van </w:t>
      </w:r>
      <w:r w:rsidR="00CF5952">
        <w:rPr>
          <w:sz w:val="18"/>
        </w:rPr>
        <w:t>brandstof</w:t>
      </w:r>
      <w:r w:rsidRPr="00000269">
        <w:rPr>
          <w:sz w:val="18"/>
        </w:rPr>
        <w:t xml:space="preserve"> ten behoeve van voortbeweging ('tank to wheel'-emissies)</w:t>
      </w:r>
      <w:r w:rsidRPr="00000269">
        <w:rPr>
          <w:bCs/>
          <w:sz w:val="18"/>
          <w:szCs w:val="18"/>
        </w:rPr>
        <w:t xml:space="preserve"> </w:t>
      </w:r>
    </w:p>
    <w:p w:rsidRPr="00000269" w:rsidR="00DD7257" w:rsidP="00781CF8" w:rsidRDefault="00DD7257">
      <w:pPr>
        <w:pStyle w:val="Lijstalinea"/>
        <w:numPr>
          <w:ilvl w:val="0"/>
          <w:numId w:val="33"/>
        </w:numPr>
        <w:spacing w:after="0"/>
        <w:rPr>
          <w:bCs/>
          <w:sz w:val="18"/>
          <w:szCs w:val="18"/>
        </w:rPr>
      </w:pPr>
      <w:r w:rsidRPr="00000269">
        <w:rPr>
          <w:sz w:val="18"/>
        </w:rPr>
        <w:t xml:space="preserve">indirecte emissie: </w:t>
      </w:r>
      <w:r w:rsidR="002A30DC">
        <w:rPr>
          <w:sz w:val="18"/>
        </w:rPr>
        <w:t xml:space="preserve">de </w:t>
      </w:r>
      <w:r w:rsidRPr="00000269">
        <w:rPr>
          <w:sz w:val="18"/>
        </w:rPr>
        <w:t xml:space="preserve">emissie die </w:t>
      </w:r>
      <w:r w:rsidR="002A30DC">
        <w:rPr>
          <w:sz w:val="18"/>
        </w:rPr>
        <w:t xml:space="preserve">een gevolg is van </w:t>
      </w:r>
      <w:r w:rsidRPr="00000269">
        <w:rPr>
          <w:sz w:val="18"/>
        </w:rPr>
        <w:t>het produceren of opwekken</w:t>
      </w:r>
      <w:r w:rsidR="002A30DC">
        <w:rPr>
          <w:sz w:val="18"/>
        </w:rPr>
        <w:t xml:space="preserve"> en </w:t>
      </w:r>
      <w:r w:rsidRPr="00000269">
        <w:rPr>
          <w:sz w:val="18"/>
        </w:rPr>
        <w:t xml:space="preserve">het transport van de verbruikte </w:t>
      </w:r>
      <w:r w:rsidR="00CF5952">
        <w:rPr>
          <w:sz w:val="18"/>
        </w:rPr>
        <w:t xml:space="preserve">brandstof of </w:t>
      </w:r>
      <w:r w:rsidRPr="00000269">
        <w:rPr>
          <w:sz w:val="18"/>
        </w:rPr>
        <w:t>energie ('well to tank'-emissies)</w:t>
      </w:r>
      <w:r w:rsidR="002A30DC">
        <w:rPr>
          <w:sz w:val="18"/>
        </w:rPr>
        <w:t>.</w:t>
      </w:r>
      <w:r w:rsidRPr="00000269">
        <w:rPr>
          <w:bCs/>
          <w:sz w:val="18"/>
          <w:szCs w:val="18"/>
        </w:rPr>
        <w:t xml:space="preserve"> </w:t>
      </w:r>
    </w:p>
    <w:p w:rsidR="00DD7257" w:rsidP="00781CF8" w:rsidRDefault="00DD7257">
      <w:pPr>
        <w:spacing w:after="0"/>
        <w:rPr>
          <w:bCs/>
          <w:sz w:val="18"/>
          <w:szCs w:val="18"/>
        </w:rPr>
      </w:pPr>
      <w:r w:rsidRPr="00000269">
        <w:rPr>
          <w:sz w:val="18"/>
        </w:rPr>
        <w:t xml:space="preserve">De directe en indirecte emissie vormen samen de 'well to wheel'-emissie. Tijdens de behandeling van het Belastingplan 2011 is toegezegd om nader in te gaan op de zogenaamde </w:t>
      </w:r>
      <w:r w:rsidRPr="00000269" w:rsidR="00091338">
        <w:rPr>
          <w:sz w:val="18"/>
        </w:rPr>
        <w:t>'well to wheel'</w:t>
      </w:r>
      <w:r w:rsidRPr="00000269">
        <w:rPr>
          <w:sz w:val="18"/>
        </w:rPr>
        <w:t xml:space="preserve">-emissie </w:t>
      </w:r>
      <w:r w:rsidR="00FC6A21">
        <w:rPr>
          <w:sz w:val="18"/>
        </w:rPr>
        <w:t xml:space="preserve">in bijzonder in relatie tot </w:t>
      </w:r>
      <w:r w:rsidRPr="00000269">
        <w:rPr>
          <w:sz w:val="18"/>
        </w:rPr>
        <w:t xml:space="preserve">groen gas. Op groen gas wordt uitgebreid teruggekomen in hoofdstuk 5. </w:t>
      </w:r>
    </w:p>
    <w:p w:rsidR="00DD7257" w:rsidP="00781CF8" w:rsidRDefault="00DD7257">
      <w:pPr>
        <w:spacing w:after="0"/>
        <w:rPr>
          <w:sz w:val="18"/>
        </w:rPr>
      </w:pPr>
      <w:r w:rsidRPr="00963491">
        <w:rPr>
          <w:sz w:val="18"/>
        </w:rPr>
        <w:t>De door automobielfabrikanten gepubliceerde CO</w:t>
      </w:r>
      <w:r w:rsidRPr="00963491">
        <w:rPr>
          <w:sz w:val="18"/>
          <w:vertAlign w:val="subscript"/>
        </w:rPr>
        <w:t>2</w:t>
      </w:r>
      <w:r w:rsidRPr="00963491">
        <w:rPr>
          <w:sz w:val="18"/>
        </w:rPr>
        <w:t>-uitstoot in grammen per kilometer betreft altijd de zogenaamde ‘tank-to-wheel’</w:t>
      </w:r>
      <w:r w:rsidR="00276DC1">
        <w:rPr>
          <w:sz w:val="18"/>
        </w:rPr>
        <w:t>-</w:t>
      </w:r>
      <w:r w:rsidR="00AC20D2">
        <w:rPr>
          <w:sz w:val="18"/>
        </w:rPr>
        <w:t>emissie</w:t>
      </w:r>
      <w:r w:rsidRPr="00963491">
        <w:rPr>
          <w:sz w:val="18"/>
        </w:rPr>
        <w:t>, of</w:t>
      </w:r>
      <w:r w:rsidR="00563EAE">
        <w:rPr>
          <w:sz w:val="18"/>
        </w:rPr>
        <w:t>te</w:t>
      </w:r>
      <w:r w:rsidRPr="00963491">
        <w:rPr>
          <w:sz w:val="18"/>
        </w:rPr>
        <w:t>wel de uitstoot die de auto zelf produceert. De uitstoot in het hele voortraject, dus de fase waarin de productie</w:t>
      </w:r>
      <w:r w:rsidR="00AC20D2">
        <w:rPr>
          <w:sz w:val="18"/>
        </w:rPr>
        <w:t xml:space="preserve"> en </w:t>
      </w:r>
      <w:r w:rsidR="002A30DC">
        <w:rPr>
          <w:sz w:val="18"/>
        </w:rPr>
        <w:t xml:space="preserve">het </w:t>
      </w:r>
      <w:r w:rsidR="00AC20D2">
        <w:rPr>
          <w:sz w:val="18"/>
        </w:rPr>
        <w:t>transport</w:t>
      </w:r>
      <w:r w:rsidRPr="00963491">
        <w:rPr>
          <w:sz w:val="18"/>
        </w:rPr>
        <w:t xml:space="preserve"> van brandstoffen plaatsvindt, is niet verdisconteerd. </w:t>
      </w:r>
      <w:r w:rsidR="00FC6A21">
        <w:rPr>
          <w:sz w:val="18"/>
        </w:rPr>
        <w:t xml:space="preserve">Ook de uitstoot met betrekking tot de productie en de sloop/verwijdering van de personenauto is niet verdisconteerd. </w:t>
      </w:r>
      <w:r w:rsidRPr="00963491">
        <w:rPr>
          <w:sz w:val="18"/>
        </w:rPr>
        <w:t xml:space="preserve">Dit vloeit mede voort uit het gevoerde Europese beleid </w:t>
      </w:r>
      <w:r w:rsidR="00FC6A21">
        <w:rPr>
          <w:sz w:val="18"/>
        </w:rPr>
        <w:t xml:space="preserve">dat wordt gekoppeld aan </w:t>
      </w:r>
      <w:r w:rsidRPr="00963491">
        <w:rPr>
          <w:sz w:val="18"/>
        </w:rPr>
        <w:t>de CO</w:t>
      </w:r>
      <w:r w:rsidRPr="00963491">
        <w:rPr>
          <w:sz w:val="18"/>
          <w:vertAlign w:val="subscript"/>
        </w:rPr>
        <w:t>2</w:t>
      </w:r>
      <w:r w:rsidRPr="00963491">
        <w:rPr>
          <w:sz w:val="18"/>
        </w:rPr>
        <w:t xml:space="preserve">-uitstoot van auto's. </w:t>
      </w:r>
      <w:r w:rsidR="00FC6A21">
        <w:rPr>
          <w:sz w:val="18"/>
        </w:rPr>
        <w:t>De vaststelling van de CO</w:t>
      </w:r>
      <w:r w:rsidRPr="00AC16A6" w:rsidR="00AC16A6">
        <w:rPr>
          <w:sz w:val="18"/>
          <w:vertAlign w:val="subscript"/>
        </w:rPr>
        <w:t>2</w:t>
      </w:r>
      <w:r w:rsidR="00FC6A21">
        <w:rPr>
          <w:sz w:val="18"/>
        </w:rPr>
        <w:t xml:space="preserve">-uitstoot vindt plaats met behulp van </w:t>
      </w:r>
      <w:r w:rsidRPr="00963491">
        <w:rPr>
          <w:sz w:val="18"/>
        </w:rPr>
        <w:t xml:space="preserve">de volledig geharmoniseerde Europese toelatingsprocedure voor motorvoertuigen in de Europese typegoedkeuringtest (hierna: NEDC). </w:t>
      </w:r>
      <w:r w:rsidR="00FC6A21">
        <w:rPr>
          <w:sz w:val="18"/>
        </w:rPr>
        <w:t>Op die testmethode valt best het een ander af te dingen en e</w:t>
      </w:r>
      <w:r w:rsidRPr="00963491">
        <w:rPr>
          <w:sz w:val="18"/>
        </w:rPr>
        <w:t xml:space="preserve">r is </w:t>
      </w:r>
      <w:r w:rsidR="00FC6A21">
        <w:rPr>
          <w:sz w:val="18"/>
        </w:rPr>
        <w:t xml:space="preserve">dan ook </w:t>
      </w:r>
      <w:r w:rsidRPr="00963491">
        <w:rPr>
          <w:sz w:val="18"/>
        </w:rPr>
        <w:t xml:space="preserve">reeds diverse malen kritiek geuit op de testresultaten van de NEDC vanwege de optredende verschillen in (gesimuleerde) rijstijl tussen de testprocedure en de praktijk. Dit is ook de reden dat er – mede op aandringen van Nederland – gewerkt wordt aan een </w:t>
      </w:r>
      <w:r w:rsidR="00324DA1">
        <w:rPr>
          <w:sz w:val="18"/>
        </w:rPr>
        <w:t>nieuwe</w:t>
      </w:r>
      <w:r w:rsidRPr="00963491">
        <w:rPr>
          <w:sz w:val="18"/>
        </w:rPr>
        <w:t xml:space="preserve"> testcyclus die representatiever is voor de praktijk. De Europese Commissie heeft in haar recente voorstel voor een strategie voor schone en </w:t>
      </w:r>
      <w:r w:rsidRPr="00963491" w:rsidR="00091338">
        <w:rPr>
          <w:sz w:val="18"/>
        </w:rPr>
        <w:t>energie-efficiënte</w:t>
      </w:r>
      <w:r w:rsidRPr="00963491">
        <w:rPr>
          <w:sz w:val="18"/>
        </w:rPr>
        <w:t xml:space="preserve"> voertuigen</w:t>
      </w:r>
      <w:r w:rsidRPr="00276DC1">
        <w:rPr>
          <w:sz w:val="18"/>
          <w:szCs w:val="18"/>
          <w:vertAlign w:val="superscript"/>
        </w:rPr>
        <w:footnoteReference w:id="5"/>
      </w:r>
      <w:r w:rsidRPr="00963491">
        <w:rPr>
          <w:b/>
          <w:sz w:val="18"/>
          <w:szCs w:val="18"/>
        </w:rPr>
        <w:t xml:space="preserve"> </w:t>
      </w:r>
      <w:r w:rsidRPr="00816559">
        <w:rPr>
          <w:sz w:val="18"/>
          <w:szCs w:val="18"/>
        </w:rPr>
        <w:t>aangegeven uiterlijk in 2013 over een nieuwe testcyclus te willen beschikken.</w:t>
      </w:r>
      <w:r w:rsidRPr="00816559">
        <w:rPr>
          <w:sz w:val="18"/>
        </w:rPr>
        <w:t xml:space="preserve"> Daarna zal het nog enkele jaren duren voordat alle nieuwverkochte auto’s volgens de nieuwe methode worden getest. Ondanks de kritiek op de NEDC doen alle EU-lidstaten</w:t>
      </w:r>
      <w:r w:rsidR="00276DC1">
        <w:rPr>
          <w:sz w:val="18"/>
        </w:rPr>
        <w:t xml:space="preserve">, </w:t>
      </w:r>
      <w:r w:rsidRPr="00816559" w:rsidR="00276DC1">
        <w:rPr>
          <w:sz w:val="18"/>
        </w:rPr>
        <w:t>inclusief Nederland</w:t>
      </w:r>
      <w:r w:rsidR="00276DC1">
        <w:rPr>
          <w:sz w:val="18"/>
        </w:rPr>
        <w:t>,</w:t>
      </w:r>
      <w:r w:rsidRPr="00816559">
        <w:rPr>
          <w:sz w:val="18"/>
        </w:rPr>
        <w:t xml:space="preserve"> die op enigerlei wijze een (fiscaal) beleid voeren op de CO</w:t>
      </w:r>
      <w:r w:rsidRPr="00816559">
        <w:rPr>
          <w:sz w:val="18"/>
          <w:vertAlign w:val="subscript"/>
        </w:rPr>
        <w:t>2</w:t>
      </w:r>
      <w:r w:rsidRPr="00816559">
        <w:rPr>
          <w:sz w:val="18"/>
        </w:rPr>
        <w:t>-uitstoot van personenauto</w:t>
      </w:r>
      <w:r w:rsidR="00091338">
        <w:rPr>
          <w:sz w:val="18"/>
        </w:rPr>
        <w:t>’s</w:t>
      </w:r>
      <w:r w:rsidRPr="00816559">
        <w:rPr>
          <w:sz w:val="18"/>
        </w:rPr>
        <w:t xml:space="preserve"> dit op basis van de NEDC. </w:t>
      </w:r>
      <w:r w:rsidRPr="00816559">
        <w:rPr>
          <w:sz w:val="18"/>
          <w:szCs w:val="18"/>
        </w:rPr>
        <w:t>De officiële testwaarde - zoals ook geconcludeerd in het TNO-onderzoek</w:t>
      </w:r>
      <w:r w:rsidRPr="00816559">
        <w:rPr>
          <w:sz w:val="18"/>
          <w:szCs w:val="18"/>
          <w:vertAlign w:val="superscript"/>
        </w:rPr>
        <w:footnoteReference w:id="6"/>
      </w:r>
      <w:r w:rsidRPr="00816559">
        <w:rPr>
          <w:sz w:val="18"/>
        </w:rPr>
        <w:t xml:space="preserve"> - </w:t>
      </w:r>
      <w:r>
        <w:rPr>
          <w:sz w:val="18"/>
        </w:rPr>
        <w:t xml:space="preserve">vormt </w:t>
      </w:r>
      <w:r w:rsidRPr="00816559">
        <w:rPr>
          <w:sz w:val="18"/>
        </w:rPr>
        <w:t>een goede basis voor het onderling vergelijken van het brandstofverbruik van auto’s en op</w:t>
      </w:r>
      <w:r w:rsidRPr="00963491">
        <w:rPr>
          <w:sz w:val="18"/>
        </w:rPr>
        <w:t xml:space="preserve"> dit moment </w:t>
      </w:r>
      <w:r>
        <w:rPr>
          <w:sz w:val="18"/>
        </w:rPr>
        <w:t xml:space="preserve">zijn er </w:t>
      </w:r>
      <w:r w:rsidRPr="00963491">
        <w:rPr>
          <w:sz w:val="18"/>
        </w:rPr>
        <w:t xml:space="preserve">geen objectieve alternatieven. </w:t>
      </w:r>
      <w:r w:rsidR="00091338">
        <w:rPr>
          <w:sz w:val="18"/>
        </w:rPr>
        <w:t>Handhaving van</w:t>
      </w:r>
      <w:r w:rsidRPr="00963491">
        <w:rPr>
          <w:sz w:val="18"/>
        </w:rPr>
        <w:t xml:space="preserve"> deze methode </w:t>
      </w:r>
      <w:r w:rsidR="00EB4B06">
        <w:rPr>
          <w:sz w:val="18"/>
        </w:rPr>
        <w:t>is derhalve op dit moment de beste optie</w:t>
      </w:r>
      <w:r w:rsidRPr="00963491">
        <w:rPr>
          <w:sz w:val="18"/>
        </w:rPr>
        <w:t>.</w:t>
      </w:r>
      <w:r w:rsidR="00B546EF">
        <w:rPr>
          <w:sz w:val="18"/>
        </w:rPr>
        <w:t xml:space="preserve"> Echter, ook de nieuwe testmethode zal zich beperken tot de ‘tank to wheel’-emissie. Er zijn geen voornemens om de ‘well to tank’-emissie i</w:t>
      </w:r>
      <w:r w:rsidR="002A30DC">
        <w:rPr>
          <w:sz w:val="18"/>
        </w:rPr>
        <w:t>n</w:t>
      </w:r>
      <w:r w:rsidR="00B546EF">
        <w:rPr>
          <w:sz w:val="18"/>
        </w:rPr>
        <w:t xml:space="preserve"> de testcyclus te betrekken. Daarvoor zijn simpelweg te weinig gegevens beschikbaar (komen niet uit een test naar voren, maar kunnen alleen worden vastgesteld op basis van productiemethodieken en gebruikte grondstoffen) en is bovendien ook te</w:t>
      </w:r>
      <w:r w:rsidR="00BE7FA6">
        <w:rPr>
          <w:sz w:val="18"/>
        </w:rPr>
        <w:t xml:space="preserve"> </w:t>
      </w:r>
      <w:r w:rsidR="00B546EF">
        <w:rPr>
          <w:sz w:val="18"/>
        </w:rPr>
        <w:t>veel afhankelijk van de uiteindelijk gebruikte brandstof. Zeker voor een auto waar het gebruik van verschillende brandstoffen mogelijk is, kan niets worden gezegd over de uiteindelijke ‘well to wheel</w:t>
      </w:r>
      <w:r w:rsidRPr="00000269" w:rsidR="008A1E72">
        <w:rPr>
          <w:sz w:val="18"/>
        </w:rPr>
        <w:t>'</w:t>
      </w:r>
      <w:r w:rsidR="008A1E72">
        <w:rPr>
          <w:sz w:val="18"/>
        </w:rPr>
        <w:t>-</w:t>
      </w:r>
      <w:r w:rsidR="00B546EF">
        <w:rPr>
          <w:sz w:val="18"/>
        </w:rPr>
        <w:t>emissie.</w:t>
      </w:r>
    </w:p>
    <w:p w:rsidRPr="007D152B" w:rsidR="00EF6456" w:rsidP="00781CF8" w:rsidRDefault="00DD7257">
      <w:pPr>
        <w:spacing w:after="0"/>
        <w:rPr>
          <w:b/>
          <w:sz w:val="18"/>
          <w:szCs w:val="18"/>
        </w:rPr>
      </w:pPr>
      <w:r w:rsidRPr="007D152B">
        <w:rPr>
          <w:sz w:val="18"/>
          <w:szCs w:val="18"/>
        </w:rPr>
        <w:t xml:space="preserve">De NEDC gaat dus uit van een </w:t>
      </w:r>
      <w:r w:rsidRPr="00000269" w:rsidR="00EB4B06">
        <w:rPr>
          <w:sz w:val="18"/>
        </w:rPr>
        <w:t>'</w:t>
      </w:r>
      <w:r w:rsidR="00EB4B06">
        <w:rPr>
          <w:sz w:val="18"/>
        </w:rPr>
        <w:t>tank</w:t>
      </w:r>
      <w:r w:rsidRPr="00000269" w:rsidR="00EB4B06">
        <w:rPr>
          <w:sz w:val="18"/>
        </w:rPr>
        <w:t xml:space="preserve"> to wheel'</w:t>
      </w:r>
      <w:r w:rsidRPr="007D152B">
        <w:rPr>
          <w:sz w:val="18"/>
          <w:szCs w:val="18"/>
        </w:rPr>
        <w:t>-emissie. Gevolg daarvan is bijvoorbeeld dat de meeste fabrikanten van elektrische voertuigen nul gram CO</w:t>
      </w:r>
      <w:r w:rsidRPr="007D152B">
        <w:rPr>
          <w:sz w:val="18"/>
          <w:szCs w:val="18"/>
          <w:vertAlign w:val="subscript"/>
        </w:rPr>
        <w:t>2</w:t>
      </w:r>
      <w:r w:rsidRPr="007D152B">
        <w:rPr>
          <w:sz w:val="18"/>
          <w:szCs w:val="18"/>
        </w:rPr>
        <w:t xml:space="preserve"> per km publiceren als uitstootcijfer en dat is feitelijk </w:t>
      </w:r>
      <w:r w:rsidR="00EB4B06">
        <w:rPr>
          <w:sz w:val="18"/>
          <w:szCs w:val="18"/>
        </w:rPr>
        <w:t xml:space="preserve">ook </w:t>
      </w:r>
      <w:r w:rsidRPr="007D152B">
        <w:rPr>
          <w:sz w:val="18"/>
          <w:szCs w:val="18"/>
        </w:rPr>
        <w:t>correct als alleen wordt gekeken naar de CO</w:t>
      </w:r>
      <w:r w:rsidRPr="007D152B">
        <w:rPr>
          <w:sz w:val="18"/>
          <w:szCs w:val="18"/>
          <w:vertAlign w:val="subscript"/>
        </w:rPr>
        <w:t>2</w:t>
      </w:r>
      <w:r w:rsidRPr="007D152B">
        <w:rPr>
          <w:sz w:val="18"/>
          <w:szCs w:val="18"/>
        </w:rPr>
        <w:t xml:space="preserve">-emissie </w:t>
      </w:r>
      <w:r w:rsidR="00324DA1">
        <w:rPr>
          <w:sz w:val="18"/>
          <w:szCs w:val="18"/>
        </w:rPr>
        <w:t>uit de uitlaat van het voertuig</w:t>
      </w:r>
      <w:r w:rsidRPr="007D152B">
        <w:rPr>
          <w:sz w:val="18"/>
          <w:szCs w:val="18"/>
        </w:rPr>
        <w:t>. De CO</w:t>
      </w:r>
      <w:r w:rsidRPr="007D152B">
        <w:rPr>
          <w:sz w:val="18"/>
          <w:szCs w:val="18"/>
          <w:vertAlign w:val="subscript"/>
        </w:rPr>
        <w:t>2</w:t>
      </w:r>
      <w:r w:rsidRPr="007D152B">
        <w:rPr>
          <w:sz w:val="18"/>
          <w:szCs w:val="18"/>
        </w:rPr>
        <w:t xml:space="preserve">-uitstoot die echter vrijkomt tijdens </w:t>
      </w:r>
      <w:r w:rsidR="00324DA1">
        <w:rPr>
          <w:sz w:val="18"/>
          <w:szCs w:val="18"/>
        </w:rPr>
        <w:t xml:space="preserve">de </w:t>
      </w:r>
      <w:r w:rsidRPr="007D152B">
        <w:rPr>
          <w:sz w:val="18"/>
          <w:szCs w:val="18"/>
        </w:rPr>
        <w:t xml:space="preserve">productie en </w:t>
      </w:r>
      <w:r w:rsidR="00324DA1">
        <w:rPr>
          <w:sz w:val="18"/>
          <w:szCs w:val="18"/>
        </w:rPr>
        <w:t xml:space="preserve">het </w:t>
      </w:r>
      <w:r w:rsidRPr="007D152B">
        <w:rPr>
          <w:sz w:val="18"/>
          <w:szCs w:val="18"/>
        </w:rPr>
        <w:t xml:space="preserve">transport van de elektriciteit wordt hierin dus niet meegenomen. Voor de </w:t>
      </w:r>
      <w:r w:rsidRPr="00000269" w:rsidR="00EB4B06">
        <w:rPr>
          <w:sz w:val="18"/>
        </w:rPr>
        <w:t>'well to wheel'</w:t>
      </w:r>
      <w:r w:rsidRPr="007D152B">
        <w:rPr>
          <w:sz w:val="18"/>
          <w:szCs w:val="18"/>
        </w:rPr>
        <w:t xml:space="preserve">-emissie </w:t>
      </w:r>
      <w:r w:rsidR="00EB4B06">
        <w:rPr>
          <w:sz w:val="18"/>
          <w:szCs w:val="18"/>
        </w:rPr>
        <w:t>bestaat</w:t>
      </w:r>
      <w:r w:rsidRPr="007D152B">
        <w:rPr>
          <w:sz w:val="18"/>
          <w:szCs w:val="18"/>
        </w:rPr>
        <w:t xml:space="preserve"> (nog) geen internationale of nationale officiële testwaarde waarbij kan worden aangesloten; de daadwerkelijke reductie van de CO</w:t>
      </w:r>
      <w:r w:rsidRPr="007D152B">
        <w:rPr>
          <w:sz w:val="18"/>
          <w:szCs w:val="18"/>
          <w:vertAlign w:val="subscript"/>
        </w:rPr>
        <w:t>2</w:t>
      </w:r>
      <w:r w:rsidRPr="007D152B">
        <w:rPr>
          <w:sz w:val="18"/>
          <w:szCs w:val="18"/>
        </w:rPr>
        <w:t xml:space="preserve">-uitstoot bij een dergelijke benadering is daarom nog onzeker. Een </w:t>
      </w:r>
      <w:r w:rsidRPr="00000269" w:rsidR="00EB4B06">
        <w:rPr>
          <w:sz w:val="18"/>
        </w:rPr>
        <w:t>'well to wheel'</w:t>
      </w:r>
      <w:r w:rsidRPr="007D152B">
        <w:rPr>
          <w:sz w:val="18"/>
          <w:szCs w:val="18"/>
        </w:rPr>
        <w:t>-differentiatie in de BPM of MRB of voor een verlaagde bijtelling voor die auto</w:t>
      </w:r>
      <w:r w:rsidR="00B546EF">
        <w:rPr>
          <w:sz w:val="18"/>
          <w:szCs w:val="18"/>
        </w:rPr>
        <w:t>’</w:t>
      </w:r>
      <w:r w:rsidRPr="007D152B">
        <w:rPr>
          <w:sz w:val="18"/>
          <w:szCs w:val="18"/>
        </w:rPr>
        <w:t xml:space="preserve">s </w:t>
      </w:r>
      <w:r w:rsidR="00B546EF">
        <w:rPr>
          <w:sz w:val="18"/>
          <w:szCs w:val="18"/>
        </w:rPr>
        <w:t xml:space="preserve">op basis van </w:t>
      </w:r>
      <w:r w:rsidR="00B546EF">
        <w:rPr>
          <w:sz w:val="18"/>
          <w:szCs w:val="18"/>
        </w:rPr>
        <w:lastRenderedPageBreak/>
        <w:t>een brandstof waarvan het gebruik overigens niet kan worden gegarandeerd</w:t>
      </w:r>
      <w:r w:rsidR="00B546EF">
        <w:rPr>
          <w:rStyle w:val="Voetnootmarkering"/>
          <w:sz w:val="18"/>
          <w:szCs w:val="18"/>
        </w:rPr>
        <w:footnoteReference w:id="7"/>
      </w:r>
      <w:r w:rsidR="00B546EF">
        <w:rPr>
          <w:sz w:val="18"/>
          <w:szCs w:val="18"/>
        </w:rPr>
        <w:t xml:space="preserve">, </w:t>
      </w:r>
      <w:r w:rsidRPr="007D152B">
        <w:rPr>
          <w:sz w:val="18"/>
          <w:szCs w:val="18"/>
        </w:rPr>
        <w:t xml:space="preserve">ligt derhalve niet voor de hand. </w:t>
      </w:r>
      <w:r w:rsidR="00324DA1">
        <w:rPr>
          <w:sz w:val="18"/>
          <w:szCs w:val="18"/>
        </w:rPr>
        <w:t xml:space="preserve">Een flexifuel auto kan bijvoorbeeld op </w:t>
      </w:r>
      <w:r w:rsidR="00CC0219">
        <w:rPr>
          <w:sz w:val="18"/>
          <w:szCs w:val="18"/>
        </w:rPr>
        <w:t xml:space="preserve">fossiele benzine en </w:t>
      </w:r>
      <w:r w:rsidR="00324DA1">
        <w:rPr>
          <w:sz w:val="18"/>
          <w:szCs w:val="18"/>
        </w:rPr>
        <w:t xml:space="preserve">E85 rijden, een dieselauto op fossiele diesel en biodiesel en een aardgasauto op fossiel aardgas, biogas (groen gas) en op fossiele benzine. Al deze brandstoffen hebben sterk verschillende </w:t>
      </w:r>
      <w:r w:rsidRPr="00000269" w:rsidR="008A1E72">
        <w:rPr>
          <w:sz w:val="18"/>
        </w:rPr>
        <w:t>'</w:t>
      </w:r>
      <w:r w:rsidR="00324DA1">
        <w:rPr>
          <w:sz w:val="18"/>
          <w:szCs w:val="18"/>
        </w:rPr>
        <w:t>well to wheel</w:t>
      </w:r>
      <w:r w:rsidRPr="00000269" w:rsidR="008A1E72">
        <w:rPr>
          <w:sz w:val="18"/>
        </w:rPr>
        <w:t>'</w:t>
      </w:r>
      <w:r w:rsidR="00BE7FA6">
        <w:rPr>
          <w:sz w:val="18"/>
          <w:szCs w:val="18"/>
        </w:rPr>
        <w:t xml:space="preserve"> </w:t>
      </w:r>
      <w:r w:rsidR="00324DA1">
        <w:rPr>
          <w:sz w:val="18"/>
          <w:szCs w:val="18"/>
        </w:rPr>
        <w:t>CO</w:t>
      </w:r>
      <w:r w:rsidRPr="00324DA1" w:rsidR="00324DA1">
        <w:rPr>
          <w:sz w:val="18"/>
          <w:szCs w:val="18"/>
          <w:vertAlign w:val="subscript"/>
        </w:rPr>
        <w:t>2</w:t>
      </w:r>
      <w:r w:rsidR="00324DA1">
        <w:rPr>
          <w:sz w:val="18"/>
          <w:szCs w:val="18"/>
        </w:rPr>
        <w:t xml:space="preserve">-uitstootwaarden. Ook dit is een belangrijke reden waarom </w:t>
      </w:r>
      <w:r w:rsidR="00F51969">
        <w:rPr>
          <w:sz w:val="18"/>
          <w:szCs w:val="18"/>
        </w:rPr>
        <w:t xml:space="preserve">de </w:t>
      </w:r>
      <w:r w:rsidR="00BE7FA6">
        <w:rPr>
          <w:sz w:val="18"/>
          <w:szCs w:val="18"/>
        </w:rPr>
        <w:t>‘</w:t>
      </w:r>
      <w:r w:rsidR="00F51969">
        <w:rPr>
          <w:sz w:val="18"/>
          <w:szCs w:val="18"/>
        </w:rPr>
        <w:t xml:space="preserve">well to </w:t>
      </w:r>
      <w:r w:rsidR="00BE7FA6">
        <w:rPr>
          <w:sz w:val="18"/>
          <w:szCs w:val="18"/>
        </w:rPr>
        <w:t xml:space="preserve">wheel’ </w:t>
      </w:r>
      <w:r w:rsidR="00F51969">
        <w:rPr>
          <w:sz w:val="18"/>
          <w:szCs w:val="18"/>
        </w:rPr>
        <w:t>CO</w:t>
      </w:r>
      <w:r w:rsidRPr="00F51969" w:rsidR="00F51969">
        <w:rPr>
          <w:sz w:val="18"/>
          <w:szCs w:val="18"/>
          <w:vertAlign w:val="subscript"/>
        </w:rPr>
        <w:t>2</w:t>
      </w:r>
      <w:r w:rsidR="00F51969">
        <w:rPr>
          <w:sz w:val="18"/>
          <w:szCs w:val="18"/>
        </w:rPr>
        <w:t>-emmissie niet voor fiscale stimulering in</w:t>
      </w:r>
      <w:r w:rsidR="007E5C91">
        <w:rPr>
          <w:sz w:val="18"/>
          <w:szCs w:val="18"/>
        </w:rPr>
        <w:t xml:space="preserve"> </w:t>
      </w:r>
      <w:r w:rsidR="00F51969">
        <w:rPr>
          <w:sz w:val="18"/>
          <w:szCs w:val="18"/>
        </w:rPr>
        <w:t>de BPM of MRB kan worden gebruikt.</w:t>
      </w:r>
      <w:r w:rsidR="00324DA1">
        <w:rPr>
          <w:sz w:val="18"/>
          <w:szCs w:val="18"/>
        </w:rPr>
        <w:t xml:space="preserve"> </w:t>
      </w:r>
      <w:r w:rsidRPr="007D152B">
        <w:rPr>
          <w:sz w:val="18"/>
          <w:szCs w:val="18"/>
        </w:rPr>
        <w:t xml:space="preserve">Bovendien vereist de </w:t>
      </w:r>
      <w:r w:rsidRPr="00000269" w:rsidR="00EB4B06">
        <w:rPr>
          <w:sz w:val="18"/>
        </w:rPr>
        <w:t>'well to wheel'</w:t>
      </w:r>
      <w:r w:rsidRPr="007D152B">
        <w:rPr>
          <w:sz w:val="18"/>
          <w:szCs w:val="18"/>
        </w:rPr>
        <w:t xml:space="preserve"> benadering ook een strikte vastlegging van de productiemethode, bij</w:t>
      </w:r>
      <w:r w:rsidR="00EB4B06">
        <w:rPr>
          <w:sz w:val="18"/>
          <w:szCs w:val="18"/>
        </w:rPr>
        <w:t>voorbeeld via</w:t>
      </w:r>
      <w:r w:rsidRPr="007D152B">
        <w:rPr>
          <w:sz w:val="18"/>
          <w:szCs w:val="18"/>
        </w:rPr>
        <w:t xml:space="preserve"> een certificeringsysteem. Niet elke biobrandstof of elektriciteitsopwekking leidt tot dezelfde CO</w:t>
      </w:r>
      <w:r w:rsidRPr="007D152B">
        <w:rPr>
          <w:sz w:val="18"/>
          <w:szCs w:val="18"/>
          <w:vertAlign w:val="subscript"/>
        </w:rPr>
        <w:t>2</w:t>
      </w:r>
      <w:r w:rsidRPr="007D152B">
        <w:rPr>
          <w:sz w:val="18"/>
          <w:szCs w:val="18"/>
        </w:rPr>
        <w:t xml:space="preserve">-reductie. </w:t>
      </w:r>
      <w:r w:rsidR="007E5C91">
        <w:rPr>
          <w:sz w:val="18"/>
          <w:szCs w:val="18"/>
        </w:rPr>
        <w:t>Ook groen gas kent verschillende productiemethoden, waardoor ook voor de verschillende soorten groen gas verschillende CO</w:t>
      </w:r>
      <w:r w:rsidRPr="00BE5CE0" w:rsidR="00BE5CE0">
        <w:rPr>
          <w:sz w:val="18"/>
          <w:szCs w:val="18"/>
          <w:vertAlign w:val="subscript"/>
        </w:rPr>
        <w:t>2</w:t>
      </w:r>
      <w:r w:rsidR="007E5C91">
        <w:rPr>
          <w:sz w:val="18"/>
          <w:szCs w:val="18"/>
        </w:rPr>
        <w:t xml:space="preserve">-reductiewaarden gelden. </w:t>
      </w:r>
      <w:r w:rsidRPr="007D152B" w:rsidR="00EF6456">
        <w:rPr>
          <w:sz w:val="18"/>
          <w:szCs w:val="18"/>
        </w:rPr>
        <w:t xml:space="preserve">Om een indicatie te geven </w:t>
      </w:r>
      <w:r w:rsidR="00EF6456">
        <w:rPr>
          <w:sz w:val="18"/>
          <w:szCs w:val="18"/>
        </w:rPr>
        <w:t>over de ‘well to wheel’-emissieprestaties van autobrandstoffen</w:t>
      </w:r>
      <w:r w:rsidRPr="00000269" w:rsidR="00EF6456">
        <w:rPr>
          <w:sz w:val="18"/>
        </w:rPr>
        <w:t>'</w:t>
      </w:r>
      <w:r w:rsidRPr="007D152B" w:rsidR="00EF6456">
        <w:rPr>
          <w:sz w:val="18"/>
          <w:szCs w:val="18"/>
        </w:rPr>
        <w:t xml:space="preserve"> is de volgende </w:t>
      </w:r>
      <w:r w:rsidR="002A30DC">
        <w:rPr>
          <w:sz w:val="18"/>
          <w:szCs w:val="18"/>
        </w:rPr>
        <w:t>grafiek</w:t>
      </w:r>
      <w:r w:rsidR="0045007E">
        <w:rPr>
          <w:sz w:val="18"/>
          <w:szCs w:val="18"/>
        </w:rPr>
        <w:t xml:space="preserve"> 1 opgenomen</w:t>
      </w:r>
      <w:r w:rsidR="002A30DC">
        <w:rPr>
          <w:sz w:val="18"/>
          <w:szCs w:val="18"/>
        </w:rPr>
        <w:t xml:space="preserve"> </w:t>
      </w:r>
      <w:r w:rsidR="00EF6456">
        <w:rPr>
          <w:sz w:val="18"/>
          <w:szCs w:val="18"/>
        </w:rPr>
        <w:t xml:space="preserve">uit een </w:t>
      </w:r>
      <w:r w:rsidRPr="00872C0A" w:rsidR="00EF6456">
        <w:rPr>
          <w:sz w:val="18"/>
          <w:szCs w:val="18"/>
        </w:rPr>
        <w:t xml:space="preserve">TNO rapport </w:t>
      </w:r>
      <w:r w:rsidR="00EF6456">
        <w:rPr>
          <w:sz w:val="18"/>
          <w:szCs w:val="18"/>
        </w:rPr>
        <w:t xml:space="preserve">over de </w:t>
      </w:r>
      <w:r w:rsidRPr="00872C0A" w:rsidR="00EF6456">
        <w:rPr>
          <w:sz w:val="18"/>
          <w:szCs w:val="18"/>
        </w:rPr>
        <w:t>emissieprestaties van de jonge Nederlandse personenwagens met LPG en CNG installaties</w:t>
      </w:r>
      <w:r w:rsidR="002D7BB3">
        <w:rPr>
          <w:sz w:val="18"/>
          <w:szCs w:val="18"/>
        </w:rPr>
        <w:t>, waarbij CBG als groen gas kan worden beschouwd</w:t>
      </w:r>
      <w:r w:rsidRPr="007D152B" w:rsidR="00EF6456">
        <w:rPr>
          <w:sz w:val="18"/>
          <w:szCs w:val="18"/>
        </w:rPr>
        <w:t xml:space="preserve">. </w:t>
      </w:r>
      <w:r w:rsidR="00EF6456">
        <w:rPr>
          <w:sz w:val="18"/>
          <w:szCs w:val="18"/>
        </w:rPr>
        <w:t xml:space="preserve">Dit onderzoek is op 18 juni 2010 door </w:t>
      </w:r>
      <w:r w:rsidRPr="00087731" w:rsidR="00EF6456">
        <w:rPr>
          <w:sz w:val="18"/>
          <w:szCs w:val="18"/>
        </w:rPr>
        <w:t xml:space="preserve">de </w:t>
      </w:r>
      <w:r w:rsidR="00EF6456">
        <w:rPr>
          <w:sz w:val="18"/>
          <w:szCs w:val="18"/>
        </w:rPr>
        <w:t xml:space="preserve">toenmalig </w:t>
      </w:r>
      <w:r w:rsidRPr="00087731" w:rsidR="00EF6456">
        <w:rPr>
          <w:sz w:val="18"/>
          <w:szCs w:val="18"/>
        </w:rPr>
        <w:t>minister van Volkshuisvesting,</w:t>
      </w:r>
      <w:r w:rsidR="00EF6456">
        <w:rPr>
          <w:sz w:val="18"/>
          <w:szCs w:val="18"/>
        </w:rPr>
        <w:t xml:space="preserve"> </w:t>
      </w:r>
      <w:r w:rsidRPr="00087731" w:rsidR="00EF6456">
        <w:rPr>
          <w:sz w:val="18"/>
          <w:szCs w:val="18"/>
        </w:rPr>
        <w:t xml:space="preserve">Ruimtelijke Ordening en Milieubeheer </w:t>
      </w:r>
      <w:r w:rsidR="00EF6456">
        <w:rPr>
          <w:sz w:val="18"/>
          <w:szCs w:val="18"/>
        </w:rPr>
        <w:t xml:space="preserve">als bijlage aan de Tweede Kamer toegezonden bij </w:t>
      </w:r>
      <w:r w:rsidR="00F57018">
        <w:rPr>
          <w:sz w:val="18"/>
          <w:szCs w:val="18"/>
        </w:rPr>
        <w:t xml:space="preserve">de </w:t>
      </w:r>
      <w:r w:rsidR="00EF6456">
        <w:rPr>
          <w:sz w:val="18"/>
          <w:szCs w:val="18"/>
        </w:rPr>
        <w:t xml:space="preserve">brief over </w:t>
      </w:r>
      <w:r w:rsidRPr="00087731" w:rsidR="00EF6456">
        <w:rPr>
          <w:i/>
          <w:sz w:val="18"/>
          <w:szCs w:val="18"/>
        </w:rPr>
        <w:t>“d</w:t>
      </w:r>
      <w:r w:rsidRPr="00087731" w:rsidR="00EF6456">
        <w:rPr>
          <w:i/>
          <w:sz w:val="18"/>
          <w:szCs w:val="18"/>
          <w:lang w:val="fr-FR"/>
        </w:rPr>
        <w:t>e gevolgen van Europese regelgeving voor Nederlandse wegverkeersemissies"</w:t>
      </w:r>
      <w:r w:rsidR="00C61C11">
        <w:rPr>
          <w:i/>
          <w:sz w:val="18"/>
          <w:szCs w:val="18"/>
          <w:lang w:val="fr-FR"/>
        </w:rPr>
        <w:t>.</w:t>
      </w:r>
      <w:r w:rsidR="00EF6456">
        <w:rPr>
          <w:rStyle w:val="Voetnootmarkering"/>
          <w:i/>
          <w:sz w:val="18"/>
          <w:szCs w:val="18"/>
          <w:lang w:val="fr-FR"/>
        </w:rPr>
        <w:footnoteReference w:id="8"/>
      </w:r>
      <w:r w:rsidRPr="00087731" w:rsidR="00EF6456">
        <w:rPr>
          <w:sz w:val="18"/>
          <w:szCs w:val="18"/>
        </w:rPr>
        <w:t xml:space="preserve"> </w:t>
      </w:r>
    </w:p>
    <w:p w:rsidR="004364A3" w:rsidP="00781CF8" w:rsidRDefault="004364A3">
      <w:pPr>
        <w:spacing w:after="0"/>
        <w:rPr>
          <w:sz w:val="18"/>
          <w:szCs w:val="18"/>
        </w:rPr>
      </w:pPr>
    </w:p>
    <w:p w:rsidR="004364A3" w:rsidP="00781CF8" w:rsidRDefault="004364A3">
      <w:pPr>
        <w:spacing w:after="0"/>
        <w:rPr>
          <w:sz w:val="18"/>
          <w:szCs w:val="18"/>
        </w:rPr>
      </w:pPr>
    </w:p>
    <w:p w:rsidRPr="004364A3" w:rsidR="00EF6456" w:rsidP="00781CF8" w:rsidRDefault="004364A3">
      <w:pPr>
        <w:spacing w:after="0"/>
        <w:rPr>
          <w:b/>
          <w:i/>
          <w:sz w:val="16"/>
          <w:szCs w:val="16"/>
        </w:rPr>
      </w:pPr>
      <w:r w:rsidRPr="004364A3">
        <w:rPr>
          <w:b/>
          <w:i/>
          <w:sz w:val="16"/>
          <w:szCs w:val="16"/>
        </w:rPr>
        <w:t xml:space="preserve">Grafiek 1: </w:t>
      </w:r>
      <w:r w:rsidR="009E748A">
        <w:rPr>
          <w:b/>
          <w:i/>
          <w:sz w:val="16"/>
          <w:szCs w:val="16"/>
        </w:rPr>
        <w:t>W</w:t>
      </w:r>
      <w:r w:rsidRPr="004364A3">
        <w:rPr>
          <w:b/>
          <w:i/>
          <w:sz w:val="16"/>
          <w:szCs w:val="16"/>
        </w:rPr>
        <w:t>ell to wheel prestaties verschillende brandstoffen</w:t>
      </w:r>
    </w:p>
    <w:p w:rsidR="004364A3" w:rsidP="00781CF8" w:rsidRDefault="004364A3">
      <w:pPr>
        <w:spacing w:after="0"/>
        <w:rPr>
          <w:sz w:val="18"/>
          <w:szCs w:val="18"/>
        </w:rPr>
      </w:pPr>
    </w:p>
    <w:p w:rsidR="00EF6456" w:rsidP="00781CF8" w:rsidRDefault="00EF6456">
      <w:pPr>
        <w:spacing w:after="0"/>
        <w:rPr>
          <w:sz w:val="18"/>
          <w:szCs w:val="18"/>
        </w:rPr>
      </w:pPr>
      <w:r>
        <w:rPr>
          <w:noProof/>
          <w:sz w:val="18"/>
          <w:szCs w:val="18"/>
          <w:lang w:eastAsia="nl-NL"/>
        </w:rPr>
        <w:drawing>
          <wp:inline distT="0" distB="0" distL="0" distR="0">
            <wp:extent cx="5772150" cy="2286000"/>
            <wp:effectExtent l="19050" t="0" r="0" b="0"/>
            <wp:docPr id="13" name="Afbeelding 9" descr="cid:image002.png@01CC1091.79228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cid:image002.png@01CC1091.792286F0"/>
                    <pic:cNvPicPr>
                      <a:picLocks noChangeAspect="1" noChangeArrowheads="1"/>
                    </pic:cNvPicPr>
                  </pic:nvPicPr>
                  <pic:blipFill>
                    <a:blip r:embed="rId7" r:link="rId8"/>
                    <a:srcRect/>
                    <a:stretch>
                      <a:fillRect/>
                    </a:stretch>
                  </pic:blipFill>
                  <pic:spPr bwMode="auto">
                    <a:xfrm>
                      <a:off x="0" y="0"/>
                      <a:ext cx="5772150" cy="2286000"/>
                    </a:xfrm>
                    <a:prstGeom prst="rect">
                      <a:avLst/>
                    </a:prstGeom>
                    <a:noFill/>
                    <a:ln w="9525">
                      <a:noFill/>
                      <a:miter lim="800000"/>
                      <a:headEnd/>
                      <a:tailEnd/>
                    </a:ln>
                  </pic:spPr>
                </pic:pic>
              </a:graphicData>
            </a:graphic>
          </wp:inline>
        </w:drawing>
      </w:r>
    </w:p>
    <w:p w:rsidR="002D7BB3" w:rsidP="00781CF8" w:rsidRDefault="002D7BB3">
      <w:pPr>
        <w:spacing w:after="0"/>
        <w:rPr>
          <w:sz w:val="18"/>
          <w:szCs w:val="18"/>
        </w:rPr>
      </w:pPr>
    </w:p>
    <w:p w:rsidR="00EF6456" w:rsidP="00781CF8" w:rsidRDefault="00EF6456">
      <w:pPr>
        <w:spacing w:after="0"/>
        <w:rPr>
          <w:sz w:val="18"/>
          <w:szCs w:val="18"/>
        </w:rPr>
      </w:pPr>
      <w:r>
        <w:rPr>
          <w:sz w:val="18"/>
          <w:szCs w:val="18"/>
        </w:rPr>
        <w:t xml:space="preserve">Ter indicatie is </w:t>
      </w:r>
      <w:r w:rsidR="0045007E">
        <w:rPr>
          <w:sz w:val="18"/>
          <w:szCs w:val="18"/>
        </w:rPr>
        <w:t xml:space="preserve">hierna </w:t>
      </w:r>
      <w:r w:rsidR="00F57018">
        <w:rPr>
          <w:sz w:val="18"/>
          <w:szCs w:val="18"/>
        </w:rPr>
        <w:t xml:space="preserve">een meer inzichtelijk overzicht </w:t>
      </w:r>
      <w:r w:rsidR="0045007E">
        <w:rPr>
          <w:sz w:val="18"/>
          <w:szCs w:val="18"/>
        </w:rPr>
        <w:t xml:space="preserve">(grafiek 2) </w:t>
      </w:r>
      <w:r w:rsidR="00F57018">
        <w:rPr>
          <w:sz w:val="18"/>
          <w:szCs w:val="18"/>
        </w:rPr>
        <w:t>opgenomen</w:t>
      </w:r>
      <w:r>
        <w:rPr>
          <w:sz w:val="18"/>
          <w:szCs w:val="18"/>
        </w:rPr>
        <w:t xml:space="preserve">. De hierin opgenomen gegevens zijn echter enigszins </w:t>
      </w:r>
      <w:r w:rsidR="00BE7FA6">
        <w:rPr>
          <w:sz w:val="18"/>
          <w:szCs w:val="18"/>
        </w:rPr>
        <w:t>gedateerd</w:t>
      </w:r>
      <w:r>
        <w:rPr>
          <w:sz w:val="18"/>
          <w:szCs w:val="18"/>
        </w:rPr>
        <w:t xml:space="preserve">. </w:t>
      </w:r>
      <w:r w:rsidR="002A30DC">
        <w:rPr>
          <w:sz w:val="18"/>
          <w:szCs w:val="18"/>
        </w:rPr>
        <w:t>D</w:t>
      </w:r>
      <w:r>
        <w:rPr>
          <w:sz w:val="18"/>
          <w:szCs w:val="18"/>
        </w:rPr>
        <w:t>e hier</w:t>
      </w:r>
      <w:r w:rsidR="008A1E72">
        <w:rPr>
          <w:sz w:val="18"/>
          <w:szCs w:val="18"/>
        </w:rPr>
        <w:t>in</w:t>
      </w:r>
      <w:r>
        <w:rPr>
          <w:sz w:val="18"/>
          <w:szCs w:val="18"/>
        </w:rPr>
        <w:t xml:space="preserve"> vermelde </w:t>
      </w:r>
      <w:r w:rsidR="008A1E72">
        <w:rPr>
          <w:sz w:val="18"/>
          <w:szCs w:val="18"/>
        </w:rPr>
        <w:t>CO</w:t>
      </w:r>
      <w:r w:rsidRPr="00BE5CE0" w:rsidR="00BE5CE0">
        <w:rPr>
          <w:sz w:val="18"/>
          <w:szCs w:val="18"/>
          <w:vertAlign w:val="subscript"/>
        </w:rPr>
        <w:t>2</w:t>
      </w:r>
      <w:r w:rsidR="008A1E72">
        <w:rPr>
          <w:sz w:val="18"/>
          <w:szCs w:val="18"/>
        </w:rPr>
        <w:t>-emissie betreft</w:t>
      </w:r>
      <w:r w:rsidR="00D92670">
        <w:rPr>
          <w:sz w:val="18"/>
          <w:szCs w:val="18"/>
        </w:rPr>
        <w:t xml:space="preserve"> </w:t>
      </w:r>
      <w:r w:rsidR="002A30DC">
        <w:rPr>
          <w:sz w:val="18"/>
          <w:szCs w:val="18"/>
        </w:rPr>
        <w:t xml:space="preserve">eveneens </w:t>
      </w:r>
      <w:r w:rsidR="00D92670">
        <w:rPr>
          <w:sz w:val="18"/>
          <w:szCs w:val="18"/>
        </w:rPr>
        <w:t xml:space="preserve">de ‘well to wheel’ </w:t>
      </w:r>
      <w:r>
        <w:rPr>
          <w:sz w:val="18"/>
          <w:szCs w:val="18"/>
        </w:rPr>
        <w:t>CO</w:t>
      </w:r>
      <w:r w:rsidRPr="009E1457">
        <w:rPr>
          <w:sz w:val="18"/>
          <w:szCs w:val="18"/>
          <w:vertAlign w:val="subscript"/>
        </w:rPr>
        <w:t>2</w:t>
      </w:r>
      <w:r>
        <w:rPr>
          <w:sz w:val="18"/>
          <w:szCs w:val="18"/>
        </w:rPr>
        <w:t>-uitstoot</w:t>
      </w:r>
      <w:r w:rsidR="002D7BB3">
        <w:rPr>
          <w:sz w:val="18"/>
          <w:szCs w:val="18"/>
        </w:rPr>
        <w:t xml:space="preserve"> van de productie van het groen gas</w:t>
      </w:r>
      <w:r>
        <w:rPr>
          <w:sz w:val="18"/>
          <w:szCs w:val="18"/>
        </w:rPr>
        <w:t>.</w:t>
      </w:r>
    </w:p>
    <w:p w:rsidR="007E5C91" w:rsidP="00781CF8" w:rsidRDefault="007E5C91">
      <w:pPr>
        <w:spacing w:after="0"/>
        <w:rPr>
          <w:sz w:val="18"/>
          <w:szCs w:val="18"/>
        </w:rPr>
      </w:pPr>
    </w:p>
    <w:p w:rsidR="004364A3" w:rsidRDefault="004364A3">
      <w:pPr>
        <w:spacing w:after="0" w:line="240" w:lineRule="auto"/>
        <w:rPr>
          <w:sz w:val="18"/>
          <w:szCs w:val="18"/>
        </w:rPr>
      </w:pPr>
      <w:r>
        <w:rPr>
          <w:sz w:val="18"/>
          <w:szCs w:val="18"/>
        </w:rPr>
        <w:br w:type="page"/>
      </w:r>
    </w:p>
    <w:p w:rsidR="004364A3" w:rsidP="00781CF8" w:rsidRDefault="004364A3">
      <w:pPr>
        <w:spacing w:after="0"/>
        <w:rPr>
          <w:i/>
          <w:sz w:val="16"/>
          <w:szCs w:val="16"/>
        </w:rPr>
      </w:pPr>
      <w:r w:rsidRPr="004364A3">
        <w:rPr>
          <w:b/>
          <w:i/>
          <w:sz w:val="16"/>
          <w:szCs w:val="16"/>
        </w:rPr>
        <w:lastRenderedPageBreak/>
        <w:t>Grafiek 2: Brandstofemissies in g</w:t>
      </w:r>
      <w:r w:rsidR="005A289B">
        <w:rPr>
          <w:b/>
          <w:i/>
          <w:sz w:val="16"/>
          <w:szCs w:val="16"/>
        </w:rPr>
        <w:t>r</w:t>
      </w:r>
      <w:r w:rsidRPr="004364A3">
        <w:rPr>
          <w:b/>
          <w:i/>
          <w:sz w:val="16"/>
          <w:szCs w:val="16"/>
        </w:rPr>
        <w:t>/km</w:t>
      </w:r>
    </w:p>
    <w:p w:rsidRPr="00F57018" w:rsidR="00F57018" w:rsidP="00781CF8" w:rsidRDefault="00F57018">
      <w:pPr>
        <w:spacing w:after="0"/>
        <w:rPr>
          <w:i/>
          <w:sz w:val="16"/>
          <w:szCs w:val="16"/>
        </w:rPr>
      </w:pPr>
    </w:p>
    <w:p w:rsidR="00EF6456" w:rsidP="00781CF8" w:rsidRDefault="00F57018">
      <w:pPr>
        <w:spacing w:after="0"/>
        <w:rPr>
          <w:noProof/>
          <w:sz w:val="18"/>
          <w:szCs w:val="18"/>
          <w:lang w:eastAsia="nl-NL"/>
        </w:rPr>
      </w:pPr>
      <w:r>
        <w:rPr>
          <w:noProof/>
          <w:sz w:val="18"/>
          <w:szCs w:val="18"/>
          <w:lang w:eastAsia="nl-NL"/>
        </w:rPr>
        <w:drawing>
          <wp:inline distT="0" distB="0" distL="0" distR="0">
            <wp:extent cx="5760085" cy="2736656"/>
            <wp:effectExtent l="19050" t="0" r="0" b="0"/>
            <wp:docPr id="2" name="Afbeelding 1" descr="C:\Users\TAKENS\AppData\Local\Microsoft\Windows\Temporary Internet Files\Content.Outlook\QR3Q3EBN\img_000283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KENS\AppData\Local\Microsoft\Windows\Temporary Internet Files\Content.Outlook\QR3Q3EBN\img_000283_01.jpg"/>
                    <pic:cNvPicPr>
                      <a:picLocks noChangeAspect="1" noChangeArrowheads="1"/>
                    </pic:cNvPicPr>
                  </pic:nvPicPr>
                  <pic:blipFill>
                    <a:blip r:embed="rId9"/>
                    <a:srcRect/>
                    <a:stretch>
                      <a:fillRect/>
                    </a:stretch>
                  </pic:blipFill>
                  <pic:spPr bwMode="auto">
                    <a:xfrm>
                      <a:off x="0" y="0"/>
                      <a:ext cx="5760085" cy="2736656"/>
                    </a:xfrm>
                    <a:prstGeom prst="rect">
                      <a:avLst/>
                    </a:prstGeom>
                    <a:noFill/>
                    <a:ln w="9525">
                      <a:noFill/>
                      <a:miter lim="800000"/>
                      <a:headEnd/>
                      <a:tailEnd/>
                    </a:ln>
                  </pic:spPr>
                </pic:pic>
              </a:graphicData>
            </a:graphic>
          </wp:inline>
        </w:drawing>
      </w:r>
    </w:p>
    <w:p w:rsidRPr="00C61C11" w:rsidR="00EF6456" w:rsidP="00781CF8" w:rsidRDefault="00BE5CE0">
      <w:pPr>
        <w:spacing w:after="0"/>
        <w:rPr>
          <w:sz w:val="16"/>
          <w:szCs w:val="16"/>
        </w:rPr>
      </w:pPr>
      <w:r w:rsidRPr="00BE5CE0">
        <w:rPr>
          <w:sz w:val="16"/>
          <w:szCs w:val="16"/>
        </w:rPr>
        <w:t>Bron: www. fuelswitch.nl</w:t>
      </w:r>
    </w:p>
    <w:p w:rsidR="00C61C11" w:rsidP="00781CF8" w:rsidRDefault="00C61C11">
      <w:pPr>
        <w:pStyle w:val="Kop1"/>
        <w:spacing w:before="0"/>
        <w:rPr>
          <w:rFonts w:ascii="Verdana" w:hAnsi="Verdana"/>
          <w:color w:val="auto"/>
          <w:sz w:val="18"/>
          <w:szCs w:val="18"/>
        </w:rPr>
      </w:pPr>
    </w:p>
    <w:p w:rsidR="002534D4" w:rsidRDefault="002534D4">
      <w:pPr>
        <w:spacing w:after="0" w:line="240" w:lineRule="auto"/>
        <w:rPr>
          <w:rFonts w:eastAsiaTheme="majorEastAsia" w:cstheme="majorBidi"/>
          <w:b/>
          <w:bCs/>
          <w:sz w:val="18"/>
          <w:szCs w:val="18"/>
        </w:rPr>
      </w:pPr>
      <w:r>
        <w:rPr>
          <w:sz w:val="18"/>
          <w:szCs w:val="18"/>
        </w:rPr>
        <w:br w:type="page"/>
      </w:r>
    </w:p>
    <w:p w:rsidRPr="0062433D" w:rsidR="002B58DF" w:rsidP="00781CF8" w:rsidRDefault="002B58DF">
      <w:pPr>
        <w:pStyle w:val="Kop1"/>
        <w:spacing w:before="0"/>
        <w:rPr>
          <w:rFonts w:ascii="Verdana" w:hAnsi="Verdana"/>
          <w:color w:val="auto"/>
          <w:sz w:val="18"/>
          <w:szCs w:val="18"/>
        </w:rPr>
      </w:pPr>
      <w:bookmarkStart w:name="_Toc293998522" w:id="6"/>
      <w:r w:rsidRPr="0062433D">
        <w:rPr>
          <w:rFonts w:ascii="Verdana" w:hAnsi="Verdana"/>
          <w:color w:val="auto"/>
          <w:sz w:val="18"/>
          <w:szCs w:val="18"/>
        </w:rPr>
        <w:lastRenderedPageBreak/>
        <w:t xml:space="preserve">Hoofdstuk </w:t>
      </w:r>
      <w:r>
        <w:rPr>
          <w:rFonts w:ascii="Verdana" w:hAnsi="Verdana"/>
          <w:color w:val="auto"/>
          <w:sz w:val="18"/>
          <w:szCs w:val="18"/>
        </w:rPr>
        <w:t>3</w:t>
      </w:r>
      <w:r w:rsidRPr="0062433D">
        <w:rPr>
          <w:rFonts w:ascii="Verdana" w:hAnsi="Verdana"/>
          <w:color w:val="auto"/>
          <w:sz w:val="18"/>
          <w:szCs w:val="18"/>
        </w:rPr>
        <w:t xml:space="preserve">. </w:t>
      </w:r>
      <w:r>
        <w:rPr>
          <w:rFonts w:ascii="Verdana" w:hAnsi="Verdana"/>
          <w:color w:val="auto"/>
          <w:sz w:val="18"/>
          <w:szCs w:val="18"/>
        </w:rPr>
        <w:t>Het o</w:t>
      </w:r>
      <w:r w:rsidRPr="0062433D">
        <w:rPr>
          <w:rFonts w:ascii="Verdana" w:hAnsi="Verdana"/>
          <w:color w:val="auto"/>
          <w:sz w:val="18"/>
          <w:szCs w:val="18"/>
        </w:rPr>
        <w:t>nderzoek naar de fiscale stimulering (zeer) zuinige auto’s</w:t>
      </w:r>
      <w:bookmarkEnd w:id="6"/>
    </w:p>
    <w:p w:rsidRPr="0062433D" w:rsidR="002B58DF" w:rsidP="00781CF8" w:rsidRDefault="002B58DF">
      <w:pPr>
        <w:spacing w:after="0" w:line="240" w:lineRule="atLeast"/>
        <w:rPr>
          <w:sz w:val="18"/>
          <w:szCs w:val="18"/>
        </w:rPr>
      </w:pPr>
    </w:p>
    <w:p w:rsidRPr="0062433D" w:rsidR="002B58DF" w:rsidP="00781CF8" w:rsidRDefault="002B58DF">
      <w:pPr>
        <w:pStyle w:val="Kop2"/>
        <w:spacing w:before="0"/>
        <w:rPr>
          <w:rFonts w:ascii="Verdana" w:hAnsi="Verdana"/>
          <w:color w:val="auto"/>
          <w:sz w:val="18"/>
          <w:szCs w:val="18"/>
        </w:rPr>
      </w:pPr>
      <w:bookmarkStart w:name="_Toc293998523" w:id="7"/>
      <w:r>
        <w:rPr>
          <w:rFonts w:ascii="Verdana" w:hAnsi="Verdana"/>
          <w:color w:val="auto"/>
          <w:sz w:val="18"/>
          <w:szCs w:val="18"/>
        </w:rPr>
        <w:t>3</w:t>
      </w:r>
      <w:r w:rsidRPr="0062433D">
        <w:rPr>
          <w:rFonts w:ascii="Verdana" w:hAnsi="Verdana"/>
          <w:color w:val="auto"/>
          <w:sz w:val="18"/>
          <w:szCs w:val="18"/>
        </w:rPr>
        <w:t>.1. Een terugblik op fiscale stimulering</w:t>
      </w:r>
      <w:bookmarkEnd w:id="7"/>
    </w:p>
    <w:p w:rsidRPr="000B4597" w:rsidR="002B58DF" w:rsidP="00781CF8" w:rsidRDefault="002B58DF">
      <w:pPr>
        <w:spacing w:after="0" w:line="240" w:lineRule="atLeast"/>
        <w:rPr>
          <w:sz w:val="18"/>
        </w:rPr>
      </w:pPr>
      <w:r>
        <w:rPr>
          <w:sz w:val="18"/>
        </w:rPr>
        <w:t>Door het externe onderzoeksbrureau Ecorys zijn</w:t>
      </w:r>
      <w:r w:rsidRPr="000B4597">
        <w:rPr>
          <w:sz w:val="18"/>
        </w:rPr>
        <w:t xml:space="preserve"> op verzoek van het ministerie van Financiën de veranderingen in de nieuwverkopen van personenauto’s in omvang en samenstelling onderzocht. </w:t>
      </w:r>
      <w:r>
        <w:rPr>
          <w:sz w:val="18"/>
        </w:rPr>
        <w:t xml:space="preserve">In dat onderzoek hebben de jaren 2005 tot en met 2010 centraal gestaan. Waar mogelijk zijn ook eerdere jaren in het onderzoek betrokken. </w:t>
      </w:r>
      <w:r w:rsidRPr="000B4597">
        <w:rPr>
          <w:sz w:val="18"/>
        </w:rPr>
        <w:t>Vervolgens heeft Ecorys de verklarende factoren</w:t>
      </w:r>
      <w:r w:rsidR="00F57018">
        <w:rPr>
          <w:sz w:val="18"/>
        </w:rPr>
        <w:t xml:space="preserve"> voor </w:t>
      </w:r>
      <w:r w:rsidRPr="000B4597">
        <w:rPr>
          <w:sz w:val="18"/>
        </w:rPr>
        <w:t xml:space="preserve">deze veranderingen in kaart gebracht. </w:t>
      </w:r>
      <w:r w:rsidR="00F57018">
        <w:rPr>
          <w:sz w:val="18"/>
        </w:rPr>
        <w:t xml:space="preserve">Dit met inbegrip van de fiscale stimuleringsmaatregelen die gedurende die periode van toepassing zijn gewest. </w:t>
      </w:r>
      <w:r w:rsidRPr="000B4597">
        <w:rPr>
          <w:sz w:val="18"/>
        </w:rPr>
        <w:t xml:space="preserve">De resultaten van dit onderzoek </w:t>
      </w:r>
      <w:r>
        <w:rPr>
          <w:sz w:val="18"/>
        </w:rPr>
        <w:t xml:space="preserve">worden in de hoofdstukken </w:t>
      </w:r>
      <w:r w:rsidRPr="00AD1DAA">
        <w:rPr>
          <w:sz w:val="18"/>
        </w:rPr>
        <w:t>2 tot en met 4 van het rapport uitgebreid behandeld. In hoofdstuk 5 van het rapport</w:t>
      </w:r>
      <w:r>
        <w:rPr>
          <w:sz w:val="18"/>
        </w:rPr>
        <w:t xml:space="preserve"> trekt Ecorys conclusies op de punten effectiviteit en efficiency van de verschillende fiscale stimuleringsmaatregelen. </w:t>
      </w:r>
      <w:r w:rsidR="00F57018">
        <w:rPr>
          <w:sz w:val="18"/>
        </w:rPr>
        <w:t>Hierna</w:t>
      </w:r>
      <w:r w:rsidRPr="000B4597">
        <w:rPr>
          <w:sz w:val="18"/>
        </w:rPr>
        <w:t xml:space="preserve"> wil ik in samenvattende vorm de meest in het oog springende vaststellingen en conclusies uit het rapport bespreken.</w:t>
      </w:r>
    </w:p>
    <w:p w:rsidRPr="000B4597" w:rsidR="002B58DF" w:rsidP="00781CF8" w:rsidRDefault="002B58DF">
      <w:pPr>
        <w:spacing w:after="0" w:line="240" w:lineRule="atLeast"/>
        <w:rPr>
          <w:sz w:val="18"/>
        </w:rPr>
      </w:pPr>
    </w:p>
    <w:p w:rsidR="002B58DF" w:rsidP="00781CF8" w:rsidRDefault="002B58DF">
      <w:pPr>
        <w:numPr>
          <w:ilvl w:val="0"/>
          <w:numId w:val="2"/>
        </w:numPr>
        <w:spacing w:after="0" w:line="240" w:lineRule="atLeast"/>
        <w:rPr>
          <w:sz w:val="18"/>
        </w:rPr>
      </w:pPr>
      <w:r w:rsidRPr="00DC455E">
        <w:rPr>
          <w:sz w:val="18"/>
        </w:rPr>
        <w:t>In 2009 zakten de nieuwverkopen in tot circa 385.000 personenauto’s. Deze daling wordt unaniem toegeschreven aan de economische crisis in d</w:t>
      </w:r>
      <w:r w:rsidR="00D41185">
        <w:rPr>
          <w:sz w:val="18"/>
        </w:rPr>
        <w:t>a</w:t>
      </w:r>
      <w:r w:rsidRPr="00DC455E">
        <w:rPr>
          <w:sz w:val="18"/>
        </w:rPr>
        <w:t xml:space="preserve">t jaar waardoor zowel de verkopen in de privé- als in de zakelijke automarkt zijn afgenomen. In 2010 zijn de nieuwverkopen weer aangetrokken tot nagenoeg het niveau van 2008. De hogere verkopen zijn deels het gevolg van het aantrekken van de economie en deels van een inhaalslag in de nieuwverkopen. Dit lijkt echter niet de totale groei te verklaren. </w:t>
      </w:r>
      <w:r>
        <w:rPr>
          <w:sz w:val="18"/>
        </w:rPr>
        <w:t xml:space="preserve">Naar schatting zijn </w:t>
      </w:r>
      <w:r w:rsidRPr="00DC455E">
        <w:rPr>
          <w:sz w:val="18"/>
        </w:rPr>
        <w:t xml:space="preserve">er circa 60.000 à 70.000 extra kleine auto’s verkocht </w:t>
      </w:r>
      <w:r w:rsidR="00D41185">
        <w:rPr>
          <w:sz w:val="18"/>
        </w:rPr>
        <w:t xml:space="preserve">ten opzichte van het aantal </w:t>
      </w:r>
      <w:r w:rsidRPr="00DC455E">
        <w:rPr>
          <w:sz w:val="18"/>
        </w:rPr>
        <w:t>da</w:t>
      </w:r>
      <w:r w:rsidR="00D41185">
        <w:rPr>
          <w:sz w:val="18"/>
        </w:rPr>
        <w:t>t</w:t>
      </w:r>
      <w:r w:rsidRPr="00DC455E">
        <w:rPr>
          <w:sz w:val="18"/>
        </w:rPr>
        <w:t xml:space="preserve"> op basis van algemene economische indicatoren mocht worden verwacht. </w:t>
      </w:r>
      <w:r>
        <w:rPr>
          <w:sz w:val="18"/>
        </w:rPr>
        <w:t>N</w:t>
      </w:r>
      <w:r w:rsidRPr="00DC455E">
        <w:rPr>
          <w:sz w:val="18"/>
        </w:rPr>
        <w:t xml:space="preserve">aar verwachting </w:t>
      </w:r>
      <w:r>
        <w:rPr>
          <w:sz w:val="18"/>
        </w:rPr>
        <w:t xml:space="preserve">zijn </w:t>
      </w:r>
      <w:r w:rsidRPr="00DC455E">
        <w:rPr>
          <w:sz w:val="18"/>
        </w:rPr>
        <w:t xml:space="preserve">veel gebruikte auto’s ingeruild voor een nieuwe auto. Consumenten die anders een tweedehands auto zouden aanschaffen konden als gevolg van het fiscale stimuleringsbeleid nu voor min of meer hetzelfde bedrag een (kleine) nieuwe auto aanschaffen. De groei van de nieuwverkopen in 2010 ten opzichte van 2009 heeft zich dan ook </w:t>
      </w:r>
      <w:r w:rsidR="00D41185">
        <w:rPr>
          <w:sz w:val="18"/>
        </w:rPr>
        <w:t>met name</w:t>
      </w:r>
      <w:r w:rsidRPr="00DC455E">
        <w:rPr>
          <w:sz w:val="18"/>
        </w:rPr>
        <w:t xml:space="preserve"> voorgedaan in de nieuwverkopen van privéauto’s.</w:t>
      </w:r>
    </w:p>
    <w:p w:rsidR="002B58DF" w:rsidP="00781CF8" w:rsidRDefault="002B58DF">
      <w:pPr>
        <w:numPr>
          <w:ilvl w:val="0"/>
          <w:numId w:val="2"/>
        </w:numPr>
        <w:spacing w:after="0" w:line="240" w:lineRule="atLeast"/>
        <w:rPr>
          <w:sz w:val="18"/>
        </w:rPr>
      </w:pPr>
      <w:r w:rsidRPr="000B4597">
        <w:rPr>
          <w:sz w:val="18"/>
        </w:rPr>
        <w:t xml:space="preserve">In de brandstofmix, de verdeling van de nieuwverkopen over de brandstofsoorten, zijn de afgelopen jaren significante veranderingen opgetreden. Het aandeel diesel </w:t>
      </w:r>
      <w:r w:rsidRPr="000B4597" w:rsidR="00F57018">
        <w:rPr>
          <w:sz w:val="18"/>
        </w:rPr>
        <w:t xml:space="preserve">in de totale nieuwverkopen </w:t>
      </w:r>
      <w:r w:rsidR="00F57018">
        <w:rPr>
          <w:sz w:val="18"/>
        </w:rPr>
        <w:t xml:space="preserve">is </w:t>
      </w:r>
      <w:r w:rsidRPr="000B4597">
        <w:rPr>
          <w:sz w:val="18"/>
        </w:rPr>
        <w:t xml:space="preserve">tussen 2004 en 2007 toegenomen naar bijna 30 procent. In de jaren daarna is als gevolg van een toenemend aantal benzine- en hybride-verkopen dit aandeel gedaald naar 20 procent van de nieuwverkopen. </w:t>
      </w:r>
      <w:r w:rsidRPr="000B4597">
        <w:rPr>
          <w:sz w:val="18"/>
        </w:rPr>
        <w:br/>
        <w:t>Deze ontwikkeling heeft zich voorgedaan bij zowel de privéauto’s als de auto van de zaak. Vooral de toename van het aantal hybride auto’s is ten koste gegaan van het aandeel dieselauto’s.</w:t>
      </w:r>
    </w:p>
    <w:p w:rsidR="002B58DF" w:rsidP="00781CF8" w:rsidRDefault="002B58DF">
      <w:pPr>
        <w:numPr>
          <w:ilvl w:val="0"/>
          <w:numId w:val="2"/>
        </w:numPr>
        <w:spacing w:after="0" w:line="240" w:lineRule="atLeast"/>
        <w:rPr>
          <w:sz w:val="18"/>
        </w:rPr>
      </w:pPr>
      <w:r w:rsidRPr="000B4597">
        <w:rPr>
          <w:sz w:val="18"/>
        </w:rPr>
        <w:t>Een volgende trend die in de nieuwverkopen de afgelopen jaren waarneembaar is, is de trend naar kleinere auto’s, zowel voor privéauto’s als voor de auto</w:t>
      </w:r>
      <w:r>
        <w:rPr>
          <w:sz w:val="18"/>
        </w:rPr>
        <w:t>´s</w:t>
      </w:r>
      <w:r w:rsidRPr="000B4597">
        <w:rPr>
          <w:sz w:val="18"/>
        </w:rPr>
        <w:t xml:space="preserve"> van de zaak. In het algemeen lijkt sprake van een trend van “downsizing”; grote(re) auto’s worden vervangen door middenklassers die weer worden vervangen door kleine(re) auto’s. </w:t>
      </w:r>
    </w:p>
    <w:p w:rsidR="002B58DF" w:rsidP="00781CF8" w:rsidRDefault="002B58DF">
      <w:pPr>
        <w:numPr>
          <w:ilvl w:val="0"/>
          <w:numId w:val="2"/>
        </w:numPr>
        <w:spacing w:after="0" w:line="240" w:lineRule="atLeast"/>
        <w:rPr>
          <w:sz w:val="18"/>
        </w:rPr>
      </w:pPr>
      <w:r w:rsidRPr="000B4597">
        <w:rPr>
          <w:sz w:val="18"/>
        </w:rPr>
        <w:t xml:space="preserve">Een </w:t>
      </w:r>
      <w:r>
        <w:rPr>
          <w:sz w:val="18"/>
        </w:rPr>
        <w:t>laatste</w:t>
      </w:r>
      <w:r w:rsidRPr="000B4597">
        <w:rPr>
          <w:sz w:val="18"/>
        </w:rPr>
        <w:t xml:space="preserve"> ontwikkeling die de afgelopen jaren is waar te nemen is dat de gemiddelde CO</w:t>
      </w:r>
      <w:r w:rsidRPr="000B4597">
        <w:rPr>
          <w:sz w:val="18"/>
          <w:vertAlign w:val="subscript"/>
        </w:rPr>
        <w:t>2</w:t>
      </w:r>
      <w:r w:rsidRPr="000B4597">
        <w:rPr>
          <w:sz w:val="18"/>
        </w:rPr>
        <w:t xml:space="preserve">-uitstoot van de nieuwverkopen snel afneemt. </w:t>
      </w:r>
      <w:r w:rsidRPr="000B4597">
        <w:rPr>
          <w:sz w:val="18"/>
        </w:rPr>
        <w:br/>
        <w:t>De op basis van de EU-wetgeving ver</w:t>
      </w:r>
      <w:r w:rsidR="00D41185">
        <w:rPr>
          <w:sz w:val="18"/>
        </w:rPr>
        <w:t>eiste</w:t>
      </w:r>
      <w:r w:rsidRPr="000B4597">
        <w:rPr>
          <w:sz w:val="18"/>
        </w:rPr>
        <w:t xml:space="preserve"> reductie van 160 naar 130 gram CO</w:t>
      </w:r>
      <w:r w:rsidRPr="000B4597">
        <w:rPr>
          <w:sz w:val="18"/>
          <w:vertAlign w:val="subscript"/>
        </w:rPr>
        <w:t>2</w:t>
      </w:r>
      <w:r w:rsidRPr="000B4597">
        <w:rPr>
          <w:sz w:val="18"/>
        </w:rPr>
        <w:t xml:space="preserve"> per kilometer tussen 2007 en 2015 komt overeen met een afname van gemiddeld 2,8 procent per jaar. De ontwikkeling in Nederland is de afgelopen jaren echter beduidend sneller gegaan. Tussen 2007 en 2010 bedroeg de werkelijke afname gemiddeld 6,1 procent per jaar. </w:t>
      </w:r>
    </w:p>
    <w:p w:rsidRPr="000B4597" w:rsidR="002B58DF" w:rsidP="00781CF8" w:rsidRDefault="002B58DF">
      <w:pPr>
        <w:spacing w:after="0" w:line="240" w:lineRule="atLeast"/>
        <w:rPr>
          <w:sz w:val="18"/>
        </w:rPr>
      </w:pPr>
    </w:p>
    <w:p w:rsidRPr="000B4597" w:rsidR="002B58DF" w:rsidP="00781CF8" w:rsidRDefault="002B58DF">
      <w:pPr>
        <w:spacing w:after="0" w:line="240" w:lineRule="atLeast"/>
        <w:rPr>
          <w:sz w:val="18"/>
        </w:rPr>
      </w:pPr>
      <w:r w:rsidRPr="000B4597">
        <w:rPr>
          <w:sz w:val="18"/>
        </w:rPr>
        <w:t xml:space="preserve">Het beeld overheerst dat de veranderingen in samenstelling van de nieuwverkopen de afgelopen jaren zeer groot zijn geweest in vergelijking met de jaren ervoor. Deze ontwikkelingen zijn vooral te verklaren door de economische ontwikkeling </w:t>
      </w:r>
      <w:r>
        <w:rPr>
          <w:sz w:val="18"/>
        </w:rPr>
        <w:t xml:space="preserve">van </w:t>
      </w:r>
      <w:r w:rsidRPr="000B4597">
        <w:rPr>
          <w:sz w:val="18"/>
        </w:rPr>
        <w:t xml:space="preserve">de afgelopen jaren, het gevoerde fiscale vergroeningsbeleid, een toenemende aandacht voor maatschappelijk verantwoord ondernemen en het sterk gestegen aanbod van zuinige auto’s op de markt. Daarnaast spelen verbeterde technologische prestaties van kleine(re) auto’s een belangrijke rol. </w:t>
      </w:r>
      <w:r>
        <w:rPr>
          <w:sz w:val="18"/>
        </w:rPr>
        <w:t xml:space="preserve">Hoewel er dus meerdere oorzaken zijn voor de hiervoor geschetste ontwikkelingen is het duidelijk dat het </w:t>
      </w:r>
      <w:r w:rsidRPr="000B4597">
        <w:rPr>
          <w:sz w:val="18"/>
        </w:rPr>
        <w:t xml:space="preserve">fiscale vergroeningsbeleid een belangrijke oorzaak </w:t>
      </w:r>
      <w:r>
        <w:rPr>
          <w:sz w:val="18"/>
        </w:rPr>
        <w:t xml:space="preserve">is </w:t>
      </w:r>
      <w:r w:rsidRPr="000B4597">
        <w:rPr>
          <w:sz w:val="18"/>
        </w:rPr>
        <w:t>van de veranderingen in de nieuwverkopen de afgelopen jaren.</w:t>
      </w:r>
    </w:p>
    <w:p w:rsidRPr="000B4597" w:rsidR="002B58DF" w:rsidP="00781CF8" w:rsidRDefault="002B58DF">
      <w:pPr>
        <w:spacing w:after="0" w:line="240" w:lineRule="atLeast"/>
        <w:rPr>
          <w:sz w:val="18"/>
        </w:rPr>
      </w:pPr>
    </w:p>
    <w:p w:rsidRPr="000B4597" w:rsidR="002B58DF" w:rsidP="00781CF8" w:rsidRDefault="002B58DF">
      <w:pPr>
        <w:spacing w:after="0" w:line="240" w:lineRule="atLeast"/>
        <w:rPr>
          <w:sz w:val="18"/>
        </w:rPr>
      </w:pPr>
      <w:r w:rsidRPr="000B4597">
        <w:rPr>
          <w:sz w:val="18"/>
        </w:rPr>
        <w:lastRenderedPageBreak/>
        <w:t>Ecorys heeft de hiervoor beschreven ontwikkelingen getoetst aan de verschillende fiscale vergroeningsmaatregelen die in dezelfde periode van toepassing zijn geweest. Dat zijn achtereenvolgens:</w:t>
      </w:r>
    </w:p>
    <w:p w:rsidR="002B58DF" w:rsidP="00781CF8" w:rsidRDefault="002B58DF">
      <w:pPr>
        <w:numPr>
          <w:ilvl w:val="0"/>
          <w:numId w:val="3"/>
        </w:numPr>
        <w:spacing w:after="0" w:line="240" w:lineRule="atLeast"/>
        <w:rPr>
          <w:sz w:val="18"/>
        </w:rPr>
      </w:pPr>
      <w:r w:rsidRPr="000B4597">
        <w:rPr>
          <w:sz w:val="18"/>
        </w:rPr>
        <w:t xml:space="preserve">Fiscale stimulering via bonus/malus-regeling op basis van energielabels (A t/m F); </w:t>
      </w:r>
    </w:p>
    <w:p w:rsidR="002B58DF" w:rsidP="00781CF8" w:rsidRDefault="002B58DF">
      <w:pPr>
        <w:numPr>
          <w:ilvl w:val="0"/>
          <w:numId w:val="3"/>
        </w:numPr>
        <w:spacing w:after="0" w:line="240" w:lineRule="atLeast"/>
        <w:rPr>
          <w:sz w:val="18"/>
        </w:rPr>
      </w:pPr>
      <w:r w:rsidRPr="000B4597">
        <w:rPr>
          <w:sz w:val="18"/>
        </w:rPr>
        <w:t>Fiscale stimulering via CO</w:t>
      </w:r>
      <w:r w:rsidRPr="000B4597">
        <w:rPr>
          <w:sz w:val="18"/>
          <w:vertAlign w:val="subscript"/>
        </w:rPr>
        <w:t>2</w:t>
      </w:r>
      <w:r w:rsidRPr="000B4597">
        <w:rPr>
          <w:sz w:val="18"/>
        </w:rPr>
        <w:t xml:space="preserve">-toeslag (“de slurptax”); </w:t>
      </w:r>
    </w:p>
    <w:p w:rsidR="002B58DF" w:rsidP="00781CF8" w:rsidRDefault="002B58DF">
      <w:pPr>
        <w:numPr>
          <w:ilvl w:val="0"/>
          <w:numId w:val="3"/>
        </w:numPr>
        <w:spacing w:after="0" w:line="240" w:lineRule="atLeast"/>
        <w:rPr>
          <w:sz w:val="18"/>
        </w:rPr>
      </w:pPr>
      <w:r w:rsidRPr="000B4597">
        <w:rPr>
          <w:sz w:val="18"/>
        </w:rPr>
        <w:t xml:space="preserve">Fiscale stimulering zuinige en zeer zuinige auto’s via de BPM en </w:t>
      </w:r>
      <w:r>
        <w:rPr>
          <w:sz w:val="18"/>
        </w:rPr>
        <w:t xml:space="preserve">de </w:t>
      </w:r>
      <w:r w:rsidRPr="000B4597">
        <w:rPr>
          <w:sz w:val="18"/>
        </w:rPr>
        <w:t>MRB;</w:t>
      </w:r>
    </w:p>
    <w:p w:rsidR="002B58DF" w:rsidP="00781CF8" w:rsidRDefault="002B58DF">
      <w:pPr>
        <w:numPr>
          <w:ilvl w:val="0"/>
          <w:numId w:val="3"/>
        </w:numPr>
        <w:spacing w:after="0" w:line="240" w:lineRule="atLeast"/>
        <w:rPr>
          <w:sz w:val="18"/>
        </w:rPr>
      </w:pPr>
      <w:r w:rsidRPr="000B4597">
        <w:rPr>
          <w:sz w:val="18"/>
        </w:rPr>
        <w:t>Fiscale stimulering zuinige en zeer zuinige auto’s van de zaak via de fiscale bijtelling.</w:t>
      </w:r>
    </w:p>
    <w:p w:rsidRPr="000B4597" w:rsidR="002B58DF" w:rsidP="00781CF8" w:rsidRDefault="002B58DF">
      <w:pPr>
        <w:spacing w:after="0" w:line="240" w:lineRule="atLeast"/>
        <w:rPr>
          <w:sz w:val="18"/>
        </w:rPr>
      </w:pPr>
    </w:p>
    <w:p w:rsidRPr="000B4597" w:rsidR="002B58DF" w:rsidP="00781CF8" w:rsidRDefault="002B58DF">
      <w:pPr>
        <w:spacing w:after="0" w:line="240" w:lineRule="atLeast"/>
        <w:rPr>
          <w:sz w:val="18"/>
        </w:rPr>
      </w:pPr>
      <w:r w:rsidRPr="000B4597">
        <w:rPr>
          <w:sz w:val="18"/>
        </w:rPr>
        <w:t xml:space="preserve">In onderstaande tabel </w:t>
      </w:r>
      <w:r w:rsidR="0045007E">
        <w:rPr>
          <w:sz w:val="18"/>
        </w:rPr>
        <w:t xml:space="preserve">1 </w:t>
      </w:r>
      <w:r w:rsidRPr="000B4597">
        <w:rPr>
          <w:sz w:val="18"/>
        </w:rPr>
        <w:t xml:space="preserve">zijn de </w:t>
      </w:r>
      <w:r>
        <w:rPr>
          <w:sz w:val="18"/>
        </w:rPr>
        <w:t xml:space="preserve">onderscheiden </w:t>
      </w:r>
      <w:r w:rsidRPr="000B4597">
        <w:rPr>
          <w:sz w:val="18"/>
        </w:rPr>
        <w:t>effecten van de verschillende ma</w:t>
      </w:r>
      <w:r>
        <w:rPr>
          <w:sz w:val="18"/>
        </w:rPr>
        <w:t>a</w:t>
      </w:r>
      <w:r w:rsidRPr="000B4597">
        <w:rPr>
          <w:sz w:val="18"/>
        </w:rPr>
        <w:t xml:space="preserve">tregelen op de nieuwverkopen in kaart gebracht. </w:t>
      </w:r>
    </w:p>
    <w:p w:rsidR="002B58DF" w:rsidP="00781CF8" w:rsidRDefault="002B58DF">
      <w:pPr>
        <w:spacing w:after="0" w:line="240" w:lineRule="auto"/>
        <w:rPr>
          <w:sz w:val="18"/>
          <w:szCs w:val="18"/>
        </w:rPr>
      </w:pPr>
    </w:p>
    <w:p w:rsidRPr="00186B63" w:rsidR="00186B63" w:rsidP="00186B63" w:rsidRDefault="004364A3">
      <w:pPr>
        <w:spacing w:after="0" w:line="240" w:lineRule="auto"/>
        <w:rPr>
          <w:b/>
          <w:i/>
          <w:sz w:val="16"/>
          <w:szCs w:val="16"/>
        </w:rPr>
      </w:pPr>
      <w:r>
        <w:rPr>
          <w:b/>
          <w:i/>
          <w:sz w:val="16"/>
          <w:szCs w:val="16"/>
        </w:rPr>
        <w:t xml:space="preserve">Tabel 1: </w:t>
      </w:r>
      <w:r w:rsidRPr="00186B63" w:rsidR="00186B63">
        <w:rPr>
          <w:b/>
          <w:i/>
          <w:sz w:val="16"/>
          <w:szCs w:val="16"/>
        </w:rPr>
        <w:t>Effecten overheidsmaatregelen op nieuwverkopen</w:t>
      </w:r>
    </w:p>
    <w:tbl>
      <w:tblPr>
        <w:tblStyle w:val="Lichtearcering2"/>
        <w:tblW w:w="0" w:type="auto"/>
        <w:tblLook w:val="04A0"/>
      </w:tblPr>
      <w:tblGrid>
        <w:gridCol w:w="2303"/>
        <w:gridCol w:w="2303"/>
        <w:gridCol w:w="2303"/>
        <w:gridCol w:w="2303"/>
      </w:tblGrid>
      <w:tr w:rsidRPr="00186B63" w:rsidR="00186B63" w:rsidTr="00186B63">
        <w:trPr>
          <w:cnfStyle w:val="100000000000"/>
        </w:trPr>
        <w:tc>
          <w:tcPr>
            <w:cnfStyle w:val="001000000000"/>
            <w:tcW w:w="2303" w:type="dxa"/>
          </w:tcPr>
          <w:p w:rsidRPr="00186B63" w:rsidR="00186B63" w:rsidP="00186B63" w:rsidRDefault="00186B63">
            <w:pPr>
              <w:spacing w:after="0" w:line="240" w:lineRule="auto"/>
              <w:rPr>
                <w:sz w:val="16"/>
                <w:szCs w:val="16"/>
              </w:rPr>
            </w:pPr>
          </w:p>
        </w:tc>
        <w:tc>
          <w:tcPr>
            <w:tcW w:w="2303" w:type="dxa"/>
          </w:tcPr>
          <w:p w:rsidRPr="00186B63" w:rsidR="00186B63" w:rsidP="00186B63" w:rsidRDefault="00186B63">
            <w:pPr>
              <w:spacing w:after="0" w:line="240" w:lineRule="auto"/>
              <w:cnfStyle w:val="100000000000"/>
              <w:rPr>
                <w:sz w:val="16"/>
                <w:szCs w:val="16"/>
              </w:rPr>
            </w:pPr>
            <w:r w:rsidRPr="00186B63">
              <w:rPr>
                <w:sz w:val="16"/>
                <w:szCs w:val="16"/>
              </w:rPr>
              <w:t>Effecten op nieuwverkopen</w:t>
            </w:r>
          </w:p>
          <w:p w:rsidRPr="00186B63" w:rsidR="00186B63" w:rsidP="00186B63" w:rsidRDefault="00186B63">
            <w:pPr>
              <w:spacing w:after="0" w:line="240" w:lineRule="auto"/>
              <w:cnfStyle w:val="100000000000"/>
              <w:rPr>
                <w:sz w:val="16"/>
                <w:szCs w:val="16"/>
              </w:rPr>
            </w:pPr>
          </w:p>
        </w:tc>
        <w:tc>
          <w:tcPr>
            <w:tcW w:w="2303" w:type="dxa"/>
          </w:tcPr>
          <w:p w:rsidRPr="00186B63" w:rsidR="00186B63" w:rsidP="00186B63" w:rsidRDefault="00186B63">
            <w:pPr>
              <w:spacing w:after="0" w:line="240" w:lineRule="auto"/>
              <w:cnfStyle w:val="100000000000"/>
              <w:rPr>
                <w:sz w:val="16"/>
                <w:szCs w:val="16"/>
              </w:rPr>
            </w:pPr>
            <w:r w:rsidRPr="00186B63">
              <w:rPr>
                <w:sz w:val="16"/>
                <w:szCs w:val="16"/>
              </w:rPr>
              <w:t>Budgettaire effecten</w:t>
            </w:r>
          </w:p>
          <w:p w:rsidRPr="00186B63" w:rsidR="00186B63" w:rsidP="00186B63" w:rsidRDefault="00186B63">
            <w:pPr>
              <w:spacing w:after="0" w:line="240" w:lineRule="auto"/>
              <w:cnfStyle w:val="100000000000"/>
              <w:rPr>
                <w:sz w:val="16"/>
                <w:szCs w:val="16"/>
              </w:rPr>
            </w:pPr>
            <w:r w:rsidRPr="00186B63">
              <w:rPr>
                <w:sz w:val="16"/>
                <w:szCs w:val="16"/>
              </w:rPr>
              <w:t xml:space="preserve">(x € </w:t>
            </w:r>
            <w:r w:rsidR="000420B5">
              <w:rPr>
                <w:sz w:val="16"/>
                <w:szCs w:val="16"/>
              </w:rPr>
              <w:t>mln</w:t>
            </w:r>
            <w:r w:rsidR="00257F9F">
              <w:rPr>
                <w:sz w:val="16"/>
                <w:szCs w:val="16"/>
              </w:rPr>
              <w:t>)</w:t>
            </w:r>
          </w:p>
        </w:tc>
        <w:tc>
          <w:tcPr>
            <w:tcW w:w="2303" w:type="dxa"/>
          </w:tcPr>
          <w:p w:rsidRPr="00186B63" w:rsidR="00186B63" w:rsidP="00186B63" w:rsidRDefault="00186B63">
            <w:pPr>
              <w:spacing w:after="0" w:line="240" w:lineRule="auto"/>
              <w:cnfStyle w:val="100000000000"/>
              <w:rPr>
                <w:sz w:val="16"/>
                <w:szCs w:val="16"/>
              </w:rPr>
            </w:pPr>
            <w:r w:rsidRPr="00186B63">
              <w:rPr>
                <w:sz w:val="16"/>
                <w:szCs w:val="16"/>
              </w:rPr>
              <w:t>Effecten op CO</w:t>
            </w:r>
            <w:r w:rsidRPr="00186B63">
              <w:rPr>
                <w:rFonts w:ascii="Cambria Math" w:hAnsi="Cambria Math" w:cs="Cambria Math"/>
                <w:sz w:val="16"/>
                <w:szCs w:val="16"/>
              </w:rPr>
              <w:t>₂</w:t>
            </w:r>
            <w:r w:rsidRPr="00186B63">
              <w:rPr>
                <w:sz w:val="16"/>
                <w:szCs w:val="16"/>
              </w:rPr>
              <w:t>-uitstoot</w:t>
            </w:r>
          </w:p>
        </w:tc>
      </w:tr>
      <w:tr w:rsidRPr="00186B63" w:rsidR="00186B63" w:rsidTr="00186B63">
        <w:trPr>
          <w:cnfStyle w:val="000000100000"/>
        </w:trPr>
        <w:tc>
          <w:tcPr>
            <w:cnfStyle w:val="001000000000"/>
            <w:tcW w:w="2303" w:type="dxa"/>
          </w:tcPr>
          <w:p w:rsidRPr="00186B63" w:rsidR="00186B63" w:rsidP="00186B63" w:rsidRDefault="00186B63">
            <w:pPr>
              <w:spacing w:after="0" w:line="240" w:lineRule="auto"/>
              <w:rPr>
                <w:sz w:val="16"/>
                <w:szCs w:val="16"/>
              </w:rPr>
            </w:pPr>
            <w:r w:rsidRPr="00186B63">
              <w:rPr>
                <w:sz w:val="16"/>
                <w:szCs w:val="16"/>
              </w:rPr>
              <w:t>Energielabels</w:t>
            </w:r>
          </w:p>
        </w:tc>
        <w:tc>
          <w:tcPr>
            <w:tcW w:w="2303" w:type="dxa"/>
          </w:tcPr>
          <w:p w:rsidRPr="00186B63" w:rsidR="00186B63" w:rsidP="00186B63" w:rsidRDefault="00186B63">
            <w:pPr>
              <w:spacing w:after="0" w:line="240" w:lineRule="auto"/>
              <w:cnfStyle w:val="000000100000"/>
              <w:rPr>
                <w:sz w:val="16"/>
                <w:szCs w:val="16"/>
              </w:rPr>
            </w:pPr>
            <w:r w:rsidRPr="00186B63">
              <w:rPr>
                <w:sz w:val="16"/>
                <w:szCs w:val="16"/>
              </w:rPr>
              <w:t>Beperkt effect verkopen</w:t>
            </w:r>
          </w:p>
          <w:p w:rsidRPr="00186B63" w:rsidR="00186B63" w:rsidP="00186B63" w:rsidRDefault="00186B63">
            <w:pPr>
              <w:spacing w:after="0" w:line="240" w:lineRule="auto"/>
              <w:cnfStyle w:val="000000100000"/>
              <w:rPr>
                <w:sz w:val="16"/>
                <w:szCs w:val="16"/>
              </w:rPr>
            </w:pPr>
          </w:p>
          <w:p w:rsidRPr="00186B63" w:rsidR="00186B63" w:rsidP="00186B63" w:rsidRDefault="00186B63">
            <w:pPr>
              <w:spacing w:after="0" w:line="240" w:lineRule="auto"/>
              <w:cnfStyle w:val="000000100000"/>
              <w:rPr>
                <w:sz w:val="16"/>
                <w:szCs w:val="16"/>
              </w:rPr>
            </w:pPr>
            <w:r w:rsidRPr="00186B63">
              <w:rPr>
                <w:sz w:val="16"/>
                <w:szCs w:val="16"/>
              </w:rPr>
              <w:t>Vooral effect van bonus, minder van malus</w:t>
            </w:r>
          </w:p>
          <w:p w:rsidRPr="00186B63" w:rsidR="00186B63" w:rsidP="00186B63" w:rsidRDefault="00186B63">
            <w:pPr>
              <w:spacing w:after="0" w:line="240" w:lineRule="auto"/>
              <w:cnfStyle w:val="000000100000"/>
              <w:rPr>
                <w:sz w:val="16"/>
                <w:szCs w:val="16"/>
              </w:rPr>
            </w:pPr>
          </w:p>
          <w:p w:rsidRPr="00186B63" w:rsidR="00186B63" w:rsidP="00186B63" w:rsidRDefault="00186B63">
            <w:pPr>
              <w:spacing w:after="0" w:line="240" w:lineRule="auto"/>
              <w:cnfStyle w:val="000000100000"/>
              <w:rPr>
                <w:sz w:val="16"/>
                <w:szCs w:val="16"/>
              </w:rPr>
            </w:pPr>
            <w:r w:rsidRPr="00186B63">
              <w:rPr>
                <w:sz w:val="16"/>
                <w:szCs w:val="16"/>
              </w:rPr>
              <w:t>Stimulans zuinige labels voor auto’s van de zaak</w:t>
            </w:r>
          </w:p>
          <w:p w:rsidRPr="00186B63" w:rsidR="00186B63" w:rsidP="00186B63" w:rsidRDefault="00186B63">
            <w:pPr>
              <w:spacing w:after="0" w:line="240" w:lineRule="auto"/>
              <w:cnfStyle w:val="000000100000"/>
              <w:rPr>
                <w:sz w:val="16"/>
                <w:szCs w:val="16"/>
              </w:rPr>
            </w:pPr>
          </w:p>
        </w:tc>
        <w:tc>
          <w:tcPr>
            <w:tcW w:w="2303" w:type="dxa"/>
          </w:tcPr>
          <w:p w:rsidRPr="00186B63" w:rsidR="00186B63" w:rsidP="00186B63" w:rsidRDefault="00186B63">
            <w:pPr>
              <w:spacing w:after="0" w:line="240" w:lineRule="auto"/>
              <w:cnfStyle w:val="000000100000"/>
              <w:rPr>
                <w:sz w:val="16"/>
                <w:szCs w:val="16"/>
              </w:rPr>
            </w:pPr>
            <w:r w:rsidRPr="00186B63">
              <w:rPr>
                <w:sz w:val="16"/>
                <w:szCs w:val="16"/>
              </w:rPr>
              <w:t>Circa € 40 extra inkomsten in 2007</w:t>
            </w:r>
          </w:p>
          <w:p w:rsidRPr="00186B63" w:rsidR="00186B63" w:rsidP="00186B63" w:rsidRDefault="00186B63">
            <w:pPr>
              <w:spacing w:after="0" w:line="240" w:lineRule="auto"/>
              <w:cnfStyle w:val="000000100000"/>
              <w:rPr>
                <w:sz w:val="16"/>
                <w:szCs w:val="16"/>
              </w:rPr>
            </w:pPr>
          </w:p>
          <w:p w:rsidRPr="00186B63" w:rsidR="00186B63" w:rsidP="00186B63" w:rsidRDefault="00186B63">
            <w:pPr>
              <w:spacing w:after="0" w:line="240" w:lineRule="auto"/>
              <w:cnfStyle w:val="000000100000"/>
              <w:rPr>
                <w:sz w:val="16"/>
                <w:szCs w:val="16"/>
              </w:rPr>
            </w:pPr>
            <w:r w:rsidRPr="00186B63">
              <w:rPr>
                <w:sz w:val="16"/>
                <w:szCs w:val="16"/>
              </w:rPr>
              <w:t>Ruim € 100 derving van inkomsten in 2008 en 2009</w:t>
            </w:r>
          </w:p>
        </w:tc>
        <w:tc>
          <w:tcPr>
            <w:tcW w:w="2303" w:type="dxa"/>
          </w:tcPr>
          <w:p w:rsidRPr="00186B63" w:rsidR="00186B63" w:rsidP="00186B63" w:rsidRDefault="00186B63">
            <w:pPr>
              <w:spacing w:after="0" w:line="240" w:lineRule="auto"/>
              <w:cnfStyle w:val="000000100000"/>
              <w:rPr>
                <w:sz w:val="16"/>
                <w:szCs w:val="16"/>
              </w:rPr>
            </w:pPr>
            <w:r>
              <w:rPr>
                <w:sz w:val="16"/>
                <w:szCs w:val="16"/>
              </w:rPr>
              <w:t>Z</w:t>
            </w:r>
            <w:r w:rsidRPr="00186B63">
              <w:rPr>
                <w:sz w:val="16"/>
                <w:szCs w:val="16"/>
              </w:rPr>
              <w:t>eer beperkt effect.</w:t>
            </w:r>
          </w:p>
          <w:p w:rsidRPr="00186B63" w:rsidR="00186B63" w:rsidP="00186B63" w:rsidRDefault="00186B63">
            <w:pPr>
              <w:spacing w:after="0" w:line="240" w:lineRule="auto"/>
              <w:cnfStyle w:val="000000100000"/>
              <w:rPr>
                <w:sz w:val="16"/>
                <w:szCs w:val="16"/>
              </w:rPr>
            </w:pPr>
            <w:r w:rsidRPr="00186B63">
              <w:rPr>
                <w:sz w:val="16"/>
                <w:szCs w:val="16"/>
              </w:rPr>
              <w:t>Nieuwverkopen zijn maximaal 1 procent zuiniger geworden</w:t>
            </w:r>
          </w:p>
        </w:tc>
      </w:tr>
      <w:tr w:rsidRPr="00186B63" w:rsidR="00186B63" w:rsidTr="00186B63">
        <w:tc>
          <w:tcPr>
            <w:cnfStyle w:val="001000000000"/>
            <w:tcW w:w="2303" w:type="dxa"/>
          </w:tcPr>
          <w:p w:rsidRPr="00186B63" w:rsidR="00186B63" w:rsidP="00186B63" w:rsidRDefault="00186B63">
            <w:pPr>
              <w:spacing w:after="0" w:line="240" w:lineRule="auto"/>
              <w:rPr>
                <w:sz w:val="16"/>
                <w:szCs w:val="16"/>
              </w:rPr>
            </w:pPr>
            <w:r w:rsidRPr="00186B63">
              <w:rPr>
                <w:sz w:val="16"/>
                <w:szCs w:val="16"/>
              </w:rPr>
              <w:t>CO</w:t>
            </w:r>
            <w:r w:rsidRPr="00186B63">
              <w:rPr>
                <w:rFonts w:ascii="Cambria Math" w:hAnsi="Cambria Math" w:cs="Cambria Math"/>
                <w:sz w:val="16"/>
                <w:szCs w:val="16"/>
              </w:rPr>
              <w:t>₂</w:t>
            </w:r>
            <w:r w:rsidRPr="00186B63">
              <w:rPr>
                <w:sz w:val="16"/>
                <w:szCs w:val="16"/>
              </w:rPr>
              <w:t>-toeslag</w:t>
            </w:r>
          </w:p>
        </w:tc>
        <w:tc>
          <w:tcPr>
            <w:tcW w:w="2303" w:type="dxa"/>
          </w:tcPr>
          <w:p w:rsidRPr="00186B63" w:rsidR="00186B63" w:rsidP="00186B63" w:rsidRDefault="00186B63">
            <w:pPr>
              <w:spacing w:after="0" w:line="240" w:lineRule="auto"/>
              <w:cnfStyle w:val="000000000000"/>
              <w:rPr>
                <w:sz w:val="16"/>
                <w:szCs w:val="16"/>
              </w:rPr>
            </w:pPr>
            <w:r w:rsidRPr="00186B63">
              <w:rPr>
                <w:sz w:val="16"/>
                <w:szCs w:val="16"/>
              </w:rPr>
              <w:t>Beperkt effect verkopen</w:t>
            </w:r>
          </w:p>
          <w:p w:rsidRPr="00186B63" w:rsidR="00186B63" w:rsidP="00186B63" w:rsidRDefault="00186B63">
            <w:pPr>
              <w:spacing w:after="0" w:line="240" w:lineRule="auto"/>
              <w:cnfStyle w:val="000000000000"/>
              <w:rPr>
                <w:sz w:val="16"/>
                <w:szCs w:val="16"/>
              </w:rPr>
            </w:pPr>
          </w:p>
          <w:p w:rsidRPr="00186B63" w:rsidR="00186B63" w:rsidP="00186B63" w:rsidRDefault="00186B63">
            <w:pPr>
              <w:spacing w:after="0" w:line="240" w:lineRule="auto"/>
              <w:cnfStyle w:val="000000000000"/>
              <w:rPr>
                <w:sz w:val="16"/>
                <w:szCs w:val="16"/>
              </w:rPr>
            </w:pPr>
            <w:r w:rsidRPr="00186B63">
              <w:rPr>
                <w:sz w:val="16"/>
                <w:szCs w:val="16"/>
              </w:rPr>
              <w:t>Sterke afname minst zuinige auto’s</w:t>
            </w:r>
          </w:p>
        </w:tc>
        <w:tc>
          <w:tcPr>
            <w:tcW w:w="2303" w:type="dxa"/>
          </w:tcPr>
          <w:p w:rsidRPr="00186B63" w:rsidR="00186B63" w:rsidP="00186B63" w:rsidRDefault="00186B63">
            <w:pPr>
              <w:spacing w:after="0" w:line="240" w:lineRule="auto"/>
              <w:cnfStyle w:val="000000000000"/>
              <w:rPr>
                <w:sz w:val="16"/>
                <w:szCs w:val="16"/>
              </w:rPr>
            </w:pPr>
            <w:r w:rsidRPr="00186B63">
              <w:rPr>
                <w:sz w:val="16"/>
                <w:szCs w:val="16"/>
              </w:rPr>
              <w:t>Circa € 100 extra inkomsten in 2008 en 2009</w:t>
            </w:r>
          </w:p>
        </w:tc>
        <w:tc>
          <w:tcPr>
            <w:tcW w:w="2303" w:type="dxa"/>
          </w:tcPr>
          <w:p w:rsidRPr="00186B63" w:rsidR="00186B63" w:rsidP="00186B63" w:rsidRDefault="00186B63">
            <w:pPr>
              <w:spacing w:after="0" w:line="240" w:lineRule="auto"/>
              <w:cnfStyle w:val="000000000000"/>
              <w:rPr>
                <w:sz w:val="16"/>
                <w:szCs w:val="16"/>
              </w:rPr>
            </w:pPr>
            <w:r w:rsidRPr="00186B63">
              <w:rPr>
                <w:sz w:val="16"/>
                <w:szCs w:val="16"/>
              </w:rPr>
              <w:t xml:space="preserve">Circa 0,1 </w:t>
            </w:r>
            <w:r>
              <w:rPr>
                <w:sz w:val="16"/>
                <w:szCs w:val="16"/>
              </w:rPr>
              <w:t>M</w:t>
            </w:r>
            <w:r w:rsidRPr="00186B63">
              <w:rPr>
                <w:sz w:val="16"/>
                <w:szCs w:val="16"/>
              </w:rPr>
              <w:t>ton minder CO</w:t>
            </w:r>
            <w:r w:rsidRPr="00186B63">
              <w:rPr>
                <w:sz w:val="16"/>
                <w:szCs w:val="16"/>
                <w:vertAlign w:val="subscript"/>
              </w:rPr>
              <w:t>2</w:t>
            </w:r>
            <w:r w:rsidRPr="00186B63">
              <w:rPr>
                <w:sz w:val="16"/>
                <w:szCs w:val="16"/>
              </w:rPr>
              <w:t>-uitstoot over levensduur nieuwverkopen in 2008 en 2009</w:t>
            </w:r>
          </w:p>
          <w:p w:rsidRPr="00186B63" w:rsidR="00186B63" w:rsidP="00186B63" w:rsidRDefault="00186B63">
            <w:pPr>
              <w:spacing w:after="0" w:line="240" w:lineRule="auto"/>
              <w:cnfStyle w:val="000000000000"/>
              <w:rPr>
                <w:sz w:val="16"/>
                <w:szCs w:val="16"/>
              </w:rPr>
            </w:pPr>
          </w:p>
        </w:tc>
      </w:tr>
      <w:tr w:rsidRPr="00186B63" w:rsidR="00186B63" w:rsidTr="00186B63">
        <w:trPr>
          <w:cnfStyle w:val="000000100000"/>
        </w:trPr>
        <w:tc>
          <w:tcPr>
            <w:cnfStyle w:val="001000000000"/>
            <w:tcW w:w="2303" w:type="dxa"/>
          </w:tcPr>
          <w:p w:rsidRPr="00186B63" w:rsidR="00186B63" w:rsidP="00186B63" w:rsidRDefault="00186B63">
            <w:pPr>
              <w:spacing w:after="0" w:line="240" w:lineRule="auto"/>
              <w:rPr>
                <w:sz w:val="16"/>
                <w:szCs w:val="16"/>
              </w:rPr>
            </w:pPr>
            <w:r w:rsidRPr="00186B63">
              <w:rPr>
                <w:sz w:val="16"/>
                <w:szCs w:val="16"/>
              </w:rPr>
              <w:t>Vrijstelling BPM en MRB</w:t>
            </w:r>
          </w:p>
        </w:tc>
        <w:tc>
          <w:tcPr>
            <w:tcW w:w="2303" w:type="dxa"/>
          </w:tcPr>
          <w:p w:rsidRPr="00186B63" w:rsidR="00186B63" w:rsidP="00186B63" w:rsidRDefault="00186B63">
            <w:pPr>
              <w:spacing w:after="0" w:line="240" w:lineRule="auto"/>
              <w:cnfStyle w:val="000000100000"/>
              <w:rPr>
                <w:sz w:val="16"/>
                <w:szCs w:val="16"/>
              </w:rPr>
            </w:pPr>
            <w:r w:rsidRPr="00186B63">
              <w:rPr>
                <w:sz w:val="16"/>
                <w:szCs w:val="16"/>
              </w:rPr>
              <w:t>Groot effect verkopen</w:t>
            </w:r>
          </w:p>
          <w:p w:rsidRPr="00186B63" w:rsidR="00186B63" w:rsidP="00186B63" w:rsidRDefault="00186B63">
            <w:pPr>
              <w:spacing w:after="0" w:line="240" w:lineRule="auto"/>
              <w:cnfStyle w:val="000000100000"/>
              <w:rPr>
                <w:sz w:val="16"/>
                <w:szCs w:val="16"/>
              </w:rPr>
            </w:pPr>
          </w:p>
          <w:p w:rsidR="00186B63" w:rsidP="00186B63" w:rsidRDefault="00186B63">
            <w:pPr>
              <w:spacing w:after="0" w:line="240" w:lineRule="auto"/>
              <w:cnfStyle w:val="000000100000"/>
              <w:rPr>
                <w:sz w:val="16"/>
                <w:szCs w:val="16"/>
              </w:rPr>
            </w:pPr>
            <w:r w:rsidRPr="00186B63">
              <w:rPr>
                <w:sz w:val="16"/>
                <w:szCs w:val="16"/>
              </w:rPr>
              <w:t>Sterke stimulans</w:t>
            </w:r>
            <w:r w:rsidR="00E82011">
              <w:rPr>
                <w:sz w:val="16"/>
                <w:szCs w:val="16"/>
              </w:rPr>
              <w:t xml:space="preserve"> zeer zuinige auto’s</w:t>
            </w:r>
          </w:p>
          <w:p w:rsidR="00E82011" w:rsidP="00186B63" w:rsidRDefault="00E82011">
            <w:pPr>
              <w:spacing w:after="0" w:line="240" w:lineRule="auto"/>
              <w:cnfStyle w:val="000000100000"/>
              <w:rPr>
                <w:sz w:val="16"/>
                <w:szCs w:val="16"/>
              </w:rPr>
            </w:pPr>
          </w:p>
          <w:p w:rsidR="00E82011" w:rsidP="00186B63" w:rsidRDefault="00E82011">
            <w:pPr>
              <w:spacing w:after="0" w:line="240" w:lineRule="auto"/>
              <w:cnfStyle w:val="000000100000"/>
              <w:rPr>
                <w:sz w:val="16"/>
                <w:szCs w:val="16"/>
              </w:rPr>
            </w:pPr>
            <w:r>
              <w:rPr>
                <w:sz w:val="16"/>
                <w:szCs w:val="16"/>
              </w:rPr>
              <w:t>Stimulans ‘downsizing’</w:t>
            </w:r>
          </w:p>
          <w:p w:rsidR="00E82011" w:rsidP="00186B63" w:rsidRDefault="00E82011">
            <w:pPr>
              <w:spacing w:after="0" w:line="240" w:lineRule="auto"/>
              <w:cnfStyle w:val="000000100000"/>
              <w:rPr>
                <w:sz w:val="16"/>
                <w:szCs w:val="16"/>
              </w:rPr>
            </w:pPr>
          </w:p>
          <w:p w:rsidR="00E82011" w:rsidP="00186B63" w:rsidRDefault="00E82011">
            <w:pPr>
              <w:spacing w:after="0" w:line="240" w:lineRule="auto"/>
              <w:cnfStyle w:val="000000100000"/>
              <w:rPr>
                <w:sz w:val="16"/>
                <w:szCs w:val="16"/>
              </w:rPr>
            </w:pPr>
            <w:r>
              <w:rPr>
                <w:sz w:val="16"/>
                <w:szCs w:val="16"/>
              </w:rPr>
              <w:t>Sterk effect op brandstofmix</w:t>
            </w:r>
          </w:p>
          <w:p w:rsidRPr="00186B63" w:rsidR="00E82011" w:rsidP="00186B63" w:rsidRDefault="00E82011">
            <w:pPr>
              <w:spacing w:after="0" w:line="240" w:lineRule="auto"/>
              <w:cnfStyle w:val="000000100000"/>
              <w:rPr>
                <w:sz w:val="16"/>
                <w:szCs w:val="16"/>
              </w:rPr>
            </w:pPr>
          </w:p>
        </w:tc>
        <w:tc>
          <w:tcPr>
            <w:tcW w:w="2303" w:type="dxa"/>
          </w:tcPr>
          <w:p w:rsidRPr="00186B63" w:rsidR="00186B63" w:rsidP="00186B63" w:rsidRDefault="00186B63">
            <w:pPr>
              <w:spacing w:after="0" w:line="240" w:lineRule="auto"/>
              <w:cnfStyle w:val="000000100000"/>
              <w:rPr>
                <w:sz w:val="16"/>
                <w:szCs w:val="16"/>
              </w:rPr>
            </w:pPr>
            <w:r w:rsidRPr="00186B63">
              <w:rPr>
                <w:sz w:val="16"/>
                <w:szCs w:val="16"/>
              </w:rPr>
              <w:t>Circa € 2</w:t>
            </w:r>
            <w:r w:rsidR="00E82011">
              <w:rPr>
                <w:sz w:val="16"/>
                <w:szCs w:val="16"/>
              </w:rPr>
              <w:t>4</w:t>
            </w:r>
            <w:r w:rsidRPr="00186B63">
              <w:rPr>
                <w:sz w:val="16"/>
                <w:szCs w:val="16"/>
              </w:rPr>
              <w:t xml:space="preserve">0 derving van BPM-inkomsten in 2009 en circa € </w:t>
            </w:r>
            <w:r w:rsidR="00E82011">
              <w:rPr>
                <w:sz w:val="16"/>
                <w:szCs w:val="16"/>
              </w:rPr>
              <w:t>530</w:t>
            </w:r>
            <w:r w:rsidRPr="00186B63">
              <w:rPr>
                <w:sz w:val="16"/>
                <w:szCs w:val="16"/>
              </w:rPr>
              <w:t xml:space="preserve"> in 2010</w:t>
            </w:r>
          </w:p>
          <w:p w:rsidRPr="00186B63" w:rsidR="00186B63" w:rsidP="00186B63" w:rsidRDefault="00186B63">
            <w:pPr>
              <w:spacing w:after="0" w:line="240" w:lineRule="auto"/>
              <w:cnfStyle w:val="000000100000"/>
              <w:rPr>
                <w:sz w:val="16"/>
                <w:szCs w:val="16"/>
              </w:rPr>
            </w:pPr>
          </w:p>
          <w:p w:rsidRPr="00186B63" w:rsidR="00186B63" w:rsidP="00186B63" w:rsidRDefault="00186B63">
            <w:pPr>
              <w:spacing w:after="0" w:line="240" w:lineRule="auto"/>
              <w:cnfStyle w:val="000000100000"/>
              <w:rPr>
                <w:sz w:val="16"/>
                <w:szCs w:val="16"/>
              </w:rPr>
            </w:pPr>
            <w:r w:rsidRPr="00186B63">
              <w:rPr>
                <w:sz w:val="16"/>
                <w:szCs w:val="16"/>
              </w:rPr>
              <w:t>Circa € 1</w:t>
            </w:r>
            <w:r w:rsidR="00E82011">
              <w:rPr>
                <w:sz w:val="16"/>
                <w:szCs w:val="16"/>
              </w:rPr>
              <w:t>0</w:t>
            </w:r>
            <w:r w:rsidRPr="00186B63">
              <w:rPr>
                <w:sz w:val="16"/>
                <w:szCs w:val="16"/>
              </w:rPr>
              <w:t xml:space="preserve"> derving MRB-inkomsten in 2009 en circa € 4</w:t>
            </w:r>
            <w:r w:rsidR="00E82011">
              <w:rPr>
                <w:sz w:val="16"/>
                <w:szCs w:val="16"/>
              </w:rPr>
              <w:t>0</w:t>
            </w:r>
            <w:r w:rsidRPr="00186B63">
              <w:rPr>
                <w:sz w:val="16"/>
                <w:szCs w:val="16"/>
              </w:rPr>
              <w:t xml:space="preserve"> in 2010</w:t>
            </w:r>
          </w:p>
          <w:p w:rsidRPr="00186B63" w:rsidR="00186B63" w:rsidP="00186B63" w:rsidRDefault="00186B63">
            <w:pPr>
              <w:spacing w:after="0" w:line="240" w:lineRule="auto"/>
              <w:cnfStyle w:val="000000100000"/>
              <w:rPr>
                <w:sz w:val="16"/>
                <w:szCs w:val="16"/>
              </w:rPr>
            </w:pPr>
          </w:p>
        </w:tc>
        <w:tc>
          <w:tcPr>
            <w:tcW w:w="2303" w:type="dxa"/>
          </w:tcPr>
          <w:p w:rsidRPr="00186B63" w:rsidR="00186B63" w:rsidP="00186B63" w:rsidRDefault="00186B63">
            <w:pPr>
              <w:spacing w:after="0" w:line="240" w:lineRule="auto"/>
              <w:cnfStyle w:val="000000100000"/>
              <w:rPr>
                <w:sz w:val="16"/>
                <w:szCs w:val="16"/>
              </w:rPr>
            </w:pPr>
            <w:r w:rsidRPr="00186B63">
              <w:rPr>
                <w:sz w:val="16"/>
                <w:szCs w:val="16"/>
              </w:rPr>
              <w:t xml:space="preserve">Circa 0,2 </w:t>
            </w:r>
            <w:r>
              <w:rPr>
                <w:sz w:val="16"/>
                <w:szCs w:val="16"/>
              </w:rPr>
              <w:t>Mt</w:t>
            </w:r>
            <w:r w:rsidRPr="00186B63">
              <w:rPr>
                <w:sz w:val="16"/>
                <w:szCs w:val="16"/>
              </w:rPr>
              <w:t>on minder CO</w:t>
            </w:r>
            <w:r w:rsidRPr="00186B63">
              <w:rPr>
                <w:sz w:val="16"/>
                <w:szCs w:val="16"/>
                <w:vertAlign w:val="subscript"/>
              </w:rPr>
              <w:t>2</w:t>
            </w:r>
            <w:r w:rsidRPr="00186B63">
              <w:rPr>
                <w:sz w:val="16"/>
                <w:szCs w:val="16"/>
              </w:rPr>
              <w:t>-uitstoot over levensduur nieuw</w:t>
            </w:r>
            <w:r w:rsidR="00E82011">
              <w:rPr>
                <w:sz w:val="16"/>
                <w:szCs w:val="16"/>
              </w:rPr>
              <w:t>-</w:t>
            </w:r>
            <w:r w:rsidRPr="00186B63">
              <w:rPr>
                <w:sz w:val="16"/>
                <w:szCs w:val="16"/>
              </w:rPr>
              <w:t xml:space="preserve">verkopen in 2009 en circa 0,6 </w:t>
            </w:r>
            <w:r>
              <w:rPr>
                <w:sz w:val="16"/>
                <w:szCs w:val="16"/>
              </w:rPr>
              <w:t>M</w:t>
            </w:r>
            <w:r w:rsidRPr="00186B63">
              <w:rPr>
                <w:sz w:val="16"/>
                <w:szCs w:val="16"/>
              </w:rPr>
              <w:t>ton over nieuwverkopen in 2010</w:t>
            </w:r>
          </w:p>
        </w:tc>
      </w:tr>
      <w:tr w:rsidRPr="00186B63" w:rsidR="00186B63" w:rsidTr="00186B63">
        <w:tc>
          <w:tcPr>
            <w:cnfStyle w:val="001000000000"/>
            <w:tcW w:w="2303" w:type="dxa"/>
          </w:tcPr>
          <w:p w:rsidRPr="00186B63" w:rsidR="00186B63" w:rsidP="00186B63" w:rsidRDefault="00186B63">
            <w:pPr>
              <w:spacing w:after="0" w:line="240" w:lineRule="auto"/>
              <w:rPr>
                <w:sz w:val="16"/>
                <w:szCs w:val="16"/>
              </w:rPr>
            </w:pPr>
            <w:r w:rsidRPr="00186B63">
              <w:rPr>
                <w:sz w:val="16"/>
                <w:szCs w:val="16"/>
              </w:rPr>
              <w:t>Differentiatie bijtellingpercentage</w:t>
            </w:r>
          </w:p>
        </w:tc>
        <w:tc>
          <w:tcPr>
            <w:tcW w:w="2303" w:type="dxa"/>
          </w:tcPr>
          <w:p w:rsidRPr="00186B63" w:rsidR="00186B63" w:rsidP="00186B63" w:rsidRDefault="00186B63">
            <w:pPr>
              <w:spacing w:after="0" w:line="240" w:lineRule="auto"/>
              <w:cnfStyle w:val="000000000000"/>
              <w:rPr>
                <w:bCs/>
                <w:sz w:val="16"/>
                <w:szCs w:val="16"/>
              </w:rPr>
            </w:pPr>
            <w:r w:rsidRPr="00186B63">
              <w:rPr>
                <w:bCs/>
                <w:sz w:val="16"/>
                <w:szCs w:val="16"/>
              </w:rPr>
              <w:t>Beperkt effect verkopen</w:t>
            </w:r>
          </w:p>
          <w:p w:rsidRPr="00186B63" w:rsidR="00186B63" w:rsidP="00186B63" w:rsidRDefault="00186B63">
            <w:pPr>
              <w:spacing w:after="0" w:line="240" w:lineRule="auto"/>
              <w:cnfStyle w:val="000000000000"/>
              <w:rPr>
                <w:bCs/>
                <w:sz w:val="16"/>
                <w:szCs w:val="16"/>
              </w:rPr>
            </w:pPr>
          </w:p>
          <w:p w:rsidRPr="00186B63" w:rsidR="00186B63" w:rsidP="00186B63" w:rsidRDefault="00186B63">
            <w:pPr>
              <w:spacing w:after="0" w:line="240" w:lineRule="auto"/>
              <w:cnfStyle w:val="000000000000"/>
              <w:rPr>
                <w:bCs/>
                <w:sz w:val="16"/>
                <w:szCs w:val="16"/>
              </w:rPr>
            </w:pPr>
            <w:r w:rsidRPr="00186B63">
              <w:rPr>
                <w:bCs/>
                <w:sz w:val="16"/>
                <w:szCs w:val="16"/>
              </w:rPr>
              <w:t>Zuinigheidsgrenzen sturen verkopen sterk</w:t>
            </w:r>
          </w:p>
          <w:p w:rsidRPr="00186B63" w:rsidR="00186B63" w:rsidP="00186B63" w:rsidRDefault="00186B63">
            <w:pPr>
              <w:spacing w:after="0" w:line="240" w:lineRule="auto"/>
              <w:cnfStyle w:val="000000000000"/>
              <w:rPr>
                <w:bCs/>
                <w:sz w:val="16"/>
                <w:szCs w:val="16"/>
              </w:rPr>
            </w:pPr>
          </w:p>
          <w:p w:rsidRPr="00186B63" w:rsidR="00186B63" w:rsidP="00186B63" w:rsidRDefault="00186B63">
            <w:pPr>
              <w:spacing w:after="0" w:line="240" w:lineRule="auto"/>
              <w:cnfStyle w:val="000000000000"/>
              <w:rPr>
                <w:sz w:val="16"/>
                <w:szCs w:val="16"/>
              </w:rPr>
            </w:pPr>
            <w:r w:rsidRPr="00186B63">
              <w:rPr>
                <w:bCs/>
                <w:sz w:val="16"/>
                <w:szCs w:val="16"/>
              </w:rPr>
              <w:t>Sterke stimulans ‘down-sizing’ van auto van de zaak</w:t>
            </w:r>
          </w:p>
        </w:tc>
        <w:tc>
          <w:tcPr>
            <w:tcW w:w="2303" w:type="dxa"/>
          </w:tcPr>
          <w:p w:rsidRPr="00186B63" w:rsidR="00186B63" w:rsidP="00E82011" w:rsidRDefault="00186B63">
            <w:pPr>
              <w:spacing w:after="0" w:line="240" w:lineRule="auto"/>
              <w:cnfStyle w:val="000000000000"/>
              <w:rPr>
                <w:sz w:val="16"/>
                <w:szCs w:val="16"/>
              </w:rPr>
            </w:pPr>
            <w:r w:rsidRPr="00186B63">
              <w:rPr>
                <w:bCs/>
                <w:sz w:val="16"/>
                <w:szCs w:val="16"/>
              </w:rPr>
              <w:t xml:space="preserve">Circa € </w:t>
            </w:r>
            <w:r w:rsidR="00E82011">
              <w:rPr>
                <w:bCs/>
                <w:sz w:val="16"/>
                <w:szCs w:val="16"/>
              </w:rPr>
              <w:t>35</w:t>
            </w:r>
            <w:r w:rsidRPr="00186B63">
              <w:rPr>
                <w:bCs/>
                <w:sz w:val="16"/>
                <w:szCs w:val="16"/>
              </w:rPr>
              <w:t xml:space="preserve"> </w:t>
            </w:r>
            <w:r w:rsidR="00E82011">
              <w:rPr>
                <w:bCs/>
                <w:sz w:val="16"/>
                <w:szCs w:val="16"/>
              </w:rPr>
              <w:t xml:space="preserve">lagere bruto bijtelling </w:t>
            </w:r>
            <w:r w:rsidRPr="00186B63">
              <w:rPr>
                <w:bCs/>
                <w:sz w:val="16"/>
                <w:szCs w:val="16"/>
              </w:rPr>
              <w:t>in 2009 en € </w:t>
            </w:r>
            <w:r w:rsidR="00E82011">
              <w:rPr>
                <w:bCs/>
                <w:sz w:val="16"/>
                <w:szCs w:val="16"/>
              </w:rPr>
              <w:t>75</w:t>
            </w:r>
            <w:r w:rsidRPr="00186B63">
              <w:rPr>
                <w:bCs/>
                <w:sz w:val="16"/>
                <w:szCs w:val="16"/>
              </w:rPr>
              <w:t xml:space="preserve"> in 2010</w:t>
            </w:r>
          </w:p>
        </w:tc>
        <w:tc>
          <w:tcPr>
            <w:tcW w:w="2303" w:type="dxa"/>
          </w:tcPr>
          <w:p w:rsidRPr="00186B63" w:rsidR="00186B63" w:rsidP="00F57018" w:rsidRDefault="00F57018">
            <w:pPr>
              <w:spacing w:after="0" w:line="240" w:lineRule="auto"/>
              <w:cnfStyle w:val="000000000000"/>
              <w:rPr>
                <w:sz w:val="16"/>
                <w:szCs w:val="16"/>
              </w:rPr>
            </w:pPr>
            <w:r>
              <w:rPr>
                <w:bCs/>
                <w:sz w:val="16"/>
                <w:szCs w:val="16"/>
              </w:rPr>
              <w:t>Door Ecorys n</w:t>
            </w:r>
            <w:r w:rsidRPr="00186B63" w:rsidR="00186B63">
              <w:rPr>
                <w:bCs/>
                <w:sz w:val="16"/>
                <w:szCs w:val="16"/>
              </w:rPr>
              <w:t>iet ingeschat</w:t>
            </w:r>
          </w:p>
        </w:tc>
      </w:tr>
    </w:tbl>
    <w:p w:rsidRPr="00186B63" w:rsidR="00186B63" w:rsidP="00186B63" w:rsidRDefault="000903D6">
      <w:pPr>
        <w:spacing w:after="0" w:line="240" w:lineRule="auto"/>
        <w:rPr>
          <w:sz w:val="16"/>
          <w:szCs w:val="16"/>
        </w:rPr>
      </w:pPr>
      <w:r>
        <w:rPr>
          <w:sz w:val="16"/>
          <w:szCs w:val="16"/>
        </w:rPr>
        <w:t>Bron: Rapport Ecorys</w:t>
      </w:r>
    </w:p>
    <w:p w:rsidRPr="00186B63" w:rsidR="002B58DF" w:rsidP="00781CF8" w:rsidRDefault="002B58DF">
      <w:pPr>
        <w:spacing w:after="0"/>
        <w:rPr>
          <w:sz w:val="18"/>
          <w:szCs w:val="18"/>
        </w:rPr>
      </w:pPr>
    </w:p>
    <w:p w:rsidRPr="00753A01" w:rsidR="002B58DF" w:rsidP="00781CF8" w:rsidRDefault="002B58DF">
      <w:pPr>
        <w:spacing w:after="0"/>
        <w:rPr>
          <w:sz w:val="18"/>
          <w:szCs w:val="18"/>
        </w:rPr>
      </w:pPr>
      <w:r w:rsidRPr="00753A01">
        <w:rPr>
          <w:sz w:val="18"/>
          <w:szCs w:val="18"/>
        </w:rPr>
        <w:t>In de hiervoor beschreven conclusies is de ombouw van de BPM naar een op CO</w:t>
      </w:r>
      <w:r w:rsidRPr="00753A01">
        <w:rPr>
          <w:sz w:val="18"/>
          <w:szCs w:val="18"/>
          <w:vertAlign w:val="subscript"/>
        </w:rPr>
        <w:t>2</w:t>
      </w:r>
      <w:r w:rsidRPr="00753A01">
        <w:rPr>
          <w:sz w:val="18"/>
          <w:szCs w:val="18"/>
        </w:rPr>
        <w:t xml:space="preserve">-gerelateerde belasting nog niet meegenomen. Dat is een gevolg van het feit dat de effecten (voor zover kan worden nagegaan) van de eerste stap van de ombouw in 2010 beperkt tot uiting komen in de nieuwverkopen in 2010. </w:t>
      </w:r>
      <w:r w:rsidR="005C4568">
        <w:rPr>
          <w:sz w:val="18"/>
          <w:szCs w:val="18"/>
        </w:rPr>
        <w:t>O</w:t>
      </w:r>
      <w:r>
        <w:rPr>
          <w:sz w:val="18"/>
          <w:szCs w:val="18"/>
        </w:rPr>
        <w:t xml:space="preserve">p </w:t>
      </w:r>
      <w:r w:rsidRPr="00753A01">
        <w:rPr>
          <w:sz w:val="18"/>
          <w:szCs w:val="18"/>
        </w:rPr>
        <w:t xml:space="preserve">basis van de verkopen in 2010 </w:t>
      </w:r>
      <w:r w:rsidR="005C4568">
        <w:rPr>
          <w:sz w:val="18"/>
          <w:szCs w:val="18"/>
        </w:rPr>
        <w:t xml:space="preserve">kan </w:t>
      </w:r>
      <w:r w:rsidR="00F57018">
        <w:rPr>
          <w:sz w:val="18"/>
          <w:szCs w:val="18"/>
        </w:rPr>
        <w:t xml:space="preserve">wel </w:t>
      </w:r>
      <w:r>
        <w:rPr>
          <w:sz w:val="18"/>
          <w:szCs w:val="18"/>
        </w:rPr>
        <w:t xml:space="preserve">worden </w:t>
      </w:r>
      <w:r w:rsidRPr="00753A01">
        <w:rPr>
          <w:sz w:val="18"/>
          <w:szCs w:val="18"/>
        </w:rPr>
        <w:t xml:space="preserve">vastgesteld dat in dat jaar de drie grootste pieken in nieuwverkopen van </w:t>
      </w:r>
      <w:r w:rsidRPr="005C4568">
        <w:rPr>
          <w:sz w:val="18"/>
          <w:szCs w:val="18"/>
        </w:rPr>
        <w:t>dieselauto’s</w:t>
      </w:r>
      <w:r w:rsidRPr="00753A01">
        <w:rPr>
          <w:sz w:val="18"/>
          <w:szCs w:val="18"/>
        </w:rPr>
        <w:t xml:space="preserve"> lagen bij 89 g</w:t>
      </w:r>
      <w:r w:rsidR="005A289B">
        <w:rPr>
          <w:sz w:val="18"/>
          <w:szCs w:val="18"/>
        </w:rPr>
        <w:t>r</w:t>
      </w:r>
      <w:r w:rsidRPr="00753A01">
        <w:rPr>
          <w:sz w:val="18"/>
          <w:szCs w:val="18"/>
        </w:rPr>
        <w:t>/km, 95 g</w:t>
      </w:r>
      <w:r w:rsidR="005A289B">
        <w:rPr>
          <w:sz w:val="18"/>
          <w:szCs w:val="18"/>
        </w:rPr>
        <w:t>r</w:t>
      </w:r>
      <w:r w:rsidRPr="00753A01">
        <w:rPr>
          <w:sz w:val="18"/>
          <w:szCs w:val="18"/>
        </w:rPr>
        <w:t>/km en 114 g</w:t>
      </w:r>
      <w:r w:rsidR="005A289B">
        <w:rPr>
          <w:sz w:val="18"/>
          <w:szCs w:val="18"/>
        </w:rPr>
        <w:t>r/</w:t>
      </w:r>
      <w:r w:rsidRPr="00753A01">
        <w:rPr>
          <w:sz w:val="18"/>
          <w:szCs w:val="18"/>
        </w:rPr>
        <w:t>km. Deze top drie was in 2010 goed voor 35% van de diesel nieuwverkopen (zo’n 34.000), ofwel twee maal zo hoog als in 2009. In tegenstelling tot 2009 lijken deze drie CO</w:t>
      </w:r>
      <w:r w:rsidRPr="00753A01">
        <w:rPr>
          <w:sz w:val="18"/>
          <w:szCs w:val="18"/>
          <w:vertAlign w:val="subscript"/>
        </w:rPr>
        <w:t>2</w:t>
      </w:r>
      <w:r>
        <w:rPr>
          <w:sz w:val="18"/>
          <w:szCs w:val="18"/>
        </w:rPr>
        <w:t>-</w:t>
      </w:r>
      <w:r w:rsidRPr="00753A01">
        <w:rPr>
          <w:sz w:val="18"/>
          <w:szCs w:val="18"/>
        </w:rPr>
        <w:t>waarden in 2010 sterk gedreven door fiscale stimulering. De 89 en 95 g</w:t>
      </w:r>
      <w:r w:rsidR="005A289B">
        <w:rPr>
          <w:sz w:val="18"/>
          <w:szCs w:val="18"/>
        </w:rPr>
        <w:t>r</w:t>
      </w:r>
      <w:r w:rsidRPr="00753A01">
        <w:rPr>
          <w:sz w:val="18"/>
          <w:szCs w:val="18"/>
        </w:rPr>
        <w:t xml:space="preserve">/km liggen onder de vrijstellingsgrens </w:t>
      </w:r>
      <w:r>
        <w:rPr>
          <w:sz w:val="18"/>
          <w:szCs w:val="18"/>
        </w:rPr>
        <w:t xml:space="preserve">in de BPM en de MRB </w:t>
      </w:r>
      <w:r w:rsidRPr="00753A01">
        <w:rPr>
          <w:sz w:val="18"/>
          <w:szCs w:val="18"/>
        </w:rPr>
        <w:t>van 96 g</w:t>
      </w:r>
      <w:r w:rsidR="005A289B">
        <w:rPr>
          <w:sz w:val="18"/>
          <w:szCs w:val="18"/>
        </w:rPr>
        <w:t>r</w:t>
      </w:r>
      <w:r w:rsidRPr="00753A01">
        <w:rPr>
          <w:sz w:val="18"/>
          <w:szCs w:val="18"/>
        </w:rPr>
        <w:t>/km en hebben bovendien maar 14% bijtelling. De 114 g</w:t>
      </w:r>
      <w:r w:rsidR="005A289B">
        <w:rPr>
          <w:sz w:val="18"/>
          <w:szCs w:val="18"/>
        </w:rPr>
        <w:t>r</w:t>
      </w:r>
      <w:r w:rsidRPr="00753A01">
        <w:rPr>
          <w:sz w:val="18"/>
          <w:szCs w:val="18"/>
        </w:rPr>
        <w:t xml:space="preserve">/km ligt </w:t>
      </w:r>
      <w:r>
        <w:rPr>
          <w:sz w:val="18"/>
          <w:szCs w:val="18"/>
        </w:rPr>
        <w:t xml:space="preserve">net </w:t>
      </w:r>
      <w:r w:rsidRPr="00753A01">
        <w:rPr>
          <w:sz w:val="18"/>
          <w:szCs w:val="18"/>
        </w:rPr>
        <w:t>onder de 20% bijtellinggrens van 116 g</w:t>
      </w:r>
      <w:r w:rsidR="005A289B">
        <w:rPr>
          <w:sz w:val="18"/>
          <w:szCs w:val="18"/>
        </w:rPr>
        <w:t>r</w:t>
      </w:r>
      <w:r w:rsidRPr="00753A01">
        <w:rPr>
          <w:sz w:val="18"/>
          <w:szCs w:val="18"/>
        </w:rPr>
        <w:t xml:space="preserve">/km. </w:t>
      </w:r>
    </w:p>
    <w:p w:rsidRPr="00753A01" w:rsidR="002B58DF" w:rsidP="00781CF8" w:rsidRDefault="00F57018">
      <w:pPr>
        <w:spacing w:after="0"/>
        <w:rPr>
          <w:rFonts w:cs="Arial"/>
          <w:sz w:val="18"/>
          <w:szCs w:val="18"/>
        </w:rPr>
      </w:pPr>
      <w:r>
        <w:rPr>
          <w:rFonts w:cs="Arial"/>
          <w:sz w:val="18"/>
          <w:szCs w:val="18"/>
        </w:rPr>
        <w:t>N</w:t>
      </w:r>
      <w:r w:rsidRPr="00753A01" w:rsidR="002B58DF">
        <w:rPr>
          <w:rFonts w:cs="Arial"/>
          <w:sz w:val="18"/>
          <w:szCs w:val="18"/>
        </w:rPr>
        <w:t xml:space="preserve">a de eerste stappen van de ombouw van de BPM naar een </w:t>
      </w:r>
      <w:r w:rsidRPr="00753A01" w:rsidR="002B58DF">
        <w:rPr>
          <w:sz w:val="18"/>
          <w:szCs w:val="18"/>
        </w:rPr>
        <w:t>CO</w:t>
      </w:r>
      <w:r w:rsidRPr="00753A01" w:rsidR="002B58DF">
        <w:rPr>
          <w:sz w:val="18"/>
          <w:szCs w:val="18"/>
          <w:vertAlign w:val="subscript"/>
        </w:rPr>
        <w:t>2</w:t>
      </w:r>
      <w:r w:rsidRPr="00753A01" w:rsidR="002B58DF">
        <w:rPr>
          <w:sz w:val="18"/>
          <w:szCs w:val="18"/>
        </w:rPr>
        <w:t xml:space="preserve">-gerelateerde belasting </w:t>
      </w:r>
      <w:r w:rsidRPr="00753A01" w:rsidR="002B58DF">
        <w:rPr>
          <w:rFonts w:cs="Arial"/>
          <w:sz w:val="18"/>
          <w:szCs w:val="18"/>
        </w:rPr>
        <w:t xml:space="preserve">worden </w:t>
      </w:r>
      <w:r>
        <w:rPr>
          <w:rFonts w:cs="Arial"/>
          <w:sz w:val="18"/>
          <w:szCs w:val="18"/>
        </w:rPr>
        <w:t xml:space="preserve">de nieuwverkopen </w:t>
      </w:r>
      <w:r w:rsidRPr="00753A01" w:rsidR="002B58DF">
        <w:rPr>
          <w:rFonts w:cs="Arial"/>
          <w:sz w:val="18"/>
          <w:szCs w:val="18"/>
        </w:rPr>
        <w:t>sterk gedreven door de zuinigheidsgrenzen</w:t>
      </w:r>
      <w:r w:rsidR="005C4568">
        <w:rPr>
          <w:rFonts w:cs="Arial"/>
          <w:sz w:val="18"/>
          <w:szCs w:val="18"/>
        </w:rPr>
        <w:t xml:space="preserve"> voor benzine en diesel van de onderste BPM CO</w:t>
      </w:r>
      <w:r w:rsidRPr="005C4568" w:rsidR="005C4568">
        <w:rPr>
          <w:rFonts w:cs="Arial"/>
          <w:sz w:val="18"/>
          <w:szCs w:val="18"/>
          <w:vertAlign w:val="subscript"/>
        </w:rPr>
        <w:t>2</w:t>
      </w:r>
      <w:r w:rsidR="005C4568">
        <w:rPr>
          <w:rFonts w:cs="Arial"/>
          <w:sz w:val="18"/>
          <w:szCs w:val="18"/>
        </w:rPr>
        <w:t>-schijf en van de bijtelling</w:t>
      </w:r>
      <w:r w:rsidRPr="00753A01" w:rsidR="002B58DF">
        <w:rPr>
          <w:rFonts w:cs="Arial"/>
          <w:sz w:val="18"/>
          <w:szCs w:val="18"/>
        </w:rPr>
        <w:t>. Auto’s die (net) onder deze grenzen vallen zijn in 2010 massaal verkocht. Dit toont het belang aan van een juiste en optimale vaststelling van de verschillende zuinigheidsgrenzen, zowel in de BPM als in de bijtelling.</w:t>
      </w:r>
    </w:p>
    <w:p w:rsidRPr="00753A01" w:rsidR="002B58DF" w:rsidP="00781CF8" w:rsidRDefault="002B58DF">
      <w:pPr>
        <w:spacing w:after="0"/>
        <w:rPr>
          <w:sz w:val="18"/>
          <w:szCs w:val="18"/>
        </w:rPr>
      </w:pPr>
      <w:r w:rsidRPr="00753A01">
        <w:rPr>
          <w:rFonts w:cs="Arial"/>
          <w:sz w:val="18"/>
          <w:szCs w:val="18"/>
        </w:rPr>
        <w:lastRenderedPageBreak/>
        <w:t xml:space="preserve">Samenvattend komt Ecorys tot de conclusie dat het beleid effectief is geweest als alleen wordt gekeken naar de </w:t>
      </w:r>
      <w:r w:rsidRPr="00753A01">
        <w:rPr>
          <w:sz w:val="18"/>
          <w:szCs w:val="18"/>
        </w:rPr>
        <w:t>CO</w:t>
      </w:r>
      <w:r w:rsidRPr="00753A01">
        <w:rPr>
          <w:sz w:val="18"/>
          <w:szCs w:val="18"/>
          <w:vertAlign w:val="subscript"/>
        </w:rPr>
        <w:t>2</w:t>
      </w:r>
      <w:r w:rsidRPr="00753A01">
        <w:rPr>
          <w:sz w:val="18"/>
          <w:szCs w:val="18"/>
        </w:rPr>
        <w:t>-uitstoot van nieuwverkopen. De Europese norm voor de nieuwverkopen van 130 gram CO</w:t>
      </w:r>
      <w:r w:rsidRPr="00753A01">
        <w:rPr>
          <w:sz w:val="18"/>
          <w:szCs w:val="18"/>
          <w:vertAlign w:val="subscript"/>
        </w:rPr>
        <w:t>2</w:t>
      </w:r>
      <w:r w:rsidRPr="00753A01">
        <w:rPr>
          <w:sz w:val="18"/>
          <w:szCs w:val="18"/>
        </w:rPr>
        <w:t xml:space="preserve"> in 2015 is in Nederland nu al bijna bereikt. Het oordeel is minder gunstig waar het gaat om de efficiency van het beleid. De kosten (BPM, MRB, </w:t>
      </w:r>
      <w:r>
        <w:rPr>
          <w:sz w:val="18"/>
          <w:szCs w:val="18"/>
        </w:rPr>
        <w:t>bijtelling</w:t>
      </w:r>
      <w:r w:rsidRPr="00753A01">
        <w:rPr>
          <w:sz w:val="18"/>
          <w:szCs w:val="18"/>
        </w:rPr>
        <w:t xml:space="preserve"> en accijnzen) per ton CO</w:t>
      </w:r>
      <w:r w:rsidRPr="00753A01">
        <w:rPr>
          <w:sz w:val="18"/>
          <w:szCs w:val="18"/>
          <w:vertAlign w:val="subscript"/>
        </w:rPr>
        <w:t>2</w:t>
      </w:r>
      <w:r w:rsidRPr="00753A01">
        <w:rPr>
          <w:sz w:val="18"/>
          <w:szCs w:val="18"/>
        </w:rPr>
        <w:t xml:space="preserve"> reductie waren relatief hoog.</w:t>
      </w:r>
    </w:p>
    <w:p w:rsidRPr="00753A01" w:rsidR="002B58DF" w:rsidP="00781CF8" w:rsidRDefault="002B58DF">
      <w:pPr>
        <w:spacing w:after="0"/>
        <w:rPr>
          <w:sz w:val="18"/>
          <w:szCs w:val="18"/>
        </w:rPr>
      </w:pPr>
      <w:r w:rsidRPr="00753A01">
        <w:rPr>
          <w:sz w:val="18"/>
          <w:szCs w:val="18"/>
        </w:rPr>
        <w:t>Ecorys is eveneens van mening dat het fiscale bouwwerk op dit terrein erg complex is geworden. Dit is overigens mede een gevolg van de talrijke aanpassingen die van jaar tot jaar hebben plaatsgevonden</w:t>
      </w:r>
      <w:r>
        <w:rPr>
          <w:sz w:val="18"/>
          <w:szCs w:val="18"/>
        </w:rPr>
        <w:t>, aanpassingen die vaak ook weer hun eigen overgangsregime noodzakelijk maakten</w:t>
      </w:r>
      <w:r w:rsidRPr="00753A01">
        <w:rPr>
          <w:sz w:val="18"/>
          <w:szCs w:val="18"/>
        </w:rPr>
        <w:t xml:space="preserve">. Deze </w:t>
      </w:r>
      <w:r>
        <w:rPr>
          <w:sz w:val="18"/>
          <w:szCs w:val="18"/>
        </w:rPr>
        <w:t xml:space="preserve">elkaar opvolgende </w:t>
      </w:r>
      <w:r w:rsidRPr="00753A01">
        <w:rPr>
          <w:sz w:val="18"/>
          <w:szCs w:val="18"/>
        </w:rPr>
        <w:t>aanpassingen hebben ook geleid tot onzekerheid bij zowel de verkoper als de koper. Me</w:t>
      </w:r>
      <w:r w:rsidR="002A30DC">
        <w:rPr>
          <w:sz w:val="18"/>
          <w:szCs w:val="18"/>
        </w:rPr>
        <w:t>n</w:t>
      </w:r>
      <w:r w:rsidRPr="00753A01">
        <w:rPr>
          <w:sz w:val="18"/>
          <w:szCs w:val="18"/>
        </w:rPr>
        <w:t xml:space="preserve"> heeft behoefte aan </w:t>
      </w:r>
      <w:r w:rsidR="003A309E">
        <w:rPr>
          <w:sz w:val="18"/>
          <w:szCs w:val="18"/>
        </w:rPr>
        <w:t xml:space="preserve">zekerheid </w:t>
      </w:r>
      <w:r w:rsidRPr="00753A01">
        <w:rPr>
          <w:sz w:val="18"/>
          <w:szCs w:val="18"/>
        </w:rPr>
        <w:t>over de regeling zoals die de komende jaren zal gelden.</w:t>
      </w:r>
    </w:p>
    <w:p w:rsidR="002B58DF" w:rsidP="00781CF8" w:rsidRDefault="002B58DF">
      <w:pPr>
        <w:spacing w:after="0"/>
        <w:rPr>
          <w:sz w:val="18"/>
          <w:szCs w:val="18"/>
        </w:rPr>
      </w:pPr>
      <w:r w:rsidRPr="00753A01">
        <w:rPr>
          <w:sz w:val="18"/>
          <w:szCs w:val="18"/>
        </w:rPr>
        <w:t>Ecorys constateert voorts effecten op restwaarde en verkoopbaarheid van (met name kleine, zuinige en)</w:t>
      </w:r>
      <w:r w:rsidRPr="00F57018">
        <w:rPr>
          <w:sz w:val="18"/>
          <w:szCs w:val="18"/>
        </w:rPr>
        <w:t xml:space="preserve"> jonge gebruikte auto’s</w:t>
      </w:r>
      <w:r w:rsidRPr="00753A01">
        <w:rPr>
          <w:sz w:val="18"/>
          <w:szCs w:val="18"/>
        </w:rPr>
        <w:t xml:space="preserve">. Dit geldt zowel voor privéauto’s als voor auto’s van de zaak. </w:t>
      </w:r>
    </w:p>
    <w:p w:rsidR="002B58DF" w:rsidP="00781CF8" w:rsidRDefault="002B58DF">
      <w:pPr>
        <w:spacing w:after="0"/>
        <w:rPr>
          <w:sz w:val="18"/>
          <w:szCs w:val="18"/>
        </w:rPr>
      </w:pPr>
      <w:r>
        <w:rPr>
          <w:sz w:val="18"/>
          <w:szCs w:val="18"/>
        </w:rPr>
        <w:t>Gelet op de verkopen in het eerste kwartaal van 2011 zet de hiervoor beschreven trend zich onverminderd door (zie ook de paragra</w:t>
      </w:r>
      <w:r w:rsidR="00183F46">
        <w:rPr>
          <w:sz w:val="18"/>
          <w:szCs w:val="18"/>
        </w:rPr>
        <w:t>f</w:t>
      </w:r>
      <w:r>
        <w:rPr>
          <w:sz w:val="18"/>
          <w:szCs w:val="18"/>
        </w:rPr>
        <w:t>en 3.2 en 3.3 hierna). Van deze verkopen in het eerste kwartaal 2011 kwalificeerde 33% als zeer zuinig en</w:t>
      </w:r>
      <w:r w:rsidR="00F57018">
        <w:rPr>
          <w:sz w:val="18"/>
          <w:szCs w:val="18"/>
        </w:rPr>
        <w:t xml:space="preserve"> deze verkopen kwamen daardoor </w:t>
      </w:r>
      <w:r>
        <w:rPr>
          <w:sz w:val="18"/>
          <w:szCs w:val="18"/>
        </w:rPr>
        <w:t xml:space="preserve">in aanmerking voor vrijstelling van BPM en MRB en – voor zover het een zakelijke auto betreft – voor 14% bijtelling. </w:t>
      </w:r>
    </w:p>
    <w:p w:rsidR="002B58DF" w:rsidP="00781CF8" w:rsidRDefault="002B58DF">
      <w:pPr>
        <w:spacing w:after="0"/>
        <w:rPr>
          <w:sz w:val="18"/>
          <w:szCs w:val="18"/>
        </w:rPr>
      </w:pPr>
      <w:r>
        <w:rPr>
          <w:sz w:val="18"/>
          <w:szCs w:val="18"/>
        </w:rPr>
        <w:t xml:space="preserve">Dit beleid stimuleert daardoor een categorie auto’s die weliswaar zuinig </w:t>
      </w:r>
      <w:r w:rsidR="005C4568">
        <w:rPr>
          <w:sz w:val="18"/>
          <w:szCs w:val="18"/>
        </w:rPr>
        <w:t>zijn</w:t>
      </w:r>
      <w:r>
        <w:rPr>
          <w:sz w:val="18"/>
          <w:szCs w:val="18"/>
        </w:rPr>
        <w:t>, maar al lang niet meer als de meest zuinige</w:t>
      </w:r>
      <w:r w:rsidR="00F57018">
        <w:rPr>
          <w:sz w:val="18"/>
          <w:szCs w:val="18"/>
        </w:rPr>
        <w:t xml:space="preserve"> kwalificeren</w:t>
      </w:r>
      <w:r>
        <w:rPr>
          <w:sz w:val="18"/>
          <w:szCs w:val="18"/>
        </w:rPr>
        <w:t>. Hierdoor is ook het budgettair beslag van de stimuleringsmaatregelen fors opgelopen. Daar waar het beleid in de BPM oorspronkelijk als budgettair neutraal is vormgegeven, hebben de ontwikkelingen inmiddels geleid tot een (forse) budgettaire derving. Met name de omvang van de derving maakt ook dat de kosten die voor de overheid verbonden zijn aan de gerealiseerde CO</w:t>
      </w:r>
      <w:r w:rsidRPr="007A0D65">
        <w:rPr>
          <w:sz w:val="18"/>
          <w:szCs w:val="18"/>
          <w:vertAlign w:val="subscript"/>
        </w:rPr>
        <w:t>2</w:t>
      </w:r>
      <w:r>
        <w:rPr>
          <w:sz w:val="18"/>
          <w:szCs w:val="18"/>
        </w:rPr>
        <w:t>-reductie hoog zijn</w:t>
      </w:r>
      <w:r w:rsidR="0034187C">
        <w:rPr>
          <w:sz w:val="18"/>
          <w:szCs w:val="18"/>
        </w:rPr>
        <w:t>,</w:t>
      </w:r>
      <w:r>
        <w:rPr>
          <w:sz w:val="18"/>
          <w:szCs w:val="18"/>
        </w:rPr>
        <w:t xml:space="preserve"> waardoor de efficiency van de maatregelen beperkt is. Een en ander is onderkend bij de opstelling van het Belastingplan 2011 en is dan ook de achtergrond geweest van het onderhavige onderzoek naar de mogelijkheden om de stimuleringsmaatregelen zodanig vorm te geven dat deze een stimulans (blijven) vormen om steeds te kiezen voor de </w:t>
      </w:r>
      <w:r w:rsidR="005A289B">
        <w:rPr>
          <w:sz w:val="18"/>
          <w:szCs w:val="18"/>
        </w:rPr>
        <w:t>meest zuinige</w:t>
      </w:r>
      <w:r>
        <w:rPr>
          <w:sz w:val="18"/>
          <w:szCs w:val="18"/>
        </w:rPr>
        <w:t xml:space="preserve"> auto.</w:t>
      </w:r>
    </w:p>
    <w:p w:rsidR="002B58DF" w:rsidP="00781CF8" w:rsidRDefault="002B58DF">
      <w:pPr>
        <w:spacing w:after="0"/>
        <w:rPr>
          <w:sz w:val="18"/>
          <w:szCs w:val="18"/>
        </w:rPr>
      </w:pPr>
    </w:p>
    <w:p w:rsidR="002B58DF" w:rsidP="00781CF8" w:rsidRDefault="002B58DF">
      <w:pPr>
        <w:pStyle w:val="Kop2"/>
        <w:spacing w:before="0"/>
        <w:rPr>
          <w:rFonts w:ascii="Verdana" w:hAnsi="Verdana"/>
          <w:color w:val="auto"/>
          <w:sz w:val="18"/>
          <w:szCs w:val="18"/>
        </w:rPr>
      </w:pPr>
      <w:bookmarkStart w:name="_Toc293998524" w:id="8"/>
      <w:r w:rsidRPr="00FF44BB">
        <w:rPr>
          <w:rFonts w:ascii="Verdana" w:hAnsi="Verdana"/>
          <w:color w:val="auto"/>
          <w:sz w:val="18"/>
          <w:szCs w:val="18"/>
        </w:rPr>
        <w:t xml:space="preserve">3.2 </w:t>
      </w:r>
      <w:r>
        <w:rPr>
          <w:rFonts w:ascii="Verdana" w:hAnsi="Verdana"/>
          <w:color w:val="auto"/>
          <w:sz w:val="18"/>
          <w:szCs w:val="18"/>
        </w:rPr>
        <w:t>Technologische ontwikkelingen</w:t>
      </w:r>
      <w:bookmarkEnd w:id="8"/>
    </w:p>
    <w:p w:rsidR="002B58DF" w:rsidP="00781CF8" w:rsidRDefault="002B58DF">
      <w:pPr>
        <w:spacing w:after="0"/>
        <w:rPr>
          <w:sz w:val="18"/>
          <w:szCs w:val="18"/>
        </w:rPr>
      </w:pPr>
      <w:r>
        <w:rPr>
          <w:sz w:val="18"/>
          <w:szCs w:val="18"/>
        </w:rPr>
        <w:t>Ecorys heeft – in overleg met TNO – de meer technologische ontwikkelingen van het aanbod van personenauto’s tot 2015 nader beschouwd. Deze ontwikkelingen staan dus los van het fiscale beleid. In samenhang met het te voeren fiscale beleid zullen deze ontwikkelingen in hoge mate de samenstelling bepalen van de nieuw te verkopen auto’s tot 2015</w:t>
      </w:r>
      <w:r w:rsidRPr="00AD1DAA">
        <w:rPr>
          <w:sz w:val="18"/>
          <w:szCs w:val="18"/>
        </w:rPr>
        <w:t>. In paragraaf 3.3. wordt een</w:t>
      </w:r>
      <w:r>
        <w:rPr>
          <w:sz w:val="18"/>
          <w:szCs w:val="18"/>
        </w:rPr>
        <w:t xml:space="preserve"> scenario geschetst van de verwachte ontwikkelingen bij ongewijzigd fiscaal beleid. In deze paragraaf beperk ik mij tot het samenvattend weergeven van de conclusies van Ecorys over de te verwachten technologische ontwikkelingen tot 2015.</w:t>
      </w:r>
    </w:p>
    <w:p w:rsidR="002B58DF" w:rsidP="00781CF8" w:rsidRDefault="002B58DF">
      <w:pPr>
        <w:spacing w:after="0"/>
        <w:rPr>
          <w:sz w:val="18"/>
          <w:szCs w:val="18"/>
        </w:rPr>
      </w:pPr>
      <w:r>
        <w:rPr>
          <w:sz w:val="18"/>
          <w:szCs w:val="18"/>
        </w:rPr>
        <w:t xml:space="preserve">Ingevolge </w:t>
      </w:r>
      <w:r w:rsidRPr="00D00475">
        <w:rPr>
          <w:sz w:val="18"/>
          <w:szCs w:val="18"/>
        </w:rPr>
        <w:t>Europese CO</w:t>
      </w:r>
      <w:r w:rsidRPr="00D00475">
        <w:rPr>
          <w:sz w:val="18"/>
          <w:szCs w:val="18"/>
          <w:vertAlign w:val="subscript"/>
        </w:rPr>
        <w:t>2</w:t>
      </w:r>
      <w:r w:rsidRPr="00D00475">
        <w:rPr>
          <w:sz w:val="18"/>
          <w:szCs w:val="18"/>
        </w:rPr>
        <w:t>-wetgeving voor personenauto’s mag de gemiddelde CO</w:t>
      </w:r>
      <w:r w:rsidRPr="00D00475">
        <w:rPr>
          <w:sz w:val="18"/>
          <w:szCs w:val="18"/>
          <w:vertAlign w:val="subscript"/>
        </w:rPr>
        <w:t>2</w:t>
      </w:r>
      <w:r w:rsidRPr="00D00475">
        <w:rPr>
          <w:sz w:val="18"/>
          <w:szCs w:val="18"/>
        </w:rPr>
        <w:t>-emissie (volgens type</w:t>
      </w:r>
      <w:r w:rsidR="0055180E">
        <w:rPr>
          <w:sz w:val="18"/>
          <w:szCs w:val="18"/>
        </w:rPr>
        <w:t>goed</w:t>
      </w:r>
      <w:r w:rsidRPr="00D00475">
        <w:rPr>
          <w:sz w:val="18"/>
          <w:szCs w:val="18"/>
        </w:rPr>
        <w:t xml:space="preserve">keuring) over alle verkopen in </w:t>
      </w:r>
      <w:r>
        <w:rPr>
          <w:sz w:val="18"/>
          <w:szCs w:val="18"/>
        </w:rPr>
        <w:t>de Europese Unie</w:t>
      </w:r>
      <w:r w:rsidRPr="00D00475">
        <w:rPr>
          <w:sz w:val="18"/>
          <w:szCs w:val="18"/>
        </w:rPr>
        <w:t xml:space="preserve"> van nieuwe auto’s </w:t>
      </w:r>
      <w:r w:rsidR="005C4568">
        <w:rPr>
          <w:sz w:val="18"/>
          <w:szCs w:val="18"/>
        </w:rPr>
        <w:t xml:space="preserve">in 2015 </w:t>
      </w:r>
      <w:r w:rsidRPr="00D00475">
        <w:rPr>
          <w:sz w:val="18"/>
          <w:szCs w:val="18"/>
        </w:rPr>
        <w:t>niet meer dan 130 g</w:t>
      </w:r>
      <w:r w:rsidR="005A289B">
        <w:rPr>
          <w:sz w:val="18"/>
          <w:szCs w:val="18"/>
        </w:rPr>
        <w:t>r</w:t>
      </w:r>
      <w:r w:rsidRPr="00D00475">
        <w:rPr>
          <w:sz w:val="18"/>
          <w:szCs w:val="18"/>
        </w:rPr>
        <w:t>/km bedragen. Vanaf 2012 moet de verkoopgemiddelde CO</w:t>
      </w:r>
      <w:r w:rsidRPr="00D00475">
        <w:rPr>
          <w:sz w:val="18"/>
          <w:szCs w:val="18"/>
          <w:vertAlign w:val="subscript"/>
        </w:rPr>
        <w:t>2</w:t>
      </w:r>
      <w:r w:rsidRPr="00D00475">
        <w:rPr>
          <w:sz w:val="18"/>
          <w:szCs w:val="18"/>
        </w:rPr>
        <w:t>-emissie van een oplopend aandeel van de verkopen lager zijn dan 130 g</w:t>
      </w:r>
      <w:r w:rsidR="005A289B">
        <w:rPr>
          <w:sz w:val="18"/>
          <w:szCs w:val="18"/>
        </w:rPr>
        <w:t>r</w:t>
      </w:r>
      <w:r w:rsidRPr="00D00475">
        <w:rPr>
          <w:sz w:val="18"/>
          <w:szCs w:val="18"/>
        </w:rPr>
        <w:t xml:space="preserve">/km. Voor 2020 en verder is </w:t>
      </w:r>
      <w:r w:rsidR="002A30DC">
        <w:rPr>
          <w:sz w:val="18"/>
          <w:szCs w:val="18"/>
        </w:rPr>
        <w:t xml:space="preserve">tot </w:t>
      </w:r>
      <w:r w:rsidRPr="00D00475">
        <w:rPr>
          <w:sz w:val="18"/>
          <w:szCs w:val="18"/>
        </w:rPr>
        <w:t xml:space="preserve">een </w:t>
      </w:r>
      <w:r>
        <w:rPr>
          <w:sz w:val="18"/>
          <w:szCs w:val="18"/>
        </w:rPr>
        <w:t xml:space="preserve">doelstelling </w:t>
      </w:r>
      <w:r w:rsidRPr="00D00475">
        <w:rPr>
          <w:sz w:val="18"/>
          <w:szCs w:val="18"/>
        </w:rPr>
        <w:t>van 95 g</w:t>
      </w:r>
      <w:r w:rsidR="005A289B">
        <w:rPr>
          <w:sz w:val="18"/>
          <w:szCs w:val="18"/>
        </w:rPr>
        <w:t>r</w:t>
      </w:r>
      <w:r w:rsidRPr="00D00475">
        <w:rPr>
          <w:sz w:val="18"/>
          <w:szCs w:val="18"/>
        </w:rPr>
        <w:t xml:space="preserve">/km besloten. </w:t>
      </w:r>
    </w:p>
    <w:p w:rsidR="002B58DF" w:rsidP="00781CF8" w:rsidRDefault="002B58DF">
      <w:pPr>
        <w:spacing w:after="0"/>
        <w:rPr>
          <w:sz w:val="18"/>
          <w:szCs w:val="18"/>
        </w:rPr>
      </w:pPr>
      <w:r>
        <w:rPr>
          <w:sz w:val="18"/>
          <w:szCs w:val="18"/>
        </w:rPr>
        <w:t>F</w:t>
      </w:r>
      <w:r w:rsidRPr="00D00475">
        <w:rPr>
          <w:sz w:val="18"/>
          <w:szCs w:val="18"/>
        </w:rPr>
        <w:t xml:space="preserve">abrikanten </w:t>
      </w:r>
      <w:r>
        <w:rPr>
          <w:sz w:val="18"/>
          <w:szCs w:val="18"/>
        </w:rPr>
        <w:t xml:space="preserve">zullen </w:t>
      </w:r>
      <w:r w:rsidRPr="00D00475">
        <w:rPr>
          <w:sz w:val="18"/>
          <w:szCs w:val="18"/>
        </w:rPr>
        <w:t xml:space="preserve">de komende jaren vooral via technische verbeteringen en aanpassingen alsmede </w:t>
      </w:r>
      <w:r w:rsidR="00F57018">
        <w:rPr>
          <w:sz w:val="18"/>
          <w:szCs w:val="18"/>
        </w:rPr>
        <w:t xml:space="preserve">via </w:t>
      </w:r>
      <w:r w:rsidRPr="00D00475">
        <w:rPr>
          <w:sz w:val="18"/>
          <w:szCs w:val="18"/>
        </w:rPr>
        <w:t>de inzet op nieuwverkopen van kleine(re) auto’s trachten de Europese doelen te halen.</w:t>
      </w:r>
      <w:r>
        <w:rPr>
          <w:sz w:val="18"/>
          <w:szCs w:val="18"/>
        </w:rPr>
        <w:t xml:space="preserve"> </w:t>
      </w:r>
    </w:p>
    <w:p w:rsidR="002B58DF" w:rsidP="00781CF8" w:rsidRDefault="002B58DF">
      <w:pPr>
        <w:spacing w:after="0"/>
        <w:rPr>
          <w:sz w:val="18"/>
          <w:szCs w:val="18"/>
        </w:rPr>
      </w:pPr>
      <w:r>
        <w:rPr>
          <w:sz w:val="18"/>
          <w:szCs w:val="18"/>
        </w:rPr>
        <w:t xml:space="preserve">In de navolgende tabel </w:t>
      </w:r>
      <w:r w:rsidR="0045007E">
        <w:rPr>
          <w:sz w:val="18"/>
          <w:szCs w:val="18"/>
        </w:rPr>
        <w:t xml:space="preserve">2 </w:t>
      </w:r>
      <w:r>
        <w:rPr>
          <w:sz w:val="18"/>
          <w:szCs w:val="18"/>
        </w:rPr>
        <w:t>is de verwachte uitstootdaling (CO</w:t>
      </w:r>
      <w:r w:rsidRPr="007A0D65">
        <w:rPr>
          <w:sz w:val="18"/>
          <w:szCs w:val="18"/>
          <w:vertAlign w:val="subscript"/>
        </w:rPr>
        <w:t>2</w:t>
      </w:r>
      <w:r>
        <w:rPr>
          <w:sz w:val="18"/>
          <w:szCs w:val="18"/>
        </w:rPr>
        <w:t>) tot 2015 geschat, onderscheidenlijk voor benzine en diesel en nader onderscheiden voor de verschillende segmenten</w:t>
      </w:r>
      <w:r w:rsidR="00C61C11">
        <w:rPr>
          <w:sz w:val="18"/>
          <w:szCs w:val="18"/>
        </w:rPr>
        <w:t>.</w:t>
      </w:r>
      <w:r>
        <w:rPr>
          <w:rStyle w:val="Voetnootmarkering"/>
          <w:sz w:val="18"/>
          <w:szCs w:val="18"/>
        </w:rPr>
        <w:footnoteReference w:id="9"/>
      </w:r>
    </w:p>
    <w:p w:rsidR="00A46FBF" w:rsidP="00A46FBF" w:rsidRDefault="00A46FBF">
      <w:pPr>
        <w:spacing w:after="0"/>
        <w:rPr>
          <w:sz w:val="18"/>
          <w:szCs w:val="18"/>
        </w:rPr>
      </w:pPr>
      <w:bookmarkStart w:name="_Toc291240448" w:id="9"/>
    </w:p>
    <w:p w:rsidR="0026455C" w:rsidRDefault="0026455C">
      <w:pPr>
        <w:spacing w:after="0" w:line="240" w:lineRule="auto"/>
        <w:rPr>
          <w:b/>
          <w:i/>
          <w:sz w:val="16"/>
          <w:szCs w:val="16"/>
        </w:rPr>
      </w:pPr>
      <w:r>
        <w:rPr>
          <w:b/>
          <w:i/>
          <w:sz w:val="16"/>
          <w:szCs w:val="16"/>
        </w:rPr>
        <w:br w:type="page"/>
      </w:r>
    </w:p>
    <w:p w:rsidRPr="005138AB" w:rsidR="00A46FBF" w:rsidP="00A46FBF" w:rsidRDefault="004364A3">
      <w:pPr>
        <w:spacing w:after="0"/>
        <w:rPr>
          <w:b/>
          <w:i/>
          <w:sz w:val="16"/>
          <w:szCs w:val="16"/>
        </w:rPr>
      </w:pPr>
      <w:r>
        <w:rPr>
          <w:b/>
          <w:i/>
          <w:sz w:val="16"/>
          <w:szCs w:val="16"/>
        </w:rPr>
        <w:lastRenderedPageBreak/>
        <w:t xml:space="preserve">Tabel 2: </w:t>
      </w:r>
      <w:r w:rsidRPr="005138AB" w:rsidR="005138AB">
        <w:rPr>
          <w:b/>
          <w:i/>
          <w:sz w:val="16"/>
          <w:szCs w:val="16"/>
        </w:rPr>
        <w:t>Aannames ten aanzien van laagste CO</w:t>
      </w:r>
      <w:r w:rsidRPr="005138AB" w:rsidR="005138AB">
        <w:rPr>
          <w:b/>
          <w:i/>
          <w:sz w:val="16"/>
          <w:szCs w:val="16"/>
          <w:vertAlign w:val="subscript"/>
        </w:rPr>
        <w:t>2</w:t>
      </w:r>
      <w:r w:rsidR="00D92670">
        <w:rPr>
          <w:b/>
          <w:i/>
          <w:sz w:val="16"/>
          <w:szCs w:val="16"/>
        </w:rPr>
        <w:t>-</w:t>
      </w:r>
      <w:r w:rsidRPr="005138AB" w:rsidR="005138AB">
        <w:rPr>
          <w:b/>
          <w:i/>
          <w:sz w:val="16"/>
          <w:szCs w:val="16"/>
        </w:rPr>
        <w:t>waarden per segment, benzine en diesel, 2010-2015</w:t>
      </w:r>
    </w:p>
    <w:tbl>
      <w:tblPr>
        <w:tblStyle w:val="Lichtearcering3"/>
        <w:tblW w:w="0" w:type="auto"/>
        <w:tblLook w:val="04A0"/>
      </w:tblPr>
      <w:tblGrid>
        <w:gridCol w:w="3227"/>
        <w:gridCol w:w="1496"/>
        <w:gridCol w:w="1496"/>
        <w:gridCol w:w="1496"/>
        <w:gridCol w:w="1497"/>
      </w:tblGrid>
      <w:tr w:rsidRPr="00A46FBF" w:rsidR="00A46FBF" w:rsidTr="005138AB">
        <w:trPr>
          <w:cnfStyle w:val="100000000000"/>
        </w:trPr>
        <w:tc>
          <w:tcPr>
            <w:cnfStyle w:val="001000000000"/>
            <w:tcW w:w="3227" w:type="dxa"/>
          </w:tcPr>
          <w:p w:rsidRPr="00A46FBF" w:rsidR="00A46FBF" w:rsidP="00A46FBF" w:rsidRDefault="00A46FBF">
            <w:pPr>
              <w:spacing w:after="0"/>
              <w:rPr>
                <w:sz w:val="16"/>
                <w:szCs w:val="16"/>
              </w:rPr>
            </w:pPr>
            <w:r w:rsidRPr="00A46FBF">
              <w:rPr>
                <w:sz w:val="16"/>
                <w:szCs w:val="16"/>
              </w:rPr>
              <w:t>Laagste CO</w:t>
            </w:r>
            <w:r w:rsidRPr="00D92670">
              <w:rPr>
                <w:sz w:val="16"/>
                <w:szCs w:val="16"/>
                <w:vertAlign w:val="subscript"/>
              </w:rPr>
              <w:t>2</w:t>
            </w:r>
            <w:r w:rsidRPr="00A46FBF">
              <w:rPr>
                <w:sz w:val="16"/>
                <w:szCs w:val="16"/>
              </w:rPr>
              <w:t>-waarden</w:t>
            </w:r>
          </w:p>
        </w:tc>
        <w:tc>
          <w:tcPr>
            <w:tcW w:w="1496" w:type="dxa"/>
          </w:tcPr>
          <w:p w:rsidRPr="00A46FBF" w:rsidR="00A46FBF" w:rsidP="00A46FBF" w:rsidRDefault="00A46FBF">
            <w:pPr>
              <w:spacing w:after="0"/>
              <w:cnfStyle w:val="100000000000"/>
              <w:rPr>
                <w:sz w:val="16"/>
                <w:szCs w:val="16"/>
              </w:rPr>
            </w:pPr>
            <w:r w:rsidRPr="00A46FBF">
              <w:rPr>
                <w:sz w:val="16"/>
                <w:szCs w:val="16"/>
              </w:rPr>
              <w:t>A</w:t>
            </w:r>
          </w:p>
        </w:tc>
        <w:tc>
          <w:tcPr>
            <w:tcW w:w="1496" w:type="dxa"/>
          </w:tcPr>
          <w:p w:rsidRPr="00A46FBF" w:rsidR="00A46FBF" w:rsidP="00A46FBF" w:rsidRDefault="00A46FBF">
            <w:pPr>
              <w:spacing w:after="0"/>
              <w:cnfStyle w:val="100000000000"/>
              <w:rPr>
                <w:sz w:val="16"/>
                <w:szCs w:val="16"/>
              </w:rPr>
            </w:pPr>
            <w:r w:rsidRPr="00A46FBF">
              <w:rPr>
                <w:sz w:val="16"/>
                <w:szCs w:val="16"/>
              </w:rPr>
              <w:t>B</w:t>
            </w:r>
          </w:p>
        </w:tc>
        <w:tc>
          <w:tcPr>
            <w:tcW w:w="1496" w:type="dxa"/>
          </w:tcPr>
          <w:p w:rsidRPr="00A46FBF" w:rsidR="00A46FBF" w:rsidP="00A46FBF" w:rsidRDefault="00A46FBF">
            <w:pPr>
              <w:spacing w:after="0"/>
              <w:cnfStyle w:val="100000000000"/>
              <w:rPr>
                <w:sz w:val="16"/>
                <w:szCs w:val="16"/>
              </w:rPr>
            </w:pPr>
            <w:r w:rsidRPr="00A46FBF">
              <w:rPr>
                <w:sz w:val="16"/>
                <w:szCs w:val="16"/>
              </w:rPr>
              <w:t>C</w:t>
            </w:r>
          </w:p>
        </w:tc>
        <w:tc>
          <w:tcPr>
            <w:tcW w:w="1497" w:type="dxa"/>
          </w:tcPr>
          <w:p w:rsidRPr="00A46FBF" w:rsidR="00A46FBF" w:rsidP="00A46FBF" w:rsidRDefault="00A46FBF">
            <w:pPr>
              <w:spacing w:after="0"/>
              <w:cnfStyle w:val="100000000000"/>
              <w:rPr>
                <w:sz w:val="16"/>
                <w:szCs w:val="16"/>
              </w:rPr>
            </w:pPr>
            <w:r w:rsidRPr="00A46FBF">
              <w:rPr>
                <w:sz w:val="16"/>
                <w:szCs w:val="16"/>
              </w:rPr>
              <w:t>D</w:t>
            </w:r>
          </w:p>
        </w:tc>
      </w:tr>
      <w:tr w:rsidRPr="00A46FBF" w:rsidR="00A46FBF" w:rsidTr="005138AB">
        <w:trPr>
          <w:cnfStyle w:val="000000100000"/>
        </w:trPr>
        <w:tc>
          <w:tcPr>
            <w:cnfStyle w:val="001000000000"/>
            <w:tcW w:w="3227" w:type="dxa"/>
            <w:vAlign w:val="bottom"/>
          </w:tcPr>
          <w:p w:rsidRPr="00A46FBF" w:rsidR="00A46FBF" w:rsidP="00A46FBF" w:rsidRDefault="00A46FBF">
            <w:pPr>
              <w:spacing w:after="0"/>
              <w:rPr>
                <w:b w:val="0"/>
                <w:sz w:val="16"/>
                <w:szCs w:val="16"/>
              </w:rPr>
            </w:pPr>
          </w:p>
          <w:p w:rsidRPr="00A46FBF" w:rsidR="00A46FBF" w:rsidP="00A46FBF" w:rsidRDefault="00A46FBF">
            <w:pPr>
              <w:spacing w:after="0"/>
              <w:rPr>
                <w:b w:val="0"/>
                <w:sz w:val="16"/>
                <w:szCs w:val="16"/>
              </w:rPr>
            </w:pPr>
            <w:r w:rsidRPr="00A46FBF">
              <w:rPr>
                <w:b w:val="0"/>
                <w:sz w:val="16"/>
                <w:szCs w:val="16"/>
              </w:rPr>
              <w:t>Benzine: RDW 2010 (incl. hybride)</w:t>
            </w:r>
          </w:p>
        </w:tc>
        <w:tc>
          <w:tcPr>
            <w:tcW w:w="1496" w:type="dxa"/>
            <w:vAlign w:val="bottom"/>
          </w:tcPr>
          <w:p w:rsidRPr="00A46FBF" w:rsidR="00A46FBF" w:rsidP="00A46FBF" w:rsidRDefault="00A46FBF">
            <w:pPr>
              <w:spacing w:after="0"/>
              <w:cnfStyle w:val="000000100000"/>
              <w:rPr>
                <w:sz w:val="16"/>
                <w:szCs w:val="16"/>
              </w:rPr>
            </w:pPr>
            <w:r w:rsidRPr="00A46FBF">
              <w:rPr>
                <w:sz w:val="16"/>
                <w:szCs w:val="16"/>
              </w:rPr>
              <w:t>103</w:t>
            </w:r>
          </w:p>
        </w:tc>
        <w:tc>
          <w:tcPr>
            <w:tcW w:w="1496" w:type="dxa"/>
            <w:vAlign w:val="bottom"/>
          </w:tcPr>
          <w:p w:rsidRPr="00A46FBF" w:rsidR="00A46FBF" w:rsidP="00A46FBF" w:rsidRDefault="00A46FBF">
            <w:pPr>
              <w:spacing w:after="0"/>
              <w:cnfStyle w:val="000000100000"/>
              <w:rPr>
                <w:sz w:val="16"/>
                <w:szCs w:val="16"/>
              </w:rPr>
            </w:pPr>
            <w:r w:rsidRPr="00A46FBF">
              <w:rPr>
                <w:sz w:val="16"/>
                <w:szCs w:val="16"/>
              </w:rPr>
              <w:t>119</w:t>
            </w:r>
          </w:p>
        </w:tc>
        <w:tc>
          <w:tcPr>
            <w:tcW w:w="1496" w:type="dxa"/>
            <w:vAlign w:val="bottom"/>
          </w:tcPr>
          <w:p w:rsidRPr="00A46FBF" w:rsidR="00A46FBF" w:rsidP="00A46FBF" w:rsidRDefault="00A46FBF">
            <w:pPr>
              <w:spacing w:after="0"/>
              <w:cnfStyle w:val="000000100000"/>
              <w:rPr>
                <w:sz w:val="16"/>
                <w:szCs w:val="16"/>
              </w:rPr>
            </w:pPr>
            <w:r w:rsidRPr="00A46FBF">
              <w:rPr>
                <w:sz w:val="16"/>
                <w:szCs w:val="16"/>
              </w:rPr>
              <w:t>92</w:t>
            </w:r>
          </w:p>
        </w:tc>
        <w:tc>
          <w:tcPr>
            <w:tcW w:w="1497" w:type="dxa"/>
            <w:vAlign w:val="bottom"/>
          </w:tcPr>
          <w:p w:rsidRPr="00A46FBF" w:rsidR="00A46FBF" w:rsidP="00A46FBF" w:rsidRDefault="00A46FBF">
            <w:pPr>
              <w:spacing w:after="0"/>
              <w:cnfStyle w:val="000000100000"/>
              <w:rPr>
                <w:sz w:val="16"/>
                <w:szCs w:val="16"/>
              </w:rPr>
            </w:pPr>
            <w:r w:rsidRPr="00A46FBF">
              <w:rPr>
                <w:sz w:val="16"/>
                <w:szCs w:val="16"/>
              </w:rPr>
              <w:t>124</w:t>
            </w:r>
          </w:p>
        </w:tc>
      </w:tr>
      <w:tr w:rsidRPr="00A46FBF" w:rsidR="00A46FBF" w:rsidTr="005138AB">
        <w:tc>
          <w:tcPr>
            <w:cnfStyle w:val="001000000000"/>
            <w:tcW w:w="3227" w:type="dxa"/>
            <w:vAlign w:val="bottom"/>
          </w:tcPr>
          <w:p w:rsidRPr="00A46FBF" w:rsidR="00A46FBF" w:rsidP="00A46FBF" w:rsidRDefault="00A46FBF">
            <w:pPr>
              <w:spacing w:after="0"/>
              <w:rPr>
                <w:b w:val="0"/>
                <w:sz w:val="16"/>
                <w:szCs w:val="16"/>
              </w:rPr>
            </w:pPr>
          </w:p>
          <w:p w:rsidRPr="00A46FBF" w:rsidR="00A46FBF" w:rsidP="00A46FBF" w:rsidRDefault="00A46FBF">
            <w:pPr>
              <w:spacing w:after="0"/>
              <w:rPr>
                <w:b w:val="0"/>
                <w:sz w:val="16"/>
                <w:szCs w:val="16"/>
              </w:rPr>
            </w:pPr>
            <w:r w:rsidRPr="00A46FBF">
              <w:rPr>
                <w:b w:val="0"/>
                <w:sz w:val="16"/>
                <w:szCs w:val="16"/>
              </w:rPr>
              <w:t>Benzine 2015 (incl. hybride)</w:t>
            </w:r>
          </w:p>
        </w:tc>
        <w:tc>
          <w:tcPr>
            <w:tcW w:w="1496" w:type="dxa"/>
            <w:vAlign w:val="bottom"/>
          </w:tcPr>
          <w:p w:rsidRPr="00A46FBF" w:rsidR="00A46FBF" w:rsidP="00A46FBF" w:rsidRDefault="00A46FBF">
            <w:pPr>
              <w:spacing w:after="0"/>
              <w:cnfStyle w:val="000000000000"/>
              <w:rPr>
                <w:sz w:val="16"/>
                <w:szCs w:val="16"/>
              </w:rPr>
            </w:pPr>
            <w:r w:rsidRPr="00A46FBF">
              <w:rPr>
                <w:sz w:val="16"/>
                <w:szCs w:val="16"/>
              </w:rPr>
              <w:t>74</w:t>
            </w:r>
          </w:p>
        </w:tc>
        <w:tc>
          <w:tcPr>
            <w:tcW w:w="1496" w:type="dxa"/>
            <w:vAlign w:val="bottom"/>
          </w:tcPr>
          <w:p w:rsidRPr="00A46FBF" w:rsidR="00A46FBF" w:rsidP="00A46FBF" w:rsidRDefault="00A46FBF">
            <w:pPr>
              <w:spacing w:after="0"/>
              <w:cnfStyle w:val="000000000000"/>
              <w:rPr>
                <w:sz w:val="16"/>
                <w:szCs w:val="16"/>
              </w:rPr>
            </w:pPr>
            <w:r w:rsidRPr="00A46FBF">
              <w:rPr>
                <w:sz w:val="16"/>
                <w:szCs w:val="16"/>
              </w:rPr>
              <w:t>79</w:t>
            </w:r>
          </w:p>
        </w:tc>
        <w:tc>
          <w:tcPr>
            <w:tcW w:w="1496" w:type="dxa"/>
            <w:vAlign w:val="bottom"/>
          </w:tcPr>
          <w:p w:rsidRPr="00A46FBF" w:rsidR="00A46FBF" w:rsidP="00A46FBF" w:rsidRDefault="00A46FBF">
            <w:pPr>
              <w:spacing w:after="0"/>
              <w:cnfStyle w:val="000000000000"/>
              <w:rPr>
                <w:sz w:val="16"/>
                <w:szCs w:val="16"/>
              </w:rPr>
            </w:pPr>
            <w:r w:rsidRPr="00A46FBF">
              <w:rPr>
                <w:sz w:val="16"/>
                <w:szCs w:val="16"/>
              </w:rPr>
              <w:t>83</w:t>
            </w:r>
          </w:p>
        </w:tc>
        <w:tc>
          <w:tcPr>
            <w:tcW w:w="1497" w:type="dxa"/>
            <w:vAlign w:val="bottom"/>
          </w:tcPr>
          <w:p w:rsidRPr="00A46FBF" w:rsidR="00A46FBF" w:rsidP="00A46FBF" w:rsidRDefault="00A46FBF">
            <w:pPr>
              <w:spacing w:after="0"/>
              <w:cnfStyle w:val="000000000000"/>
              <w:rPr>
                <w:sz w:val="16"/>
                <w:szCs w:val="16"/>
              </w:rPr>
            </w:pPr>
            <w:r w:rsidRPr="00A46FBF">
              <w:rPr>
                <w:sz w:val="16"/>
                <w:szCs w:val="16"/>
              </w:rPr>
              <w:t>97</w:t>
            </w:r>
          </w:p>
        </w:tc>
      </w:tr>
      <w:tr w:rsidRPr="00A46FBF" w:rsidR="00A46FBF" w:rsidTr="005138AB">
        <w:trPr>
          <w:cnfStyle w:val="000000100000"/>
        </w:trPr>
        <w:tc>
          <w:tcPr>
            <w:cnfStyle w:val="001000000000"/>
            <w:tcW w:w="3227" w:type="dxa"/>
            <w:vAlign w:val="bottom"/>
          </w:tcPr>
          <w:p w:rsidRPr="00A46FBF" w:rsidR="00A46FBF" w:rsidP="00A46FBF" w:rsidRDefault="00A46FBF">
            <w:pPr>
              <w:spacing w:after="0"/>
              <w:rPr>
                <w:sz w:val="16"/>
                <w:szCs w:val="16"/>
              </w:rPr>
            </w:pPr>
          </w:p>
          <w:p w:rsidRPr="00A46FBF" w:rsidR="00A46FBF" w:rsidP="00A46FBF" w:rsidRDefault="00A46FBF">
            <w:pPr>
              <w:spacing w:after="0"/>
              <w:rPr>
                <w:sz w:val="16"/>
                <w:szCs w:val="16"/>
              </w:rPr>
            </w:pPr>
            <w:r w:rsidRPr="00A46FBF">
              <w:rPr>
                <w:sz w:val="16"/>
                <w:szCs w:val="16"/>
              </w:rPr>
              <w:t>% verandering per jaar</w:t>
            </w:r>
          </w:p>
        </w:tc>
        <w:tc>
          <w:tcPr>
            <w:tcW w:w="1496" w:type="dxa"/>
            <w:vAlign w:val="bottom"/>
          </w:tcPr>
          <w:p w:rsidRPr="00A46FBF" w:rsidR="00A46FBF" w:rsidP="00A46FBF" w:rsidRDefault="00A46FBF">
            <w:pPr>
              <w:spacing w:after="0"/>
              <w:cnfStyle w:val="000000100000"/>
              <w:rPr>
                <w:b/>
                <w:sz w:val="16"/>
                <w:szCs w:val="16"/>
              </w:rPr>
            </w:pPr>
            <w:r w:rsidRPr="00A46FBF">
              <w:rPr>
                <w:b/>
                <w:sz w:val="16"/>
                <w:szCs w:val="16"/>
              </w:rPr>
              <w:t>-6,4%</w:t>
            </w:r>
          </w:p>
        </w:tc>
        <w:tc>
          <w:tcPr>
            <w:tcW w:w="1496" w:type="dxa"/>
            <w:vAlign w:val="bottom"/>
          </w:tcPr>
          <w:p w:rsidRPr="00A46FBF" w:rsidR="00A46FBF" w:rsidP="00A46FBF" w:rsidRDefault="00A46FBF">
            <w:pPr>
              <w:spacing w:after="0"/>
              <w:cnfStyle w:val="000000100000"/>
              <w:rPr>
                <w:b/>
                <w:sz w:val="16"/>
                <w:szCs w:val="16"/>
              </w:rPr>
            </w:pPr>
            <w:r w:rsidRPr="00A46FBF">
              <w:rPr>
                <w:b/>
                <w:sz w:val="16"/>
                <w:szCs w:val="16"/>
              </w:rPr>
              <w:t>-8,0%</w:t>
            </w:r>
          </w:p>
        </w:tc>
        <w:tc>
          <w:tcPr>
            <w:tcW w:w="1496" w:type="dxa"/>
            <w:vAlign w:val="bottom"/>
          </w:tcPr>
          <w:p w:rsidRPr="00A46FBF" w:rsidR="00A46FBF" w:rsidP="00A46FBF" w:rsidRDefault="00A46FBF">
            <w:pPr>
              <w:spacing w:after="0"/>
              <w:cnfStyle w:val="000000100000"/>
              <w:rPr>
                <w:b/>
                <w:sz w:val="16"/>
                <w:szCs w:val="16"/>
              </w:rPr>
            </w:pPr>
            <w:r w:rsidRPr="00A46FBF">
              <w:rPr>
                <w:b/>
                <w:sz w:val="16"/>
                <w:szCs w:val="16"/>
              </w:rPr>
              <w:t>-2,0%</w:t>
            </w:r>
          </w:p>
        </w:tc>
        <w:tc>
          <w:tcPr>
            <w:tcW w:w="1497" w:type="dxa"/>
            <w:vAlign w:val="bottom"/>
          </w:tcPr>
          <w:p w:rsidRPr="00A46FBF" w:rsidR="00A46FBF" w:rsidP="00A46FBF" w:rsidRDefault="00A46FBF">
            <w:pPr>
              <w:spacing w:after="0"/>
              <w:cnfStyle w:val="000000100000"/>
              <w:rPr>
                <w:b/>
                <w:sz w:val="16"/>
                <w:szCs w:val="16"/>
              </w:rPr>
            </w:pPr>
            <w:r w:rsidRPr="00A46FBF">
              <w:rPr>
                <w:b/>
                <w:sz w:val="16"/>
                <w:szCs w:val="16"/>
              </w:rPr>
              <w:t>-4,8%</w:t>
            </w:r>
          </w:p>
        </w:tc>
      </w:tr>
      <w:tr w:rsidRPr="00A46FBF" w:rsidR="00A46FBF" w:rsidTr="005138AB">
        <w:tc>
          <w:tcPr>
            <w:cnfStyle w:val="001000000000"/>
            <w:tcW w:w="3227" w:type="dxa"/>
            <w:vAlign w:val="bottom"/>
          </w:tcPr>
          <w:p w:rsidRPr="00A46FBF" w:rsidR="00A46FBF" w:rsidP="00A46FBF" w:rsidRDefault="00A46FBF">
            <w:pPr>
              <w:spacing w:after="0"/>
              <w:rPr>
                <w:b w:val="0"/>
                <w:sz w:val="16"/>
                <w:szCs w:val="16"/>
              </w:rPr>
            </w:pPr>
          </w:p>
          <w:p w:rsidRPr="00A46FBF" w:rsidR="00A46FBF" w:rsidP="00A46FBF" w:rsidRDefault="00A46FBF">
            <w:pPr>
              <w:spacing w:after="0"/>
              <w:rPr>
                <w:b w:val="0"/>
                <w:sz w:val="16"/>
                <w:szCs w:val="16"/>
              </w:rPr>
            </w:pPr>
            <w:r w:rsidRPr="00A46FBF">
              <w:rPr>
                <w:b w:val="0"/>
                <w:sz w:val="16"/>
                <w:szCs w:val="16"/>
              </w:rPr>
              <w:t>Diesel: RDW 2010 (incl. hybride)</w:t>
            </w:r>
          </w:p>
        </w:tc>
        <w:tc>
          <w:tcPr>
            <w:tcW w:w="1496" w:type="dxa"/>
            <w:vAlign w:val="bottom"/>
          </w:tcPr>
          <w:p w:rsidRPr="00A46FBF" w:rsidR="00A46FBF" w:rsidP="00A46FBF" w:rsidRDefault="00A46FBF">
            <w:pPr>
              <w:spacing w:after="0"/>
              <w:cnfStyle w:val="000000000000"/>
              <w:rPr>
                <w:sz w:val="16"/>
                <w:szCs w:val="16"/>
              </w:rPr>
            </w:pPr>
            <w:r w:rsidRPr="00A46FBF">
              <w:rPr>
                <w:sz w:val="16"/>
                <w:szCs w:val="16"/>
              </w:rPr>
              <w:t>87</w:t>
            </w:r>
          </w:p>
        </w:tc>
        <w:tc>
          <w:tcPr>
            <w:tcW w:w="1496" w:type="dxa"/>
            <w:vAlign w:val="bottom"/>
          </w:tcPr>
          <w:p w:rsidRPr="00A46FBF" w:rsidR="00A46FBF" w:rsidP="00A46FBF" w:rsidRDefault="00A46FBF">
            <w:pPr>
              <w:spacing w:after="0"/>
              <w:cnfStyle w:val="000000000000"/>
              <w:rPr>
                <w:sz w:val="16"/>
                <w:szCs w:val="16"/>
              </w:rPr>
            </w:pPr>
            <w:r w:rsidRPr="00A46FBF">
              <w:rPr>
                <w:sz w:val="16"/>
                <w:szCs w:val="16"/>
              </w:rPr>
              <w:t>89</w:t>
            </w:r>
          </w:p>
        </w:tc>
        <w:tc>
          <w:tcPr>
            <w:tcW w:w="1496" w:type="dxa"/>
            <w:vAlign w:val="bottom"/>
          </w:tcPr>
          <w:p w:rsidRPr="00A46FBF" w:rsidR="00A46FBF" w:rsidP="00A46FBF" w:rsidRDefault="00A46FBF">
            <w:pPr>
              <w:spacing w:after="0"/>
              <w:cnfStyle w:val="000000000000"/>
              <w:rPr>
                <w:sz w:val="16"/>
                <w:szCs w:val="16"/>
              </w:rPr>
            </w:pPr>
            <w:r w:rsidRPr="00A46FBF">
              <w:rPr>
                <w:sz w:val="16"/>
                <w:szCs w:val="16"/>
              </w:rPr>
              <w:t>104</w:t>
            </w:r>
          </w:p>
        </w:tc>
        <w:tc>
          <w:tcPr>
            <w:tcW w:w="1497" w:type="dxa"/>
            <w:vAlign w:val="bottom"/>
          </w:tcPr>
          <w:p w:rsidRPr="00A46FBF" w:rsidR="00A46FBF" w:rsidP="00A46FBF" w:rsidRDefault="00A46FBF">
            <w:pPr>
              <w:spacing w:after="0"/>
              <w:cnfStyle w:val="000000000000"/>
              <w:rPr>
                <w:sz w:val="16"/>
                <w:szCs w:val="16"/>
              </w:rPr>
            </w:pPr>
            <w:r w:rsidRPr="00A46FBF">
              <w:rPr>
                <w:sz w:val="16"/>
                <w:szCs w:val="16"/>
              </w:rPr>
              <w:t>114</w:t>
            </w:r>
          </w:p>
        </w:tc>
      </w:tr>
      <w:tr w:rsidRPr="00A46FBF" w:rsidR="00A46FBF" w:rsidTr="005138AB">
        <w:trPr>
          <w:cnfStyle w:val="000000100000"/>
        </w:trPr>
        <w:tc>
          <w:tcPr>
            <w:cnfStyle w:val="001000000000"/>
            <w:tcW w:w="3227" w:type="dxa"/>
            <w:vAlign w:val="bottom"/>
          </w:tcPr>
          <w:p w:rsidRPr="00A46FBF" w:rsidR="00A46FBF" w:rsidP="00A46FBF" w:rsidRDefault="00A46FBF">
            <w:pPr>
              <w:spacing w:after="0"/>
              <w:rPr>
                <w:b w:val="0"/>
                <w:sz w:val="16"/>
                <w:szCs w:val="16"/>
              </w:rPr>
            </w:pPr>
          </w:p>
          <w:p w:rsidRPr="00A46FBF" w:rsidR="00A46FBF" w:rsidP="00A46FBF" w:rsidRDefault="00A46FBF">
            <w:pPr>
              <w:spacing w:after="0"/>
              <w:rPr>
                <w:b w:val="0"/>
                <w:sz w:val="16"/>
                <w:szCs w:val="16"/>
              </w:rPr>
            </w:pPr>
            <w:r w:rsidRPr="00A46FBF">
              <w:rPr>
                <w:b w:val="0"/>
                <w:sz w:val="16"/>
                <w:szCs w:val="16"/>
              </w:rPr>
              <w:t>Diesel 2015 (incl. hybride)</w:t>
            </w:r>
          </w:p>
        </w:tc>
        <w:tc>
          <w:tcPr>
            <w:tcW w:w="1496" w:type="dxa"/>
            <w:vAlign w:val="bottom"/>
          </w:tcPr>
          <w:p w:rsidRPr="00A46FBF" w:rsidR="00A46FBF" w:rsidP="00A46FBF" w:rsidRDefault="00A46FBF">
            <w:pPr>
              <w:spacing w:after="0"/>
              <w:cnfStyle w:val="000000100000"/>
              <w:rPr>
                <w:sz w:val="16"/>
                <w:szCs w:val="16"/>
              </w:rPr>
            </w:pPr>
            <w:r w:rsidRPr="00A46FBF">
              <w:rPr>
                <w:sz w:val="16"/>
                <w:szCs w:val="16"/>
              </w:rPr>
              <w:t>74</w:t>
            </w:r>
          </w:p>
        </w:tc>
        <w:tc>
          <w:tcPr>
            <w:tcW w:w="1496" w:type="dxa"/>
            <w:vAlign w:val="bottom"/>
          </w:tcPr>
          <w:p w:rsidRPr="00A46FBF" w:rsidR="00A46FBF" w:rsidP="00A46FBF" w:rsidRDefault="00A46FBF">
            <w:pPr>
              <w:spacing w:after="0"/>
              <w:cnfStyle w:val="000000100000"/>
              <w:rPr>
                <w:sz w:val="16"/>
                <w:szCs w:val="16"/>
              </w:rPr>
            </w:pPr>
            <w:r w:rsidRPr="00A46FBF">
              <w:rPr>
                <w:sz w:val="16"/>
                <w:szCs w:val="16"/>
              </w:rPr>
              <w:t>78</w:t>
            </w:r>
          </w:p>
        </w:tc>
        <w:tc>
          <w:tcPr>
            <w:tcW w:w="1496" w:type="dxa"/>
            <w:vAlign w:val="bottom"/>
          </w:tcPr>
          <w:p w:rsidRPr="00A46FBF" w:rsidR="00A46FBF" w:rsidP="00A46FBF" w:rsidRDefault="00A46FBF">
            <w:pPr>
              <w:spacing w:after="0"/>
              <w:cnfStyle w:val="000000100000"/>
              <w:rPr>
                <w:sz w:val="16"/>
                <w:szCs w:val="16"/>
              </w:rPr>
            </w:pPr>
            <w:r w:rsidRPr="00A46FBF">
              <w:rPr>
                <w:sz w:val="16"/>
                <w:szCs w:val="16"/>
              </w:rPr>
              <w:t>81</w:t>
            </w:r>
          </w:p>
        </w:tc>
        <w:tc>
          <w:tcPr>
            <w:tcW w:w="1497" w:type="dxa"/>
            <w:vAlign w:val="bottom"/>
          </w:tcPr>
          <w:p w:rsidRPr="00A46FBF" w:rsidR="00A46FBF" w:rsidP="00A46FBF" w:rsidRDefault="00A46FBF">
            <w:pPr>
              <w:spacing w:after="0"/>
              <w:cnfStyle w:val="000000100000"/>
              <w:rPr>
                <w:sz w:val="16"/>
                <w:szCs w:val="16"/>
              </w:rPr>
            </w:pPr>
            <w:r w:rsidRPr="00A46FBF">
              <w:rPr>
                <w:sz w:val="16"/>
                <w:szCs w:val="16"/>
              </w:rPr>
              <w:t>103</w:t>
            </w:r>
          </w:p>
        </w:tc>
      </w:tr>
      <w:tr w:rsidRPr="00A46FBF" w:rsidR="00A46FBF" w:rsidTr="005138AB">
        <w:tc>
          <w:tcPr>
            <w:cnfStyle w:val="001000000000"/>
            <w:tcW w:w="3227" w:type="dxa"/>
            <w:vAlign w:val="bottom"/>
          </w:tcPr>
          <w:p w:rsidRPr="00A46FBF" w:rsidR="00A46FBF" w:rsidP="00A46FBF" w:rsidRDefault="00A46FBF">
            <w:pPr>
              <w:spacing w:after="0"/>
              <w:rPr>
                <w:sz w:val="16"/>
                <w:szCs w:val="16"/>
              </w:rPr>
            </w:pPr>
          </w:p>
          <w:p w:rsidRPr="00A46FBF" w:rsidR="00A46FBF" w:rsidP="00A46FBF" w:rsidRDefault="00A46FBF">
            <w:pPr>
              <w:spacing w:after="0"/>
              <w:rPr>
                <w:sz w:val="16"/>
                <w:szCs w:val="16"/>
              </w:rPr>
            </w:pPr>
            <w:r w:rsidRPr="00A46FBF">
              <w:rPr>
                <w:sz w:val="16"/>
                <w:szCs w:val="16"/>
              </w:rPr>
              <w:t>% verandering per jaar</w:t>
            </w:r>
          </w:p>
        </w:tc>
        <w:tc>
          <w:tcPr>
            <w:tcW w:w="1496" w:type="dxa"/>
            <w:vAlign w:val="bottom"/>
          </w:tcPr>
          <w:p w:rsidRPr="00A46FBF" w:rsidR="00A46FBF" w:rsidP="00A46FBF" w:rsidRDefault="00A46FBF">
            <w:pPr>
              <w:spacing w:after="0"/>
              <w:cnfStyle w:val="000000000000"/>
              <w:rPr>
                <w:b/>
                <w:sz w:val="16"/>
                <w:szCs w:val="16"/>
              </w:rPr>
            </w:pPr>
            <w:r w:rsidRPr="00A46FBF">
              <w:rPr>
                <w:b/>
                <w:sz w:val="16"/>
                <w:szCs w:val="16"/>
              </w:rPr>
              <w:t>-3,2%</w:t>
            </w:r>
          </w:p>
        </w:tc>
        <w:tc>
          <w:tcPr>
            <w:tcW w:w="1496" w:type="dxa"/>
            <w:vAlign w:val="bottom"/>
          </w:tcPr>
          <w:p w:rsidRPr="00A46FBF" w:rsidR="00A46FBF" w:rsidP="00A46FBF" w:rsidRDefault="00A46FBF">
            <w:pPr>
              <w:spacing w:after="0"/>
              <w:cnfStyle w:val="000000000000"/>
              <w:rPr>
                <w:b/>
                <w:sz w:val="16"/>
                <w:szCs w:val="16"/>
              </w:rPr>
            </w:pPr>
            <w:r w:rsidRPr="00A46FBF">
              <w:rPr>
                <w:b/>
                <w:sz w:val="16"/>
                <w:szCs w:val="16"/>
              </w:rPr>
              <w:t>-2,7%</w:t>
            </w:r>
          </w:p>
        </w:tc>
        <w:tc>
          <w:tcPr>
            <w:tcW w:w="1496" w:type="dxa"/>
            <w:vAlign w:val="bottom"/>
          </w:tcPr>
          <w:p w:rsidRPr="00A46FBF" w:rsidR="00A46FBF" w:rsidP="00A46FBF" w:rsidRDefault="00A46FBF">
            <w:pPr>
              <w:spacing w:after="0"/>
              <w:cnfStyle w:val="000000000000"/>
              <w:rPr>
                <w:b/>
                <w:sz w:val="16"/>
                <w:szCs w:val="16"/>
              </w:rPr>
            </w:pPr>
            <w:r w:rsidRPr="00A46FBF">
              <w:rPr>
                <w:b/>
                <w:sz w:val="16"/>
                <w:szCs w:val="16"/>
              </w:rPr>
              <w:t>-4,9%</w:t>
            </w:r>
          </w:p>
        </w:tc>
        <w:tc>
          <w:tcPr>
            <w:tcW w:w="1497" w:type="dxa"/>
            <w:vAlign w:val="bottom"/>
          </w:tcPr>
          <w:p w:rsidRPr="00A46FBF" w:rsidR="00A46FBF" w:rsidP="00A46FBF" w:rsidRDefault="00A46FBF">
            <w:pPr>
              <w:spacing w:after="0"/>
              <w:cnfStyle w:val="000000000000"/>
              <w:rPr>
                <w:b/>
                <w:sz w:val="16"/>
                <w:szCs w:val="16"/>
              </w:rPr>
            </w:pPr>
            <w:r w:rsidRPr="00A46FBF">
              <w:rPr>
                <w:b/>
                <w:sz w:val="16"/>
                <w:szCs w:val="16"/>
              </w:rPr>
              <w:t>-2,0%</w:t>
            </w:r>
          </w:p>
        </w:tc>
      </w:tr>
    </w:tbl>
    <w:p w:rsidRPr="005138AB" w:rsidR="00A46FBF" w:rsidP="00A46FBF" w:rsidRDefault="005138AB">
      <w:pPr>
        <w:spacing w:after="0"/>
        <w:rPr>
          <w:sz w:val="16"/>
          <w:szCs w:val="16"/>
        </w:rPr>
      </w:pPr>
      <w:r w:rsidRPr="005138AB">
        <w:rPr>
          <w:sz w:val="16"/>
          <w:szCs w:val="16"/>
        </w:rPr>
        <w:t>Bron: Rapport Ecorys</w:t>
      </w:r>
    </w:p>
    <w:p w:rsidR="00A46FBF" w:rsidP="00A46FBF" w:rsidRDefault="00A46FBF">
      <w:pPr>
        <w:spacing w:after="0"/>
        <w:rPr>
          <w:sz w:val="18"/>
          <w:szCs w:val="18"/>
        </w:rPr>
      </w:pPr>
    </w:p>
    <w:p w:rsidR="00A46FBF" w:rsidP="00A46FBF" w:rsidRDefault="00A46FBF">
      <w:pPr>
        <w:spacing w:after="0"/>
        <w:rPr>
          <w:sz w:val="18"/>
          <w:szCs w:val="18"/>
        </w:rPr>
      </w:pPr>
    </w:p>
    <w:p w:rsidR="002B58DF" w:rsidP="00781CF8" w:rsidRDefault="002B58DF">
      <w:pPr>
        <w:pStyle w:val="Kop2"/>
        <w:spacing w:before="0"/>
        <w:rPr>
          <w:rFonts w:ascii="Verdana" w:hAnsi="Verdana"/>
          <w:color w:val="auto"/>
          <w:sz w:val="18"/>
          <w:szCs w:val="18"/>
        </w:rPr>
      </w:pPr>
      <w:bookmarkStart w:name="_Toc293998525" w:id="10"/>
      <w:r w:rsidRPr="00D02159">
        <w:rPr>
          <w:rFonts w:ascii="Verdana" w:hAnsi="Verdana"/>
          <w:color w:val="auto"/>
          <w:sz w:val="18"/>
          <w:szCs w:val="18"/>
        </w:rPr>
        <w:t>3.3.Voortzetting huidige fiscale stimulering</w:t>
      </w:r>
      <w:bookmarkEnd w:id="9"/>
      <w:r w:rsidRPr="00D02159">
        <w:rPr>
          <w:rFonts w:ascii="Verdana" w:hAnsi="Verdana"/>
          <w:color w:val="auto"/>
          <w:sz w:val="18"/>
          <w:szCs w:val="18"/>
        </w:rPr>
        <w:t>: referentiescenario</w:t>
      </w:r>
      <w:bookmarkEnd w:id="10"/>
    </w:p>
    <w:p w:rsidRPr="00D02159" w:rsidR="002B58DF" w:rsidP="00781CF8" w:rsidRDefault="002B58DF">
      <w:pPr>
        <w:spacing w:after="0"/>
        <w:rPr>
          <w:sz w:val="18"/>
          <w:szCs w:val="18"/>
        </w:rPr>
      </w:pPr>
      <w:r w:rsidRPr="00D02159">
        <w:rPr>
          <w:sz w:val="18"/>
          <w:szCs w:val="18"/>
        </w:rPr>
        <w:t xml:space="preserve">Ecorys </w:t>
      </w:r>
      <w:r>
        <w:rPr>
          <w:sz w:val="18"/>
          <w:szCs w:val="18"/>
        </w:rPr>
        <w:t xml:space="preserve">heeft op basis van </w:t>
      </w:r>
      <w:r w:rsidR="009E75A4">
        <w:rPr>
          <w:sz w:val="18"/>
          <w:szCs w:val="18"/>
        </w:rPr>
        <w:t xml:space="preserve">de </w:t>
      </w:r>
      <w:r w:rsidR="00183F46">
        <w:rPr>
          <w:sz w:val="18"/>
          <w:szCs w:val="18"/>
        </w:rPr>
        <w:t xml:space="preserve">in </w:t>
      </w:r>
      <w:r w:rsidRPr="00AD1DAA" w:rsidR="00183F46">
        <w:rPr>
          <w:sz w:val="18"/>
          <w:szCs w:val="18"/>
        </w:rPr>
        <w:t xml:space="preserve">paragraaf 3.2 beschreven </w:t>
      </w:r>
      <w:r w:rsidRPr="00AD1DAA">
        <w:rPr>
          <w:sz w:val="18"/>
          <w:szCs w:val="18"/>
        </w:rPr>
        <w:t>laatste technologische ontwikkelingen</w:t>
      </w:r>
      <w:r>
        <w:rPr>
          <w:sz w:val="18"/>
          <w:szCs w:val="18"/>
        </w:rPr>
        <w:t xml:space="preserve"> </w:t>
      </w:r>
      <w:r w:rsidRPr="00D02159">
        <w:rPr>
          <w:sz w:val="18"/>
          <w:szCs w:val="18"/>
        </w:rPr>
        <w:t>gekeken wat de komende jaren de effecten zullen zijn van het beleid zoals dat nu wettelijk is vastgelegd. Bij de berekeningen zijn de volgende uitgangspunten gehanteerd:</w:t>
      </w:r>
    </w:p>
    <w:p w:rsidRPr="00D02159" w:rsidR="002B58DF" w:rsidP="00781CF8" w:rsidRDefault="002B58DF">
      <w:pPr>
        <w:pStyle w:val="Lijstalinea"/>
        <w:numPr>
          <w:ilvl w:val="0"/>
          <w:numId w:val="29"/>
        </w:numPr>
        <w:spacing w:after="0"/>
        <w:rPr>
          <w:sz w:val="18"/>
          <w:szCs w:val="18"/>
        </w:rPr>
      </w:pPr>
      <w:r w:rsidRPr="00D02159">
        <w:rPr>
          <w:sz w:val="18"/>
          <w:szCs w:val="18"/>
        </w:rPr>
        <w:t>Fiscale stimulering identiek aan huidige wijze van stimulering;</w:t>
      </w:r>
    </w:p>
    <w:p w:rsidRPr="00D02159" w:rsidR="002B58DF" w:rsidP="00781CF8" w:rsidRDefault="002B58DF">
      <w:pPr>
        <w:pStyle w:val="Lijstalinea"/>
        <w:numPr>
          <w:ilvl w:val="0"/>
          <w:numId w:val="29"/>
        </w:numPr>
        <w:spacing w:after="0"/>
        <w:rPr>
          <w:sz w:val="18"/>
          <w:szCs w:val="18"/>
        </w:rPr>
      </w:pPr>
      <w:r w:rsidRPr="00D02159">
        <w:rPr>
          <w:sz w:val="18"/>
          <w:szCs w:val="18"/>
        </w:rPr>
        <w:t>MRB en accijnzen conform huidige situatie;</w:t>
      </w:r>
    </w:p>
    <w:p w:rsidRPr="00D02159" w:rsidR="002B58DF" w:rsidP="00781CF8" w:rsidRDefault="002B58DF">
      <w:pPr>
        <w:pStyle w:val="Lijstalinea"/>
        <w:numPr>
          <w:ilvl w:val="0"/>
          <w:numId w:val="29"/>
        </w:numPr>
        <w:spacing w:after="0"/>
        <w:rPr>
          <w:sz w:val="18"/>
          <w:szCs w:val="18"/>
        </w:rPr>
      </w:pPr>
      <w:r w:rsidRPr="00D02159">
        <w:rPr>
          <w:sz w:val="18"/>
          <w:szCs w:val="18"/>
        </w:rPr>
        <w:t>Geen verdere afbouw van de BPM of invoering van een vorm van kilometerbeprijzing</w:t>
      </w:r>
      <w:r w:rsidR="0034187C">
        <w:rPr>
          <w:sz w:val="18"/>
          <w:szCs w:val="18"/>
        </w:rPr>
        <w:t>;</w:t>
      </w:r>
    </w:p>
    <w:p w:rsidRPr="00D02159" w:rsidR="002B58DF" w:rsidP="00781CF8" w:rsidRDefault="002B58DF">
      <w:pPr>
        <w:pStyle w:val="Lijstalinea"/>
        <w:numPr>
          <w:ilvl w:val="0"/>
          <w:numId w:val="29"/>
        </w:numPr>
        <w:spacing w:after="0"/>
        <w:rPr>
          <w:sz w:val="18"/>
          <w:szCs w:val="18"/>
        </w:rPr>
      </w:pPr>
      <w:r w:rsidRPr="00D02159">
        <w:rPr>
          <w:sz w:val="18"/>
          <w:szCs w:val="18"/>
        </w:rPr>
        <w:t>Voltooiing van BPM ombouw op basis van CO</w:t>
      </w:r>
      <w:r w:rsidRPr="00D02159">
        <w:rPr>
          <w:sz w:val="18"/>
          <w:szCs w:val="18"/>
          <w:vertAlign w:val="subscript"/>
        </w:rPr>
        <w:t>2</w:t>
      </w:r>
      <w:r w:rsidRPr="00D02159">
        <w:rPr>
          <w:sz w:val="18"/>
          <w:szCs w:val="18"/>
        </w:rPr>
        <w:t xml:space="preserve">-grondslag in 2013 en tarieven per schijf zoals aangekondigd in de belastingplannen. Voor 2014 en 2015 zijn </w:t>
      </w:r>
      <w:r>
        <w:rPr>
          <w:sz w:val="18"/>
          <w:szCs w:val="18"/>
        </w:rPr>
        <w:t>de tarieven van 2013 gehanteerd;</w:t>
      </w:r>
    </w:p>
    <w:p w:rsidRPr="00D02159" w:rsidR="002B58DF" w:rsidP="00781CF8" w:rsidRDefault="002B58DF">
      <w:pPr>
        <w:pStyle w:val="Lijstalinea"/>
        <w:numPr>
          <w:ilvl w:val="0"/>
          <w:numId w:val="29"/>
        </w:numPr>
        <w:spacing w:after="0"/>
        <w:rPr>
          <w:sz w:val="18"/>
          <w:szCs w:val="18"/>
        </w:rPr>
      </w:pPr>
      <w:r w:rsidRPr="00D02159">
        <w:rPr>
          <w:sz w:val="18"/>
          <w:szCs w:val="18"/>
        </w:rPr>
        <w:t xml:space="preserve">Omvang nieuwverkopen gelijk aan het aantal nieuwverkopen in 2010. </w:t>
      </w:r>
    </w:p>
    <w:p w:rsidR="002B58DF" w:rsidP="00781CF8" w:rsidRDefault="002B58DF">
      <w:pPr>
        <w:spacing w:after="0"/>
        <w:rPr>
          <w:sz w:val="18"/>
          <w:szCs w:val="18"/>
        </w:rPr>
      </w:pPr>
      <w:r w:rsidRPr="00D02159">
        <w:rPr>
          <w:sz w:val="18"/>
          <w:szCs w:val="18"/>
        </w:rPr>
        <w:t xml:space="preserve">De gevolgen van voortzetting van het huidige beleid </w:t>
      </w:r>
      <w:r>
        <w:rPr>
          <w:sz w:val="18"/>
          <w:szCs w:val="18"/>
        </w:rPr>
        <w:t xml:space="preserve">zullen naar verwachting fors zijn. </w:t>
      </w:r>
      <w:r w:rsidRPr="00D02159">
        <w:rPr>
          <w:sz w:val="18"/>
          <w:szCs w:val="18"/>
        </w:rPr>
        <w:t xml:space="preserve">Bij ongewijzigd beleid zal het aandeel </w:t>
      </w:r>
      <w:r>
        <w:rPr>
          <w:sz w:val="18"/>
          <w:szCs w:val="18"/>
        </w:rPr>
        <w:t xml:space="preserve">van BPM en MRB </w:t>
      </w:r>
      <w:r w:rsidRPr="00D02159">
        <w:rPr>
          <w:sz w:val="18"/>
          <w:szCs w:val="18"/>
        </w:rPr>
        <w:t>vrijgestelde auto’s toenemen van circa 2</w:t>
      </w:r>
      <w:r w:rsidR="00256F4C">
        <w:rPr>
          <w:sz w:val="18"/>
          <w:szCs w:val="18"/>
        </w:rPr>
        <w:t>5</w:t>
      </w:r>
      <w:r>
        <w:rPr>
          <w:sz w:val="18"/>
          <w:szCs w:val="18"/>
        </w:rPr>
        <w:t>%</w:t>
      </w:r>
      <w:r w:rsidRPr="00D02159">
        <w:rPr>
          <w:sz w:val="18"/>
          <w:szCs w:val="18"/>
        </w:rPr>
        <w:t xml:space="preserve"> in 2010 naar circa </w:t>
      </w:r>
      <w:r w:rsidR="00256F4C">
        <w:rPr>
          <w:sz w:val="18"/>
          <w:szCs w:val="18"/>
        </w:rPr>
        <w:t>62</w:t>
      </w:r>
      <w:r>
        <w:rPr>
          <w:sz w:val="18"/>
          <w:szCs w:val="18"/>
        </w:rPr>
        <w:t>%</w:t>
      </w:r>
      <w:r w:rsidRPr="00D02159">
        <w:rPr>
          <w:sz w:val="18"/>
          <w:szCs w:val="18"/>
        </w:rPr>
        <w:t xml:space="preserve"> in 2015. </w:t>
      </w:r>
      <w:r>
        <w:rPr>
          <w:sz w:val="18"/>
          <w:szCs w:val="18"/>
        </w:rPr>
        <w:t>Het belang van de huidige derde CO</w:t>
      </w:r>
      <w:r w:rsidRPr="007A0D65">
        <w:rPr>
          <w:sz w:val="18"/>
          <w:szCs w:val="18"/>
          <w:vertAlign w:val="subscript"/>
        </w:rPr>
        <w:t>2</w:t>
      </w:r>
      <w:r>
        <w:rPr>
          <w:sz w:val="18"/>
          <w:szCs w:val="18"/>
        </w:rPr>
        <w:t>-tarief-schijf in de BPM voor zowel diesel als benzine is in 2015 nihil en feitelijk overbodig omdat in die categorie geen auto’s meer verkocht zullen worden. De tweede schijf zal voor zowel benzine als diesel aanzienlijk in belang afnemen. Het aantal auto’s in het wagenpark dat vrijstelling van MRB geniet zal inmiddels zijn opgelopen tot meer dan 1,</w:t>
      </w:r>
      <w:r w:rsidR="00F02473">
        <w:rPr>
          <w:sz w:val="18"/>
          <w:szCs w:val="18"/>
        </w:rPr>
        <w:t>5</w:t>
      </w:r>
      <w:r>
        <w:rPr>
          <w:sz w:val="18"/>
          <w:szCs w:val="18"/>
        </w:rPr>
        <w:t xml:space="preserve"> </w:t>
      </w:r>
      <w:r w:rsidR="000420B5">
        <w:rPr>
          <w:sz w:val="18"/>
          <w:szCs w:val="18"/>
        </w:rPr>
        <w:t>mln</w:t>
      </w:r>
      <w:r>
        <w:rPr>
          <w:sz w:val="18"/>
          <w:szCs w:val="18"/>
        </w:rPr>
        <w:t xml:space="preserve"> auto’s, oftewel zo’n </w:t>
      </w:r>
      <w:r w:rsidR="00256F4C">
        <w:rPr>
          <w:sz w:val="18"/>
          <w:szCs w:val="18"/>
        </w:rPr>
        <w:t>20</w:t>
      </w:r>
      <w:r>
        <w:rPr>
          <w:sz w:val="18"/>
          <w:szCs w:val="18"/>
        </w:rPr>
        <w:t xml:space="preserve">%. </w:t>
      </w:r>
    </w:p>
    <w:p w:rsidRPr="00D02159" w:rsidR="002B58DF" w:rsidP="00781CF8" w:rsidRDefault="002B58DF">
      <w:pPr>
        <w:spacing w:after="0"/>
      </w:pPr>
      <w:r w:rsidRPr="00D02159">
        <w:rPr>
          <w:sz w:val="18"/>
          <w:szCs w:val="18"/>
        </w:rPr>
        <w:t xml:space="preserve">In de samenstelling van de nieuwverkopen zal bij ongewijzigd beleid met name bij dieselauto’s de trend naar </w:t>
      </w:r>
      <w:r w:rsidRPr="00000269" w:rsidR="00777602">
        <w:rPr>
          <w:sz w:val="18"/>
        </w:rPr>
        <w:t>'</w:t>
      </w:r>
      <w:r w:rsidRPr="00D02159">
        <w:rPr>
          <w:sz w:val="18"/>
          <w:szCs w:val="18"/>
        </w:rPr>
        <w:t>downsizing</w:t>
      </w:r>
      <w:r w:rsidRPr="00000269" w:rsidR="00777602">
        <w:rPr>
          <w:sz w:val="18"/>
        </w:rPr>
        <w:t>'</w:t>
      </w:r>
      <w:r w:rsidRPr="00D02159">
        <w:rPr>
          <w:sz w:val="18"/>
          <w:szCs w:val="18"/>
        </w:rPr>
        <w:t xml:space="preserve"> onverminderd doorgaan, terwijl voor benzineauto’s beperkte verschillen zullen optreden in de verdeling over de segmenten. In de brandstofmix zal het aandeel nieuwe dieselauto’s toenemen van 20% in 2010 tot 25% in 2015. </w:t>
      </w:r>
    </w:p>
    <w:p w:rsidR="00777602" w:rsidP="00781CF8" w:rsidRDefault="00777602">
      <w:pPr>
        <w:pStyle w:val="Kop2"/>
        <w:spacing w:before="0"/>
        <w:rPr>
          <w:rFonts w:ascii="Verdana" w:hAnsi="Verdana"/>
          <w:color w:val="auto"/>
          <w:sz w:val="18"/>
          <w:szCs w:val="18"/>
        </w:rPr>
      </w:pPr>
      <w:bookmarkStart w:name="_Toc291240449" w:id="11"/>
    </w:p>
    <w:p w:rsidRPr="001032ED" w:rsidR="002B58DF" w:rsidP="00781CF8" w:rsidRDefault="002B58DF">
      <w:pPr>
        <w:pStyle w:val="Kop2"/>
        <w:spacing w:before="0"/>
        <w:rPr>
          <w:rFonts w:ascii="Verdana" w:hAnsi="Verdana"/>
          <w:color w:val="auto"/>
          <w:sz w:val="18"/>
          <w:szCs w:val="18"/>
        </w:rPr>
      </w:pPr>
      <w:bookmarkStart w:name="_Toc293998526" w:id="12"/>
      <w:r w:rsidRPr="001032ED">
        <w:rPr>
          <w:rFonts w:ascii="Verdana" w:hAnsi="Verdana"/>
          <w:color w:val="auto"/>
          <w:sz w:val="18"/>
          <w:szCs w:val="18"/>
        </w:rPr>
        <w:t>3.4. Scenario zonder fiscale stimulering</w:t>
      </w:r>
      <w:bookmarkEnd w:id="11"/>
      <w:bookmarkEnd w:id="12"/>
    </w:p>
    <w:p w:rsidRPr="00D02159" w:rsidR="002B58DF" w:rsidP="00781CF8" w:rsidRDefault="002B58DF">
      <w:pPr>
        <w:spacing w:after="0"/>
        <w:rPr>
          <w:sz w:val="18"/>
          <w:szCs w:val="18"/>
        </w:rPr>
      </w:pPr>
      <w:r w:rsidRPr="00D02159">
        <w:rPr>
          <w:sz w:val="18"/>
          <w:szCs w:val="18"/>
        </w:rPr>
        <w:t>Het daadwerkelijk gerealiseerde beleid in 2009 en 2010 en het huidige beleid en plannen voor 2011-2015 (referentiescenario) is door Ecorys afgezet tegen een scenario waarbij in de periode 2009-2015 geen enkele fiscale stimulering voor zuinige auto’s plaatsvindt. Ecorys benadrukt dat de resultaten hiervan veel eerder richtinggevend zijn, maar dat de exacte bedragen en aantallen wat ondersch</w:t>
      </w:r>
      <w:r>
        <w:rPr>
          <w:sz w:val="18"/>
          <w:szCs w:val="18"/>
        </w:rPr>
        <w:t>at</w:t>
      </w:r>
      <w:r w:rsidRPr="00D02159">
        <w:rPr>
          <w:sz w:val="18"/>
          <w:szCs w:val="18"/>
        </w:rPr>
        <w:t xml:space="preserve"> zijn door het gehanteerde model Dynamo. Geen fiscale stimulering zou volgens Dynamo hebben geleid tot 20.000 minder nieuw verkochte auto’s in 2010 en 64.000 auto’s in 2015. Het gemiddeld jaarkilometrage per auto neemt daarentegen toe.</w:t>
      </w:r>
      <w:r w:rsidR="00A2703A">
        <w:rPr>
          <w:sz w:val="18"/>
          <w:szCs w:val="18"/>
        </w:rPr>
        <w:t xml:space="preserve"> </w:t>
      </w:r>
      <w:r w:rsidRPr="00D02159">
        <w:rPr>
          <w:sz w:val="18"/>
          <w:szCs w:val="18"/>
        </w:rPr>
        <w:t>De verschuivingen tussen de segmenten zouden beperkt zijn geweest: 3% meer A-auto’s en 3% minder D+ auto’s. Het aandeel benzineauto’s zou in 2015 zijn opgelopen tot 82%. Ten opzichte van het referentiescenario zou er extra CO</w:t>
      </w:r>
      <w:r w:rsidRPr="007A0D65">
        <w:rPr>
          <w:sz w:val="18"/>
          <w:szCs w:val="18"/>
          <w:vertAlign w:val="subscript"/>
        </w:rPr>
        <w:t>2</w:t>
      </w:r>
      <w:r w:rsidRPr="00D02159">
        <w:rPr>
          <w:sz w:val="18"/>
          <w:szCs w:val="18"/>
        </w:rPr>
        <w:t xml:space="preserve">-uitstoot zijn geweest, oplopend tot 1,1% in 2015 (0,22 megaton). </w:t>
      </w:r>
    </w:p>
    <w:p w:rsidRPr="008064EC" w:rsidR="002A30DC" w:rsidP="008064EC" w:rsidRDefault="008D1BFF">
      <w:pPr>
        <w:pStyle w:val="Kop2"/>
        <w:rPr>
          <w:rFonts w:ascii="Verdana" w:hAnsi="Verdana"/>
          <w:color w:val="auto"/>
          <w:sz w:val="18"/>
          <w:szCs w:val="18"/>
        </w:rPr>
      </w:pPr>
      <w:bookmarkStart w:name="_Toc293998527" w:id="13"/>
      <w:bookmarkStart w:name="_Toc292977347" w:id="14"/>
      <w:bookmarkStart w:name="_Toc291240451" w:id="15"/>
      <w:r w:rsidRPr="008064EC">
        <w:rPr>
          <w:rFonts w:ascii="Verdana" w:hAnsi="Verdana"/>
          <w:color w:val="auto"/>
          <w:sz w:val="18"/>
          <w:szCs w:val="18"/>
        </w:rPr>
        <w:lastRenderedPageBreak/>
        <w:t>3.5. Mogelijk scenario voor fiscale stimulering</w:t>
      </w:r>
      <w:bookmarkEnd w:id="13"/>
    </w:p>
    <w:p w:rsidRPr="008064EC" w:rsidR="008064EC" w:rsidP="008064EC" w:rsidRDefault="008D1BFF">
      <w:pPr>
        <w:pStyle w:val="Kop3"/>
        <w:rPr>
          <w:rFonts w:ascii="Verdana" w:hAnsi="Verdana"/>
          <w:b w:val="0"/>
          <w:i/>
          <w:color w:val="auto"/>
          <w:sz w:val="18"/>
          <w:szCs w:val="18"/>
        </w:rPr>
      </w:pPr>
      <w:bookmarkStart w:name="_Toc293998528" w:id="16"/>
      <w:r w:rsidRPr="008064EC">
        <w:rPr>
          <w:rFonts w:ascii="Verdana" w:hAnsi="Verdana"/>
          <w:b w:val="0"/>
          <w:i/>
          <w:color w:val="auto"/>
          <w:sz w:val="18"/>
          <w:szCs w:val="18"/>
        </w:rPr>
        <w:t>3.5.1. Inleiding</w:t>
      </w:r>
      <w:bookmarkEnd w:id="16"/>
    </w:p>
    <w:p w:rsidR="002A30DC" w:rsidRDefault="008D1BFF">
      <w:pPr>
        <w:spacing w:after="0"/>
        <w:rPr>
          <w:sz w:val="18"/>
          <w:szCs w:val="18"/>
        </w:rPr>
      </w:pPr>
      <w:r w:rsidRPr="002534D4">
        <w:rPr>
          <w:sz w:val="18"/>
          <w:szCs w:val="18"/>
        </w:rPr>
        <w:t xml:space="preserve">Ecorys heeft een mogelijk toekomstig scenario geschetst ten behoeve van het blijven stimuleren van de meest zuinige auto. De horizon is daarbij vastgezet op 2015. Ecorys heeft rekening gehouden met </w:t>
      </w:r>
      <w:r w:rsidR="00D47557">
        <w:rPr>
          <w:sz w:val="18"/>
          <w:szCs w:val="18"/>
        </w:rPr>
        <w:t xml:space="preserve">de </w:t>
      </w:r>
      <w:r w:rsidRPr="002534D4">
        <w:rPr>
          <w:sz w:val="18"/>
          <w:szCs w:val="18"/>
        </w:rPr>
        <w:t>uit het verleden</w:t>
      </w:r>
      <w:r w:rsidR="00D47557">
        <w:rPr>
          <w:sz w:val="18"/>
          <w:szCs w:val="18"/>
        </w:rPr>
        <w:t xml:space="preserve"> getrokken lessen</w:t>
      </w:r>
      <w:r w:rsidRPr="002534D4">
        <w:rPr>
          <w:sz w:val="18"/>
          <w:szCs w:val="18"/>
        </w:rPr>
        <w:t xml:space="preserve">, </w:t>
      </w:r>
      <w:r w:rsidR="009E75A4">
        <w:rPr>
          <w:sz w:val="18"/>
          <w:szCs w:val="18"/>
        </w:rPr>
        <w:t xml:space="preserve">het </w:t>
      </w:r>
      <w:r w:rsidRPr="002534D4">
        <w:rPr>
          <w:sz w:val="18"/>
          <w:szCs w:val="18"/>
        </w:rPr>
        <w:t>beleid dat in het buitenland wordt gevoerd, de te verwachten technologische ontwikkelingen zoals geschetst in hoofdstuk 5 van het rapport van Ecorys en de aandachtspunten zoals meegegeven door overheid en brancheorganisaties. Bij de ontwikkeling van het scenario heeft Ecorys de volgende uitgangspunten gehanteerd:</w:t>
      </w:r>
    </w:p>
    <w:p w:rsidR="002A30DC" w:rsidRDefault="002A30DC">
      <w:pPr>
        <w:spacing w:after="0"/>
        <w:rPr>
          <w:sz w:val="18"/>
          <w:szCs w:val="18"/>
        </w:rPr>
      </w:pPr>
    </w:p>
    <w:p w:rsidR="009E75A4" w:rsidP="002534D4" w:rsidRDefault="009E75A4">
      <w:pPr>
        <w:pStyle w:val="Lijstalinea"/>
        <w:numPr>
          <w:ilvl w:val="0"/>
          <w:numId w:val="29"/>
        </w:numPr>
        <w:spacing w:after="0"/>
        <w:rPr>
          <w:sz w:val="18"/>
          <w:szCs w:val="18"/>
        </w:rPr>
      </w:pPr>
      <w:r>
        <w:rPr>
          <w:sz w:val="18"/>
          <w:szCs w:val="18"/>
        </w:rPr>
        <w:t>Het blijvend stimuleren van de consument om te kiezen voor de op dat moment meest zuinige auto;</w:t>
      </w:r>
    </w:p>
    <w:p w:rsidR="008D1BFF" w:rsidP="002534D4" w:rsidRDefault="008D1BFF">
      <w:pPr>
        <w:pStyle w:val="Lijstalinea"/>
        <w:numPr>
          <w:ilvl w:val="0"/>
          <w:numId w:val="29"/>
        </w:numPr>
        <w:spacing w:after="0"/>
        <w:rPr>
          <w:sz w:val="18"/>
          <w:szCs w:val="18"/>
        </w:rPr>
      </w:pPr>
      <w:r>
        <w:rPr>
          <w:sz w:val="18"/>
          <w:szCs w:val="18"/>
        </w:rPr>
        <w:t xml:space="preserve">Het waarborgen van robuuste en solide BPM-opbrengst van € 1,9 mld, </w:t>
      </w:r>
      <w:r w:rsidR="00D47557">
        <w:rPr>
          <w:sz w:val="18"/>
          <w:szCs w:val="18"/>
        </w:rPr>
        <w:t xml:space="preserve">zoals opgenomen </w:t>
      </w:r>
      <w:r>
        <w:rPr>
          <w:sz w:val="18"/>
          <w:szCs w:val="18"/>
        </w:rPr>
        <w:t xml:space="preserve">in de miljoenennota 2011 </w:t>
      </w:r>
      <w:r w:rsidR="00D47557">
        <w:rPr>
          <w:sz w:val="18"/>
          <w:szCs w:val="18"/>
        </w:rPr>
        <w:t xml:space="preserve">als </w:t>
      </w:r>
      <w:r>
        <w:rPr>
          <w:sz w:val="18"/>
          <w:szCs w:val="18"/>
        </w:rPr>
        <w:t xml:space="preserve">geraamde opbrengst van de BPM </w:t>
      </w:r>
      <w:r w:rsidR="00D47557">
        <w:rPr>
          <w:sz w:val="18"/>
          <w:szCs w:val="18"/>
        </w:rPr>
        <w:t xml:space="preserve">voor </w:t>
      </w:r>
      <w:r>
        <w:rPr>
          <w:sz w:val="18"/>
          <w:szCs w:val="18"/>
        </w:rPr>
        <w:t>2011;</w:t>
      </w:r>
    </w:p>
    <w:p w:rsidR="008D1BFF" w:rsidP="002534D4" w:rsidRDefault="008D1BFF">
      <w:pPr>
        <w:pStyle w:val="Lijstalinea"/>
        <w:numPr>
          <w:ilvl w:val="0"/>
          <w:numId w:val="29"/>
        </w:numPr>
        <w:spacing w:after="0"/>
        <w:rPr>
          <w:sz w:val="18"/>
          <w:szCs w:val="18"/>
        </w:rPr>
      </w:pPr>
      <w:r>
        <w:rPr>
          <w:sz w:val="18"/>
          <w:szCs w:val="18"/>
        </w:rPr>
        <w:t>In een aantal stappen toewerken naar gelijke zuinigheidsgrenzen voor benzine en diesel;</w:t>
      </w:r>
    </w:p>
    <w:p w:rsidR="008D1BFF" w:rsidP="002534D4" w:rsidRDefault="008D1BFF">
      <w:pPr>
        <w:pStyle w:val="Lijstalinea"/>
        <w:numPr>
          <w:ilvl w:val="0"/>
          <w:numId w:val="29"/>
        </w:numPr>
        <w:spacing w:after="0"/>
        <w:rPr>
          <w:sz w:val="18"/>
          <w:szCs w:val="18"/>
        </w:rPr>
      </w:pPr>
      <w:r>
        <w:rPr>
          <w:sz w:val="18"/>
          <w:szCs w:val="18"/>
        </w:rPr>
        <w:t>Het vooraf vastleggen van zuinigheidsgrenzen voor de periode 2012-2015;</w:t>
      </w:r>
    </w:p>
    <w:p w:rsidRPr="00D02159" w:rsidR="008D1BFF" w:rsidP="002534D4" w:rsidRDefault="008D1BFF">
      <w:pPr>
        <w:pStyle w:val="Lijstalinea"/>
        <w:numPr>
          <w:ilvl w:val="0"/>
          <w:numId w:val="29"/>
        </w:numPr>
        <w:spacing w:after="0"/>
        <w:rPr>
          <w:sz w:val="18"/>
          <w:szCs w:val="18"/>
        </w:rPr>
      </w:pPr>
      <w:r>
        <w:rPr>
          <w:sz w:val="18"/>
          <w:szCs w:val="18"/>
        </w:rPr>
        <w:t>Het voorkomen van marktverstoringen ten aanzien van het aantal nieuwverkopen;</w:t>
      </w:r>
    </w:p>
    <w:p w:rsidR="008D1BFF" w:rsidP="002534D4" w:rsidRDefault="008D1BFF">
      <w:pPr>
        <w:pStyle w:val="Lijstalinea"/>
        <w:numPr>
          <w:ilvl w:val="0"/>
          <w:numId w:val="29"/>
        </w:numPr>
        <w:spacing w:after="0"/>
        <w:rPr>
          <w:sz w:val="18"/>
          <w:szCs w:val="18"/>
        </w:rPr>
      </w:pPr>
      <w:r>
        <w:rPr>
          <w:sz w:val="18"/>
          <w:szCs w:val="18"/>
        </w:rPr>
        <w:t xml:space="preserve">Afschaffen van de vrijstelling </w:t>
      </w:r>
      <w:r w:rsidRPr="00D02159">
        <w:rPr>
          <w:sz w:val="18"/>
          <w:szCs w:val="18"/>
        </w:rPr>
        <w:t>MRB</w:t>
      </w:r>
      <w:r>
        <w:rPr>
          <w:sz w:val="18"/>
          <w:szCs w:val="18"/>
        </w:rPr>
        <w:t xml:space="preserve">; </w:t>
      </w:r>
    </w:p>
    <w:p w:rsidRPr="001A2C9E" w:rsidR="008D1BFF" w:rsidP="002534D4" w:rsidRDefault="008D1BFF">
      <w:pPr>
        <w:pStyle w:val="Lijstalinea"/>
        <w:numPr>
          <w:ilvl w:val="0"/>
          <w:numId w:val="29"/>
        </w:numPr>
        <w:spacing w:after="0"/>
        <w:rPr>
          <w:sz w:val="18"/>
          <w:szCs w:val="18"/>
        </w:rPr>
      </w:pPr>
      <w:r>
        <w:rPr>
          <w:sz w:val="18"/>
          <w:szCs w:val="18"/>
        </w:rPr>
        <w:t>Invoering op 1 januari 2012.</w:t>
      </w:r>
    </w:p>
    <w:p w:rsidR="00392976" w:rsidP="008064EC" w:rsidRDefault="00392976">
      <w:pPr>
        <w:spacing w:after="0"/>
        <w:rPr>
          <w:sz w:val="18"/>
          <w:szCs w:val="18"/>
        </w:rPr>
      </w:pPr>
    </w:p>
    <w:p w:rsidR="008064EC" w:rsidP="008064EC" w:rsidRDefault="008D1BFF">
      <w:pPr>
        <w:spacing w:after="0"/>
        <w:rPr>
          <w:sz w:val="18"/>
          <w:szCs w:val="18"/>
        </w:rPr>
      </w:pPr>
      <w:r w:rsidRPr="00954E12">
        <w:rPr>
          <w:sz w:val="18"/>
          <w:szCs w:val="18"/>
        </w:rPr>
        <w:t xml:space="preserve">In deze paragraaf wordt het door Ecorys voorgestelde scenario nader toegelicht. In de daaropvolgende paragraaf </w:t>
      </w:r>
      <w:r>
        <w:rPr>
          <w:sz w:val="18"/>
          <w:szCs w:val="18"/>
        </w:rPr>
        <w:t xml:space="preserve">zal ik uiteenzetten op welke wijze </w:t>
      </w:r>
      <w:r w:rsidRPr="00954E12">
        <w:rPr>
          <w:sz w:val="18"/>
          <w:szCs w:val="18"/>
        </w:rPr>
        <w:t xml:space="preserve">ik </w:t>
      </w:r>
      <w:r>
        <w:rPr>
          <w:sz w:val="18"/>
          <w:szCs w:val="18"/>
        </w:rPr>
        <w:t>voornemens ben om</w:t>
      </w:r>
      <w:r w:rsidRPr="00954E12">
        <w:rPr>
          <w:sz w:val="18"/>
          <w:szCs w:val="18"/>
        </w:rPr>
        <w:t xml:space="preserve"> deze voorstellen </w:t>
      </w:r>
      <w:r>
        <w:rPr>
          <w:sz w:val="18"/>
          <w:szCs w:val="18"/>
        </w:rPr>
        <w:t>om te z</w:t>
      </w:r>
      <w:r w:rsidRPr="00954E12">
        <w:rPr>
          <w:sz w:val="18"/>
          <w:szCs w:val="18"/>
        </w:rPr>
        <w:t>et</w:t>
      </w:r>
      <w:r>
        <w:rPr>
          <w:sz w:val="18"/>
          <w:szCs w:val="18"/>
        </w:rPr>
        <w:t>ten</w:t>
      </w:r>
      <w:r w:rsidRPr="00954E12">
        <w:rPr>
          <w:sz w:val="18"/>
          <w:szCs w:val="18"/>
        </w:rPr>
        <w:t xml:space="preserve"> in een wetsvoorstel.</w:t>
      </w:r>
    </w:p>
    <w:p w:rsidR="008064EC" w:rsidP="008064EC" w:rsidRDefault="008064EC">
      <w:pPr>
        <w:spacing w:after="0"/>
        <w:rPr>
          <w:sz w:val="18"/>
          <w:szCs w:val="18"/>
        </w:rPr>
      </w:pPr>
    </w:p>
    <w:p w:rsidRPr="008064EC" w:rsidR="005E0987" w:rsidP="005E0987" w:rsidRDefault="005E0987">
      <w:pPr>
        <w:pStyle w:val="Kop3"/>
        <w:rPr>
          <w:rFonts w:ascii="Verdana" w:hAnsi="Verdana"/>
          <w:b w:val="0"/>
          <w:i/>
          <w:color w:val="auto"/>
          <w:sz w:val="18"/>
          <w:szCs w:val="18"/>
        </w:rPr>
      </w:pPr>
      <w:bookmarkStart w:name="_Toc293998529" w:id="17"/>
      <w:r w:rsidRPr="008064EC">
        <w:rPr>
          <w:rFonts w:ascii="Verdana" w:hAnsi="Verdana"/>
          <w:b w:val="0"/>
          <w:i/>
          <w:color w:val="auto"/>
          <w:sz w:val="18"/>
          <w:szCs w:val="18"/>
        </w:rPr>
        <w:t>3.5.</w:t>
      </w:r>
      <w:r>
        <w:rPr>
          <w:rFonts w:ascii="Verdana" w:hAnsi="Verdana"/>
          <w:b w:val="0"/>
          <w:i/>
          <w:color w:val="auto"/>
          <w:sz w:val="18"/>
          <w:szCs w:val="18"/>
        </w:rPr>
        <w:t>2</w:t>
      </w:r>
      <w:r w:rsidRPr="008064EC">
        <w:rPr>
          <w:rFonts w:ascii="Verdana" w:hAnsi="Verdana"/>
          <w:b w:val="0"/>
          <w:i/>
          <w:color w:val="auto"/>
          <w:sz w:val="18"/>
          <w:szCs w:val="18"/>
        </w:rPr>
        <w:t xml:space="preserve">. </w:t>
      </w:r>
      <w:r>
        <w:rPr>
          <w:rFonts w:ascii="Verdana" w:hAnsi="Verdana"/>
          <w:b w:val="0"/>
          <w:i/>
          <w:color w:val="auto"/>
          <w:sz w:val="18"/>
          <w:szCs w:val="18"/>
        </w:rPr>
        <w:t>BPM</w:t>
      </w:r>
      <w:bookmarkEnd w:id="17"/>
    </w:p>
    <w:p w:rsidR="002A30DC" w:rsidRDefault="008D1BFF">
      <w:pPr>
        <w:spacing w:after="0"/>
        <w:rPr>
          <w:sz w:val="18"/>
          <w:szCs w:val="18"/>
        </w:rPr>
      </w:pPr>
      <w:r w:rsidRPr="00337116">
        <w:rPr>
          <w:sz w:val="18"/>
          <w:szCs w:val="18"/>
        </w:rPr>
        <w:t>De in wetgeving vastgelegde ombouw van de BPM naar een op CO</w:t>
      </w:r>
      <w:r w:rsidRPr="00337116">
        <w:rPr>
          <w:sz w:val="18"/>
          <w:szCs w:val="18"/>
          <w:vertAlign w:val="subscript"/>
        </w:rPr>
        <w:t>2</w:t>
      </w:r>
      <w:r w:rsidRPr="00337116">
        <w:rPr>
          <w:sz w:val="18"/>
          <w:szCs w:val="18"/>
        </w:rPr>
        <w:t xml:space="preserve"> gebaseerde heffing wordt voortgezet in hetzelfde tempo als voorzien. Dit betekent dat in het voorstel van Ecorys in 2012 het catalogusdeel is teruggebracht tot 11,1% van de cataloguswaarde en dat vanaf 2013 de BPM alleen nog gebaseerd is op de CO</w:t>
      </w:r>
      <w:r w:rsidRPr="00337116">
        <w:rPr>
          <w:sz w:val="18"/>
          <w:szCs w:val="18"/>
          <w:vertAlign w:val="subscript"/>
        </w:rPr>
        <w:t>2</w:t>
      </w:r>
      <w:r w:rsidRPr="00337116">
        <w:rPr>
          <w:sz w:val="18"/>
          <w:szCs w:val="18"/>
        </w:rPr>
        <w:t>-uitstoot. De drie belangrijkste wijzigingen die Ecorys voorstelt in de BPM ten opzichte van het huidige beleid zijn:</w:t>
      </w:r>
    </w:p>
    <w:p w:rsidR="008D1BFF" w:rsidP="00337116" w:rsidRDefault="008D1BFF">
      <w:pPr>
        <w:pStyle w:val="Lijstalinea"/>
        <w:numPr>
          <w:ilvl w:val="0"/>
          <w:numId w:val="29"/>
        </w:numPr>
        <w:spacing w:after="0"/>
        <w:rPr>
          <w:sz w:val="18"/>
          <w:szCs w:val="18"/>
        </w:rPr>
      </w:pPr>
      <w:r w:rsidRPr="00954E12">
        <w:rPr>
          <w:sz w:val="18"/>
          <w:szCs w:val="18"/>
        </w:rPr>
        <w:t>Een jaarlijkse aanpassing van alle CO</w:t>
      </w:r>
      <w:r w:rsidRPr="00954E12">
        <w:rPr>
          <w:sz w:val="18"/>
          <w:szCs w:val="18"/>
          <w:vertAlign w:val="subscript"/>
        </w:rPr>
        <w:t>2</w:t>
      </w:r>
      <w:r w:rsidRPr="00954E12">
        <w:rPr>
          <w:sz w:val="18"/>
          <w:szCs w:val="18"/>
        </w:rPr>
        <w:t>-schijfgrenzen</w:t>
      </w:r>
      <w:r>
        <w:rPr>
          <w:sz w:val="18"/>
          <w:szCs w:val="18"/>
        </w:rPr>
        <w:t>;</w:t>
      </w:r>
    </w:p>
    <w:p w:rsidR="008D1BFF" w:rsidP="00337116" w:rsidRDefault="008D1BFF">
      <w:pPr>
        <w:pStyle w:val="Lijstalinea"/>
        <w:numPr>
          <w:ilvl w:val="0"/>
          <w:numId w:val="29"/>
        </w:numPr>
        <w:spacing w:after="0"/>
        <w:rPr>
          <w:sz w:val="18"/>
          <w:szCs w:val="18"/>
        </w:rPr>
      </w:pPr>
      <w:r>
        <w:rPr>
          <w:sz w:val="18"/>
          <w:szCs w:val="18"/>
        </w:rPr>
        <w:t xml:space="preserve">Het </w:t>
      </w:r>
      <w:r w:rsidRPr="00954E12">
        <w:rPr>
          <w:sz w:val="18"/>
          <w:szCs w:val="18"/>
        </w:rPr>
        <w:t>langzaam naar elkaar toegroeien van de benzine- en de dieselschijfgrenzen tot gelijke grenzen in 2015</w:t>
      </w:r>
      <w:r>
        <w:rPr>
          <w:sz w:val="18"/>
          <w:szCs w:val="18"/>
        </w:rPr>
        <w:t>;</w:t>
      </w:r>
    </w:p>
    <w:p w:rsidR="008D1BFF" w:rsidP="00337116" w:rsidRDefault="008D1BFF">
      <w:pPr>
        <w:pStyle w:val="Lijstalinea"/>
        <w:numPr>
          <w:ilvl w:val="0"/>
          <w:numId w:val="29"/>
        </w:numPr>
        <w:spacing w:after="0"/>
        <w:rPr>
          <w:sz w:val="18"/>
          <w:szCs w:val="18"/>
        </w:rPr>
      </w:pPr>
      <w:r>
        <w:rPr>
          <w:sz w:val="18"/>
          <w:szCs w:val="18"/>
        </w:rPr>
        <w:t>He</w:t>
      </w:r>
      <w:r w:rsidRPr="00954E12">
        <w:rPr>
          <w:sz w:val="18"/>
          <w:szCs w:val="18"/>
        </w:rPr>
        <w:t xml:space="preserve">t vervangen van </w:t>
      </w:r>
      <w:r w:rsidR="009E75A4">
        <w:rPr>
          <w:sz w:val="18"/>
          <w:szCs w:val="18"/>
        </w:rPr>
        <w:t>de</w:t>
      </w:r>
      <w:r w:rsidRPr="00954E12" w:rsidR="009E75A4">
        <w:rPr>
          <w:sz w:val="18"/>
          <w:szCs w:val="18"/>
        </w:rPr>
        <w:t xml:space="preserve"> </w:t>
      </w:r>
      <w:r w:rsidRPr="00954E12">
        <w:rPr>
          <w:sz w:val="18"/>
          <w:szCs w:val="18"/>
        </w:rPr>
        <w:t>vaste dieseltoeslag door een CO</w:t>
      </w:r>
      <w:r w:rsidRPr="00954E12">
        <w:rPr>
          <w:sz w:val="18"/>
          <w:szCs w:val="18"/>
          <w:vertAlign w:val="subscript"/>
        </w:rPr>
        <w:t>2</w:t>
      </w:r>
      <w:r>
        <w:rPr>
          <w:sz w:val="18"/>
          <w:szCs w:val="18"/>
        </w:rPr>
        <w:t>-g</w:t>
      </w:r>
      <w:r w:rsidRPr="00954E12">
        <w:rPr>
          <w:sz w:val="18"/>
          <w:szCs w:val="18"/>
        </w:rPr>
        <w:t>erelateerde toeslag</w:t>
      </w:r>
      <w:r>
        <w:rPr>
          <w:sz w:val="18"/>
          <w:szCs w:val="18"/>
        </w:rPr>
        <w:t>.</w:t>
      </w:r>
    </w:p>
    <w:p w:rsidR="00337116" w:rsidP="00337116" w:rsidRDefault="00337116">
      <w:pPr>
        <w:spacing w:after="0"/>
        <w:rPr>
          <w:sz w:val="18"/>
          <w:szCs w:val="18"/>
        </w:rPr>
      </w:pPr>
    </w:p>
    <w:p w:rsidR="008D1BFF" w:rsidP="00337116" w:rsidRDefault="008D1BFF">
      <w:pPr>
        <w:spacing w:after="0"/>
        <w:rPr>
          <w:sz w:val="18"/>
          <w:szCs w:val="18"/>
        </w:rPr>
      </w:pPr>
      <w:r w:rsidRPr="00954E12">
        <w:rPr>
          <w:sz w:val="18"/>
          <w:szCs w:val="18"/>
        </w:rPr>
        <w:t xml:space="preserve">In het eindbeeld dat Ecorys schetst, en dat in 2015 wordt bereikt, wordt in de BPM geen onderscheid meer gemaakt tussen benzine en diesel. </w:t>
      </w:r>
      <w:r>
        <w:rPr>
          <w:sz w:val="18"/>
          <w:szCs w:val="18"/>
        </w:rPr>
        <w:t>Deze voorgestelde vereenvoudiging leidt ertoe dat z</w:t>
      </w:r>
      <w:r w:rsidRPr="00954E12">
        <w:rPr>
          <w:sz w:val="18"/>
          <w:szCs w:val="18"/>
        </w:rPr>
        <w:t>owel de schijfgrenzen als de tarieven per gram CO</w:t>
      </w:r>
      <w:r w:rsidRPr="00954E12">
        <w:rPr>
          <w:sz w:val="18"/>
          <w:szCs w:val="18"/>
          <w:vertAlign w:val="subscript"/>
        </w:rPr>
        <w:t>2</w:t>
      </w:r>
      <w:r w:rsidRPr="00954E12">
        <w:rPr>
          <w:sz w:val="18"/>
          <w:szCs w:val="18"/>
        </w:rPr>
        <w:t>-uitstoot dan gelijk</w:t>
      </w:r>
      <w:r>
        <w:rPr>
          <w:sz w:val="18"/>
          <w:szCs w:val="18"/>
        </w:rPr>
        <w:t xml:space="preserve"> zijn</w:t>
      </w:r>
      <w:r w:rsidRPr="00954E12">
        <w:rPr>
          <w:sz w:val="18"/>
          <w:szCs w:val="18"/>
        </w:rPr>
        <w:t xml:space="preserve">. De verschillen die in de </w:t>
      </w:r>
      <w:r>
        <w:rPr>
          <w:sz w:val="18"/>
          <w:szCs w:val="18"/>
        </w:rPr>
        <w:t xml:space="preserve">huidige </w:t>
      </w:r>
      <w:r w:rsidRPr="00954E12">
        <w:rPr>
          <w:sz w:val="18"/>
          <w:szCs w:val="18"/>
        </w:rPr>
        <w:t>heffing op basis van de CO</w:t>
      </w:r>
      <w:r w:rsidRPr="00954E12">
        <w:rPr>
          <w:sz w:val="18"/>
          <w:szCs w:val="18"/>
          <w:vertAlign w:val="subscript"/>
        </w:rPr>
        <w:t>2</w:t>
      </w:r>
      <w:r w:rsidRPr="00954E12">
        <w:rPr>
          <w:sz w:val="18"/>
          <w:szCs w:val="18"/>
        </w:rPr>
        <w:t>-uitstoot zijn voorzien voor benzine en diesel, komen dus te vervallen. In 2015 voorziet Ecorys een vrijstellingsgrens in de BPM van 82 gr/km CO</w:t>
      </w:r>
      <w:r w:rsidRPr="00954E12">
        <w:rPr>
          <w:sz w:val="18"/>
          <w:szCs w:val="18"/>
          <w:vertAlign w:val="subscript"/>
        </w:rPr>
        <w:t>2</w:t>
      </w:r>
      <w:r w:rsidRPr="00954E12">
        <w:rPr>
          <w:sz w:val="18"/>
          <w:szCs w:val="18"/>
        </w:rPr>
        <w:t xml:space="preserve">-uitstoot, een eerste schijf die loopt tot en met 110 gr/km en een tweede schijf die loopt tot en met 160 gr/km. De derde en laatste schijf start bij een uitstoot van 161 gr/km. Zoals gezegd is dit het door Ecorys voorgestelde eindbeeld voor </w:t>
      </w:r>
      <w:r w:rsidR="009E75A4">
        <w:rPr>
          <w:sz w:val="18"/>
          <w:szCs w:val="18"/>
        </w:rPr>
        <w:t xml:space="preserve">het kalenderjaar </w:t>
      </w:r>
      <w:r w:rsidRPr="00954E12">
        <w:rPr>
          <w:sz w:val="18"/>
          <w:szCs w:val="18"/>
        </w:rPr>
        <w:t>2015. In de jaren 2012 tot en met 2015 word</w:t>
      </w:r>
      <w:r w:rsidR="009E75A4">
        <w:rPr>
          <w:sz w:val="18"/>
          <w:szCs w:val="18"/>
        </w:rPr>
        <w:t>en</w:t>
      </w:r>
      <w:r w:rsidRPr="00954E12">
        <w:rPr>
          <w:sz w:val="18"/>
          <w:szCs w:val="18"/>
        </w:rPr>
        <w:t xml:space="preserve"> volgens dit scenario in </w:t>
      </w:r>
      <w:r>
        <w:rPr>
          <w:sz w:val="18"/>
          <w:szCs w:val="18"/>
        </w:rPr>
        <w:t xml:space="preserve">jaarlijkse </w:t>
      </w:r>
      <w:r w:rsidRPr="00954E12">
        <w:rPr>
          <w:sz w:val="18"/>
          <w:szCs w:val="18"/>
        </w:rPr>
        <w:t>stappen de huidige schij</w:t>
      </w:r>
      <w:r>
        <w:rPr>
          <w:sz w:val="18"/>
          <w:szCs w:val="18"/>
        </w:rPr>
        <w:t>f</w:t>
      </w:r>
      <w:r w:rsidRPr="00954E12">
        <w:rPr>
          <w:sz w:val="18"/>
          <w:szCs w:val="18"/>
        </w:rPr>
        <w:t xml:space="preserve">grenzen en tariefopbouw omgezet naar dat eindbeeld. </w:t>
      </w:r>
      <w:r w:rsidR="009E75A4">
        <w:rPr>
          <w:sz w:val="18"/>
          <w:szCs w:val="18"/>
        </w:rPr>
        <w:t xml:space="preserve">De hierna opgenomen </w:t>
      </w:r>
      <w:r w:rsidRPr="00AD1DAA" w:rsidR="009E75A4">
        <w:rPr>
          <w:sz w:val="18"/>
          <w:szCs w:val="18"/>
        </w:rPr>
        <w:t>t</w:t>
      </w:r>
      <w:r w:rsidRPr="00AD1DAA">
        <w:rPr>
          <w:sz w:val="18"/>
          <w:szCs w:val="18"/>
        </w:rPr>
        <w:t>abellen 3 en 4 laten de</w:t>
      </w:r>
      <w:r>
        <w:rPr>
          <w:sz w:val="18"/>
          <w:szCs w:val="18"/>
        </w:rPr>
        <w:t xml:space="preserve"> ontwikkeling van de </w:t>
      </w:r>
      <w:r w:rsidR="00D47557">
        <w:rPr>
          <w:sz w:val="18"/>
          <w:szCs w:val="18"/>
        </w:rPr>
        <w:t xml:space="preserve">verschillende schijven </w:t>
      </w:r>
      <w:r>
        <w:rPr>
          <w:sz w:val="18"/>
          <w:szCs w:val="18"/>
        </w:rPr>
        <w:t>in de BPM zien. De grenzen voor 2010 en 2011 zijn de voor die jaren geldende grenzen</w:t>
      </w:r>
      <w:r w:rsidR="00D47557">
        <w:rPr>
          <w:sz w:val="18"/>
          <w:szCs w:val="18"/>
        </w:rPr>
        <w:t xml:space="preserve">; die </w:t>
      </w:r>
      <w:r>
        <w:rPr>
          <w:sz w:val="18"/>
          <w:szCs w:val="18"/>
        </w:rPr>
        <w:t>voor 2012 tot en met 2015 zijn de door Ecorys voorgestelde grenzen.</w:t>
      </w:r>
    </w:p>
    <w:p w:rsidR="00337116" w:rsidP="002534D4" w:rsidRDefault="00337116">
      <w:pPr>
        <w:spacing w:after="0"/>
        <w:rPr>
          <w:sz w:val="18"/>
          <w:szCs w:val="18"/>
        </w:rPr>
      </w:pPr>
    </w:p>
    <w:p w:rsidR="0026455C" w:rsidRDefault="0026455C">
      <w:pPr>
        <w:spacing w:after="0" w:line="240" w:lineRule="auto"/>
        <w:rPr>
          <w:b/>
          <w:i/>
          <w:sz w:val="16"/>
          <w:szCs w:val="16"/>
        </w:rPr>
      </w:pPr>
      <w:r>
        <w:rPr>
          <w:b/>
          <w:i/>
          <w:sz w:val="16"/>
          <w:szCs w:val="16"/>
        </w:rPr>
        <w:br w:type="page"/>
      </w:r>
    </w:p>
    <w:p w:rsidRPr="005138AB" w:rsidR="005138AB" w:rsidP="005138AB" w:rsidRDefault="004364A3">
      <w:pPr>
        <w:spacing w:after="0"/>
        <w:rPr>
          <w:i/>
          <w:sz w:val="16"/>
          <w:szCs w:val="16"/>
        </w:rPr>
      </w:pPr>
      <w:r>
        <w:rPr>
          <w:b/>
          <w:i/>
          <w:sz w:val="16"/>
          <w:szCs w:val="16"/>
        </w:rPr>
        <w:lastRenderedPageBreak/>
        <w:t xml:space="preserve">Tabel 3: </w:t>
      </w:r>
      <w:r w:rsidRPr="005138AB" w:rsidR="005138AB">
        <w:rPr>
          <w:b/>
          <w:i/>
          <w:sz w:val="16"/>
          <w:szCs w:val="16"/>
        </w:rPr>
        <w:t>Ontwikkeling BPM zuinigheidsgrenzen benzine per schijf, 2010-2015</w:t>
      </w:r>
    </w:p>
    <w:tbl>
      <w:tblPr>
        <w:tblStyle w:val="Lichtearcering4"/>
        <w:tblW w:w="0" w:type="auto"/>
        <w:tblBorders>
          <w:top w:val="single" w:color="auto" w:sz="4" w:space="0"/>
          <w:bottom w:val="single" w:color="auto" w:sz="4" w:space="0"/>
        </w:tblBorders>
        <w:tblLook w:val="04A0"/>
      </w:tblPr>
      <w:tblGrid>
        <w:gridCol w:w="1316"/>
        <w:gridCol w:w="1316"/>
        <w:gridCol w:w="1316"/>
        <w:gridCol w:w="1316"/>
        <w:gridCol w:w="1316"/>
        <w:gridCol w:w="1316"/>
        <w:gridCol w:w="1316"/>
      </w:tblGrid>
      <w:tr w:rsidRPr="005138AB" w:rsidR="005138AB" w:rsidTr="00907088">
        <w:trPr>
          <w:cnfStyle w:val="100000000000"/>
        </w:trPr>
        <w:tc>
          <w:tcPr>
            <w:cnfStyle w:val="001000000000"/>
            <w:tcW w:w="1316" w:type="dxa"/>
            <w:tcBorders>
              <w:top w:val="single" w:color="auto" w:sz="4" w:space="0"/>
              <w:left w:val="none" w:color="auto" w:sz="0" w:space="0"/>
              <w:bottom w:val="single" w:color="auto" w:sz="4" w:space="0"/>
              <w:right w:val="none" w:color="auto" w:sz="0" w:space="0"/>
            </w:tcBorders>
          </w:tcPr>
          <w:p w:rsidRPr="005138AB" w:rsidR="005138AB" w:rsidP="005138AB" w:rsidRDefault="005138AB">
            <w:pPr>
              <w:spacing w:after="0"/>
              <w:rPr>
                <w:sz w:val="16"/>
                <w:szCs w:val="16"/>
              </w:rPr>
            </w:pPr>
          </w:p>
        </w:tc>
        <w:tc>
          <w:tcPr>
            <w:tcW w:w="1316" w:type="dxa"/>
            <w:tcBorders>
              <w:top w:val="single" w:color="auto" w:sz="4" w:space="0"/>
              <w:left w:val="none" w:color="auto" w:sz="0" w:space="0"/>
              <w:bottom w:val="single" w:color="auto" w:sz="4" w:space="0"/>
              <w:right w:val="none" w:color="auto" w:sz="0" w:space="0"/>
            </w:tcBorders>
          </w:tcPr>
          <w:p w:rsidRPr="005138AB" w:rsidR="005138AB" w:rsidP="005138AB" w:rsidRDefault="005138AB">
            <w:pPr>
              <w:spacing w:after="0"/>
              <w:cnfStyle w:val="100000000000"/>
              <w:rPr>
                <w:sz w:val="16"/>
                <w:szCs w:val="16"/>
              </w:rPr>
            </w:pPr>
            <w:r w:rsidRPr="005138AB">
              <w:rPr>
                <w:sz w:val="16"/>
                <w:szCs w:val="16"/>
              </w:rPr>
              <w:t>2010</w:t>
            </w:r>
          </w:p>
        </w:tc>
        <w:tc>
          <w:tcPr>
            <w:tcW w:w="1316" w:type="dxa"/>
            <w:tcBorders>
              <w:top w:val="single" w:color="auto" w:sz="4" w:space="0"/>
              <w:left w:val="none" w:color="auto" w:sz="0" w:space="0"/>
              <w:bottom w:val="single" w:color="auto" w:sz="4" w:space="0"/>
              <w:right w:val="none" w:color="auto" w:sz="0" w:space="0"/>
            </w:tcBorders>
          </w:tcPr>
          <w:p w:rsidRPr="005138AB" w:rsidR="005138AB" w:rsidP="005138AB" w:rsidRDefault="005138AB">
            <w:pPr>
              <w:spacing w:after="0"/>
              <w:cnfStyle w:val="100000000000"/>
              <w:rPr>
                <w:sz w:val="16"/>
                <w:szCs w:val="16"/>
              </w:rPr>
            </w:pPr>
            <w:r w:rsidRPr="005138AB">
              <w:rPr>
                <w:sz w:val="16"/>
                <w:szCs w:val="16"/>
              </w:rPr>
              <w:t>2011</w:t>
            </w:r>
          </w:p>
        </w:tc>
        <w:tc>
          <w:tcPr>
            <w:tcW w:w="1316" w:type="dxa"/>
            <w:tcBorders>
              <w:top w:val="single" w:color="auto" w:sz="4" w:space="0"/>
              <w:left w:val="none" w:color="auto" w:sz="0" w:space="0"/>
              <w:bottom w:val="single" w:color="auto" w:sz="4" w:space="0"/>
              <w:right w:val="none" w:color="auto" w:sz="0" w:space="0"/>
            </w:tcBorders>
          </w:tcPr>
          <w:p w:rsidRPr="005138AB" w:rsidR="005138AB" w:rsidP="005138AB" w:rsidRDefault="005138AB">
            <w:pPr>
              <w:spacing w:after="0"/>
              <w:cnfStyle w:val="100000000000"/>
              <w:rPr>
                <w:sz w:val="16"/>
                <w:szCs w:val="16"/>
              </w:rPr>
            </w:pPr>
            <w:r w:rsidRPr="005138AB">
              <w:rPr>
                <w:sz w:val="16"/>
                <w:szCs w:val="16"/>
              </w:rPr>
              <w:t>2012</w:t>
            </w:r>
          </w:p>
        </w:tc>
        <w:tc>
          <w:tcPr>
            <w:tcW w:w="1316" w:type="dxa"/>
            <w:tcBorders>
              <w:top w:val="single" w:color="auto" w:sz="4" w:space="0"/>
              <w:left w:val="none" w:color="auto" w:sz="0" w:space="0"/>
              <w:bottom w:val="single" w:color="auto" w:sz="4" w:space="0"/>
              <w:right w:val="none" w:color="auto" w:sz="0" w:space="0"/>
            </w:tcBorders>
          </w:tcPr>
          <w:p w:rsidRPr="005138AB" w:rsidR="005138AB" w:rsidP="005138AB" w:rsidRDefault="005138AB">
            <w:pPr>
              <w:spacing w:after="0"/>
              <w:cnfStyle w:val="100000000000"/>
              <w:rPr>
                <w:sz w:val="16"/>
                <w:szCs w:val="16"/>
              </w:rPr>
            </w:pPr>
            <w:r w:rsidRPr="005138AB">
              <w:rPr>
                <w:sz w:val="16"/>
                <w:szCs w:val="16"/>
              </w:rPr>
              <w:t>2013</w:t>
            </w:r>
          </w:p>
        </w:tc>
        <w:tc>
          <w:tcPr>
            <w:tcW w:w="1316" w:type="dxa"/>
            <w:tcBorders>
              <w:top w:val="single" w:color="auto" w:sz="4" w:space="0"/>
              <w:left w:val="none" w:color="auto" w:sz="0" w:space="0"/>
              <w:bottom w:val="single" w:color="auto" w:sz="4" w:space="0"/>
              <w:right w:val="none" w:color="auto" w:sz="0" w:space="0"/>
            </w:tcBorders>
          </w:tcPr>
          <w:p w:rsidRPr="005138AB" w:rsidR="005138AB" w:rsidP="005138AB" w:rsidRDefault="005138AB">
            <w:pPr>
              <w:spacing w:after="0"/>
              <w:cnfStyle w:val="100000000000"/>
              <w:rPr>
                <w:sz w:val="16"/>
                <w:szCs w:val="16"/>
              </w:rPr>
            </w:pPr>
            <w:r w:rsidRPr="005138AB">
              <w:rPr>
                <w:sz w:val="16"/>
                <w:szCs w:val="16"/>
              </w:rPr>
              <w:t>2014</w:t>
            </w:r>
          </w:p>
        </w:tc>
        <w:tc>
          <w:tcPr>
            <w:tcW w:w="1316" w:type="dxa"/>
            <w:tcBorders>
              <w:top w:val="single" w:color="auto" w:sz="4" w:space="0"/>
              <w:left w:val="none" w:color="auto" w:sz="0" w:space="0"/>
              <w:bottom w:val="single" w:color="auto" w:sz="4" w:space="0"/>
              <w:right w:val="none" w:color="auto" w:sz="0" w:space="0"/>
            </w:tcBorders>
          </w:tcPr>
          <w:p w:rsidRPr="005138AB" w:rsidR="005138AB" w:rsidP="005138AB" w:rsidRDefault="005138AB">
            <w:pPr>
              <w:spacing w:after="0"/>
              <w:cnfStyle w:val="100000000000"/>
              <w:rPr>
                <w:sz w:val="16"/>
                <w:szCs w:val="16"/>
              </w:rPr>
            </w:pPr>
            <w:r w:rsidRPr="005138AB">
              <w:rPr>
                <w:sz w:val="16"/>
                <w:szCs w:val="16"/>
              </w:rPr>
              <w:t>2015</w:t>
            </w:r>
          </w:p>
        </w:tc>
      </w:tr>
      <w:tr w:rsidRPr="005138AB" w:rsidR="005138AB" w:rsidTr="00907088">
        <w:trPr>
          <w:cnfStyle w:val="000000100000"/>
        </w:trPr>
        <w:tc>
          <w:tcPr>
            <w:cnfStyle w:val="001000000000"/>
            <w:tcW w:w="1316" w:type="dxa"/>
            <w:tcBorders>
              <w:top w:val="single" w:color="auto" w:sz="4" w:space="0"/>
              <w:left w:val="none" w:color="auto" w:sz="0" w:space="0"/>
              <w:right w:val="none" w:color="auto" w:sz="0" w:space="0"/>
            </w:tcBorders>
            <w:vAlign w:val="bottom"/>
          </w:tcPr>
          <w:p w:rsidRPr="00166F2A" w:rsidR="005138AB" w:rsidP="005138AB" w:rsidRDefault="005138AB">
            <w:pPr>
              <w:spacing w:after="0"/>
              <w:rPr>
                <w:b w:val="0"/>
                <w:sz w:val="16"/>
                <w:szCs w:val="16"/>
              </w:rPr>
            </w:pPr>
          </w:p>
          <w:p w:rsidRPr="00166F2A" w:rsidR="005138AB" w:rsidP="005138AB" w:rsidRDefault="005138AB">
            <w:pPr>
              <w:spacing w:after="0"/>
              <w:rPr>
                <w:b w:val="0"/>
                <w:sz w:val="16"/>
                <w:szCs w:val="16"/>
              </w:rPr>
            </w:pPr>
            <w:r w:rsidRPr="00166F2A">
              <w:rPr>
                <w:b w:val="0"/>
                <w:sz w:val="16"/>
                <w:szCs w:val="16"/>
              </w:rPr>
              <w:t>Vrijgesteld</w:t>
            </w:r>
          </w:p>
        </w:tc>
        <w:tc>
          <w:tcPr>
            <w:tcW w:w="1316" w:type="dxa"/>
            <w:tcBorders>
              <w:top w:val="single" w:color="auto" w:sz="4" w:space="0"/>
              <w:left w:val="none" w:color="auto" w:sz="0" w:space="0"/>
              <w:right w:val="none" w:color="auto" w:sz="0" w:space="0"/>
            </w:tcBorders>
            <w:vAlign w:val="bottom"/>
          </w:tcPr>
          <w:p w:rsidRPr="005138AB" w:rsidR="005138AB" w:rsidP="005138AB" w:rsidRDefault="005138AB">
            <w:pPr>
              <w:spacing w:after="0"/>
              <w:cnfStyle w:val="000000100000"/>
              <w:rPr>
                <w:sz w:val="16"/>
                <w:szCs w:val="16"/>
              </w:rPr>
            </w:pPr>
            <w:r w:rsidRPr="005138AB">
              <w:rPr>
                <w:sz w:val="16"/>
                <w:szCs w:val="16"/>
              </w:rPr>
              <w:t>&lt;111</w:t>
            </w:r>
          </w:p>
        </w:tc>
        <w:tc>
          <w:tcPr>
            <w:tcW w:w="1316" w:type="dxa"/>
            <w:tcBorders>
              <w:top w:val="single" w:color="auto" w:sz="4" w:space="0"/>
              <w:left w:val="none" w:color="auto" w:sz="0" w:space="0"/>
              <w:right w:val="none" w:color="auto" w:sz="0" w:space="0"/>
            </w:tcBorders>
            <w:vAlign w:val="bottom"/>
          </w:tcPr>
          <w:p w:rsidRPr="005138AB" w:rsidR="005138AB" w:rsidP="005138AB" w:rsidRDefault="005138AB">
            <w:pPr>
              <w:spacing w:after="0"/>
              <w:cnfStyle w:val="000000100000"/>
              <w:rPr>
                <w:sz w:val="16"/>
                <w:szCs w:val="16"/>
              </w:rPr>
            </w:pPr>
            <w:r w:rsidRPr="005138AB">
              <w:rPr>
                <w:sz w:val="16"/>
                <w:szCs w:val="16"/>
              </w:rPr>
              <w:t>&lt;111</w:t>
            </w:r>
          </w:p>
        </w:tc>
        <w:tc>
          <w:tcPr>
            <w:tcW w:w="1316" w:type="dxa"/>
            <w:tcBorders>
              <w:top w:val="single" w:color="auto" w:sz="4" w:space="0"/>
              <w:left w:val="none" w:color="auto" w:sz="0" w:space="0"/>
              <w:right w:val="none" w:color="auto" w:sz="0" w:space="0"/>
            </w:tcBorders>
            <w:vAlign w:val="bottom"/>
          </w:tcPr>
          <w:p w:rsidRPr="005138AB" w:rsidR="005138AB" w:rsidP="005138AB" w:rsidRDefault="005138AB">
            <w:pPr>
              <w:spacing w:after="0"/>
              <w:cnfStyle w:val="000000100000"/>
              <w:rPr>
                <w:sz w:val="16"/>
                <w:szCs w:val="16"/>
              </w:rPr>
            </w:pPr>
            <w:r w:rsidRPr="005138AB">
              <w:rPr>
                <w:sz w:val="16"/>
                <w:szCs w:val="16"/>
              </w:rPr>
              <w:t>&lt;103</w:t>
            </w:r>
          </w:p>
        </w:tc>
        <w:tc>
          <w:tcPr>
            <w:tcW w:w="1316" w:type="dxa"/>
            <w:tcBorders>
              <w:top w:val="single" w:color="auto" w:sz="4" w:space="0"/>
              <w:left w:val="none" w:color="auto" w:sz="0" w:space="0"/>
              <w:right w:val="none" w:color="auto" w:sz="0" w:space="0"/>
            </w:tcBorders>
            <w:vAlign w:val="bottom"/>
          </w:tcPr>
          <w:p w:rsidRPr="005138AB" w:rsidR="005138AB" w:rsidP="005138AB" w:rsidRDefault="005138AB">
            <w:pPr>
              <w:spacing w:after="0"/>
              <w:cnfStyle w:val="000000100000"/>
              <w:rPr>
                <w:sz w:val="16"/>
                <w:szCs w:val="16"/>
              </w:rPr>
            </w:pPr>
            <w:r w:rsidRPr="005138AB">
              <w:rPr>
                <w:sz w:val="16"/>
                <w:szCs w:val="16"/>
              </w:rPr>
              <w:t>&lt;96</w:t>
            </w:r>
          </w:p>
        </w:tc>
        <w:tc>
          <w:tcPr>
            <w:tcW w:w="1316" w:type="dxa"/>
            <w:tcBorders>
              <w:top w:val="single" w:color="auto" w:sz="4" w:space="0"/>
              <w:left w:val="none" w:color="auto" w:sz="0" w:space="0"/>
              <w:right w:val="none" w:color="auto" w:sz="0" w:space="0"/>
            </w:tcBorders>
            <w:vAlign w:val="bottom"/>
          </w:tcPr>
          <w:p w:rsidRPr="005138AB" w:rsidR="005138AB" w:rsidP="005138AB" w:rsidRDefault="005138AB">
            <w:pPr>
              <w:spacing w:after="0"/>
              <w:cnfStyle w:val="000000100000"/>
              <w:rPr>
                <w:sz w:val="16"/>
                <w:szCs w:val="16"/>
              </w:rPr>
            </w:pPr>
            <w:r w:rsidRPr="005138AB">
              <w:rPr>
                <w:sz w:val="16"/>
                <w:szCs w:val="16"/>
              </w:rPr>
              <w:t>&lt;89</w:t>
            </w:r>
          </w:p>
        </w:tc>
        <w:tc>
          <w:tcPr>
            <w:tcW w:w="1316" w:type="dxa"/>
            <w:tcBorders>
              <w:top w:val="single" w:color="auto" w:sz="4" w:space="0"/>
              <w:left w:val="none" w:color="auto" w:sz="0" w:space="0"/>
              <w:right w:val="none" w:color="auto" w:sz="0" w:space="0"/>
            </w:tcBorders>
            <w:vAlign w:val="bottom"/>
          </w:tcPr>
          <w:p w:rsidRPr="005138AB" w:rsidR="005138AB" w:rsidP="005138AB" w:rsidRDefault="005138AB">
            <w:pPr>
              <w:spacing w:after="0"/>
              <w:cnfStyle w:val="000000100000"/>
              <w:rPr>
                <w:sz w:val="16"/>
                <w:szCs w:val="16"/>
              </w:rPr>
            </w:pPr>
            <w:r w:rsidRPr="005138AB">
              <w:rPr>
                <w:sz w:val="16"/>
                <w:szCs w:val="16"/>
              </w:rPr>
              <w:t>&lt;83</w:t>
            </w:r>
          </w:p>
        </w:tc>
      </w:tr>
      <w:tr w:rsidRPr="005138AB" w:rsidR="005138AB" w:rsidTr="00907088">
        <w:tc>
          <w:tcPr>
            <w:cnfStyle w:val="001000000000"/>
            <w:tcW w:w="1316" w:type="dxa"/>
            <w:vAlign w:val="bottom"/>
          </w:tcPr>
          <w:p w:rsidRPr="00166F2A" w:rsidR="005138AB" w:rsidP="005138AB" w:rsidRDefault="005138AB">
            <w:pPr>
              <w:spacing w:after="0"/>
              <w:rPr>
                <w:b w:val="0"/>
                <w:sz w:val="16"/>
                <w:szCs w:val="16"/>
              </w:rPr>
            </w:pPr>
          </w:p>
          <w:p w:rsidRPr="00166F2A" w:rsidR="005138AB" w:rsidP="005138AB" w:rsidRDefault="005138AB">
            <w:pPr>
              <w:spacing w:after="0"/>
              <w:rPr>
                <w:b w:val="0"/>
                <w:sz w:val="16"/>
                <w:szCs w:val="16"/>
              </w:rPr>
            </w:pPr>
            <w:r w:rsidRPr="00166F2A">
              <w:rPr>
                <w:b w:val="0"/>
                <w:sz w:val="16"/>
                <w:szCs w:val="16"/>
              </w:rPr>
              <w:t>1e schijf</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111-180</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111-180</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103-159</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96-140</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89-124</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83-110</w:t>
            </w:r>
          </w:p>
        </w:tc>
      </w:tr>
      <w:tr w:rsidRPr="005138AB" w:rsidR="005138AB" w:rsidTr="00907088">
        <w:trPr>
          <w:cnfStyle w:val="000000100000"/>
        </w:trPr>
        <w:tc>
          <w:tcPr>
            <w:cnfStyle w:val="001000000000"/>
            <w:tcW w:w="1316" w:type="dxa"/>
            <w:tcBorders>
              <w:left w:val="none" w:color="auto" w:sz="0" w:space="0"/>
              <w:right w:val="none" w:color="auto" w:sz="0" w:space="0"/>
            </w:tcBorders>
            <w:vAlign w:val="bottom"/>
          </w:tcPr>
          <w:p w:rsidRPr="00166F2A" w:rsidR="005138AB" w:rsidP="005138AB" w:rsidRDefault="005138AB">
            <w:pPr>
              <w:spacing w:after="0"/>
              <w:rPr>
                <w:b w:val="0"/>
                <w:sz w:val="16"/>
                <w:szCs w:val="16"/>
              </w:rPr>
            </w:pPr>
          </w:p>
          <w:p w:rsidRPr="00166F2A" w:rsidR="005138AB" w:rsidP="005138AB" w:rsidRDefault="005138AB">
            <w:pPr>
              <w:spacing w:after="0"/>
              <w:rPr>
                <w:b w:val="0"/>
                <w:sz w:val="16"/>
                <w:szCs w:val="16"/>
              </w:rPr>
            </w:pPr>
            <w:r w:rsidRPr="00166F2A">
              <w:rPr>
                <w:b w:val="0"/>
                <w:sz w:val="16"/>
                <w:szCs w:val="16"/>
              </w:rPr>
              <w:t>2e schijf</w:t>
            </w:r>
          </w:p>
        </w:tc>
        <w:tc>
          <w:tcPr>
            <w:tcW w:w="1316" w:type="dxa"/>
            <w:tcBorders>
              <w:left w:val="none" w:color="auto" w:sz="0" w:space="0"/>
              <w:right w:val="none" w:color="auto" w:sz="0" w:space="0"/>
            </w:tcBorders>
            <w:vAlign w:val="bottom"/>
          </w:tcPr>
          <w:p w:rsidRPr="005138AB" w:rsidR="005138AB" w:rsidP="005138AB" w:rsidRDefault="005138AB">
            <w:pPr>
              <w:spacing w:after="0"/>
              <w:cnfStyle w:val="000000100000"/>
              <w:rPr>
                <w:sz w:val="16"/>
                <w:szCs w:val="16"/>
              </w:rPr>
            </w:pPr>
            <w:r w:rsidRPr="005138AB">
              <w:rPr>
                <w:sz w:val="16"/>
                <w:szCs w:val="16"/>
              </w:rPr>
              <w:t>181-270</w:t>
            </w:r>
          </w:p>
        </w:tc>
        <w:tc>
          <w:tcPr>
            <w:tcW w:w="1316" w:type="dxa"/>
            <w:tcBorders>
              <w:left w:val="none" w:color="auto" w:sz="0" w:space="0"/>
              <w:right w:val="none" w:color="auto" w:sz="0" w:space="0"/>
            </w:tcBorders>
            <w:vAlign w:val="bottom"/>
          </w:tcPr>
          <w:p w:rsidRPr="005138AB" w:rsidR="005138AB" w:rsidP="005138AB" w:rsidRDefault="005138AB">
            <w:pPr>
              <w:spacing w:after="0"/>
              <w:cnfStyle w:val="000000100000"/>
              <w:rPr>
                <w:sz w:val="16"/>
                <w:szCs w:val="16"/>
              </w:rPr>
            </w:pPr>
            <w:r w:rsidRPr="005138AB">
              <w:rPr>
                <w:sz w:val="16"/>
                <w:szCs w:val="16"/>
              </w:rPr>
              <w:t>181-270</w:t>
            </w:r>
          </w:p>
        </w:tc>
        <w:tc>
          <w:tcPr>
            <w:tcW w:w="1316" w:type="dxa"/>
            <w:tcBorders>
              <w:left w:val="none" w:color="auto" w:sz="0" w:space="0"/>
              <w:right w:val="none" w:color="auto" w:sz="0" w:space="0"/>
            </w:tcBorders>
            <w:vAlign w:val="bottom"/>
          </w:tcPr>
          <w:p w:rsidRPr="005138AB" w:rsidR="005138AB" w:rsidP="005138AB" w:rsidRDefault="005138AB">
            <w:pPr>
              <w:spacing w:after="0"/>
              <w:cnfStyle w:val="000000100000"/>
              <w:rPr>
                <w:sz w:val="16"/>
                <w:szCs w:val="16"/>
              </w:rPr>
            </w:pPr>
            <w:r w:rsidRPr="005138AB">
              <w:rPr>
                <w:sz w:val="16"/>
                <w:szCs w:val="16"/>
              </w:rPr>
              <w:t>160-237</w:t>
            </w:r>
          </w:p>
        </w:tc>
        <w:tc>
          <w:tcPr>
            <w:tcW w:w="1316" w:type="dxa"/>
            <w:tcBorders>
              <w:left w:val="none" w:color="auto" w:sz="0" w:space="0"/>
              <w:right w:val="none" w:color="auto" w:sz="0" w:space="0"/>
            </w:tcBorders>
            <w:vAlign w:val="bottom"/>
          </w:tcPr>
          <w:p w:rsidRPr="005138AB" w:rsidR="005138AB" w:rsidP="005138AB" w:rsidRDefault="005138AB">
            <w:pPr>
              <w:spacing w:after="0"/>
              <w:cnfStyle w:val="000000100000"/>
              <w:rPr>
                <w:sz w:val="16"/>
                <w:szCs w:val="16"/>
              </w:rPr>
            </w:pPr>
            <w:r w:rsidRPr="005138AB">
              <w:rPr>
                <w:sz w:val="16"/>
                <w:szCs w:val="16"/>
              </w:rPr>
              <w:t>141-208</w:t>
            </w:r>
          </w:p>
        </w:tc>
        <w:tc>
          <w:tcPr>
            <w:tcW w:w="1316" w:type="dxa"/>
            <w:tcBorders>
              <w:left w:val="none" w:color="auto" w:sz="0" w:space="0"/>
              <w:right w:val="none" w:color="auto" w:sz="0" w:space="0"/>
            </w:tcBorders>
            <w:vAlign w:val="bottom"/>
          </w:tcPr>
          <w:p w:rsidRPr="005138AB" w:rsidR="005138AB" w:rsidP="005138AB" w:rsidRDefault="005138AB">
            <w:pPr>
              <w:spacing w:after="0"/>
              <w:cnfStyle w:val="000000100000"/>
              <w:rPr>
                <w:sz w:val="16"/>
                <w:szCs w:val="16"/>
              </w:rPr>
            </w:pPr>
            <w:r w:rsidRPr="005138AB">
              <w:rPr>
                <w:sz w:val="16"/>
                <w:szCs w:val="16"/>
              </w:rPr>
              <w:t>125-182</w:t>
            </w:r>
          </w:p>
        </w:tc>
        <w:tc>
          <w:tcPr>
            <w:tcW w:w="1316" w:type="dxa"/>
            <w:tcBorders>
              <w:left w:val="none" w:color="auto" w:sz="0" w:space="0"/>
              <w:right w:val="none" w:color="auto" w:sz="0" w:space="0"/>
            </w:tcBorders>
            <w:vAlign w:val="bottom"/>
          </w:tcPr>
          <w:p w:rsidRPr="005138AB" w:rsidR="005138AB" w:rsidP="005138AB" w:rsidRDefault="005138AB">
            <w:pPr>
              <w:spacing w:after="0"/>
              <w:cnfStyle w:val="000000100000"/>
              <w:rPr>
                <w:sz w:val="16"/>
                <w:szCs w:val="16"/>
              </w:rPr>
            </w:pPr>
            <w:r w:rsidRPr="005138AB">
              <w:rPr>
                <w:sz w:val="16"/>
                <w:szCs w:val="16"/>
              </w:rPr>
              <w:t>111-160</w:t>
            </w:r>
          </w:p>
        </w:tc>
      </w:tr>
      <w:tr w:rsidRPr="005138AB" w:rsidR="005138AB" w:rsidTr="00907088">
        <w:tc>
          <w:tcPr>
            <w:cnfStyle w:val="001000000000"/>
            <w:tcW w:w="1316" w:type="dxa"/>
            <w:vAlign w:val="bottom"/>
          </w:tcPr>
          <w:p w:rsidRPr="00166F2A" w:rsidR="005138AB" w:rsidP="005138AB" w:rsidRDefault="005138AB">
            <w:pPr>
              <w:spacing w:after="0"/>
              <w:rPr>
                <w:b w:val="0"/>
                <w:sz w:val="16"/>
                <w:szCs w:val="16"/>
              </w:rPr>
            </w:pPr>
          </w:p>
          <w:p w:rsidRPr="00166F2A" w:rsidR="005138AB" w:rsidP="005138AB" w:rsidRDefault="005138AB">
            <w:pPr>
              <w:spacing w:after="0"/>
              <w:rPr>
                <w:b w:val="0"/>
                <w:sz w:val="16"/>
                <w:szCs w:val="16"/>
              </w:rPr>
            </w:pPr>
            <w:r w:rsidRPr="00166F2A">
              <w:rPr>
                <w:b w:val="0"/>
                <w:sz w:val="16"/>
                <w:szCs w:val="16"/>
              </w:rPr>
              <w:t>3</w:t>
            </w:r>
            <w:r w:rsidRPr="00166F2A">
              <w:rPr>
                <w:b w:val="0"/>
                <w:sz w:val="16"/>
                <w:szCs w:val="16"/>
                <w:vertAlign w:val="superscript"/>
              </w:rPr>
              <w:t>e</w:t>
            </w:r>
            <w:r w:rsidRPr="00166F2A">
              <w:rPr>
                <w:b w:val="0"/>
                <w:sz w:val="16"/>
                <w:szCs w:val="16"/>
              </w:rPr>
              <w:t xml:space="preserve"> schijf</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&gt;270</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&gt;270</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&gt;237</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&gt;208</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&gt;182</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&gt;160</w:t>
            </w:r>
          </w:p>
        </w:tc>
      </w:tr>
    </w:tbl>
    <w:p w:rsidRPr="005138AB" w:rsidR="005138AB" w:rsidP="005138AB" w:rsidRDefault="005138AB">
      <w:pPr>
        <w:spacing w:after="0"/>
        <w:rPr>
          <w:sz w:val="16"/>
          <w:szCs w:val="16"/>
        </w:rPr>
      </w:pPr>
      <w:r w:rsidRPr="005138AB">
        <w:rPr>
          <w:sz w:val="16"/>
          <w:szCs w:val="16"/>
        </w:rPr>
        <w:t>Bron: Ecorys CARbonTAX model</w:t>
      </w:r>
    </w:p>
    <w:p w:rsidRPr="005138AB" w:rsidR="005138AB" w:rsidP="005138AB" w:rsidRDefault="005138AB">
      <w:pPr>
        <w:spacing w:after="0"/>
        <w:rPr>
          <w:sz w:val="16"/>
          <w:szCs w:val="16"/>
        </w:rPr>
      </w:pPr>
    </w:p>
    <w:p w:rsidRPr="005138AB" w:rsidR="005138AB" w:rsidP="005138AB" w:rsidRDefault="005138AB">
      <w:pPr>
        <w:spacing w:after="0"/>
        <w:rPr>
          <w:sz w:val="16"/>
          <w:szCs w:val="16"/>
        </w:rPr>
      </w:pPr>
    </w:p>
    <w:p w:rsidRPr="005138AB" w:rsidR="005138AB" w:rsidP="005138AB" w:rsidRDefault="004364A3">
      <w:pPr>
        <w:spacing w:after="0"/>
        <w:rPr>
          <w:i/>
          <w:sz w:val="16"/>
          <w:szCs w:val="16"/>
        </w:rPr>
      </w:pPr>
      <w:r>
        <w:rPr>
          <w:b/>
          <w:i/>
          <w:sz w:val="16"/>
          <w:szCs w:val="16"/>
        </w:rPr>
        <w:t xml:space="preserve">Tabel 4: </w:t>
      </w:r>
      <w:r w:rsidRPr="005138AB" w:rsidR="005138AB">
        <w:rPr>
          <w:b/>
          <w:i/>
          <w:sz w:val="16"/>
          <w:szCs w:val="16"/>
        </w:rPr>
        <w:t>Ontwikkeling BPM zuinigheidsgrenzen diesel per schijf, 2010-2015</w:t>
      </w:r>
    </w:p>
    <w:tbl>
      <w:tblPr>
        <w:tblStyle w:val="Lichtearcering4"/>
        <w:tblW w:w="9212" w:type="dxa"/>
        <w:tblLook w:val="04A0"/>
      </w:tblPr>
      <w:tblGrid>
        <w:gridCol w:w="1316"/>
        <w:gridCol w:w="1316"/>
        <w:gridCol w:w="1316"/>
        <w:gridCol w:w="1316"/>
        <w:gridCol w:w="1316"/>
        <w:gridCol w:w="1316"/>
        <w:gridCol w:w="1316"/>
      </w:tblGrid>
      <w:tr w:rsidRPr="005138AB" w:rsidR="005138AB" w:rsidTr="005138AB">
        <w:trPr>
          <w:cnfStyle w:val="100000000000"/>
        </w:trPr>
        <w:tc>
          <w:tcPr>
            <w:cnfStyle w:val="001000000000"/>
            <w:tcW w:w="1316" w:type="dxa"/>
          </w:tcPr>
          <w:p w:rsidRPr="005138AB" w:rsidR="005138AB" w:rsidP="005138AB" w:rsidRDefault="005138AB">
            <w:pPr>
              <w:spacing w:after="0"/>
              <w:rPr>
                <w:sz w:val="16"/>
                <w:szCs w:val="16"/>
              </w:rPr>
            </w:pPr>
          </w:p>
        </w:tc>
        <w:tc>
          <w:tcPr>
            <w:tcW w:w="1316" w:type="dxa"/>
          </w:tcPr>
          <w:p w:rsidRPr="005138AB" w:rsidR="005138AB" w:rsidP="005138AB" w:rsidRDefault="005138AB">
            <w:pPr>
              <w:spacing w:after="0"/>
              <w:cnfStyle w:val="100000000000"/>
              <w:rPr>
                <w:sz w:val="16"/>
                <w:szCs w:val="16"/>
              </w:rPr>
            </w:pPr>
            <w:r w:rsidRPr="005138AB">
              <w:rPr>
                <w:sz w:val="16"/>
                <w:szCs w:val="16"/>
              </w:rPr>
              <w:t>2010</w:t>
            </w:r>
          </w:p>
        </w:tc>
        <w:tc>
          <w:tcPr>
            <w:tcW w:w="1316" w:type="dxa"/>
          </w:tcPr>
          <w:p w:rsidRPr="005138AB" w:rsidR="005138AB" w:rsidP="005138AB" w:rsidRDefault="005138AB">
            <w:pPr>
              <w:spacing w:after="0"/>
              <w:cnfStyle w:val="100000000000"/>
              <w:rPr>
                <w:sz w:val="16"/>
                <w:szCs w:val="16"/>
              </w:rPr>
            </w:pPr>
            <w:r w:rsidRPr="005138AB">
              <w:rPr>
                <w:sz w:val="16"/>
                <w:szCs w:val="16"/>
              </w:rPr>
              <w:t>2011</w:t>
            </w:r>
          </w:p>
        </w:tc>
        <w:tc>
          <w:tcPr>
            <w:tcW w:w="1316" w:type="dxa"/>
          </w:tcPr>
          <w:p w:rsidRPr="005138AB" w:rsidR="005138AB" w:rsidP="005138AB" w:rsidRDefault="005138AB">
            <w:pPr>
              <w:spacing w:after="0"/>
              <w:cnfStyle w:val="100000000000"/>
              <w:rPr>
                <w:sz w:val="16"/>
                <w:szCs w:val="16"/>
              </w:rPr>
            </w:pPr>
            <w:r w:rsidRPr="005138AB">
              <w:rPr>
                <w:sz w:val="16"/>
                <w:szCs w:val="16"/>
              </w:rPr>
              <w:t>2012</w:t>
            </w:r>
          </w:p>
        </w:tc>
        <w:tc>
          <w:tcPr>
            <w:tcW w:w="1316" w:type="dxa"/>
          </w:tcPr>
          <w:p w:rsidRPr="005138AB" w:rsidR="005138AB" w:rsidP="005138AB" w:rsidRDefault="005138AB">
            <w:pPr>
              <w:spacing w:after="0"/>
              <w:cnfStyle w:val="100000000000"/>
              <w:rPr>
                <w:sz w:val="16"/>
                <w:szCs w:val="16"/>
              </w:rPr>
            </w:pPr>
            <w:r w:rsidRPr="005138AB">
              <w:rPr>
                <w:sz w:val="16"/>
                <w:szCs w:val="16"/>
              </w:rPr>
              <w:t>2013</w:t>
            </w:r>
          </w:p>
        </w:tc>
        <w:tc>
          <w:tcPr>
            <w:tcW w:w="1316" w:type="dxa"/>
          </w:tcPr>
          <w:p w:rsidRPr="005138AB" w:rsidR="005138AB" w:rsidP="005138AB" w:rsidRDefault="005138AB">
            <w:pPr>
              <w:spacing w:after="0"/>
              <w:cnfStyle w:val="100000000000"/>
              <w:rPr>
                <w:sz w:val="16"/>
                <w:szCs w:val="16"/>
              </w:rPr>
            </w:pPr>
            <w:r w:rsidRPr="005138AB">
              <w:rPr>
                <w:sz w:val="16"/>
                <w:szCs w:val="16"/>
              </w:rPr>
              <w:t>2014</w:t>
            </w:r>
          </w:p>
        </w:tc>
        <w:tc>
          <w:tcPr>
            <w:tcW w:w="1316" w:type="dxa"/>
          </w:tcPr>
          <w:p w:rsidRPr="005138AB" w:rsidR="005138AB" w:rsidP="005138AB" w:rsidRDefault="005138AB">
            <w:pPr>
              <w:spacing w:after="0"/>
              <w:cnfStyle w:val="100000000000"/>
              <w:rPr>
                <w:sz w:val="16"/>
                <w:szCs w:val="16"/>
              </w:rPr>
            </w:pPr>
            <w:r w:rsidRPr="005138AB">
              <w:rPr>
                <w:sz w:val="16"/>
                <w:szCs w:val="16"/>
              </w:rPr>
              <w:t>2015</w:t>
            </w:r>
          </w:p>
        </w:tc>
      </w:tr>
      <w:tr w:rsidRPr="005138AB" w:rsidR="005138AB" w:rsidTr="005138AB">
        <w:trPr>
          <w:cnfStyle w:val="000000100000"/>
        </w:trPr>
        <w:tc>
          <w:tcPr>
            <w:cnfStyle w:val="001000000000"/>
            <w:tcW w:w="1316" w:type="dxa"/>
            <w:vAlign w:val="bottom"/>
          </w:tcPr>
          <w:p w:rsidRPr="00166F2A" w:rsidR="005138AB" w:rsidP="005138AB" w:rsidRDefault="005138AB">
            <w:pPr>
              <w:spacing w:after="0"/>
              <w:rPr>
                <w:b w:val="0"/>
                <w:sz w:val="16"/>
                <w:szCs w:val="16"/>
              </w:rPr>
            </w:pPr>
          </w:p>
          <w:p w:rsidRPr="00166F2A" w:rsidR="005138AB" w:rsidP="005138AB" w:rsidRDefault="005138AB">
            <w:pPr>
              <w:spacing w:after="0"/>
              <w:rPr>
                <w:b w:val="0"/>
                <w:sz w:val="16"/>
                <w:szCs w:val="16"/>
              </w:rPr>
            </w:pPr>
            <w:r w:rsidRPr="00166F2A">
              <w:rPr>
                <w:b w:val="0"/>
                <w:sz w:val="16"/>
                <w:szCs w:val="16"/>
              </w:rPr>
              <w:t>Vrijgesteld</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&lt;96</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&lt;96</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&lt;92</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&lt;89</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&lt;86</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&lt;83</w:t>
            </w:r>
          </w:p>
        </w:tc>
      </w:tr>
      <w:tr w:rsidRPr="005138AB" w:rsidR="005138AB" w:rsidTr="005138AB">
        <w:tc>
          <w:tcPr>
            <w:cnfStyle w:val="001000000000"/>
            <w:tcW w:w="1316" w:type="dxa"/>
            <w:vAlign w:val="bottom"/>
          </w:tcPr>
          <w:p w:rsidRPr="00166F2A" w:rsidR="005138AB" w:rsidP="005138AB" w:rsidRDefault="005138AB">
            <w:pPr>
              <w:spacing w:after="0"/>
              <w:rPr>
                <w:b w:val="0"/>
                <w:sz w:val="16"/>
                <w:szCs w:val="16"/>
              </w:rPr>
            </w:pPr>
          </w:p>
          <w:p w:rsidRPr="00166F2A" w:rsidR="005138AB" w:rsidP="005138AB" w:rsidRDefault="005138AB">
            <w:pPr>
              <w:spacing w:after="0"/>
              <w:rPr>
                <w:b w:val="0"/>
                <w:sz w:val="16"/>
                <w:szCs w:val="16"/>
              </w:rPr>
            </w:pPr>
            <w:r w:rsidRPr="00166F2A">
              <w:rPr>
                <w:b w:val="0"/>
                <w:sz w:val="16"/>
                <w:szCs w:val="16"/>
              </w:rPr>
              <w:t>1e schijf</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96-155</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96-155</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92-143</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89-131</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86-120</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83-110</w:t>
            </w:r>
          </w:p>
        </w:tc>
      </w:tr>
      <w:tr w:rsidRPr="005138AB" w:rsidR="005138AB" w:rsidTr="005138AB">
        <w:trPr>
          <w:cnfStyle w:val="000000100000"/>
        </w:trPr>
        <w:tc>
          <w:tcPr>
            <w:cnfStyle w:val="001000000000"/>
            <w:tcW w:w="1316" w:type="dxa"/>
            <w:vAlign w:val="bottom"/>
          </w:tcPr>
          <w:p w:rsidRPr="00166F2A" w:rsidR="005138AB" w:rsidP="005138AB" w:rsidRDefault="005138AB">
            <w:pPr>
              <w:spacing w:after="0"/>
              <w:rPr>
                <w:b w:val="0"/>
                <w:sz w:val="16"/>
                <w:szCs w:val="16"/>
              </w:rPr>
            </w:pPr>
          </w:p>
          <w:p w:rsidRPr="00166F2A" w:rsidR="005138AB" w:rsidP="005138AB" w:rsidRDefault="005138AB">
            <w:pPr>
              <w:spacing w:after="0"/>
              <w:rPr>
                <w:b w:val="0"/>
                <w:sz w:val="16"/>
                <w:szCs w:val="16"/>
              </w:rPr>
            </w:pPr>
            <w:r w:rsidRPr="00166F2A">
              <w:rPr>
                <w:b w:val="0"/>
                <w:sz w:val="16"/>
                <w:szCs w:val="16"/>
              </w:rPr>
              <w:t>2e schijf</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156-232</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156-232</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144-211</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132-192</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121-175</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111-160</w:t>
            </w:r>
          </w:p>
        </w:tc>
      </w:tr>
      <w:tr w:rsidRPr="005138AB" w:rsidR="005138AB" w:rsidTr="005138AB">
        <w:tc>
          <w:tcPr>
            <w:cnfStyle w:val="001000000000"/>
            <w:tcW w:w="1316" w:type="dxa"/>
            <w:vAlign w:val="bottom"/>
          </w:tcPr>
          <w:p w:rsidRPr="00166F2A" w:rsidR="005138AB" w:rsidP="005138AB" w:rsidRDefault="005138AB">
            <w:pPr>
              <w:spacing w:after="0"/>
              <w:rPr>
                <w:b w:val="0"/>
                <w:sz w:val="16"/>
                <w:szCs w:val="16"/>
              </w:rPr>
            </w:pPr>
          </w:p>
          <w:p w:rsidRPr="00166F2A" w:rsidR="005138AB" w:rsidP="005138AB" w:rsidRDefault="005138AB">
            <w:pPr>
              <w:spacing w:after="0"/>
              <w:rPr>
                <w:b w:val="0"/>
                <w:sz w:val="16"/>
                <w:szCs w:val="16"/>
              </w:rPr>
            </w:pPr>
            <w:r w:rsidRPr="00166F2A">
              <w:rPr>
                <w:b w:val="0"/>
                <w:sz w:val="16"/>
                <w:szCs w:val="16"/>
              </w:rPr>
              <w:t>3</w:t>
            </w:r>
            <w:r w:rsidRPr="00166F2A">
              <w:rPr>
                <w:b w:val="0"/>
                <w:sz w:val="16"/>
                <w:szCs w:val="16"/>
                <w:vertAlign w:val="superscript"/>
              </w:rPr>
              <w:t>e</w:t>
            </w:r>
            <w:r w:rsidRPr="00166F2A">
              <w:rPr>
                <w:b w:val="0"/>
                <w:sz w:val="16"/>
                <w:szCs w:val="16"/>
              </w:rPr>
              <w:t xml:space="preserve"> schijf</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&gt;232</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&gt;232</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&gt;211</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&gt;192</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&gt;175</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&gt;160</w:t>
            </w:r>
          </w:p>
        </w:tc>
      </w:tr>
    </w:tbl>
    <w:p w:rsidRPr="005138AB" w:rsidR="005138AB" w:rsidP="005138AB" w:rsidRDefault="005138AB">
      <w:pPr>
        <w:spacing w:after="0"/>
        <w:rPr>
          <w:sz w:val="16"/>
          <w:szCs w:val="16"/>
        </w:rPr>
      </w:pPr>
      <w:r w:rsidRPr="005138AB">
        <w:rPr>
          <w:sz w:val="16"/>
          <w:szCs w:val="16"/>
        </w:rPr>
        <w:t>Bron: Ecorys CARbonTAX model</w:t>
      </w:r>
    </w:p>
    <w:p w:rsidR="005138AB" w:rsidP="005138AB" w:rsidRDefault="005138AB">
      <w:pPr>
        <w:spacing w:after="0"/>
        <w:rPr>
          <w:sz w:val="18"/>
          <w:szCs w:val="18"/>
        </w:rPr>
      </w:pPr>
    </w:p>
    <w:p w:rsidRPr="0012427A" w:rsidR="008D1BFF" w:rsidP="00BD2C77" w:rsidRDefault="008D1BFF">
      <w:pPr>
        <w:spacing w:afterLines="100"/>
        <w:rPr>
          <w:sz w:val="18"/>
          <w:szCs w:val="18"/>
        </w:rPr>
      </w:pPr>
      <w:r w:rsidRPr="0012427A">
        <w:rPr>
          <w:sz w:val="18"/>
          <w:szCs w:val="18"/>
        </w:rPr>
        <w:t xml:space="preserve">Zoals uit </w:t>
      </w:r>
      <w:r>
        <w:rPr>
          <w:sz w:val="18"/>
          <w:szCs w:val="18"/>
        </w:rPr>
        <w:t xml:space="preserve">de tabellen </w:t>
      </w:r>
      <w:r w:rsidR="0045007E">
        <w:rPr>
          <w:sz w:val="18"/>
          <w:szCs w:val="18"/>
        </w:rPr>
        <w:t xml:space="preserve">3 en 4 </w:t>
      </w:r>
      <w:r>
        <w:rPr>
          <w:sz w:val="18"/>
          <w:szCs w:val="18"/>
        </w:rPr>
        <w:t xml:space="preserve">blijkt zijn in 2015 alle grenzen en schijflengtes voor benzine en diesel gelijk. In onderstaande tabel </w:t>
      </w:r>
      <w:r w:rsidR="009E75A4">
        <w:rPr>
          <w:sz w:val="18"/>
          <w:szCs w:val="18"/>
        </w:rPr>
        <w:t xml:space="preserve">5 </w:t>
      </w:r>
      <w:r>
        <w:rPr>
          <w:sz w:val="18"/>
          <w:szCs w:val="18"/>
        </w:rPr>
        <w:t>wordt het verloop van de tarieven naar 2015 weergeven. Ook hier zijn de tarieven in 2010 en 2011 de voor die jaren geldende tarieven</w:t>
      </w:r>
      <w:r w:rsidR="00D47557">
        <w:rPr>
          <w:sz w:val="18"/>
          <w:szCs w:val="18"/>
        </w:rPr>
        <w:t xml:space="preserve">; die </w:t>
      </w:r>
      <w:r>
        <w:rPr>
          <w:sz w:val="18"/>
          <w:szCs w:val="18"/>
        </w:rPr>
        <w:t xml:space="preserve">voor 2012 tot en met 2015 </w:t>
      </w:r>
      <w:r w:rsidR="00D47557">
        <w:rPr>
          <w:sz w:val="18"/>
          <w:szCs w:val="18"/>
        </w:rPr>
        <w:t xml:space="preserve">zijn </w:t>
      </w:r>
      <w:r>
        <w:rPr>
          <w:sz w:val="18"/>
          <w:szCs w:val="18"/>
        </w:rPr>
        <w:t xml:space="preserve">de door Ecorys voorgestelde tarieven. </w:t>
      </w:r>
    </w:p>
    <w:p w:rsidRPr="005138AB" w:rsidR="005138AB" w:rsidP="005138AB" w:rsidRDefault="004364A3">
      <w:pPr>
        <w:spacing w:after="0"/>
        <w:rPr>
          <w:i/>
          <w:sz w:val="16"/>
          <w:szCs w:val="16"/>
        </w:rPr>
      </w:pPr>
      <w:r>
        <w:rPr>
          <w:b/>
          <w:i/>
          <w:sz w:val="16"/>
          <w:szCs w:val="16"/>
        </w:rPr>
        <w:t xml:space="preserve">Tabel 5: </w:t>
      </w:r>
      <w:r w:rsidRPr="005138AB" w:rsidR="005138AB">
        <w:rPr>
          <w:b/>
          <w:i/>
          <w:sz w:val="16"/>
          <w:szCs w:val="16"/>
        </w:rPr>
        <w:t>Tariefstelling BPM in € per gram CO</w:t>
      </w:r>
      <w:r w:rsidRPr="005138AB" w:rsidR="005138AB">
        <w:rPr>
          <w:b/>
          <w:i/>
          <w:sz w:val="16"/>
          <w:szCs w:val="16"/>
          <w:vertAlign w:val="subscript"/>
        </w:rPr>
        <w:t>2</w:t>
      </w:r>
      <w:r w:rsidRPr="005138AB" w:rsidR="005138AB">
        <w:rPr>
          <w:b/>
          <w:i/>
          <w:sz w:val="16"/>
          <w:szCs w:val="16"/>
        </w:rPr>
        <w:t xml:space="preserve"> per schijf, 2010-2015</w:t>
      </w:r>
    </w:p>
    <w:tbl>
      <w:tblPr>
        <w:tblStyle w:val="Lichtearcering5"/>
        <w:tblW w:w="9212" w:type="dxa"/>
        <w:tblLook w:val="04A0"/>
      </w:tblPr>
      <w:tblGrid>
        <w:gridCol w:w="1316"/>
        <w:gridCol w:w="1316"/>
        <w:gridCol w:w="1316"/>
        <w:gridCol w:w="1316"/>
        <w:gridCol w:w="1316"/>
        <w:gridCol w:w="1316"/>
        <w:gridCol w:w="1316"/>
      </w:tblGrid>
      <w:tr w:rsidRPr="005138AB" w:rsidR="005138AB" w:rsidTr="005138AB">
        <w:trPr>
          <w:cnfStyle w:val="100000000000"/>
        </w:trPr>
        <w:tc>
          <w:tcPr>
            <w:cnfStyle w:val="001000000000"/>
            <w:tcW w:w="1316" w:type="dxa"/>
          </w:tcPr>
          <w:p w:rsidRPr="005138AB" w:rsidR="005138AB" w:rsidP="005138AB" w:rsidRDefault="005138AB">
            <w:pPr>
              <w:spacing w:after="0"/>
              <w:rPr>
                <w:sz w:val="16"/>
                <w:szCs w:val="16"/>
              </w:rPr>
            </w:pPr>
          </w:p>
        </w:tc>
        <w:tc>
          <w:tcPr>
            <w:tcW w:w="1316" w:type="dxa"/>
            <w:vAlign w:val="bottom"/>
          </w:tcPr>
          <w:p w:rsidRPr="005138AB" w:rsidR="005138AB" w:rsidP="005138AB" w:rsidRDefault="005138AB">
            <w:pPr>
              <w:spacing w:after="0"/>
              <w:cnfStyle w:val="100000000000"/>
              <w:rPr>
                <w:sz w:val="16"/>
                <w:szCs w:val="16"/>
              </w:rPr>
            </w:pPr>
            <w:r w:rsidRPr="005138AB">
              <w:rPr>
                <w:sz w:val="16"/>
                <w:szCs w:val="16"/>
              </w:rPr>
              <w:t>2010</w:t>
            </w:r>
          </w:p>
        </w:tc>
        <w:tc>
          <w:tcPr>
            <w:tcW w:w="1316" w:type="dxa"/>
            <w:vAlign w:val="bottom"/>
          </w:tcPr>
          <w:p w:rsidRPr="005138AB" w:rsidR="005138AB" w:rsidP="005138AB" w:rsidRDefault="005138AB">
            <w:pPr>
              <w:spacing w:after="0"/>
              <w:cnfStyle w:val="100000000000"/>
              <w:rPr>
                <w:sz w:val="16"/>
                <w:szCs w:val="16"/>
              </w:rPr>
            </w:pPr>
            <w:r w:rsidRPr="005138AB">
              <w:rPr>
                <w:sz w:val="16"/>
                <w:szCs w:val="16"/>
              </w:rPr>
              <w:t>2011</w:t>
            </w:r>
          </w:p>
        </w:tc>
        <w:tc>
          <w:tcPr>
            <w:tcW w:w="1316" w:type="dxa"/>
            <w:vAlign w:val="bottom"/>
          </w:tcPr>
          <w:p w:rsidRPr="005138AB" w:rsidR="005138AB" w:rsidP="005138AB" w:rsidRDefault="005138AB">
            <w:pPr>
              <w:spacing w:after="0"/>
              <w:cnfStyle w:val="100000000000"/>
              <w:rPr>
                <w:sz w:val="16"/>
                <w:szCs w:val="16"/>
              </w:rPr>
            </w:pPr>
            <w:r w:rsidRPr="005138AB">
              <w:rPr>
                <w:sz w:val="16"/>
                <w:szCs w:val="16"/>
              </w:rPr>
              <w:t>2012</w:t>
            </w:r>
          </w:p>
        </w:tc>
        <w:tc>
          <w:tcPr>
            <w:tcW w:w="1316" w:type="dxa"/>
            <w:vAlign w:val="bottom"/>
          </w:tcPr>
          <w:p w:rsidRPr="005138AB" w:rsidR="005138AB" w:rsidP="005138AB" w:rsidRDefault="005138AB">
            <w:pPr>
              <w:spacing w:after="0"/>
              <w:cnfStyle w:val="100000000000"/>
              <w:rPr>
                <w:sz w:val="16"/>
                <w:szCs w:val="16"/>
              </w:rPr>
            </w:pPr>
            <w:r w:rsidRPr="005138AB">
              <w:rPr>
                <w:sz w:val="16"/>
                <w:szCs w:val="16"/>
              </w:rPr>
              <w:t>2013</w:t>
            </w:r>
          </w:p>
        </w:tc>
        <w:tc>
          <w:tcPr>
            <w:tcW w:w="1316" w:type="dxa"/>
            <w:vAlign w:val="bottom"/>
          </w:tcPr>
          <w:p w:rsidRPr="005138AB" w:rsidR="005138AB" w:rsidP="005138AB" w:rsidRDefault="005138AB">
            <w:pPr>
              <w:spacing w:after="0"/>
              <w:cnfStyle w:val="100000000000"/>
              <w:rPr>
                <w:sz w:val="16"/>
                <w:szCs w:val="16"/>
              </w:rPr>
            </w:pPr>
            <w:r w:rsidRPr="005138AB">
              <w:rPr>
                <w:sz w:val="16"/>
                <w:szCs w:val="16"/>
              </w:rPr>
              <w:t>2014</w:t>
            </w:r>
          </w:p>
        </w:tc>
        <w:tc>
          <w:tcPr>
            <w:tcW w:w="1316" w:type="dxa"/>
            <w:vAlign w:val="bottom"/>
          </w:tcPr>
          <w:p w:rsidRPr="005138AB" w:rsidR="005138AB" w:rsidP="005138AB" w:rsidRDefault="005138AB">
            <w:pPr>
              <w:spacing w:after="0"/>
              <w:cnfStyle w:val="100000000000"/>
              <w:rPr>
                <w:sz w:val="16"/>
                <w:szCs w:val="16"/>
              </w:rPr>
            </w:pPr>
            <w:r w:rsidRPr="005138AB">
              <w:rPr>
                <w:sz w:val="16"/>
                <w:szCs w:val="16"/>
              </w:rPr>
              <w:t>2015</w:t>
            </w:r>
          </w:p>
        </w:tc>
      </w:tr>
      <w:tr w:rsidRPr="005138AB" w:rsidR="005138AB" w:rsidTr="005138AB">
        <w:trPr>
          <w:cnfStyle w:val="000000100000"/>
        </w:trPr>
        <w:tc>
          <w:tcPr>
            <w:cnfStyle w:val="001000000000"/>
            <w:tcW w:w="1316" w:type="dxa"/>
            <w:vAlign w:val="bottom"/>
          </w:tcPr>
          <w:p w:rsidRPr="00166F2A" w:rsidR="005138AB" w:rsidP="005138AB" w:rsidRDefault="005138AB">
            <w:pPr>
              <w:spacing w:after="0"/>
              <w:rPr>
                <w:b w:val="0"/>
                <w:sz w:val="16"/>
                <w:szCs w:val="16"/>
              </w:rPr>
            </w:pPr>
          </w:p>
          <w:p w:rsidRPr="00166F2A" w:rsidR="005138AB" w:rsidP="005138AB" w:rsidRDefault="005138AB">
            <w:pPr>
              <w:spacing w:after="0"/>
              <w:rPr>
                <w:b w:val="0"/>
                <w:sz w:val="16"/>
                <w:szCs w:val="16"/>
              </w:rPr>
            </w:pPr>
            <w:r w:rsidRPr="00166F2A">
              <w:rPr>
                <w:b w:val="0"/>
                <w:sz w:val="16"/>
                <w:szCs w:val="16"/>
              </w:rPr>
              <w:t>Vrijgesteld</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0</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0</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0</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0</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0</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0</w:t>
            </w:r>
          </w:p>
        </w:tc>
      </w:tr>
      <w:tr w:rsidRPr="005138AB" w:rsidR="005138AB" w:rsidTr="005138AB">
        <w:tc>
          <w:tcPr>
            <w:cnfStyle w:val="001000000000"/>
            <w:tcW w:w="1316" w:type="dxa"/>
            <w:vAlign w:val="bottom"/>
          </w:tcPr>
          <w:p w:rsidRPr="00166F2A" w:rsidR="005138AB" w:rsidP="005138AB" w:rsidRDefault="005138AB">
            <w:pPr>
              <w:spacing w:after="0"/>
              <w:rPr>
                <w:b w:val="0"/>
                <w:sz w:val="16"/>
                <w:szCs w:val="16"/>
              </w:rPr>
            </w:pPr>
          </w:p>
          <w:p w:rsidRPr="00166F2A" w:rsidR="005138AB" w:rsidP="005138AB" w:rsidRDefault="005138AB">
            <w:pPr>
              <w:spacing w:after="0"/>
              <w:rPr>
                <w:b w:val="0"/>
                <w:sz w:val="16"/>
                <w:szCs w:val="16"/>
              </w:rPr>
            </w:pPr>
            <w:r w:rsidRPr="00166F2A">
              <w:rPr>
                <w:b w:val="0"/>
                <w:sz w:val="16"/>
                <w:szCs w:val="16"/>
              </w:rPr>
              <w:t>1e schijf</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34</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61</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88</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107</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90</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81</w:t>
            </w:r>
          </w:p>
        </w:tc>
      </w:tr>
      <w:tr w:rsidRPr="005138AB" w:rsidR="005138AB" w:rsidTr="005138AB">
        <w:trPr>
          <w:cnfStyle w:val="000000100000"/>
        </w:trPr>
        <w:tc>
          <w:tcPr>
            <w:cnfStyle w:val="001000000000"/>
            <w:tcW w:w="1316" w:type="dxa"/>
            <w:vAlign w:val="bottom"/>
          </w:tcPr>
          <w:p w:rsidRPr="00166F2A" w:rsidR="005138AB" w:rsidP="005138AB" w:rsidRDefault="005138AB">
            <w:pPr>
              <w:spacing w:after="0"/>
              <w:rPr>
                <w:b w:val="0"/>
                <w:sz w:val="16"/>
                <w:szCs w:val="16"/>
              </w:rPr>
            </w:pPr>
          </w:p>
          <w:p w:rsidRPr="00166F2A" w:rsidR="005138AB" w:rsidP="005138AB" w:rsidRDefault="005138AB">
            <w:pPr>
              <w:spacing w:after="0"/>
              <w:rPr>
                <w:b w:val="0"/>
                <w:sz w:val="16"/>
                <w:szCs w:val="16"/>
              </w:rPr>
            </w:pPr>
            <w:r w:rsidRPr="00166F2A">
              <w:rPr>
                <w:b w:val="0"/>
                <w:sz w:val="16"/>
                <w:szCs w:val="16"/>
              </w:rPr>
              <w:t>2e schijf</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126</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202</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106</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128</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108</w:t>
            </w:r>
          </w:p>
        </w:tc>
        <w:tc>
          <w:tcPr>
            <w:tcW w:w="1316" w:type="dxa"/>
            <w:vAlign w:val="bottom"/>
          </w:tcPr>
          <w:p w:rsidRPr="005138AB" w:rsidR="005138AB" w:rsidP="005138AB" w:rsidRDefault="005138AB">
            <w:pPr>
              <w:spacing w:after="0"/>
              <w:cnfStyle w:val="000000100000"/>
              <w:rPr>
                <w:sz w:val="16"/>
                <w:szCs w:val="16"/>
              </w:rPr>
            </w:pPr>
            <w:r w:rsidRPr="005138AB">
              <w:rPr>
                <w:sz w:val="16"/>
                <w:szCs w:val="16"/>
              </w:rPr>
              <w:t>97</w:t>
            </w:r>
          </w:p>
        </w:tc>
      </w:tr>
      <w:tr w:rsidRPr="005138AB" w:rsidR="005138AB" w:rsidTr="005138AB">
        <w:tc>
          <w:tcPr>
            <w:cnfStyle w:val="001000000000"/>
            <w:tcW w:w="1316" w:type="dxa"/>
          </w:tcPr>
          <w:p w:rsidRPr="00166F2A" w:rsidR="005138AB" w:rsidP="005138AB" w:rsidRDefault="005138AB">
            <w:pPr>
              <w:spacing w:after="0"/>
              <w:rPr>
                <w:b w:val="0"/>
                <w:sz w:val="16"/>
                <w:szCs w:val="16"/>
              </w:rPr>
            </w:pPr>
          </w:p>
          <w:p w:rsidRPr="00166F2A" w:rsidR="005138AB" w:rsidP="005138AB" w:rsidRDefault="005138AB">
            <w:pPr>
              <w:spacing w:after="0"/>
              <w:rPr>
                <w:b w:val="0"/>
                <w:sz w:val="16"/>
                <w:szCs w:val="16"/>
              </w:rPr>
            </w:pPr>
            <w:r w:rsidRPr="00166F2A">
              <w:rPr>
                <w:b w:val="0"/>
                <w:sz w:val="16"/>
                <w:szCs w:val="16"/>
              </w:rPr>
              <w:t>3e schijf</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288</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471</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194</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235</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198</w:t>
            </w:r>
          </w:p>
        </w:tc>
        <w:tc>
          <w:tcPr>
            <w:tcW w:w="1316" w:type="dxa"/>
            <w:vAlign w:val="bottom"/>
          </w:tcPr>
          <w:p w:rsidRPr="005138AB" w:rsidR="005138AB" w:rsidP="005138AB" w:rsidRDefault="005138AB">
            <w:pPr>
              <w:spacing w:after="0"/>
              <w:cnfStyle w:val="000000000000"/>
              <w:rPr>
                <w:sz w:val="16"/>
                <w:szCs w:val="16"/>
              </w:rPr>
            </w:pPr>
            <w:r w:rsidRPr="005138AB">
              <w:rPr>
                <w:sz w:val="16"/>
                <w:szCs w:val="16"/>
              </w:rPr>
              <w:t>178</w:t>
            </w:r>
          </w:p>
        </w:tc>
      </w:tr>
    </w:tbl>
    <w:p w:rsidRPr="005138AB" w:rsidR="005138AB" w:rsidP="005138AB" w:rsidRDefault="005138AB">
      <w:pPr>
        <w:spacing w:after="0"/>
        <w:rPr>
          <w:sz w:val="16"/>
          <w:szCs w:val="16"/>
        </w:rPr>
      </w:pPr>
      <w:r w:rsidRPr="005138AB">
        <w:rPr>
          <w:sz w:val="16"/>
          <w:szCs w:val="16"/>
        </w:rPr>
        <w:t>Bron: Ecorys CARbonTAX-model</w:t>
      </w:r>
    </w:p>
    <w:p w:rsidR="002A30DC" w:rsidRDefault="002A30DC">
      <w:pPr>
        <w:spacing w:after="0"/>
        <w:rPr>
          <w:sz w:val="18"/>
          <w:szCs w:val="18"/>
        </w:rPr>
      </w:pPr>
    </w:p>
    <w:p w:rsidR="002A30DC" w:rsidRDefault="00477308">
      <w:pPr>
        <w:spacing w:after="0"/>
        <w:rPr>
          <w:sz w:val="18"/>
          <w:szCs w:val="18"/>
        </w:rPr>
      </w:pPr>
      <w:r w:rsidRPr="00477308">
        <w:rPr>
          <w:sz w:val="18"/>
          <w:szCs w:val="18"/>
        </w:rPr>
        <w:t>Om te compenseren voor het accijnsverschil tussen de brandstoffen benzine en diesel (lagere accijns voor diesel) geldt ingevolge de huidige wetgeving zowel een dieseltoeslag in de MRB als in de BPM. De dieseltoeslag in de BPM is in beginsel een vaste dieseltoeslag. Het BPM-verschil  tussen een benzine- en dieselauto, dat voortkomt uit het feit dat de CO</w:t>
      </w:r>
      <w:r w:rsidRPr="00A26936">
        <w:rPr>
          <w:sz w:val="18"/>
          <w:szCs w:val="18"/>
          <w:vertAlign w:val="subscript"/>
        </w:rPr>
        <w:t>2</w:t>
      </w:r>
      <w:r w:rsidRPr="00477308">
        <w:rPr>
          <w:sz w:val="18"/>
          <w:szCs w:val="18"/>
        </w:rPr>
        <w:t>-schijven voor diesel bij lagere CO</w:t>
      </w:r>
      <w:r w:rsidRPr="003E55F8">
        <w:rPr>
          <w:sz w:val="18"/>
          <w:szCs w:val="18"/>
          <w:vertAlign w:val="subscript"/>
        </w:rPr>
        <w:t>2</w:t>
      </w:r>
      <w:r w:rsidRPr="00477308">
        <w:rPr>
          <w:sz w:val="18"/>
          <w:szCs w:val="18"/>
        </w:rPr>
        <w:t>-grenzen ingaan dan de CO</w:t>
      </w:r>
      <w:r w:rsidRPr="003E55F8">
        <w:rPr>
          <w:sz w:val="18"/>
          <w:szCs w:val="18"/>
          <w:vertAlign w:val="subscript"/>
        </w:rPr>
        <w:t>2</w:t>
      </w:r>
      <w:r w:rsidRPr="00477308">
        <w:rPr>
          <w:sz w:val="18"/>
          <w:szCs w:val="18"/>
        </w:rPr>
        <w:t>-schijven voor benzine kan echter ook als een dieseltoeslag in de BPM worden beschouwd. Hierdoor neemt afhankelijk van de CO</w:t>
      </w:r>
      <w:r w:rsidRPr="00A26936">
        <w:rPr>
          <w:sz w:val="18"/>
          <w:szCs w:val="18"/>
          <w:vertAlign w:val="subscript"/>
        </w:rPr>
        <w:t>2</w:t>
      </w:r>
      <w:r w:rsidRPr="00477308">
        <w:rPr>
          <w:sz w:val="18"/>
          <w:szCs w:val="18"/>
        </w:rPr>
        <w:t>-uitstoot het verschil tussen de BPM op benzine en diesel sprongsgewijs toe. Dit wordt voor 2013 weergegeven in grafiek 3. Om beter aan te sluiten bij het verbruik van de dieselauto en dus het financiële voordeel als gevolg van de lagere accijns heeft Ecorys het voorstel opgenomen om de BPM dieseltoeslag geleidelijk met de CO</w:t>
      </w:r>
      <w:r w:rsidRPr="00477308">
        <w:rPr>
          <w:sz w:val="18"/>
          <w:szCs w:val="18"/>
          <w:vertAlign w:val="subscript"/>
        </w:rPr>
        <w:t>2</w:t>
      </w:r>
      <w:r w:rsidRPr="00477308">
        <w:rPr>
          <w:sz w:val="18"/>
          <w:szCs w:val="18"/>
        </w:rPr>
        <w:t>-uitstoot te laten toenemen. Daarmee wordt de huidige, sprongsgewijze toeslag vervangen door een lineair van de CO</w:t>
      </w:r>
      <w:r w:rsidRPr="00477308">
        <w:rPr>
          <w:sz w:val="18"/>
          <w:szCs w:val="18"/>
          <w:vertAlign w:val="subscript"/>
        </w:rPr>
        <w:t>2</w:t>
      </w:r>
      <w:r w:rsidRPr="00477308">
        <w:rPr>
          <w:sz w:val="18"/>
          <w:szCs w:val="18"/>
        </w:rPr>
        <w:t xml:space="preserve">-uitstoot afhankelijke dieseltoeslag. </w:t>
      </w:r>
      <w:r w:rsidRPr="00954E12" w:rsidR="008D1BFF">
        <w:rPr>
          <w:sz w:val="18"/>
          <w:szCs w:val="18"/>
        </w:rPr>
        <w:t>Een dergelijke toeslag doet meer recht aan de achtergrond van de toeslag, namelijk het compenseren van het accijnsvoordeel dat immers toeneemt naarmate de auto meer verbruikt en dus een hogere CO</w:t>
      </w:r>
      <w:r w:rsidRPr="00954E12" w:rsidR="008D1BFF">
        <w:rPr>
          <w:sz w:val="18"/>
          <w:szCs w:val="18"/>
          <w:vertAlign w:val="subscript"/>
        </w:rPr>
        <w:t>2</w:t>
      </w:r>
      <w:r w:rsidRPr="00954E12" w:rsidR="008D1BFF">
        <w:rPr>
          <w:sz w:val="18"/>
          <w:szCs w:val="18"/>
        </w:rPr>
        <w:t>-uitstoot kent. Deze lineair oplopende dieseltoeslag start bij een CO</w:t>
      </w:r>
      <w:r w:rsidRPr="00954E12" w:rsidR="008D1BFF">
        <w:rPr>
          <w:sz w:val="18"/>
          <w:szCs w:val="18"/>
          <w:vertAlign w:val="subscript"/>
        </w:rPr>
        <w:t>2</w:t>
      </w:r>
      <w:r w:rsidRPr="00954E12" w:rsidR="008D1BFF">
        <w:rPr>
          <w:sz w:val="18"/>
          <w:szCs w:val="18"/>
        </w:rPr>
        <w:t>-uitstoot van 70 gr/km. Dit houdt in dat een overigens vrijgestelde auto met een uitstoot van 82 gr/</w:t>
      </w:r>
      <w:r w:rsidR="008D1BFF">
        <w:rPr>
          <w:sz w:val="18"/>
          <w:szCs w:val="18"/>
        </w:rPr>
        <w:t>k</w:t>
      </w:r>
      <w:r w:rsidRPr="00954E12" w:rsidR="008D1BFF">
        <w:rPr>
          <w:sz w:val="18"/>
          <w:szCs w:val="18"/>
        </w:rPr>
        <w:t>m (2015) wel een dieseltoeslag gaat betalen overeenkomstig zijn (lagere) CO</w:t>
      </w:r>
      <w:r w:rsidRPr="00954E12" w:rsidR="008D1BFF">
        <w:rPr>
          <w:sz w:val="18"/>
          <w:szCs w:val="18"/>
          <w:vertAlign w:val="subscript"/>
        </w:rPr>
        <w:t>2</w:t>
      </w:r>
      <w:r w:rsidRPr="00954E12" w:rsidR="008D1BFF">
        <w:rPr>
          <w:sz w:val="18"/>
          <w:szCs w:val="18"/>
        </w:rPr>
        <w:t>-uitstoot. Het tarief per gram CO</w:t>
      </w:r>
      <w:r w:rsidRPr="00954E12" w:rsidR="008D1BFF">
        <w:rPr>
          <w:sz w:val="18"/>
          <w:szCs w:val="18"/>
          <w:vertAlign w:val="subscript"/>
        </w:rPr>
        <w:t>2</w:t>
      </w:r>
      <w:r w:rsidRPr="00954E12" w:rsidR="008D1BFF">
        <w:rPr>
          <w:sz w:val="18"/>
          <w:szCs w:val="18"/>
        </w:rPr>
        <w:t xml:space="preserve">-uitstoot loopt geleidelijk op van € 40 in 2012 tot € 80 in 2015. </w:t>
      </w:r>
      <w:r w:rsidR="0045007E">
        <w:rPr>
          <w:sz w:val="18"/>
          <w:szCs w:val="18"/>
        </w:rPr>
        <w:t xml:space="preserve">De hierna opgenomen </w:t>
      </w:r>
      <w:r w:rsidRPr="00954E12" w:rsidR="008D1BFF">
        <w:rPr>
          <w:sz w:val="18"/>
          <w:szCs w:val="18"/>
        </w:rPr>
        <w:t xml:space="preserve">grafiek </w:t>
      </w:r>
      <w:r w:rsidR="0045007E">
        <w:rPr>
          <w:sz w:val="18"/>
          <w:szCs w:val="18"/>
        </w:rPr>
        <w:t xml:space="preserve">3 </w:t>
      </w:r>
      <w:r w:rsidRPr="00954E12" w:rsidR="008D1BFF">
        <w:rPr>
          <w:sz w:val="18"/>
          <w:szCs w:val="18"/>
        </w:rPr>
        <w:t xml:space="preserve">laat het verschil in BPM zien </w:t>
      </w:r>
      <w:r w:rsidRPr="00954E12" w:rsidR="008D1BFF">
        <w:rPr>
          <w:sz w:val="18"/>
          <w:szCs w:val="18"/>
        </w:rPr>
        <w:lastRenderedPageBreak/>
        <w:t>tussen een benzineauto en een dieselauto voor zowel het huidige beleid, als het voorgestelde scenario.</w:t>
      </w:r>
    </w:p>
    <w:p w:rsidR="002A30DC" w:rsidRDefault="002A30DC">
      <w:pPr>
        <w:spacing w:after="0"/>
        <w:rPr>
          <w:sz w:val="18"/>
          <w:szCs w:val="18"/>
        </w:rPr>
      </w:pPr>
    </w:p>
    <w:p w:rsidRPr="004364A3" w:rsidR="008D1BFF" w:rsidP="00337116" w:rsidRDefault="004364A3">
      <w:pPr>
        <w:spacing w:after="0"/>
        <w:rPr>
          <w:b/>
          <w:i/>
          <w:sz w:val="16"/>
          <w:szCs w:val="16"/>
        </w:rPr>
      </w:pPr>
      <w:r w:rsidRPr="004364A3">
        <w:rPr>
          <w:b/>
          <w:i/>
          <w:sz w:val="16"/>
          <w:szCs w:val="16"/>
        </w:rPr>
        <w:t xml:space="preserve">Grafiek 3: </w:t>
      </w:r>
      <w:r w:rsidR="00A91F32">
        <w:rPr>
          <w:b/>
          <w:i/>
          <w:sz w:val="16"/>
          <w:szCs w:val="16"/>
        </w:rPr>
        <w:t xml:space="preserve">Voorstel dieseltoeslag </w:t>
      </w:r>
      <w:r w:rsidRPr="004364A3" w:rsidR="008D1BFF">
        <w:rPr>
          <w:b/>
          <w:i/>
          <w:sz w:val="16"/>
          <w:szCs w:val="16"/>
        </w:rPr>
        <w:t>in de BPM voor dieselauto’s in 2015</w:t>
      </w:r>
    </w:p>
    <w:p w:rsidR="00F02473" w:rsidP="008D1BFF" w:rsidRDefault="00F02473">
      <w:pPr>
        <w:spacing w:after="100"/>
        <w:rPr>
          <w:sz w:val="18"/>
          <w:szCs w:val="18"/>
        </w:rPr>
      </w:pPr>
    </w:p>
    <w:p w:rsidR="00F02473" w:rsidP="008D1BFF" w:rsidRDefault="002B795B">
      <w:pPr>
        <w:spacing w:after="100"/>
        <w:rPr>
          <w:sz w:val="18"/>
          <w:szCs w:val="18"/>
        </w:rPr>
      </w:pPr>
      <w:r>
        <w:rPr>
          <w:noProof/>
          <w:lang w:eastAsia="nl-NL"/>
        </w:rPr>
        <w:drawing>
          <wp:inline distT="0" distB="0" distL="0" distR="0">
            <wp:extent cx="4917057" cy="3678703"/>
            <wp:effectExtent l="0" t="0" r="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916985" cy="3678649"/>
                    </a:xfrm>
                    <a:prstGeom prst="rect">
                      <a:avLst/>
                    </a:prstGeom>
                    <a:noFill/>
                    <a:ln w="9525">
                      <a:noFill/>
                      <a:miter lim="800000"/>
                      <a:headEnd/>
                      <a:tailEnd/>
                    </a:ln>
                  </pic:spPr>
                </pic:pic>
              </a:graphicData>
            </a:graphic>
          </wp:inline>
        </w:drawing>
      </w:r>
    </w:p>
    <w:p w:rsidR="002A30DC" w:rsidRDefault="008D1BFF">
      <w:pPr>
        <w:spacing w:after="0"/>
        <w:rPr>
          <w:sz w:val="16"/>
          <w:szCs w:val="16"/>
        </w:rPr>
      </w:pPr>
      <w:r w:rsidRPr="00337116">
        <w:rPr>
          <w:sz w:val="16"/>
          <w:szCs w:val="16"/>
        </w:rPr>
        <w:t>Bron: Ecorys CARbonTAX-model.</w:t>
      </w:r>
    </w:p>
    <w:p w:rsidR="002A30DC" w:rsidRDefault="002A30DC">
      <w:pPr>
        <w:spacing w:after="0"/>
        <w:rPr>
          <w:sz w:val="18"/>
          <w:szCs w:val="18"/>
        </w:rPr>
      </w:pPr>
    </w:p>
    <w:p w:rsidR="002A30DC" w:rsidRDefault="008D1BFF">
      <w:pPr>
        <w:spacing w:after="0"/>
        <w:rPr>
          <w:sz w:val="18"/>
          <w:szCs w:val="18"/>
        </w:rPr>
      </w:pPr>
      <w:r>
        <w:rPr>
          <w:sz w:val="18"/>
          <w:szCs w:val="18"/>
        </w:rPr>
        <w:t xml:space="preserve">In het huidige scenario </w:t>
      </w:r>
      <w:r w:rsidRPr="00954E12">
        <w:rPr>
          <w:sz w:val="18"/>
          <w:szCs w:val="18"/>
        </w:rPr>
        <w:t xml:space="preserve">wijkt de </w:t>
      </w:r>
      <w:r w:rsidR="009E75A4">
        <w:rPr>
          <w:sz w:val="18"/>
          <w:szCs w:val="18"/>
        </w:rPr>
        <w:t xml:space="preserve">BPM </w:t>
      </w:r>
      <w:r w:rsidRPr="00954E12">
        <w:rPr>
          <w:sz w:val="18"/>
          <w:szCs w:val="18"/>
        </w:rPr>
        <w:t>van een benzineauto af van die van een dieselauto enerzijds door de vaste dieseltoeslag (€ 2400 vanaf 2013) en anderzijds door het verschil in schijfgrenzen</w:t>
      </w:r>
      <w:r w:rsidR="009C2E1C">
        <w:rPr>
          <w:sz w:val="18"/>
          <w:szCs w:val="18"/>
        </w:rPr>
        <w:t xml:space="preserve"> en de dienovereenkomstige tarieven</w:t>
      </w:r>
      <w:r w:rsidRPr="00954E12">
        <w:rPr>
          <w:sz w:val="18"/>
          <w:szCs w:val="18"/>
        </w:rPr>
        <w:t>. Zo wordt bij een benzineauto met een CO</w:t>
      </w:r>
      <w:r w:rsidRPr="00954E12">
        <w:rPr>
          <w:sz w:val="18"/>
          <w:szCs w:val="18"/>
          <w:vertAlign w:val="subscript"/>
        </w:rPr>
        <w:t>2</w:t>
      </w:r>
      <w:r w:rsidRPr="00954E12">
        <w:rPr>
          <w:sz w:val="18"/>
          <w:szCs w:val="18"/>
        </w:rPr>
        <w:t xml:space="preserve">-uitstoot van 120 gram de </w:t>
      </w:r>
      <w:r w:rsidR="009E75A4">
        <w:rPr>
          <w:sz w:val="18"/>
          <w:szCs w:val="18"/>
        </w:rPr>
        <w:t>BPM</w:t>
      </w:r>
      <w:r w:rsidRPr="00954E12">
        <w:rPr>
          <w:sz w:val="18"/>
          <w:szCs w:val="18"/>
        </w:rPr>
        <w:t xml:space="preserve"> berekend over 10 gram (namelijk het meerdere boven 110 gram), terwijl bij een dieselauto met dezelfde CO</w:t>
      </w:r>
      <w:r w:rsidRPr="00954E12">
        <w:rPr>
          <w:sz w:val="18"/>
          <w:szCs w:val="18"/>
          <w:vertAlign w:val="subscript"/>
        </w:rPr>
        <w:t>2</w:t>
      </w:r>
      <w:r w:rsidRPr="00954E12">
        <w:rPr>
          <w:sz w:val="18"/>
          <w:szCs w:val="18"/>
        </w:rPr>
        <w:t>-uitstoot het meerdere boven 95 gram belast wordt. Voorts is tussen 155 en 180 gram bij dieselauto’s het tarief 2</w:t>
      </w:r>
      <w:r w:rsidRPr="00954E12">
        <w:rPr>
          <w:sz w:val="18"/>
          <w:szCs w:val="18"/>
          <w:vertAlign w:val="superscript"/>
        </w:rPr>
        <w:t>de</w:t>
      </w:r>
      <w:r w:rsidRPr="00954E12">
        <w:rPr>
          <w:sz w:val="18"/>
          <w:szCs w:val="18"/>
        </w:rPr>
        <w:t xml:space="preserve"> schijf van toepassing, terwijl bij benzineauto’s nog het tarief 1</w:t>
      </w:r>
      <w:r w:rsidRPr="00954E12">
        <w:rPr>
          <w:sz w:val="18"/>
          <w:szCs w:val="18"/>
          <w:vertAlign w:val="superscript"/>
        </w:rPr>
        <w:t>ste</w:t>
      </w:r>
      <w:r w:rsidRPr="00954E12">
        <w:rPr>
          <w:sz w:val="18"/>
          <w:szCs w:val="18"/>
        </w:rPr>
        <w:t xml:space="preserve"> schijf van toepassing is. Het verschil in schijfgrenzen leidt er derhalve toe dat het verschil in </w:t>
      </w:r>
      <w:r w:rsidR="009E75A4">
        <w:rPr>
          <w:sz w:val="18"/>
          <w:szCs w:val="18"/>
        </w:rPr>
        <w:t>BPM</w:t>
      </w:r>
      <w:r w:rsidRPr="00954E12">
        <w:rPr>
          <w:sz w:val="18"/>
          <w:szCs w:val="18"/>
        </w:rPr>
        <w:t xml:space="preserve"> tussen benzine en diesel langzaam toeneemt tot e</w:t>
      </w:r>
      <w:r w:rsidR="00A26936">
        <w:rPr>
          <w:sz w:val="18"/>
          <w:szCs w:val="18"/>
        </w:rPr>
        <w:t>en maximum verschil van bijna € </w:t>
      </w:r>
      <w:r w:rsidRPr="00954E12">
        <w:rPr>
          <w:sz w:val="18"/>
          <w:szCs w:val="18"/>
        </w:rPr>
        <w:t>35.000 bij een CO</w:t>
      </w:r>
      <w:r w:rsidRPr="00954E12">
        <w:rPr>
          <w:sz w:val="18"/>
          <w:szCs w:val="18"/>
          <w:vertAlign w:val="subscript"/>
        </w:rPr>
        <w:t>2</w:t>
      </w:r>
      <w:r w:rsidRPr="00954E12">
        <w:rPr>
          <w:sz w:val="18"/>
          <w:szCs w:val="18"/>
        </w:rPr>
        <w:t>-uitstoot van 270 gram. Deze € 35</w:t>
      </w:r>
      <w:r>
        <w:rPr>
          <w:sz w:val="18"/>
          <w:szCs w:val="18"/>
        </w:rPr>
        <w:t>.</w:t>
      </w:r>
      <w:r w:rsidRPr="00954E12">
        <w:rPr>
          <w:sz w:val="18"/>
          <w:szCs w:val="18"/>
        </w:rPr>
        <w:t>000 hogere BPM voor de dieselauto bij overigens gelijke CO</w:t>
      </w:r>
      <w:r w:rsidRPr="00954E12">
        <w:rPr>
          <w:sz w:val="18"/>
          <w:szCs w:val="18"/>
          <w:vertAlign w:val="subscript"/>
        </w:rPr>
        <w:t>2</w:t>
      </w:r>
      <w:r w:rsidRPr="00954E12">
        <w:rPr>
          <w:sz w:val="18"/>
          <w:szCs w:val="18"/>
        </w:rPr>
        <w:t>-uitstoot is dus een resultante van de andere schijflengtes voor diesel en de vaste dieseltoeslag van € 2</w:t>
      </w:r>
      <w:r>
        <w:rPr>
          <w:sz w:val="18"/>
          <w:szCs w:val="18"/>
        </w:rPr>
        <w:t>.</w:t>
      </w:r>
      <w:r w:rsidRPr="00954E12">
        <w:rPr>
          <w:sz w:val="18"/>
          <w:szCs w:val="18"/>
        </w:rPr>
        <w:t xml:space="preserve">400 (in 2013). </w:t>
      </w:r>
      <w:r>
        <w:rPr>
          <w:sz w:val="18"/>
          <w:szCs w:val="18"/>
        </w:rPr>
        <w:t>De extra BPM voor dieselauto</w:t>
      </w:r>
      <w:r w:rsidR="009E75A4">
        <w:rPr>
          <w:sz w:val="18"/>
          <w:szCs w:val="18"/>
        </w:rPr>
        <w:t>’</w:t>
      </w:r>
      <w:r>
        <w:rPr>
          <w:sz w:val="18"/>
          <w:szCs w:val="18"/>
        </w:rPr>
        <w:t xml:space="preserve">s </w:t>
      </w:r>
      <w:r w:rsidR="009E75A4">
        <w:rPr>
          <w:sz w:val="18"/>
          <w:szCs w:val="18"/>
        </w:rPr>
        <w:t xml:space="preserve">ten opzichte van een benzineauto </w:t>
      </w:r>
      <w:r>
        <w:rPr>
          <w:sz w:val="18"/>
          <w:szCs w:val="18"/>
        </w:rPr>
        <w:t>wordt i</w:t>
      </w:r>
      <w:r w:rsidRPr="00AD1DAA">
        <w:rPr>
          <w:sz w:val="18"/>
          <w:szCs w:val="18"/>
        </w:rPr>
        <w:t>n grafiek 3</w:t>
      </w:r>
      <w:r>
        <w:rPr>
          <w:sz w:val="18"/>
          <w:szCs w:val="18"/>
        </w:rPr>
        <w:t xml:space="preserve"> weergegeven door de oranje </w:t>
      </w:r>
      <w:r w:rsidR="00CC0219">
        <w:rPr>
          <w:sz w:val="18"/>
          <w:szCs w:val="18"/>
        </w:rPr>
        <w:t xml:space="preserve">trapsgewijs oplopende </w:t>
      </w:r>
      <w:r>
        <w:rPr>
          <w:sz w:val="18"/>
          <w:szCs w:val="18"/>
        </w:rPr>
        <w:t>lijn.</w:t>
      </w:r>
    </w:p>
    <w:p w:rsidR="002A30DC" w:rsidRDefault="008D1BFF">
      <w:pPr>
        <w:spacing w:after="0"/>
        <w:rPr>
          <w:sz w:val="18"/>
          <w:szCs w:val="18"/>
        </w:rPr>
      </w:pPr>
      <w:r w:rsidRPr="00954E12">
        <w:rPr>
          <w:sz w:val="18"/>
          <w:szCs w:val="18"/>
        </w:rPr>
        <w:t>In het door Ecorys voorgestelde scenario is er in 2015 geen verschil meer in schijfgrenzen</w:t>
      </w:r>
      <w:r w:rsidR="009C2E1C">
        <w:rPr>
          <w:sz w:val="18"/>
          <w:szCs w:val="18"/>
        </w:rPr>
        <w:t xml:space="preserve">, </w:t>
      </w:r>
      <w:r w:rsidR="00CC0219">
        <w:rPr>
          <w:sz w:val="18"/>
          <w:szCs w:val="18"/>
        </w:rPr>
        <w:t>schijf</w:t>
      </w:r>
      <w:r w:rsidR="009C2E1C">
        <w:rPr>
          <w:sz w:val="18"/>
          <w:szCs w:val="18"/>
        </w:rPr>
        <w:t>lengtes en tarieven</w:t>
      </w:r>
      <w:r w:rsidRPr="00954E12">
        <w:rPr>
          <w:sz w:val="18"/>
          <w:szCs w:val="18"/>
        </w:rPr>
        <w:t>, zodat het verschil in de volledig CO</w:t>
      </w:r>
      <w:r w:rsidRPr="00954E12">
        <w:rPr>
          <w:sz w:val="18"/>
          <w:szCs w:val="18"/>
          <w:vertAlign w:val="subscript"/>
        </w:rPr>
        <w:t>2</w:t>
      </w:r>
      <w:r w:rsidRPr="00954E12">
        <w:rPr>
          <w:sz w:val="18"/>
          <w:szCs w:val="18"/>
        </w:rPr>
        <w:t>-gerelateerde BPM tussen benzine en diesel nog uitsluitend bestaat uit de nieuwe CO</w:t>
      </w:r>
      <w:r w:rsidRPr="00954E12">
        <w:rPr>
          <w:sz w:val="18"/>
          <w:szCs w:val="18"/>
          <w:vertAlign w:val="subscript"/>
        </w:rPr>
        <w:t>2</w:t>
      </w:r>
      <w:r w:rsidRPr="00954E12">
        <w:rPr>
          <w:sz w:val="18"/>
          <w:szCs w:val="18"/>
        </w:rPr>
        <w:t xml:space="preserve">-afhankelijke </w:t>
      </w:r>
      <w:r w:rsidR="00CC0219">
        <w:rPr>
          <w:sz w:val="18"/>
          <w:szCs w:val="18"/>
        </w:rPr>
        <w:t xml:space="preserve">lineair oplopende </w:t>
      </w:r>
      <w:r w:rsidRPr="00954E12">
        <w:rPr>
          <w:sz w:val="18"/>
          <w:szCs w:val="18"/>
        </w:rPr>
        <w:t>dieseltoeslag (</w:t>
      </w:r>
      <w:r w:rsidR="002B795B">
        <w:rPr>
          <w:sz w:val="18"/>
          <w:szCs w:val="18"/>
        </w:rPr>
        <w:t xml:space="preserve">gestippelde </w:t>
      </w:r>
      <w:r w:rsidRPr="00954E12">
        <w:rPr>
          <w:sz w:val="18"/>
          <w:szCs w:val="18"/>
        </w:rPr>
        <w:t>lijn in grafiek</w:t>
      </w:r>
      <w:r w:rsidR="00257F9F">
        <w:rPr>
          <w:sz w:val="18"/>
          <w:szCs w:val="18"/>
        </w:rPr>
        <w:t xml:space="preserve"> </w:t>
      </w:r>
      <w:r w:rsidR="0045007E">
        <w:rPr>
          <w:sz w:val="18"/>
          <w:szCs w:val="18"/>
        </w:rPr>
        <w:t xml:space="preserve">3 </w:t>
      </w:r>
      <w:r w:rsidR="009E75A4">
        <w:rPr>
          <w:sz w:val="18"/>
          <w:szCs w:val="18"/>
        </w:rPr>
        <w:t>- stand 2015</w:t>
      </w:r>
      <w:r w:rsidRPr="00954E12">
        <w:rPr>
          <w:sz w:val="18"/>
          <w:szCs w:val="18"/>
        </w:rPr>
        <w:t>)</w:t>
      </w:r>
      <w:r w:rsidR="009C2E1C">
        <w:rPr>
          <w:sz w:val="18"/>
          <w:szCs w:val="18"/>
        </w:rPr>
        <w:t>.</w:t>
      </w:r>
      <w:r w:rsidRPr="00954E12">
        <w:rPr>
          <w:sz w:val="18"/>
          <w:szCs w:val="18"/>
        </w:rPr>
        <w:t xml:space="preserve"> Omdat in de jaren 2012-2014 de </w:t>
      </w:r>
      <w:r w:rsidR="009C2E1C">
        <w:rPr>
          <w:sz w:val="18"/>
          <w:szCs w:val="18"/>
        </w:rPr>
        <w:t xml:space="preserve">schijven </w:t>
      </w:r>
      <w:r w:rsidRPr="00954E12">
        <w:rPr>
          <w:sz w:val="18"/>
          <w:szCs w:val="18"/>
        </w:rPr>
        <w:t xml:space="preserve">nog niet gelijk zijn, maar wel geleidelijk naar elkaar toe groeien, </w:t>
      </w:r>
      <w:r w:rsidR="009C2E1C">
        <w:rPr>
          <w:sz w:val="18"/>
          <w:szCs w:val="18"/>
        </w:rPr>
        <w:t xml:space="preserve">neemt </w:t>
      </w:r>
      <w:r w:rsidRPr="00954E12">
        <w:rPr>
          <w:sz w:val="18"/>
          <w:szCs w:val="18"/>
        </w:rPr>
        <w:t>in het voorgestelde scenario de nieuwe dieseltoeslag geleidelijk in</w:t>
      </w:r>
      <w:r w:rsidR="009C2E1C">
        <w:rPr>
          <w:sz w:val="18"/>
          <w:szCs w:val="18"/>
        </w:rPr>
        <w:t xml:space="preserve"> belang toe</w:t>
      </w:r>
      <w:r w:rsidRPr="00954E12">
        <w:rPr>
          <w:sz w:val="18"/>
          <w:szCs w:val="18"/>
        </w:rPr>
        <w:t>. Dit wordt vormgegeven door het tarief van de toeslag per gram CO</w:t>
      </w:r>
      <w:r w:rsidRPr="00954E12">
        <w:rPr>
          <w:sz w:val="18"/>
          <w:szCs w:val="18"/>
          <w:vertAlign w:val="subscript"/>
        </w:rPr>
        <w:t>2</w:t>
      </w:r>
      <w:r w:rsidRPr="00954E12">
        <w:rPr>
          <w:sz w:val="18"/>
          <w:szCs w:val="18"/>
        </w:rPr>
        <w:t xml:space="preserve"> elk jaar te verhogen van € 40 in 2012 tot € 80 in 2015. </w:t>
      </w:r>
    </w:p>
    <w:p w:rsidR="002A30DC" w:rsidRDefault="002A30DC">
      <w:pPr>
        <w:spacing w:after="0"/>
        <w:rPr>
          <w:sz w:val="18"/>
          <w:szCs w:val="18"/>
        </w:rPr>
      </w:pPr>
    </w:p>
    <w:p w:rsidRPr="005138AB" w:rsidR="005138AB" w:rsidP="00337116" w:rsidRDefault="004364A3">
      <w:pPr>
        <w:spacing w:after="0"/>
        <w:rPr>
          <w:i/>
          <w:sz w:val="18"/>
          <w:szCs w:val="18"/>
        </w:rPr>
      </w:pPr>
      <w:r>
        <w:rPr>
          <w:b/>
          <w:i/>
          <w:sz w:val="16"/>
          <w:szCs w:val="16"/>
        </w:rPr>
        <w:t xml:space="preserve">Tabel 6: </w:t>
      </w:r>
      <w:r w:rsidRPr="005138AB" w:rsidR="005138AB">
        <w:rPr>
          <w:b/>
          <w:i/>
          <w:sz w:val="16"/>
          <w:szCs w:val="16"/>
        </w:rPr>
        <w:t>Tariefstelling BPM dieseltoeslag per gram CO</w:t>
      </w:r>
      <w:r w:rsidRPr="005138AB" w:rsidR="005138AB">
        <w:rPr>
          <w:b/>
          <w:i/>
          <w:sz w:val="16"/>
          <w:szCs w:val="16"/>
          <w:vertAlign w:val="subscript"/>
        </w:rPr>
        <w:t>2</w:t>
      </w:r>
      <w:r w:rsidRPr="005138AB" w:rsidR="005138AB">
        <w:rPr>
          <w:b/>
          <w:i/>
          <w:sz w:val="16"/>
          <w:szCs w:val="16"/>
        </w:rPr>
        <w:t xml:space="preserve"> boven 70 g</w:t>
      </w:r>
      <w:r w:rsidR="005A289B">
        <w:rPr>
          <w:b/>
          <w:i/>
          <w:sz w:val="16"/>
          <w:szCs w:val="16"/>
        </w:rPr>
        <w:t>r</w:t>
      </w:r>
      <w:r w:rsidRPr="005138AB" w:rsidR="005138AB">
        <w:rPr>
          <w:b/>
          <w:i/>
          <w:sz w:val="16"/>
          <w:szCs w:val="16"/>
        </w:rPr>
        <w:t>/km, 2012-2015</w:t>
      </w:r>
    </w:p>
    <w:tbl>
      <w:tblPr>
        <w:tblStyle w:val="Tabelraster"/>
        <w:tblW w:w="921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ook w:val="04A0"/>
      </w:tblPr>
      <w:tblGrid>
        <w:gridCol w:w="1842"/>
        <w:gridCol w:w="1842"/>
        <w:gridCol w:w="1842"/>
        <w:gridCol w:w="1842"/>
        <w:gridCol w:w="1842"/>
      </w:tblGrid>
      <w:tr w:rsidRPr="005138AB" w:rsidR="005138AB" w:rsidTr="00907088">
        <w:tc>
          <w:tcPr>
            <w:tcW w:w="1842" w:type="dxa"/>
          </w:tcPr>
          <w:p w:rsidRPr="005138AB" w:rsidR="005138AB" w:rsidP="005138AB" w:rsidRDefault="005138AB">
            <w:pPr>
              <w:spacing w:after="100"/>
              <w:rPr>
                <w:rFonts w:ascii="Verdana" w:hAnsi="Verdana"/>
                <w:b/>
                <w:sz w:val="16"/>
                <w:szCs w:val="16"/>
              </w:rPr>
            </w:pPr>
          </w:p>
        </w:tc>
        <w:tc>
          <w:tcPr>
            <w:tcW w:w="1842" w:type="dxa"/>
          </w:tcPr>
          <w:p w:rsidRPr="005138AB" w:rsidR="005138AB" w:rsidP="005138AB" w:rsidRDefault="005138AB">
            <w:pPr>
              <w:spacing w:after="100"/>
              <w:jc w:val="center"/>
              <w:rPr>
                <w:rFonts w:ascii="Verdana" w:hAnsi="Verdana"/>
                <w:b/>
                <w:sz w:val="16"/>
                <w:szCs w:val="16"/>
              </w:rPr>
            </w:pPr>
            <w:r w:rsidRPr="005138AB">
              <w:rPr>
                <w:rFonts w:ascii="Verdana" w:hAnsi="Verdana"/>
                <w:b/>
                <w:sz w:val="16"/>
                <w:szCs w:val="16"/>
              </w:rPr>
              <w:t>2012</w:t>
            </w:r>
          </w:p>
        </w:tc>
        <w:tc>
          <w:tcPr>
            <w:tcW w:w="1842" w:type="dxa"/>
          </w:tcPr>
          <w:p w:rsidRPr="005138AB" w:rsidR="005138AB" w:rsidP="005138AB" w:rsidRDefault="005138AB">
            <w:pPr>
              <w:spacing w:after="100"/>
              <w:jc w:val="center"/>
              <w:rPr>
                <w:rFonts w:ascii="Verdana" w:hAnsi="Verdana"/>
                <w:b/>
                <w:sz w:val="16"/>
                <w:szCs w:val="16"/>
              </w:rPr>
            </w:pPr>
            <w:r w:rsidRPr="005138AB">
              <w:rPr>
                <w:rFonts w:ascii="Verdana" w:hAnsi="Verdana"/>
                <w:b/>
                <w:sz w:val="16"/>
                <w:szCs w:val="16"/>
              </w:rPr>
              <w:t>2013</w:t>
            </w:r>
          </w:p>
        </w:tc>
        <w:tc>
          <w:tcPr>
            <w:tcW w:w="1842" w:type="dxa"/>
          </w:tcPr>
          <w:p w:rsidRPr="005138AB" w:rsidR="005138AB" w:rsidP="005138AB" w:rsidRDefault="005138AB">
            <w:pPr>
              <w:spacing w:after="100"/>
              <w:jc w:val="center"/>
              <w:rPr>
                <w:rFonts w:ascii="Verdana" w:hAnsi="Verdana"/>
                <w:b/>
                <w:sz w:val="16"/>
                <w:szCs w:val="16"/>
              </w:rPr>
            </w:pPr>
            <w:r w:rsidRPr="005138AB">
              <w:rPr>
                <w:rFonts w:ascii="Verdana" w:hAnsi="Verdana"/>
                <w:b/>
                <w:sz w:val="16"/>
                <w:szCs w:val="16"/>
              </w:rPr>
              <w:t>2014</w:t>
            </w:r>
          </w:p>
        </w:tc>
        <w:tc>
          <w:tcPr>
            <w:tcW w:w="1842" w:type="dxa"/>
          </w:tcPr>
          <w:p w:rsidRPr="005138AB" w:rsidR="005138AB" w:rsidP="005138AB" w:rsidRDefault="005138AB">
            <w:pPr>
              <w:spacing w:after="100"/>
              <w:jc w:val="center"/>
              <w:rPr>
                <w:rFonts w:ascii="Verdana" w:hAnsi="Verdana"/>
                <w:b/>
                <w:sz w:val="16"/>
                <w:szCs w:val="16"/>
              </w:rPr>
            </w:pPr>
            <w:r w:rsidRPr="005138AB">
              <w:rPr>
                <w:rFonts w:ascii="Verdana" w:hAnsi="Verdana"/>
                <w:b/>
                <w:sz w:val="16"/>
                <w:szCs w:val="16"/>
              </w:rPr>
              <w:t>2015</w:t>
            </w:r>
          </w:p>
        </w:tc>
      </w:tr>
      <w:tr w:rsidRPr="005138AB" w:rsidR="005138AB" w:rsidTr="00907088">
        <w:tc>
          <w:tcPr>
            <w:tcW w:w="1842" w:type="dxa"/>
            <w:vAlign w:val="bottom"/>
          </w:tcPr>
          <w:p w:rsidRPr="00166F2A" w:rsidR="005138AB" w:rsidP="005138AB" w:rsidRDefault="005138AB">
            <w:pPr>
              <w:spacing w:after="100"/>
              <w:rPr>
                <w:rFonts w:ascii="Verdana" w:hAnsi="Verdana"/>
                <w:sz w:val="16"/>
                <w:szCs w:val="16"/>
              </w:rPr>
            </w:pPr>
            <w:r w:rsidRPr="00166F2A">
              <w:rPr>
                <w:rFonts w:ascii="Verdana" w:hAnsi="Verdana"/>
                <w:sz w:val="16"/>
                <w:szCs w:val="16"/>
              </w:rPr>
              <w:t>Tarief (€)</w:t>
            </w:r>
          </w:p>
        </w:tc>
        <w:tc>
          <w:tcPr>
            <w:tcW w:w="1842" w:type="dxa"/>
            <w:vAlign w:val="bottom"/>
          </w:tcPr>
          <w:p w:rsidRPr="005138AB" w:rsidR="005138AB" w:rsidP="005138AB" w:rsidRDefault="005138AB">
            <w:pPr>
              <w:spacing w:after="100"/>
              <w:jc w:val="center"/>
              <w:rPr>
                <w:rFonts w:ascii="Verdana" w:hAnsi="Verdana"/>
                <w:sz w:val="16"/>
                <w:szCs w:val="16"/>
              </w:rPr>
            </w:pPr>
            <w:r w:rsidRPr="005138AB">
              <w:rPr>
                <w:rFonts w:ascii="Verdana" w:hAnsi="Verdana"/>
                <w:sz w:val="16"/>
                <w:szCs w:val="16"/>
              </w:rPr>
              <w:t>40</w:t>
            </w:r>
          </w:p>
        </w:tc>
        <w:tc>
          <w:tcPr>
            <w:tcW w:w="1842" w:type="dxa"/>
            <w:vAlign w:val="bottom"/>
          </w:tcPr>
          <w:p w:rsidRPr="005138AB" w:rsidR="005138AB" w:rsidP="005138AB" w:rsidRDefault="005138AB">
            <w:pPr>
              <w:spacing w:after="100"/>
              <w:jc w:val="center"/>
              <w:rPr>
                <w:rFonts w:ascii="Verdana" w:hAnsi="Verdana"/>
                <w:sz w:val="16"/>
                <w:szCs w:val="16"/>
              </w:rPr>
            </w:pPr>
            <w:r w:rsidRPr="005138AB">
              <w:rPr>
                <w:rFonts w:ascii="Verdana" w:hAnsi="Verdana"/>
                <w:sz w:val="16"/>
                <w:szCs w:val="16"/>
              </w:rPr>
              <w:t>54</w:t>
            </w:r>
          </w:p>
        </w:tc>
        <w:tc>
          <w:tcPr>
            <w:tcW w:w="1842" w:type="dxa"/>
            <w:vAlign w:val="bottom"/>
          </w:tcPr>
          <w:p w:rsidRPr="005138AB" w:rsidR="005138AB" w:rsidP="005138AB" w:rsidRDefault="005138AB">
            <w:pPr>
              <w:spacing w:after="100"/>
              <w:jc w:val="center"/>
              <w:rPr>
                <w:rFonts w:ascii="Verdana" w:hAnsi="Verdana"/>
                <w:sz w:val="16"/>
                <w:szCs w:val="16"/>
              </w:rPr>
            </w:pPr>
            <w:r w:rsidRPr="005138AB">
              <w:rPr>
                <w:rFonts w:ascii="Verdana" w:hAnsi="Verdana"/>
                <w:sz w:val="16"/>
                <w:szCs w:val="16"/>
              </w:rPr>
              <w:t>69</w:t>
            </w:r>
          </w:p>
        </w:tc>
        <w:tc>
          <w:tcPr>
            <w:tcW w:w="1842" w:type="dxa"/>
            <w:vAlign w:val="bottom"/>
          </w:tcPr>
          <w:p w:rsidRPr="005138AB" w:rsidR="005138AB" w:rsidP="005138AB" w:rsidRDefault="005138AB">
            <w:pPr>
              <w:spacing w:after="100"/>
              <w:jc w:val="center"/>
              <w:rPr>
                <w:rFonts w:ascii="Verdana" w:hAnsi="Verdana"/>
                <w:sz w:val="16"/>
                <w:szCs w:val="16"/>
              </w:rPr>
            </w:pPr>
            <w:r w:rsidRPr="005138AB">
              <w:rPr>
                <w:rFonts w:ascii="Verdana" w:hAnsi="Verdana"/>
                <w:sz w:val="16"/>
                <w:szCs w:val="16"/>
              </w:rPr>
              <w:t>80</w:t>
            </w:r>
          </w:p>
        </w:tc>
      </w:tr>
    </w:tbl>
    <w:p w:rsidRPr="005138AB" w:rsidR="005138AB" w:rsidP="00337116" w:rsidRDefault="005138AB">
      <w:pPr>
        <w:spacing w:after="0"/>
        <w:rPr>
          <w:sz w:val="18"/>
          <w:szCs w:val="18"/>
        </w:rPr>
      </w:pPr>
      <w:r w:rsidRPr="005138AB">
        <w:rPr>
          <w:sz w:val="16"/>
          <w:szCs w:val="16"/>
        </w:rPr>
        <w:t>Bron: Ecorys CARbonTAX-model</w:t>
      </w:r>
    </w:p>
    <w:p w:rsidR="008D1BFF" w:rsidP="00337116" w:rsidRDefault="008D1BFF">
      <w:pPr>
        <w:spacing w:after="0"/>
        <w:rPr>
          <w:sz w:val="18"/>
          <w:szCs w:val="18"/>
        </w:rPr>
      </w:pPr>
    </w:p>
    <w:p w:rsidR="002A30DC" w:rsidRDefault="008D1BFF">
      <w:pPr>
        <w:spacing w:after="0"/>
        <w:rPr>
          <w:sz w:val="18"/>
          <w:szCs w:val="18"/>
        </w:rPr>
      </w:pPr>
      <w:r w:rsidRPr="00954E12">
        <w:rPr>
          <w:sz w:val="18"/>
          <w:szCs w:val="18"/>
        </w:rPr>
        <w:t>In het door Ecorys voorgestelde scenario bestaat de BPM in 2012 uit een CO</w:t>
      </w:r>
      <w:r w:rsidRPr="00954E12">
        <w:rPr>
          <w:sz w:val="18"/>
          <w:szCs w:val="18"/>
          <w:vertAlign w:val="subscript"/>
        </w:rPr>
        <w:t>2</w:t>
      </w:r>
      <w:r w:rsidRPr="00954E12">
        <w:rPr>
          <w:sz w:val="18"/>
          <w:szCs w:val="18"/>
        </w:rPr>
        <w:t>-heffing zoals hiervoor beschreven, een catalogusdeel (11,1% van de cataloguswaarde) en een benzinekorting van € 450 dan wel de nieuwe CO</w:t>
      </w:r>
      <w:r w:rsidRPr="00954E12">
        <w:rPr>
          <w:sz w:val="18"/>
          <w:szCs w:val="18"/>
          <w:vertAlign w:val="subscript"/>
        </w:rPr>
        <w:t>2</w:t>
      </w:r>
      <w:r w:rsidRPr="00954E12">
        <w:rPr>
          <w:sz w:val="18"/>
          <w:szCs w:val="18"/>
        </w:rPr>
        <w:t>-afhankelijke dieseltoeslag. Vanaf 2013 is er alleen nog sprake van een CO</w:t>
      </w:r>
      <w:r w:rsidRPr="00954E12">
        <w:rPr>
          <w:sz w:val="18"/>
          <w:szCs w:val="18"/>
          <w:vertAlign w:val="subscript"/>
        </w:rPr>
        <w:t>2</w:t>
      </w:r>
      <w:r w:rsidRPr="00954E12">
        <w:rPr>
          <w:sz w:val="18"/>
          <w:szCs w:val="18"/>
        </w:rPr>
        <w:t xml:space="preserve">-heffing en een </w:t>
      </w:r>
      <w:r w:rsidRPr="00954E12" w:rsidR="009C2E1C">
        <w:rPr>
          <w:sz w:val="18"/>
          <w:szCs w:val="18"/>
        </w:rPr>
        <w:t>CO</w:t>
      </w:r>
      <w:r w:rsidRPr="00954E12" w:rsidR="009C2E1C">
        <w:rPr>
          <w:sz w:val="18"/>
          <w:szCs w:val="18"/>
          <w:vertAlign w:val="subscript"/>
        </w:rPr>
        <w:t>2</w:t>
      </w:r>
      <w:r w:rsidRPr="00954E12" w:rsidR="009C2E1C">
        <w:rPr>
          <w:sz w:val="18"/>
          <w:szCs w:val="18"/>
        </w:rPr>
        <w:t xml:space="preserve">-afhankelijke </w:t>
      </w:r>
      <w:r w:rsidRPr="00954E12">
        <w:rPr>
          <w:sz w:val="18"/>
          <w:szCs w:val="18"/>
        </w:rPr>
        <w:t>dieseltoeslag.</w:t>
      </w:r>
    </w:p>
    <w:p w:rsidR="00FA6A62" w:rsidRDefault="00FA6A62">
      <w:pPr>
        <w:spacing w:after="0"/>
        <w:rPr>
          <w:sz w:val="18"/>
          <w:szCs w:val="18"/>
        </w:rPr>
      </w:pPr>
    </w:p>
    <w:p w:rsidRPr="005E0987" w:rsidR="008D1BFF" w:rsidP="005E0987" w:rsidRDefault="008D1BFF">
      <w:pPr>
        <w:pStyle w:val="Kop3"/>
        <w:rPr>
          <w:rFonts w:ascii="Verdana" w:hAnsi="Verdana"/>
          <w:b w:val="0"/>
          <w:i/>
          <w:color w:val="auto"/>
          <w:sz w:val="18"/>
          <w:szCs w:val="18"/>
        </w:rPr>
      </w:pPr>
      <w:bookmarkStart w:name="_Toc293998530" w:id="18"/>
      <w:r w:rsidRPr="005E0987">
        <w:rPr>
          <w:rFonts w:ascii="Verdana" w:hAnsi="Verdana"/>
          <w:b w:val="0"/>
          <w:i/>
          <w:color w:val="auto"/>
          <w:sz w:val="18"/>
          <w:szCs w:val="18"/>
        </w:rPr>
        <w:t>3.5.3. MRB</w:t>
      </w:r>
      <w:bookmarkEnd w:id="18"/>
    </w:p>
    <w:p w:rsidR="002A30DC" w:rsidRDefault="008D1BFF">
      <w:pPr>
        <w:spacing w:after="0"/>
        <w:rPr>
          <w:sz w:val="18"/>
          <w:szCs w:val="18"/>
        </w:rPr>
      </w:pPr>
      <w:r w:rsidRPr="00954E12">
        <w:rPr>
          <w:sz w:val="18"/>
          <w:szCs w:val="18"/>
        </w:rPr>
        <w:t xml:space="preserve">Wat betreft de MRB </w:t>
      </w:r>
      <w:r>
        <w:rPr>
          <w:sz w:val="18"/>
          <w:szCs w:val="18"/>
        </w:rPr>
        <w:t>stelt</w:t>
      </w:r>
      <w:r w:rsidRPr="00954E12">
        <w:rPr>
          <w:sz w:val="18"/>
          <w:szCs w:val="18"/>
        </w:rPr>
        <w:t xml:space="preserve"> Ecorys </w:t>
      </w:r>
      <w:r>
        <w:rPr>
          <w:sz w:val="18"/>
          <w:szCs w:val="18"/>
        </w:rPr>
        <w:t>voor</w:t>
      </w:r>
      <w:r w:rsidRPr="00954E12">
        <w:rPr>
          <w:sz w:val="18"/>
          <w:szCs w:val="18"/>
        </w:rPr>
        <w:t xml:space="preserve"> om de daarin opgenomen vrijstelling voor de zeer zuinige auto</w:t>
      </w:r>
      <w:r w:rsidR="009E75A4">
        <w:rPr>
          <w:sz w:val="18"/>
          <w:szCs w:val="18"/>
        </w:rPr>
        <w:t>’</w:t>
      </w:r>
      <w:r w:rsidRPr="00954E12">
        <w:rPr>
          <w:sz w:val="18"/>
          <w:szCs w:val="18"/>
        </w:rPr>
        <w:t>s</w:t>
      </w:r>
      <w:r w:rsidR="009E75A4">
        <w:rPr>
          <w:sz w:val="18"/>
          <w:szCs w:val="18"/>
        </w:rPr>
        <w:t xml:space="preserve"> te laten vervallen,</w:t>
      </w:r>
      <w:r w:rsidRPr="00954E12">
        <w:rPr>
          <w:sz w:val="18"/>
          <w:szCs w:val="18"/>
        </w:rPr>
        <w:t xml:space="preserve"> met inachtneming van een overgangsperiode. In 2014 zou dan geen vrijstelling meer van toepassing moeten zijn. De MRB voor personenauto’s is dan weer geheel gebaseerd op gewicht en de specifieke CO</w:t>
      </w:r>
      <w:r w:rsidRPr="00954E12">
        <w:rPr>
          <w:sz w:val="18"/>
          <w:szCs w:val="18"/>
          <w:vertAlign w:val="subscript"/>
        </w:rPr>
        <w:t>2</w:t>
      </w:r>
      <w:r w:rsidRPr="00954E12">
        <w:rPr>
          <w:sz w:val="18"/>
          <w:szCs w:val="18"/>
        </w:rPr>
        <w:t xml:space="preserve">-uitstoot speelt daarin dan niet langer een rol. </w:t>
      </w:r>
    </w:p>
    <w:p w:rsidR="002A30DC" w:rsidRDefault="002A30DC">
      <w:pPr>
        <w:spacing w:after="0"/>
        <w:rPr>
          <w:sz w:val="18"/>
          <w:szCs w:val="18"/>
        </w:rPr>
      </w:pPr>
    </w:p>
    <w:p w:rsidRPr="005E0987" w:rsidR="002A30DC" w:rsidP="005E0987" w:rsidRDefault="008D1BFF">
      <w:pPr>
        <w:pStyle w:val="Kop3"/>
        <w:rPr>
          <w:rFonts w:ascii="Verdana" w:hAnsi="Verdana"/>
          <w:b w:val="0"/>
          <w:i/>
          <w:color w:val="auto"/>
          <w:sz w:val="18"/>
          <w:szCs w:val="18"/>
        </w:rPr>
      </w:pPr>
      <w:bookmarkStart w:name="_Toc293998531" w:id="19"/>
      <w:r w:rsidRPr="005E0987">
        <w:rPr>
          <w:rFonts w:ascii="Verdana" w:hAnsi="Verdana"/>
          <w:b w:val="0"/>
          <w:i/>
          <w:color w:val="auto"/>
          <w:sz w:val="18"/>
          <w:szCs w:val="18"/>
        </w:rPr>
        <w:t>3.5.4. Bijtelling</w:t>
      </w:r>
      <w:bookmarkEnd w:id="19"/>
    </w:p>
    <w:p w:rsidR="002A30DC" w:rsidRDefault="008D1BFF">
      <w:pPr>
        <w:spacing w:after="0"/>
        <w:rPr>
          <w:sz w:val="18"/>
          <w:szCs w:val="18"/>
        </w:rPr>
      </w:pPr>
      <w:r w:rsidRPr="00954E12">
        <w:rPr>
          <w:sz w:val="18"/>
          <w:szCs w:val="18"/>
        </w:rPr>
        <w:t>Voor de bijtelling stelt Ecorys voor om voor de verschillende differentiaties in de bijtelling aan te sluiten bij de schijfgrenzen zoals die voor de BPM worden voorgesteld. Dat houdt in dat een tarief van 14% bijtelling van toepassing is op auto’s met een CO</w:t>
      </w:r>
      <w:r w:rsidRPr="00954E12">
        <w:rPr>
          <w:sz w:val="18"/>
          <w:szCs w:val="18"/>
          <w:vertAlign w:val="subscript"/>
        </w:rPr>
        <w:t>2</w:t>
      </w:r>
      <w:r w:rsidRPr="00954E12">
        <w:rPr>
          <w:sz w:val="18"/>
          <w:szCs w:val="18"/>
        </w:rPr>
        <w:t>-uitstoot van maximaal 82 gr/km en een tarief van 20% bijtelling van toepassing is op auto’s met een CO</w:t>
      </w:r>
      <w:r w:rsidRPr="00954E12">
        <w:rPr>
          <w:sz w:val="18"/>
          <w:szCs w:val="18"/>
          <w:vertAlign w:val="subscript"/>
        </w:rPr>
        <w:t>2</w:t>
      </w:r>
      <w:r w:rsidRPr="00954E12">
        <w:rPr>
          <w:sz w:val="18"/>
          <w:szCs w:val="18"/>
        </w:rPr>
        <w:t>-uitstoot van niet meer dan 110 gr/km. Ook hier betreft het een eindbeeld voor 2015 en stelt Ecorys een ingroeimodel naar dat eindbeeld voor.</w:t>
      </w:r>
      <w:r w:rsidR="00256F4C">
        <w:rPr>
          <w:sz w:val="18"/>
          <w:szCs w:val="18"/>
        </w:rPr>
        <w:t xml:space="preserve"> In de hierna opgenomen tabel </w:t>
      </w:r>
      <w:r w:rsidR="0045007E">
        <w:rPr>
          <w:sz w:val="18"/>
          <w:szCs w:val="18"/>
        </w:rPr>
        <w:t xml:space="preserve">7 </w:t>
      </w:r>
      <w:r w:rsidR="00256F4C">
        <w:rPr>
          <w:sz w:val="18"/>
          <w:szCs w:val="18"/>
        </w:rPr>
        <w:t>wordt dit weergegeven.</w:t>
      </w:r>
    </w:p>
    <w:p w:rsidR="002A30DC" w:rsidRDefault="002A30DC">
      <w:pPr>
        <w:spacing w:after="0"/>
        <w:rPr>
          <w:sz w:val="18"/>
          <w:szCs w:val="18"/>
        </w:rPr>
      </w:pPr>
    </w:p>
    <w:p w:rsidRPr="005135B7" w:rsidR="00166F2A" w:rsidP="00337116" w:rsidRDefault="004364A3">
      <w:pPr>
        <w:spacing w:after="0"/>
        <w:rPr>
          <w:b/>
          <w:bCs/>
          <w:i/>
          <w:sz w:val="16"/>
          <w:szCs w:val="16"/>
        </w:rPr>
      </w:pPr>
      <w:r>
        <w:rPr>
          <w:b/>
          <w:bCs/>
          <w:i/>
          <w:sz w:val="16"/>
          <w:szCs w:val="16"/>
        </w:rPr>
        <w:t xml:space="preserve">Tabel </w:t>
      </w:r>
      <w:r w:rsidR="00256F4C">
        <w:rPr>
          <w:b/>
          <w:bCs/>
          <w:i/>
          <w:sz w:val="16"/>
          <w:szCs w:val="16"/>
        </w:rPr>
        <w:t>7</w:t>
      </w:r>
      <w:r>
        <w:rPr>
          <w:b/>
          <w:bCs/>
          <w:i/>
          <w:sz w:val="16"/>
          <w:szCs w:val="16"/>
        </w:rPr>
        <w:t xml:space="preserve">: </w:t>
      </w:r>
      <w:r w:rsidRPr="005135B7" w:rsidR="00166F2A">
        <w:rPr>
          <w:b/>
          <w:bCs/>
          <w:i/>
          <w:sz w:val="16"/>
          <w:szCs w:val="16"/>
        </w:rPr>
        <w:t>Ontwikkeling zuinigheidsgrenzen bijtelling, 2010-2015</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809"/>
        <w:gridCol w:w="1233"/>
        <w:gridCol w:w="1234"/>
        <w:gridCol w:w="1234"/>
        <w:gridCol w:w="1234"/>
        <w:gridCol w:w="1234"/>
        <w:gridCol w:w="1234"/>
      </w:tblGrid>
      <w:tr w:rsidRPr="00166F2A" w:rsidR="00166F2A" w:rsidTr="00907088">
        <w:tc>
          <w:tcPr>
            <w:tcW w:w="1809" w:type="dxa"/>
            <w:tcBorders>
              <w:top w:val="single" w:color="auto" w:sz="4" w:space="0"/>
              <w:bottom w:val="single" w:color="auto" w:sz="4" w:space="0"/>
            </w:tcBorders>
          </w:tcPr>
          <w:p w:rsidRPr="00166F2A" w:rsidR="00166F2A" w:rsidP="00166F2A" w:rsidRDefault="00166F2A">
            <w:pPr>
              <w:spacing w:after="0"/>
              <w:rPr>
                <w:rFonts w:ascii="Verdana" w:hAnsi="Verdana"/>
                <w:b/>
                <w:bCs/>
                <w:sz w:val="16"/>
                <w:szCs w:val="16"/>
              </w:rPr>
            </w:pPr>
          </w:p>
        </w:tc>
        <w:tc>
          <w:tcPr>
            <w:tcW w:w="1233" w:type="dxa"/>
            <w:tcBorders>
              <w:top w:val="single" w:color="auto" w:sz="4" w:space="0"/>
              <w:bottom w:val="single" w:color="auto" w:sz="4" w:space="0"/>
            </w:tcBorders>
          </w:tcPr>
          <w:p w:rsidRPr="00166F2A" w:rsidR="00166F2A" w:rsidP="00166F2A" w:rsidRDefault="00166F2A">
            <w:pPr>
              <w:spacing w:after="0"/>
              <w:rPr>
                <w:rFonts w:ascii="Verdana" w:hAnsi="Verdana"/>
                <w:b/>
                <w:bCs/>
                <w:sz w:val="16"/>
                <w:szCs w:val="16"/>
              </w:rPr>
            </w:pPr>
            <w:r w:rsidRPr="00166F2A">
              <w:rPr>
                <w:rFonts w:ascii="Verdana" w:hAnsi="Verdana"/>
                <w:b/>
                <w:bCs/>
                <w:sz w:val="16"/>
                <w:szCs w:val="16"/>
              </w:rPr>
              <w:t>2010</w:t>
            </w:r>
          </w:p>
        </w:tc>
        <w:tc>
          <w:tcPr>
            <w:tcW w:w="1234" w:type="dxa"/>
            <w:tcBorders>
              <w:top w:val="single" w:color="auto" w:sz="4" w:space="0"/>
              <w:bottom w:val="single" w:color="auto" w:sz="4" w:space="0"/>
            </w:tcBorders>
          </w:tcPr>
          <w:p w:rsidRPr="00166F2A" w:rsidR="00166F2A" w:rsidP="00166F2A" w:rsidRDefault="00166F2A">
            <w:pPr>
              <w:spacing w:after="0"/>
              <w:rPr>
                <w:rFonts w:ascii="Verdana" w:hAnsi="Verdana"/>
                <w:b/>
                <w:bCs/>
                <w:sz w:val="16"/>
                <w:szCs w:val="16"/>
              </w:rPr>
            </w:pPr>
            <w:r w:rsidRPr="00166F2A">
              <w:rPr>
                <w:rFonts w:ascii="Verdana" w:hAnsi="Verdana"/>
                <w:b/>
                <w:bCs/>
                <w:sz w:val="16"/>
                <w:szCs w:val="16"/>
              </w:rPr>
              <w:t>2011</w:t>
            </w:r>
          </w:p>
        </w:tc>
        <w:tc>
          <w:tcPr>
            <w:tcW w:w="1234" w:type="dxa"/>
            <w:tcBorders>
              <w:top w:val="single" w:color="auto" w:sz="4" w:space="0"/>
              <w:bottom w:val="single" w:color="auto" w:sz="4" w:space="0"/>
            </w:tcBorders>
          </w:tcPr>
          <w:p w:rsidRPr="00166F2A" w:rsidR="00166F2A" w:rsidP="00166F2A" w:rsidRDefault="00166F2A">
            <w:pPr>
              <w:spacing w:after="0"/>
              <w:rPr>
                <w:rFonts w:ascii="Verdana" w:hAnsi="Verdana"/>
                <w:b/>
                <w:bCs/>
                <w:sz w:val="16"/>
                <w:szCs w:val="16"/>
              </w:rPr>
            </w:pPr>
            <w:r w:rsidRPr="00166F2A">
              <w:rPr>
                <w:rFonts w:ascii="Verdana" w:hAnsi="Verdana"/>
                <w:b/>
                <w:bCs/>
                <w:sz w:val="16"/>
                <w:szCs w:val="16"/>
              </w:rPr>
              <w:t>2012</w:t>
            </w:r>
          </w:p>
        </w:tc>
        <w:tc>
          <w:tcPr>
            <w:tcW w:w="1234" w:type="dxa"/>
            <w:tcBorders>
              <w:top w:val="single" w:color="auto" w:sz="4" w:space="0"/>
              <w:bottom w:val="single" w:color="auto" w:sz="4" w:space="0"/>
            </w:tcBorders>
          </w:tcPr>
          <w:p w:rsidRPr="00166F2A" w:rsidR="00166F2A" w:rsidP="00166F2A" w:rsidRDefault="00166F2A">
            <w:pPr>
              <w:spacing w:after="0"/>
              <w:rPr>
                <w:rFonts w:ascii="Verdana" w:hAnsi="Verdana"/>
                <w:b/>
                <w:bCs/>
                <w:sz w:val="16"/>
                <w:szCs w:val="16"/>
              </w:rPr>
            </w:pPr>
            <w:r w:rsidRPr="00166F2A">
              <w:rPr>
                <w:rFonts w:ascii="Verdana" w:hAnsi="Verdana"/>
                <w:b/>
                <w:bCs/>
                <w:sz w:val="16"/>
                <w:szCs w:val="16"/>
              </w:rPr>
              <w:t>2013</w:t>
            </w:r>
          </w:p>
        </w:tc>
        <w:tc>
          <w:tcPr>
            <w:tcW w:w="1234" w:type="dxa"/>
            <w:tcBorders>
              <w:top w:val="single" w:color="auto" w:sz="4" w:space="0"/>
              <w:bottom w:val="single" w:color="auto" w:sz="4" w:space="0"/>
            </w:tcBorders>
          </w:tcPr>
          <w:p w:rsidRPr="00166F2A" w:rsidR="00166F2A" w:rsidP="00166F2A" w:rsidRDefault="00166F2A">
            <w:pPr>
              <w:spacing w:after="0"/>
              <w:rPr>
                <w:rFonts w:ascii="Verdana" w:hAnsi="Verdana"/>
                <w:b/>
                <w:bCs/>
                <w:sz w:val="16"/>
                <w:szCs w:val="16"/>
              </w:rPr>
            </w:pPr>
            <w:r w:rsidRPr="00166F2A">
              <w:rPr>
                <w:rFonts w:ascii="Verdana" w:hAnsi="Verdana"/>
                <w:b/>
                <w:bCs/>
                <w:sz w:val="16"/>
                <w:szCs w:val="16"/>
              </w:rPr>
              <w:t>2014</w:t>
            </w:r>
          </w:p>
        </w:tc>
        <w:tc>
          <w:tcPr>
            <w:tcW w:w="1234" w:type="dxa"/>
            <w:tcBorders>
              <w:top w:val="single" w:color="auto" w:sz="4" w:space="0"/>
              <w:bottom w:val="single" w:color="auto" w:sz="4" w:space="0"/>
            </w:tcBorders>
          </w:tcPr>
          <w:p w:rsidRPr="00166F2A" w:rsidR="00166F2A" w:rsidP="00166F2A" w:rsidRDefault="00166F2A">
            <w:pPr>
              <w:spacing w:after="0"/>
              <w:rPr>
                <w:rFonts w:ascii="Verdana" w:hAnsi="Verdana"/>
                <w:b/>
                <w:bCs/>
                <w:sz w:val="16"/>
                <w:szCs w:val="16"/>
              </w:rPr>
            </w:pPr>
            <w:r w:rsidRPr="00166F2A">
              <w:rPr>
                <w:rFonts w:ascii="Verdana" w:hAnsi="Verdana"/>
                <w:b/>
                <w:bCs/>
                <w:sz w:val="16"/>
                <w:szCs w:val="16"/>
              </w:rPr>
              <w:t>2015</w:t>
            </w:r>
          </w:p>
        </w:tc>
      </w:tr>
      <w:tr w:rsidRPr="00166F2A" w:rsidR="00166F2A" w:rsidTr="00907088">
        <w:tc>
          <w:tcPr>
            <w:tcW w:w="1809" w:type="dxa"/>
            <w:tcBorders>
              <w:top w:val="single" w:color="auto" w:sz="4" w:space="0"/>
            </w:tcBorders>
            <w:shd w:val="clear" w:color="auto" w:fill="BFBFBF" w:themeFill="background1" w:themeFillShade="BF"/>
          </w:tcPr>
          <w:p w:rsidR="00166F2A" w:rsidP="00166F2A" w:rsidRDefault="00166F2A">
            <w:pPr>
              <w:spacing w:after="0"/>
              <w:rPr>
                <w:rFonts w:ascii="Verdana" w:hAnsi="Verdana"/>
                <w:b/>
                <w:bCs/>
                <w:sz w:val="16"/>
                <w:szCs w:val="16"/>
              </w:rPr>
            </w:pPr>
          </w:p>
          <w:p w:rsidRPr="00166F2A" w:rsidR="00166F2A" w:rsidP="00166F2A" w:rsidRDefault="00166F2A">
            <w:pPr>
              <w:spacing w:after="0"/>
              <w:rPr>
                <w:rFonts w:ascii="Verdana" w:hAnsi="Verdana"/>
                <w:b/>
                <w:bCs/>
                <w:sz w:val="16"/>
                <w:szCs w:val="16"/>
              </w:rPr>
            </w:pPr>
            <w:r w:rsidRPr="00166F2A">
              <w:rPr>
                <w:rFonts w:ascii="Verdana" w:hAnsi="Verdana"/>
                <w:b/>
                <w:bCs/>
                <w:sz w:val="16"/>
                <w:szCs w:val="16"/>
              </w:rPr>
              <w:t>Benzine</w:t>
            </w:r>
          </w:p>
        </w:tc>
        <w:tc>
          <w:tcPr>
            <w:tcW w:w="1233" w:type="dxa"/>
            <w:tcBorders>
              <w:top w:val="single" w:color="auto" w:sz="4" w:space="0"/>
            </w:tcBorders>
            <w:shd w:val="clear" w:color="auto" w:fill="BFBFBF" w:themeFill="background1" w:themeFillShade="BF"/>
          </w:tcPr>
          <w:p w:rsidRPr="00166F2A" w:rsidR="00166F2A" w:rsidP="00166F2A" w:rsidRDefault="00166F2A">
            <w:pPr>
              <w:spacing w:after="0"/>
              <w:rPr>
                <w:rFonts w:ascii="Verdana" w:hAnsi="Verdana"/>
                <w:b/>
                <w:bCs/>
                <w:sz w:val="16"/>
                <w:szCs w:val="16"/>
              </w:rPr>
            </w:pPr>
          </w:p>
        </w:tc>
        <w:tc>
          <w:tcPr>
            <w:tcW w:w="1234" w:type="dxa"/>
            <w:tcBorders>
              <w:top w:val="single" w:color="auto" w:sz="4" w:space="0"/>
            </w:tcBorders>
            <w:shd w:val="clear" w:color="auto" w:fill="BFBFBF" w:themeFill="background1" w:themeFillShade="BF"/>
          </w:tcPr>
          <w:p w:rsidRPr="00166F2A" w:rsidR="00166F2A" w:rsidP="00166F2A" w:rsidRDefault="00166F2A">
            <w:pPr>
              <w:spacing w:after="0"/>
              <w:rPr>
                <w:rFonts w:ascii="Verdana" w:hAnsi="Verdana"/>
                <w:b/>
                <w:bCs/>
                <w:sz w:val="16"/>
                <w:szCs w:val="16"/>
              </w:rPr>
            </w:pPr>
          </w:p>
        </w:tc>
        <w:tc>
          <w:tcPr>
            <w:tcW w:w="1234" w:type="dxa"/>
            <w:tcBorders>
              <w:top w:val="single" w:color="auto" w:sz="4" w:space="0"/>
            </w:tcBorders>
            <w:shd w:val="clear" w:color="auto" w:fill="BFBFBF" w:themeFill="background1" w:themeFillShade="BF"/>
          </w:tcPr>
          <w:p w:rsidRPr="00166F2A" w:rsidR="00166F2A" w:rsidP="00166F2A" w:rsidRDefault="00166F2A">
            <w:pPr>
              <w:spacing w:after="0"/>
              <w:rPr>
                <w:rFonts w:ascii="Verdana" w:hAnsi="Verdana"/>
                <w:b/>
                <w:bCs/>
                <w:sz w:val="16"/>
                <w:szCs w:val="16"/>
              </w:rPr>
            </w:pPr>
          </w:p>
        </w:tc>
        <w:tc>
          <w:tcPr>
            <w:tcW w:w="1234" w:type="dxa"/>
            <w:tcBorders>
              <w:top w:val="single" w:color="auto" w:sz="4" w:space="0"/>
            </w:tcBorders>
            <w:shd w:val="clear" w:color="auto" w:fill="BFBFBF" w:themeFill="background1" w:themeFillShade="BF"/>
          </w:tcPr>
          <w:p w:rsidRPr="00166F2A" w:rsidR="00166F2A" w:rsidP="00166F2A" w:rsidRDefault="00166F2A">
            <w:pPr>
              <w:spacing w:after="0"/>
              <w:rPr>
                <w:rFonts w:ascii="Verdana" w:hAnsi="Verdana"/>
                <w:b/>
                <w:bCs/>
                <w:sz w:val="16"/>
                <w:szCs w:val="16"/>
              </w:rPr>
            </w:pPr>
          </w:p>
        </w:tc>
        <w:tc>
          <w:tcPr>
            <w:tcW w:w="1234" w:type="dxa"/>
            <w:tcBorders>
              <w:top w:val="single" w:color="auto" w:sz="4" w:space="0"/>
            </w:tcBorders>
            <w:shd w:val="clear" w:color="auto" w:fill="BFBFBF" w:themeFill="background1" w:themeFillShade="BF"/>
          </w:tcPr>
          <w:p w:rsidRPr="00166F2A" w:rsidR="00166F2A" w:rsidP="00166F2A" w:rsidRDefault="00166F2A">
            <w:pPr>
              <w:spacing w:after="0"/>
              <w:rPr>
                <w:rFonts w:ascii="Verdana" w:hAnsi="Verdana"/>
                <w:b/>
                <w:bCs/>
                <w:sz w:val="16"/>
                <w:szCs w:val="16"/>
              </w:rPr>
            </w:pPr>
          </w:p>
        </w:tc>
        <w:tc>
          <w:tcPr>
            <w:tcW w:w="1234" w:type="dxa"/>
            <w:tcBorders>
              <w:top w:val="single" w:color="auto" w:sz="4" w:space="0"/>
            </w:tcBorders>
            <w:shd w:val="clear" w:color="auto" w:fill="BFBFBF" w:themeFill="background1" w:themeFillShade="BF"/>
          </w:tcPr>
          <w:p w:rsidRPr="00166F2A" w:rsidR="00166F2A" w:rsidP="00166F2A" w:rsidRDefault="00166F2A">
            <w:pPr>
              <w:spacing w:after="0"/>
              <w:rPr>
                <w:rFonts w:ascii="Verdana" w:hAnsi="Verdana"/>
                <w:b/>
                <w:bCs/>
                <w:sz w:val="16"/>
                <w:szCs w:val="16"/>
              </w:rPr>
            </w:pPr>
          </w:p>
        </w:tc>
      </w:tr>
      <w:tr w:rsidRPr="00166F2A" w:rsidR="00166F2A" w:rsidTr="00907088">
        <w:tc>
          <w:tcPr>
            <w:tcW w:w="1809" w:type="dxa"/>
          </w:tcPr>
          <w:p w:rsidR="00166F2A" w:rsidP="00166F2A" w:rsidRDefault="00166F2A">
            <w:pPr>
              <w:spacing w:after="0"/>
              <w:rPr>
                <w:rFonts w:ascii="Verdana" w:hAnsi="Verdana"/>
                <w:bCs/>
                <w:sz w:val="16"/>
                <w:szCs w:val="16"/>
              </w:rPr>
            </w:pPr>
          </w:p>
          <w:p w:rsidRPr="00166F2A" w:rsidR="00166F2A" w:rsidP="00166F2A" w:rsidRDefault="00166F2A">
            <w:pPr>
              <w:spacing w:after="0"/>
              <w:rPr>
                <w:rFonts w:ascii="Verdana" w:hAnsi="Verdana"/>
                <w:bCs/>
                <w:sz w:val="16"/>
                <w:szCs w:val="16"/>
              </w:rPr>
            </w:pPr>
            <w:r w:rsidRPr="00166F2A">
              <w:rPr>
                <w:rFonts w:ascii="Verdana" w:hAnsi="Verdana"/>
                <w:bCs/>
                <w:sz w:val="16"/>
                <w:szCs w:val="16"/>
              </w:rPr>
              <w:t>14% bijtelling</w:t>
            </w:r>
          </w:p>
        </w:tc>
        <w:tc>
          <w:tcPr>
            <w:tcW w:w="1233" w:type="dxa"/>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&lt;111</w:t>
            </w:r>
          </w:p>
        </w:tc>
        <w:tc>
          <w:tcPr>
            <w:tcW w:w="1234" w:type="dxa"/>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&lt;111</w:t>
            </w:r>
          </w:p>
        </w:tc>
        <w:tc>
          <w:tcPr>
            <w:tcW w:w="1234" w:type="dxa"/>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&lt;103</w:t>
            </w:r>
          </w:p>
        </w:tc>
        <w:tc>
          <w:tcPr>
            <w:tcW w:w="1234" w:type="dxa"/>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&lt;96</w:t>
            </w:r>
          </w:p>
        </w:tc>
        <w:tc>
          <w:tcPr>
            <w:tcW w:w="1234" w:type="dxa"/>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&lt;89</w:t>
            </w:r>
          </w:p>
        </w:tc>
        <w:tc>
          <w:tcPr>
            <w:tcW w:w="1234" w:type="dxa"/>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&lt;83</w:t>
            </w:r>
          </w:p>
        </w:tc>
      </w:tr>
      <w:tr w:rsidRPr="00166F2A" w:rsidR="00166F2A" w:rsidTr="00907088">
        <w:tc>
          <w:tcPr>
            <w:tcW w:w="1809" w:type="dxa"/>
          </w:tcPr>
          <w:p w:rsidR="00166F2A" w:rsidP="00166F2A" w:rsidRDefault="00166F2A">
            <w:pPr>
              <w:spacing w:after="0"/>
              <w:rPr>
                <w:rFonts w:ascii="Verdana" w:hAnsi="Verdana"/>
                <w:bCs/>
                <w:sz w:val="16"/>
                <w:szCs w:val="16"/>
              </w:rPr>
            </w:pPr>
          </w:p>
          <w:p w:rsidRPr="00166F2A" w:rsidR="00166F2A" w:rsidP="00166F2A" w:rsidRDefault="00166F2A">
            <w:pPr>
              <w:spacing w:after="0"/>
              <w:rPr>
                <w:rFonts w:ascii="Verdana" w:hAnsi="Verdana"/>
                <w:bCs/>
                <w:sz w:val="16"/>
                <w:szCs w:val="16"/>
              </w:rPr>
            </w:pPr>
            <w:r w:rsidRPr="00166F2A">
              <w:rPr>
                <w:rFonts w:ascii="Verdana" w:hAnsi="Verdana"/>
                <w:bCs/>
                <w:sz w:val="16"/>
                <w:szCs w:val="16"/>
              </w:rPr>
              <w:t>20% bijtelling</w:t>
            </w:r>
          </w:p>
        </w:tc>
        <w:tc>
          <w:tcPr>
            <w:tcW w:w="1233" w:type="dxa"/>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111-140</w:t>
            </w:r>
          </w:p>
        </w:tc>
        <w:tc>
          <w:tcPr>
            <w:tcW w:w="1234" w:type="dxa"/>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111-140</w:t>
            </w:r>
          </w:p>
        </w:tc>
        <w:tc>
          <w:tcPr>
            <w:tcW w:w="1234" w:type="dxa"/>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103-132</w:t>
            </w:r>
          </w:p>
        </w:tc>
        <w:tc>
          <w:tcPr>
            <w:tcW w:w="1234" w:type="dxa"/>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96-124</w:t>
            </w:r>
          </w:p>
        </w:tc>
        <w:tc>
          <w:tcPr>
            <w:tcW w:w="1234" w:type="dxa"/>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89-117</w:t>
            </w:r>
          </w:p>
        </w:tc>
        <w:tc>
          <w:tcPr>
            <w:tcW w:w="1234" w:type="dxa"/>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83-110</w:t>
            </w:r>
          </w:p>
        </w:tc>
      </w:tr>
      <w:tr w:rsidRPr="00166F2A" w:rsidR="00166F2A" w:rsidTr="00907088">
        <w:tc>
          <w:tcPr>
            <w:tcW w:w="1809" w:type="dxa"/>
            <w:shd w:val="clear" w:color="auto" w:fill="BFBFBF" w:themeFill="background1" w:themeFillShade="BF"/>
          </w:tcPr>
          <w:p w:rsidR="00166F2A" w:rsidP="00166F2A" w:rsidRDefault="00166F2A">
            <w:pPr>
              <w:spacing w:after="0"/>
              <w:rPr>
                <w:rFonts w:ascii="Verdana" w:hAnsi="Verdana"/>
                <w:b/>
                <w:bCs/>
                <w:sz w:val="16"/>
                <w:szCs w:val="16"/>
              </w:rPr>
            </w:pPr>
          </w:p>
          <w:p w:rsidRPr="00166F2A" w:rsidR="00166F2A" w:rsidP="00166F2A" w:rsidRDefault="00166F2A">
            <w:pPr>
              <w:spacing w:after="0"/>
              <w:rPr>
                <w:rFonts w:ascii="Verdana" w:hAnsi="Verdana"/>
                <w:b/>
                <w:bCs/>
                <w:sz w:val="16"/>
                <w:szCs w:val="16"/>
              </w:rPr>
            </w:pPr>
            <w:r w:rsidRPr="00166F2A">
              <w:rPr>
                <w:rFonts w:ascii="Verdana" w:hAnsi="Verdana"/>
                <w:b/>
                <w:bCs/>
                <w:sz w:val="16"/>
                <w:szCs w:val="16"/>
              </w:rPr>
              <w:t>Diesel</w:t>
            </w:r>
          </w:p>
        </w:tc>
        <w:tc>
          <w:tcPr>
            <w:tcW w:w="1233" w:type="dxa"/>
            <w:shd w:val="clear" w:color="auto" w:fill="BFBFBF" w:themeFill="background1" w:themeFillShade="BF"/>
          </w:tcPr>
          <w:p w:rsidRPr="00166F2A" w:rsidR="00166F2A" w:rsidP="00166F2A" w:rsidRDefault="00166F2A">
            <w:pPr>
              <w:spacing w:after="0"/>
              <w:rPr>
                <w:rFonts w:ascii="Verdana" w:hAnsi="Verdana"/>
                <w:b/>
                <w:bCs/>
                <w:sz w:val="16"/>
                <w:szCs w:val="16"/>
              </w:rPr>
            </w:pPr>
          </w:p>
        </w:tc>
        <w:tc>
          <w:tcPr>
            <w:tcW w:w="1234" w:type="dxa"/>
            <w:shd w:val="clear" w:color="auto" w:fill="BFBFBF" w:themeFill="background1" w:themeFillShade="BF"/>
          </w:tcPr>
          <w:p w:rsidRPr="00166F2A" w:rsidR="00166F2A" w:rsidP="00166F2A" w:rsidRDefault="00166F2A">
            <w:pPr>
              <w:spacing w:after="0"/>
              <w:rPr>
                <w:rFonts w:ascii="Verdana" w:hAnsi="Verdana"/>
                <w:b/>
                <w:bCs/>
                <w:sz w:val="16"/>
                <w:szCs w:val="16"/>
              </w:rPr>
            </w:pPr>
          </w:p>
        </w:tc>
        <w:tc>
          <w:tcPr>
            <w:tcW w:w="1234" w:type="dxa"/>
            <w:shd w:val="clear" w:color="auto" w:fill="BFBFBF" w:themeFill="background1" w:themeFillShade="BF"/>
          </w:tcPr>
          <w:p w:rsidRPr="00166F2A" w:rsidR="00166F2A" w:rsidP="00166F2A" w:rsidRDefault="00166F2A">
            <w:pPr>
              <w:spacing w:after="0"/>
              <w:rPr>
                <w:rFonts w:ascii="Verdana" w:hAnsi="Verdana"/>
                <w:b/>
                <w:bCs/>
                <w:sz w:val="16"/>
                <w:szCs w:val="16"/>
              </w:rPr>
            </w:pPr>
          </w:p>
        </w:tc>
        <w:tc>
          <w:tcPr>
            <w:tcW w:w="1234" w:type="dxa"/>
            <w:shd w:val="clear" w:color="auto" w:fill="BFBFBF" w:themeFill="background1" w:themeFillShade="BF"/>
          </w:tcPr>
          <w:p w:rsidRPr="00166F2A" w:rsidR="00166F2A" w:rsidP="00166F2A" w:rsidRDefault="00166F2A">
            <w:pPr>
              <w:spacing w:after="0"/>
              <w:rPr>
                <w:rFonts w:ascii="Verdana" w:hAnsi="Verdana"/>
                <w:b/>
                <w:bCs/>
                <w:sz w:val="16"/>
                <w:szCs w:val="16"/>
              </w:rPr>
            </w:pPr>
          </w:p>
        </w:tc>
        <w:tc>
          <w:tcPr>
            <w:tcW w:w="1234" w:type="dxa"/>
            <w:shd w:val="clear" w:color="auto" w:fill="BFBFBF" w:themeFill="background1" w:themeFillShade="BF"/>
          </w:tcPr>
          <w:p w:rsidRPr="00166F2A" w:rsidR="00166F2A" w:rsidP="00166F2A" w:rsidRDefault="00166F2A">
            <w:pPr>
              <w:spacing w:after="0"/>
              <w:rPr>
                <w:rFonts w:ascii="Verdana" w:hAnsi="Verdana"/>
                <w:b/>
                <w:bCs/>
                <w:sz w:val="16"/>
                <w:szCs w:val="16"/>
              </w:rPr>
            </w:pPr>
          </w:p>
        </w:tc>
        <w:tc>
          <w:tcPr>
            <w:tcW w:w="1234" w:type="dxa"/>
            <w:shd w:val="clear" w:color="auto" w:fill="BFBFBF" w:themeFill="background1" w:themeFillShade="BF"/>
          </w:tcPr>
          <w:p w:rsidRPr="00166F2A" w:rsidR="00166F2A" w:rsidP="00166F2A" w:rsidRDefault="00166F2A">
            <w:pPr>
              <w:spacing w:after="0"/>
              <w:rPr>
                <w:rFonts w:ascii="Verdana" w:hAnsi="Verdana"/>
                <w:b/>
                <w:bCs/>
                <w:sz w:val="16"/>
                <w:szCs w:val="16"/>
              </w:rPr>
            </w:pPr>
          </w:p>
        </w:tc>
      </w:tr>
      <w:tr w:rsidRPr="00166F2A" w:rsidR="00166F2A" w:rsidTr="00907088">
        <w:tc>
          <w:tcPr>
            <w:tcW w:w="1809" w:type="dxa"/>
          </w:tcPr>
          <w:p w:rsidR="00166F2A" w:rsidP="00166F2A" w:rsidRDefault="00166F2A">
            <w:pPr>
              <w:spacing w:after="0"/>
              <w:rPr>
                <w:rFonts w:ascii="Verdana" w:hAnsi="Verdana"/>
                <w:bCs/>
                <w:sz w:val="16"/>
                <w:szCs w:val="16"/>
              </w:rPr>
            </w:pPr>
          </w:p>
          <w:p w:rsidRPr="00166F2A" w:rsidR="00166F2A" w:rsidP="00166F2A" w:rsidRDefault="00166F2A">
            <w:pPr>
              <w:spacing w:after="0"/>
              <w:rPr>
                <w:rFonts w:ascii="Verdana" w:hAnsi="Verdana"/>
                <w:bCs/>
                <w:sz w:val="16"/>
                <w:szCs w:val="16"/>
              </w:rPr>
            </w:pPr>
            <w:r w:rsidRPr="00166F2A">
              <w:rPr>
                <w:rFonts w:ascii="Verdana" w:hAnsi="Verdana"/>
                <w:bCs/>
                <w:sz w:val="16"/>
                <w:szCs w:val="16"/>
              </w:rPr>
              <w:t>14% bijtelling</w:t>
            </w:r>
          </w:p>
        </w:tc>
        <w:tc>
          <w:tcPr>
            <w:tcW w:w="1233" w:type="dxa"/>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&lt;96</w:t>
            </w:r>
          </w:p>
        </w:tc>
        <w:tc>
          <w:tcPr>
            <w:tcW w:w="1234" w:type="dxa"/>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&lt;96</w:t>
            </w:r>
          </w:p>
        </w:tc>
        <w:tc>
          <w:tcPr>
            <w:tcW w:w="1234" w:type="dxa"/>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&lt;92</w:t>
            </w:r>
          </w:p>
        </w:tc>
        <w:tc>
          <w:tcPr>
            <w:tcW w:w="1234" w:type="dxa"/>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&lt;89</w:t>
            </w:r>
          </w:p>
        </w:tc>
        <w:tc>
          <w:tcPr>
            <w:tcW w:w="1234" w:type="dxa"/>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&lt;86</w:t>
            </w:r>
          </w:p>
        </w:tc>
        <w:tc>
          <w:tcPr>
            <w:tcW w:w="1234" w:type="dxa"/>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&lt;83</w:t>
            </w:r>
          </w:p>
        </w:tc>
      </w:tr>
      <w:tr w:rsidRPr="00166F2A" w:rsidR="00166F2A" w:rsidTr="00907088">
        <w:tc>
          <w:tcPr>
            <w:tcW w:w="1809" w:type="dxa"/>
            <w:tcBorders>
              <w:bottom w:val="single" w:color="auto" w:sz="4" w:space="0"/>
            </w:tcBorders>
          </w:tcPr>
          <w:p w:rsidR="00166F2A" w:rsidP="00166F2A" w:rsidRDefault="00166F2A">
            <w:pPr>
              <w:spacing w:after="0"/>
              <w:rPr>
                <w:rFonts w:ascii="Verdana" w:hAnsi="Verdana"/>
                <w:bCs/>
                <w:sz w:val="16"/>
                <w:szCs w:val="16"/>
              </w:rPr>
            </w:pPr>
          </w:p>
          <w:p w:rsidRPr="00166F2A" w:rsidR="00166F2A" w:rsidP="00166F2A" w:rsidRDefault="00166F2A">
            <w:pPr>
              <w:spacing w:after="0"/>
              <w:rPr>
                <w:rFonts w:ascii="Verdana" w:hAnsi="Verdana"/>
                <w:bCs/>
                <w:sz w:val="16"/>
                <w:szCs w:val="16"/>
              </w:rPr>
            </w:pPr>
            <w:r w:rsidRPr="00166F2A">
              <w:rPr>
                <w:rFonts w:ascii="Verdana" w:hAnsi="Verdana"/>
                <w:bCs/>
                <w:sz w:val="16"/>
                <w:szCs w:val="16"/>
              </w:rPr>
              <w:t>20% bijtelling</w:t>
            </w:r>
          </w:p>
        </w:tc>
        <w:tc>
          <w:tcPr>
            <w:tcW w:w="1233" w:type="dxa"/>
            <w:tcBorders>
              <w:bottom w:val="single" w:color="auto" w:sz="4" w:space="0"/>
            </w:tcBorders>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96-116</w:t>
            </w:r>
          </w:p>
        </w:tc>
        <w:tc>
          <w:tcPr>
            <w:tcW w:w="1234" w:type="dxa"/>
            <w:tcBorders>
              <w:bottom w:val="single" w:color="auto" w:sz="4" w:space="0"/>
            </w:tcBorders>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96-116</w:t>
            </w:r>
          </w:p>
        </w:tc>
        <w:tc>
          <w:tcPr>
            <w:tcW w:w="1234" w:type="dxa"/>
            <w:tcBorders>
              <w:bottom w:val="single" w:color="auto" w:sz="4" w:space="0"/>
            </w:tcBorders>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92-114</w:t>
            </w:r>
          </w:p>
        </w:tc>
        <w:tc>
          <w:tcPr>
            <w:tcW w:w="1234" w:type="dxa"/>
            <w:tcBorders>
              <w:bottom w:val="single" w:color="auto" w:sz="4" w:space="0"/>
            </w:tcBorders>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89-112</w:t>
            </w:r>
          </w:p>
        </w:tc>
        <w:tc>
          <w:tcPr>
            <w:tcW w:w="1234" w:type="dxa"/>
            <w:tcBorders>
              <w:bottom w:val="single" w:color="auto" w:sz="4" w:space="0"/>
            </w:tcBorders>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86-111</w:t>
            </w:r>
          </w:p>
        </w:tc>
        <w:tc>
          <w:tcPr>
            <w:tcW w:w="1234" w:type="dxa"/>
            <w:tcBorders>
              <w:bottom w:val="single" w:color="auto" w:sz="4" w:space="0"/>
            </w:tcBorders>
            <w:vAlign w:val="bottom"/>
          </w:tcPr>
          <w:p w:rsidRPr="00166F2A" w:rsidR="00166F2A" w:rsidP="00166F2A" w:rsidRDefault="00166F2A">
            <w:pPr>
              <w:spacing w:after="0"/>
              <w:rPr>
                <w:rFonts w:ascii="Verdana" w:hAnsi="Verdana"/>
                <w:bCs/>
                <w:sz w:val="16"/>
                <w:szCs w:val="16"/>
              </w:rPr>
            </w:pPr>
            <w:r w:rsidRPr="00166F2A">
              <w:rPr>
                <w:rFonts w:ascii="Verdana" w:hAnsi="Verdana"/>
                <w:bCs/>
                <w:sz w:val="16"/>
                <w:szCs w:val="16"/>
              </w:rPr>
              <w:t>83-110</w:t>
            </w:r>
          </w:p>
        </w:tc>
      </w:tr>
    </w:tbl>
    <w:p w:rsidRPr="00166F2A" w:rsidR="00166F2A" w:rsidP="00166F2A" w:rsidRDefault="00166F2A">
      <w:pPr>
        <w:spacing w:after="0"/>
        <w:rPr>
          <w:bCs/>
          <w:sz w:val="16"/>
          <w:szCs w:val="16"/>
        </w:rPr>
      </w:pPr>
      <w:r w:rsidRPr="00166F2A">
        <w:rPr>
          <w:bCs/>
          <w:sz w:val="16"/>
          <w:szCs w:val="16"/>
        </w:rPr>
        <w:t>Bron: Ecorys CARbonTAX model</w:t>
      </w:r>
    </w:p>
    <w:p w:rsidRPr="00166F2A" w:rsidR="008D1BFF" w:rsidP="00781CF8" w:rsidRDefault="008D1BFF">
      <w:pPr>
        <w:spacing w:after="0"/>
        <w:rPr>
          <w:b/>
          <w:bCs/>
          <w:sz w:val="18"/>
          <w:szCs w:val="18"/>
        </w:rPr>
      </w:pPr>
    </w:p>
    <w:p w:rsidRPr="005E0987" w:rsidR="00166F2A" w:rsidP="005E0987" w:rsidRDefault="009C2E1C">
      <w:pPr>
        <w:pStyle w:val="Kop3"/>
        <w:rPr>
          <w:rFonts w:ascii="Verdana" w:hAnsi="Verdana"/>
          <w:b w:val="0"/>
          <w:i/>
          <w:color w:val="auto"/>
          <w:sz w:val="18"/>
          <w:szCs w:val="18"/>
        </w:rPr>
      </w:pPr>
      <w:bookmarkStart w:name="_Toc293998532" w:id="20"/>
      <w:r w:rsidRPr="005E0987">
        <w:rPr>
          <w:rFonts w:ascii="Verdana" w:hAnsi="Verdana"/>
          <w:b w:val="0"/>
          <w:i/>
          <w:color w:val="auto"/>
          <w:sz w:val="18"/>
          <w:szCs w:val="18"/>
        </w:rPr>
        <w:t>3.5.5. Samenvattend</w:t>
      </w:r>
      <w:bookmarkEnd w:id="20"/>
    </w:p>
    <w:p w:rsidR="009C2E1C" w:rsidP="009C2E1C" w:rsidRDefault="009C2E1C">
      <w:pPr>
        <w:spacing w:after="0"/>
        <w:rPr>
          <w:sz w:val="18"/>
          <w:szCs w:val="18"/>
        </w:rPr>
      </w:pPr>
      <w:r>
        <w:rPr>
          <w:sz w:val="18"/>
          <w:szCs w:val="18"/>
        </w:rPr>
        <w:t xml:space="preserve">De verschillende </w:t>
      </w:r>
      <w:r w:rsidR="009E75A4">
        <w:rPr>
          <w:sz w:val="18"/>
          <w:szCs w:val="18"/>
        </w:rPr>
        <w:t xml:space="preserve">door Ecorys voorgestelde </w:t>
      </w:r>
      <w:r>
        <w:rPr>
          <w:sz w:val="18"/>
          <w:szCs w:val="18"/>
        </w:rPr>
        <w:t xml:space="preserve">maatregelen in de BPM, de MRB en de bijtelling hebben gevolgen voor de omvang en samenstelling van de nieuw te verkopen personenauto’s. </w:t>
      </w:r>
      <w:r w:rsidR="00477308">
        <w:rPr>
          <w:sz w:val="18"/>
          <w:szCs w:val="18"/>
        </w:rPr>
        <w:t xml:space="preserve">Het aantal </w:t>
      </w:r>
      <w:r>
        <w:rPr>
          <w:sz w:val="18"/>
          <w:szCs w:val="18"/>
        </w:rPr>
        <w:t xml:space="preserve"> vrijgestelde auto’s </w:t>
      </w:r>
      <w:r w:rsidR="00477308">
        <w:rPr>
          <w:sz w:val="18"/>
          <w:szCs w:val="18"/>
        </w:rPr>
        <w:t xml:space="preserve">zal </w:t>
      </w:r>
      <w:r>
        <w:rPr>
          <w:sz w:val="18"/>
          <w:szCs w:val="18"/>
        </w:rPr>
        <w:t>uiteraard dalen</w:t>
      </w:r>
      <w:r w:rsidR="00256F4C">
        <w:rPr>
          <w:sz w:val="18"/>
          <w:szCs w:val="18"/>
        </w:rPr>
        <w:t xml:space="preserve"> en</w:t>
      </w:r>
      <w:r>
        <w:rPr>
          <w:sz w:val="18"/>
          <w:szCs w:val="18"/>
        </w:rPr>
        <w:t xml:space="preserve"> </w:t>
      </w:r>
      <w:r w:rsidR="00256F4C">
        <w:rPr>
          <w:sz w:val="18"/>
          <w:szCs w:val="18"/>
        </w:rPr>
        <w:t xml:space="preserve">het belang van de </w:t>
      </w:r>
      <w:r>
        <w:rPr>
          <w:sz w:val="18"/>
          <w:szCs w:val="18"/>
        </w:rPr>
        <w:t xml:space="preserve">verschillende </w:t>
      </w:r>
      <w:r w:rsidR="00256F4C">
        <w:rPr>
          <w:sz w:val="18"/>
          <w:szCs w:val="18"/>
        </w:rPr>
        <w:t xml:space="preserve">schijven wijzigt. Meer concreet zal het samenstel van maatregelen </w:t>
      </w:r>
      <w:r w:rsidRPr="00954E12">
        <w:rPr>
          <w:sz w:val="18"/>
          <w:szCs w:val="18"/>
        </w:rPr>
        <w:t xml:space="preserve">er volgens Ecorys toe </w:t>
      </w:r>
      <w:r w:rsidR="00256F4C">
        <w:rPr>
          <w:sz w:val="18"/>
          <w:szCs w:val="18"/>
        </w:rPr>
        <w:t xml:space="preserve">leiden </w:t>
      </w:r>
      <w:r w:rsidRPr="00954E12">
        <w:rPr>
          <w:sz w:val="18"/>
          <w:szCs w:val="18"/>
        </w:rPr>
        <w:t>dat het aantal van BPM vrijgestelde personenauto’s wordt teruggebracht van 33% in het eerste kwartaal 2011 naar zo’n 12% in 2015. Daarnaast loopt het aandeel in de 2</w:t>
      </w:r>
      <w:r w:rsidRPr="00954E12">
        <w:rPr>
          <w:sz w:val="18"/>
          <w:szCs w:val="18"/>
          <w:vertAlign w:val="superscript"/>
        </w:rPr>
        <w:t>de</w:t>
      </w:r>
      <w:r w:rsidRPr="00954E12">
        <w:rPr>
          <w:sz w:val="18"/>
          <w:szCs w:val="18"/>
        </w:rPr>
        <w:t xml:space="preserve"> schijf </w:t>
      </w:r>
      <w:r w:rsidR="00256F4C">
        <w:rPr>
          <w:sz w:val="18"/>
          <w:szCs w:val="18"/>
        </w:rPr>
        <w:t xml:space="preserve">van de BPM </w:t>
      </w:r>
      <w:r w:rsidRPr="00954E12">
        <w:rPr>
          <w:sz w:val="18"/>
          <w:szCs w:val="18"/>
        </w:rPr>
        <w:t>op van 11% naar 32% in 2015, en het aandeel in de 3</w:t>
      </w:r>
      <w:r w:rsidRPr="00954E12">
        <w:rPr>
          <w:sz w:val="18"/>
          <w:szCs w:val="18"/>
          <w:vertAlign w:val="superscript"/>
        </w:rPr>
        <w:t>de</w:t>
      </w:r>
      <w:r w:rsidRPr="00954E12">
        <w:rPr>
          <w:sz w:val="18"/>
          <w:szCs w:val="18"/>
        </w:rPr>
        <w:t xml:space="preserve"> schijf van </w:t>
      </w:r>
      <w:r w:rsidR="009E75A4">
        <w:rPr>
          <w:sz w:val="18"/>
          <w:szCs w:val="18"/>
        </w:rPr>
        <w:t xml:space="preserve">zo’n </w:t>
      </w:r>
      <w:r w:rsidRPr="00954E12">
        <w:rPr>
          <w:sz w:val="18"/>
          <w:szCs w:val="18"/>
        </w:rPr>
        <w:t xml:space="preserve">0% in 2011 tot 10% in 2015. Dit is het gevolg van het relatief veel sterker aanscherpen van de grenzen </w:t>
      </w:r>
      <w:r w:rsidR="009E75A4">
        <w:rPr>
          <w:sz w:val="18"/>
          <w:szCs w:val="18"/>
        </w:rPr>
        <w:t xml:space="preserve">van de </w:t>
      </w:r>
      <w:r w:rsidRPr="00954E12">
        <w:rPr>
          <w:sz w:val="18"/>
          <w:szCs w:val="18"/>
        </w:rPr>
        <w:t>2</w:t>
      </w:r>
      <w:r w:rsidRPr="00954E12">
        <w:rPr>
          <w:sz w:val="18"/>
          <w:szCs w:val="18"/>
          <w:vertAlign w:val="superscript"/>
        </w:rPr>
        <w:t>de</w:t>
      </w:r>
      <w:r w:rsidRPr="00954E12">
        <w:rPr>
          <w:sz w:val="18"/>
          <w:szCs w:val="18"/>
        </w:rPr>
        <w:t xml:space="preserve"> en 3</w:t>
      </w:r>
      <w:r w:rsidRPr="00954E12">
        <w:rPr>
          <w:sz w:val="18"/>
          <w:szCs w:val="18"/>
          <w:vertAlign w:val="superscript"/>
        </w:rPr>
        <w:t>de</w:t>
      </w:r>
      <w:r w:rsidRPr="00954E12">
        <w:rPr>
          <w:sz w:val="18"/>
          <w:szCs w:val="18"/>
        </w:rPr>
        <w:t xml:space="preserve"> schijf. Het dalende percentage vrijgestelde auto’s enerzijds, en de toename van het percentage auto’s dat in de 2</w:t>
      </w:r>
      <w:r w:rsidRPr="00954E12">
        <w:rPr>
          <w:sz w:val="18"/>
          <w:szCs w:val="18"/>
          <w:vertAlign w:val="superscript"/>
        </w:rPr>
        <w:t>de</w:t>
      </w:r>
      <w:r w:rsidRPr="00954E12">
        <w:rPr>
          <w:sz w:val="18"/>
          <w:szCs w:val="18"/>
        </w:rPr>
        <w:t xml:space="preserve"> en 3</w:t>
      </w:r>
      <w:r w:rsidRPr="00954E12">
        <w:rPr>
          <w:sz w:val="18"/>
          <w:szCs w:val="18"/>
          <w:vertAlign w:val="superscript"/>
        </w:rPr>
        <w:t>de</w:t>
      </w:r>
      <w:r w:rsidRPr="00954E12">
        <w:rPr>
          <w:sz w:val="18"/>
          <w:szCs w:val="18"/>
        </w:rPr>
        <w:t xml:space="preserve"> schijf valt anderzijds, </w:t>
      </w:r>
      <w:r w:rsidR="00477308">
        <w:rPr>
          <w:sz w:val="18"/>
          <w:szCs w:val="18"/>
        </w:rPr>
        <w:t xml:space="preserve">hebben </w:t>
      </w:r>
      <w:r w:rsidRPr="00954E12">
        <w:rPr>
          <w:sz w:val="18"/>
          <w:szCs w:val="18"/>
        </w:rPr>
        <w:t>tot gevolg dat de tarieven vanaf 2013 iets dalen, zodat de macro-opbrengst gelijk blijft.</w:t>
      </w:r>
    </w:p>
    <w:p w:rsidR="009C2E1C" w:rsidP="009C2E1C" w:rsidRDefault="009C2E1C">
      <w:pPr>
        <w:spacing w:after="0"/>
        <w:rPr>
          <w:sz w:val="18"/>
          <w:szCs w:val="18"/>
        </w:rPr>
      </w:pPr>
    </w:p>
    <w:p w:rsidR="0026455C" w:rsidRDefault="0026455C">
      <w:pPr>
        <w:spacing w:after="0" w:line="240" w:lineRule="auto"/>
        <w:rPr>
          <w:b/>
          <w:i/>
          <w:sz w:val="16"/>
          <w:szCs w:val="16"/>
        </w:rPr>
      </w:pPr>
      <w:r>
        <w:rPr>
          <w:b/>
          <w:i/>
          <w:sz w:val="16"/>
          <w:szCs w:val="16"/>
        </w:rPr>
        <w:br w:type="page"/>
      </w:r>
    </w:p>
    <w:p w:rsidRPr="005135B7" w:rsidR="009C2E1C" w:rsidP="009C2E1C" w:rsidRDefault="009C2E1C">
      <w:pPr>
        <w:spacing w:after="0"/>
        <w:rPr>
          <w:i/>
          <w:sz w:val="18"/>
          <w:szCs w:val="18"/>
        </w:rPr>
      </w:pPr>
      <w:r>
        <w:rPr>
          <w:b/>
          <w:i/>
          <w:sz w:val="16"/>
          <w:szCs w:val="16"/>
        </w:rPr>
        <w:lastRenderedPageBreak/>
        <w:t>Tabel</w:t>
      </w:r>
      <w:r w:rsidR="00256F4C">
        <w:rPr>
          <w:b/>
          <w:i/>
          <w:sz w:val="16"/>
          <w:szCs w:val="16"/>
        </w:rPr>
        <w:t xml:space="preserve"> 8</w:t>
      </w:r>
      <w:r>
        <w:rPr>
          <w:b/>
          <w:i/>
          <w:sz w:val="16"/>
          <w:szCs w:val="16"/>
        </w:rPr>
        <w:t xml:space="preserve">: </w:t>
      </w:r>
      <w:r w:rsidRPr="005135B7">
        <w:rPr>
          <w:b/>
          <w:i/>
          <w:sz w:val="16"/>
          <w:szCs w:val="16"/>
        </w:rPr>
        <w:t>Nieuwverkopen in percentages per schijf, 2010-2015</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316"/>
        <w:gridCol w:w="1316"/>
        <w:gridCol w:w="1316"/>
        <w:gridCol w:w="1316"/>
        <w:gridCol w:w="1316"/>
        <w:gridCol w:w="1316"/>
        <w:gridCol w:w="1316"/>
      </w:tblGrid>
      <w:tr w:rsidRPr="008C7706" w:rsidR="009C2E1C" w:rsidTr="009C2E1C">
        <w:trPr>
          <w:trHeight w:val="452"/>
        </w:trPr>
        <w:tc>
          <w:tcPr>
            <w:tcW w:w="1316" w:type="dxa"/>
            <w:tcBorders>
              <w:top w:val="single" w:color="auto" w:sz="4" w:space="0"/>
              <w:bottom w:val="single" w:color="auto" w:sz="4" w:space="0"/>
            </w:tcBorders>
          </w:tcPr>
          <w:p w:rsidRPr="008C7706" w:rsidR="009C2E1C" w:rsidP="009C2E1C" w:rsidRDefault="009C2E1C">
            <w:pPr>
              <w:rPr>
                <w:rFonts w:ascii="Verdana" w:hAnsi="Verdana"/>
                <w:b/>
                <w:sz w:val="16"/>
                <w:szCs w:val="16"/>
              </w:rPr>
            </w:pPr>
          </w:p>
        </w:tc>
        <w:tc>
          <w:tcPr>
            <w:tcW w:w="1316" w:type="dxa"/>
            <w:tcBorders>
              <w:top w:val="single" w:color="auto" w:sz="4" w:space="0"/>
              <w:bottom w:val="single" w:color="auto" w:sz="4" w:space="0"/>
            </w:tcBorders>
          </w:tcPr>
          <w:p w:rsidRPr="008C7706" w:rsidR="009C2E1C" w:rsidP="009C2E1C" w:rsidRDefault="009C2E1C">
            <w:pPr>
              <w:spacing w:after="100"/>
              <w:rPr>
                <w:rFonts w:ascii="Verdana" w:hAnsi="Verdana"/>
                <w:b/>
                <w:sz w:val="16"/>
                <w:szCs w:val="16"/>
              </w:rPr>
            </w:pPr>
            <w:r w:rsidRPr="008C7706">
              <w:rPr>
                <w:rFonts w:ascii="Verdana" w:hAnsi="Verdana"/>
                <w:b/>
                <w:sz w:val="16"/>
                <w:szCs w:val="16"/>
              </w:rPr>
              <w:t>2010</w:t>
            </w:r>
          </w:p>
        </w:tc>
        <w:tc>
          <w:tcPr>
            <w:tcW w:w="1316" w:type="dxa"/>
            <w:tcBorders>
              <w:top w:val="single" w:color="auto" w:sz="4" w:space="0"/>
              <w:bottom w:val="single" w:color="auto" w:sz="4" w:space="0"/>
            </w:tcBorders>
          </w:tcPr>
          <w:p w:rsidRPr="008C7706" w:rsidR="009C2E1C" w:rsidP="009C2E1C" w:rsidRDefault="009C2E1C">
            <w:pPr>
              <w:spacing w:after="100"/>
              <w:rPr>
                <w:rFonts w:ascii="Verdana" w:hAnsi="Verdana"/>
                <w:b/>
                <w:sz w:val="16"/>
                <w:szCs w:val="16"/>
              </w:rPr>
            </w:pPr>
            <w:r w:rsidRPr="008C7706">
              <w:rPr>
                <w:rFonts w:ascii="Verdana" w:hAnsi="Verdana"/>
                <w:b/>
                <w:sz w:val="16"/>
                <w:szCs w:val="16"/>
              </w:rPr>
              <w:t>2011</w:t>
            </w:r>
          </w:p>
        </w:tc>
        <w:tc>
          <w:tcPr>
            <w:tcW w:w="1316" w:type="dxa"/>
            <w:tcBorders>
              <w:top w:val="single" w:color="auto" w:sz="4" w:space="0"/>
              <w:bottom w:val="single" w:color="auto" w:sz="4" w:space="0"/>
            </w:tcBorders>
          </w:tcPr>
          <w:p w:rsidRPr="008C7706" w:rsidR="009C2E1C" w:rsidP="009C2E1C" w:rsidRDefault="009C2E1C">
            <w:pPr>
              <w:spacing w:after="100"/>
              <w:rPr>
                <w:rFonts w:ascii="Verdana" w:hAnsi="Verdana"/>
                <w:b/>
                <w:sz w:val="16"/>
                <w:szCs w:val="16"/>
              </w:rPr>
            </w:pPr>
            <w:r w:rsidRPr="008C7706">
              <w:rPr>
                <w:rFonts w:ascii="Verdana" w:hAnsi="Verdana"/>
                <w:b/>
                <w:sz w:val="16"/>
                <w:szCs w:val="16"/>
              </w:rPr>
              <w:t>2012</w:t>
            </w:r>
          </w:p>
        </w:tc>
        <w:tc>
          <w:tcPr>
            <w:tcW w:w="1316" w:type="dxa"/>
            <w:tcBorders>
              <w:top w:val="single" w:color="auto" w:sz="4" w:space="0"/>
              <w:bottom w:val="single" w:color="auto" w:sz="4" w:space="0"/>
            </w:tcBorders>
          </w:tcPr>
          <w:p w:rsidRPr="008C7706" w:rsidR="009C2E1C" w:rsidP="009C2E1C" w:rsidRDefault="009C2E1C">
            <w:pPr>
              <w:spacing w:after="100"/>
              <w:rPr>
                <w:rFonts w:ascii="Verdana" w:hAnsi="Verdana"/>
                <w:b/>
                <w:sz w:val="16"/>
                <w:szCs w:val="16"/>
              </w:rPr>
            </w:pPr>
            <w:r w:rsidRPr="008C7706">
              <w:rPr>
                <w:rFonts w:ascii="Verdana" w:hAnsi="Verdana"/>
                <w:b/>
                <w:sz w:val="16"/>
                <w:szCs w:val="16"/>
              </w:rPr>
              <w:t>2013</w:t>
            </w:r>
          </w:p>
        </w:tc>
        <w:tc>
          <w:tcPr>
            <w:tcW w:w="1316" w:type="dxa"/>
            <w:tcBorders>
              <w:top w:val="single" w:color="auto" w:sz="4" w:space="0"/>
              <w:bottom w:val="single" w:color="auto" w:sz="4" w:space="0"/>
            </w:tcBorders>
          </w:tcPr>
          <w:p w:rsidRPr="008C7706" w:rsidR="009C2E1C" w:rsidP="009C2E1C" w:rsidRDefault="009C2E1C">
            <w:pPr>
              <w:spacing w:after="100"/>
              <w:rPr>
                <w:rFonts w:ascii="Verdana" w:hAnsi="Verdana"/>
                <w:b/>
                <w:sz w:val="16"/>
                <w:szCs w:val="16"/>
              </w:rPr>
            </w:pPr>
            <w:r w:rsidRPr="008C7706">
              <w:rPr>
                <w:rFonts w:ascii="Verdana" w:hAnsi="Verdana"/>
                <w:b/>
                <w:sz w:val="16"/>
                <w:szCs w:val="16"/>
              </w:rPr>
              <w:t>2014</w:t>
            </w:r>
          </w:p>
        </w:tc>
        <w:tc>
          <w:tcPr>
            <w:tcW w:w="1316" w:type="dxa"/>
            <w:tcBorders>
              <w:top w:val="single" w:color="auto" w:sz="4" w:space="0"/>
              <w:bottom w:val="single" w:color="auto" w:sz="4" w:space="0"/>
            </w:tcBorders>
          </w:tcPr>
          <w:p w:rsidRPr="008C7706" w:rsidR="009C2E1C" w:rsidP="009C2E1C" w:rsidRDefault="009C2E1C">
            <w:pPr>
              <w:spacing w:after="100"/>
              <w:rPr>
                <w:rFonts w:ascii="Verdana" w:hAnsi="Verdana"/>
                <w:b/>
                <w:sz w:val="16"/>
                <w:szCs w:val="16"/>
              </w:rPr>
            </w:pPr>
            <w:r w:rsidRPr="008C7706">
              <w:rPr>
                <w:rFonts w:ascii="Verdana" w:hAnsi="Verdana"/>
                <w:b/>
                <w:sz w:val="16"/>
                <w:szCs w:val="16"/>
              </w:rPr>
              <w:t>2015</w:t>
            </w:r>
          </w:p>
        </w:tc>
      </w:tr>
      <w:tr w:rsidRPr="008C7706" w:rsidR="009C2E1C" w:rsidTr="009C2E1C">
        <w:trPr>
          <w:trHeight w:val="452"/>
        </w:trPr>
        <w:tc>
          <w:tcPr>
            <w:tcW w:w="1316" w:type="dxa"/>
            <w:tcBorders>
              <w:top w:val="single" w:color="auto" w:sz="4" w:space="0"/>
            </w:tcBorders>
            <w:shd w:val="clear" w:color="auto" w:fill="BFBFBF" w:themeFill="background1" w:themeFillShade="BF"/>
          </w:tcPr>
          <w:p w:rsidRPr="008C7706" w:rsidR="009C2E1C" w:rsidP="009C2E1C" w:rsidRDefault="009C2E1C">
            <w:pPr>
              <w:rPr>
                <w:rFonts w:ascii="Verdana" w:hAnsi="Verdana"/>
                <w:b/>
                <w:sz w:val="16"/>
                <w:szCs w:val="16"/>
              </w:rPr>
            </w:pPr>
            <w:r w:rsidRPr="008C7706">
              <w:rPr>
                <w:rFonts w:ascii="Verdana" w:hAnsi="Verdana"/>
                <w:b/>
                <w:sz w:val="16"/>
                <w:szCs w:val="16"/>
              </w:rPr>
              <w:t>Benzine</w:t>
            </w:r>
          </w:p>
        </w:tc>
        <w:tc>
          <w:tcPr>
            <w:tcW w:w="1316" w:type="dxa"/>
            <w:tcBorders>
              <w:top w:val="single" w:color="auto" w:sz="4" w:space="0"/>
            </w:tcBorders>
            <w:shd w:val="clear" w:color="auto" w:fill="BFBFBF" w:themeFill="background1" w:themeFillShade="BF"/>
          </w:tcPr>
          <w:p w:rsidRPr="008C7706" w:rsidR="009C2E1C" w:rsidP="009C2E1C" w:rsidRDefault="009C2E1C">
            <w:pPr>
              <w:rPr>
                <w:rFonts w:ascii="Verdana" w:hAnsi="Verdana"/>
                <w:sz w:val="16"/>
                <w:szCs w:val="16"/>
              </w:rPr>
            </w:pPr>
          </w:p>
        </w:tc>
        <w:tc>
          <w:tcPr>
            <w:tcW w:w="1316" w:type="dxa"/>
            <w:tcBorders>
              <w:top w:val="single" w:color="auto" w:sz="4" w:space="0"/>
            </w:tcBorders>
            <w:shd w:val="clear" w:color="auto" w:fill="BFBFBF" w:themeFill="background1" w:themeFillShade="BF"/>
          </w:tcPr>
          <w:p w:rsidRPr="008C7706" w:rsidR="009C2E1C" w:rsidP="009C2E1C" w:rsidRDefault="009C2E1C">
            <w:pPr>
              <w:rPr>
                <w:rFonts w:ascii="Verdana" w:hAnsi="Verdana"/>
                <w:sz w:val="16"/>
                <w:szCs w:val="16"/>
              </w:rPr>
            </w:pPr>
          </w:p>
        </w:tc>
        <w:tc>
          <w:tcPr>
            <w:tcW w:w="1316" w:type="dxa"/>
            <w:tcBorders>
              <w:top w:val="single" w:color="auto" w:sz="4" w:space="0"/>
            </w:tcBorders>
            <w:shd w:val="clear" w:color="auto" w:fill="BFBFBF" w:themeFill="background1" w:themeFillShade="BF"/>
          </w:tcPr>
          <w:p w:rsidRPr="008C7706" w:rsidR="009C2E1C" w:rsidP="009C2E1C" w:rsidRDefault="009C2E1C">
            <w:pPr>
              <w:rPr>
                <w:rFonts w:ascii="Verdana" w:hAnsi="Verdana"/>
                <w:sz w:val="16"/>
                <w:szCs w:val="16"/>
              </w:rPr>
            </w:pPr>
          </w:p>
        </w:tc>
        <w:tc>
          <w:tcPr>
            <w:tcW w:w="1316" w:type="dxa"/>
            <w:tcBorders>
              <w:top w:val="single" w:color="auto" w:sz="4" w:space="0"/>
            </w:tcBorders>
            <w:shd w:val="clear" w:color="auto" w:fill="BFBFBF" w:themeFill="background1" w:themeFillShade="BF"/>
          </w:tcPr>
          <w:p w:rsidRPr="008C7706" w:rsidR="009C2E1C" w:rsidP="009C2E1C" w:rsidRDefault="009C2E1C">
            <w:pPr>
              <w:rPr>
                <w:rFonts w:ascii="Verdana" w:hAnsi="Verdana"/>
                <w:sz w:val="16"/>
                <w:szCs w:val="16"/>
              </w:rPr>
            </w:pPr>
          </w:p>
        </w:tc>
        <w:tc>
          <w:tcPr>
            <w:tcW w:w="1316" w:type="dxa"/>
            <w:tcBorders>
              <w:top w:val="single" w:color="auto" w:sz="4" w:space="0"/>
            </w:tcBorders>
            <w:shd w:val="clear" w:color="auto" w:fill="BFBFBF" w:themeFill="background1" w:themeFillShade="BF"/>
          </w:tcPr>
          <w:p w:rsidRPr="008C7706" w:rsidR="009C2E1C" w:rsidP="009C2E1C" w:rsidRDefault="009C2E1C">
            <w:pPr>
              <w:rPr>
                <w:rFonts w:ascii="Verdana" w:hAnsi="Verdana"/>
                <w:sz w:val="16"/>
                <w:szCs w:val="16"/>
              </w:rPr>
            </w:pPr>
          </w:p>
        </w:tc>
        <w:tc>
          <w:tcPr>
            <w:tcW w:w="1316" w:type="dxa"/>
            <w:tcBorders>
              <w:top w:val="single" w:color="auto" w:sz="4" w:space="0"/>
            </w:tcBorders>
            <w:shd w:val="clear" w:color="auto" w:fill="BFBFBF" w:themeFill="background1" w:themeFillShade="BF"/>
          </w:tcPr>
          <w:p w:rsidRPr="008C7706" w:rsidR="009C2E1C" w:rsidP="009C2E1C" w:rsidRDefault="009C2E1C">
            <w:pPr>
              <w:rPr>
                <w:rFonts w:ascii="Verdana" w:hAnsi="Verdana"/>
                <w:sz w:val="16"/>
                <w:szCs w:val="16"/>
              </w:rPr>
            </w:pPr>
          </w:p>
        </w:tc>
      </w:tr>
      <w:tr w:rsidRPr="008C7706" w:rsidR="009C2E1C" w:rsidTr="009C2E1C">
        <w:trPr>
          <w:trHeight w:val="452"/>
        </w:trPr>
        <w:tc>
          <w:tcPr>
            <w:tcW w:w="1316" w:type="dxa"/>
          </w:tcPr>
          <w:p w:rsidRPr="008C7706" w:rsidR="009C2E1C" w:rsidP="009C2E1C" w:rsidRDefault="009C2E1C">
            <w:pPr>
              <w:rPr>
                <w:rFonts w:ascii="Verdana" w:hAnsi="Verdana"/>
                <w:sz w:val="16"/>
                <w:szCs w:val="16"/>
              </w:rPr>
            </w:pPr>
            <w:r w:rsidRPr="008C7706">
              <w:rPr>
                <w:rFonts w:ascii="Verdana" w:hAnsi="Verdana"/>
                <w:sz w:val="16"/>
                <w:szCs w:val="16"/>
              </w:rPr>
              <w:t>Vrijgesteld</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24%</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32%</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25%</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20%</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14%</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11%</w:t>
            </w:r>
          </w:p>
        </w:tc>
      </w:tr>
      <w:tr w:rsidRPr="008C7706" w:rsidR="009C2E1C" w:rsidTr="009C2E1C">
        <w:trPr>
          <w:trHeight w:val="452"/>
        </w:trPr>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1e schijf</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68%</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62%</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62%</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59%</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53%</w:t>
            </w:r>
          </w:p>
        </w:tc>
        <w:tc>
          <w:tcPr>
            <w:tcW w:w="1316" w:type="dxa"/>
          </w:tcPr>
          <w:p w:rsidRPr="008C7706" w:rsidR="009C2E1C" w:rsidP="00E82011" w:rsidRDefault="009C2E1C">
            <w:pPr>
              <w:spacing w:after="100"/>
              <w:rPr>
                <w:rFonts w:ascii="Verdana" w:hAnsi="Verdana"/>
                <w:sz w:val="16"/>
                <w:szCs w:val="16"/>
              </w:rPr>
            </w:pPr>
            <w:r w:rsidRPr="008C7706">
              <w:rPr>
                <w:rFonts w:ascii="Verdana" w:hAnsi="Verdana"/>
                <w:sz w:val="16"/>
                <w:szCs w:val="16"/>
              </w:rPr>
              <w:t>4</w:t>
            </w:r>
            <w:r w:rsidR="00E82011">
              <w:rPr>
                <w:rFonts w:ascii="Verdana" w:hAnsi="Verdana"/>
                <w:sz w:val="16"/>
                <w:szCs w:val="16"/>
              </w:rPr>
              <w:t>7</w:t>
            </w:r>
            <w:r w:rsidRPr="008C7706">
              <w:rPr>
                <w:rFonts w:ascii="Verdana" w:hAnsi="Verdana"/>
                <w:sz w:val="16"/>
                <w:szCs w:val="16"/>
              </w:rPr>
              <w:t>%</w:t>
            </w:r>
          </w:p>
        </w:tc>
      </w:tr>
      <w:tr w:rsidRPr="008C7706" w:rsidR="009C2E1C" w:rsidTr="009C2E1C">
        <w:trPr>
          <w:trHeight w:val="452"/>
        </w:trPr>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2e schijf</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8%</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5%</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13%</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21%</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30%</w:t>
            </w:r>
          </w:p>
        </w:tc>
        <w:tc>
          <w:tcPr>
            <w:tcW w:w="1316" w:type="dxa"/>
          </w:tcPr>
          <w:p w:rsidRPr="008C7706" w:rsidR="009C2E1C" w:rsidP="00E82011" w:rsidRDefault="009C2E1C">
            <w:pPr>
              <w:spacing w:after="100"/>
              <w:rPr>
                <w:rFonts w:ascii="Verdana" w:hAnsi="Verdana"/>
                <w:sz w:val="16"/>
                <w:szCs w:val="16"/>
              </w:rPr>
            </w:pPr>
            <w:r w:rsidRPr="008C7706">
              <w:rPr>
                <w:rFonts w:ascii="Verdana" w:hAnsi="Verdana"/>
                <w:sz w:val="16"/>
                <w:szCs w:val="16"/>
              </w:rPr>
              <w:t>3</w:t>
            </w:r>
            <w:r w:rsidR="00E82011">
              <w:rPr>
                <w:rFonts w:ascii="Verdana" w:hAnsi="Verdana"/>
                <w:sz w:val="16"/>
                <w:szCs w:val="16"/>
              </w:rPr>
              <w:t>4</w:t>
            </w:r>
            <w:r w:rsidRPr="008C7706">
              <w:rPr>
                <w:rFonts w:ascii="Verdana" w:hAnsi="Verdana"/>
                <w:sz w:val="16"/>
                <w:szCs w:val="16"/>
              </w:rPr>
              <w:t>%</w:t>
            </w:r>
          </w:p>
        </w:tc>
      </w:tr>
      <w:tr w:rsidRPr="008C7706" w:rsidR="009C2E1C" w:rsidTr="009C2E1C">
        <w:trPr>
          <w:trHeight w:val="452"/>
        </w:trPr>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3e schijf</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0%</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0%</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0%</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1%</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8%</w:t>
            </w:r>
          </w:p>
        </w:tc>
      </w:tr>
      <w:tr w:rsidRPr="008C7706" w:rsidR="009C2E1C" w:rsidTr="009C2E1C">
        <w:trPr>
          <w:trHeight w:val="452"/>
        </w:trPr>
        <w:tc>
          <w:tcPr>
            <w:tcW w:w="1316" w:type="dxa"/>
            <w:shd w:val="clear" w:color="auto" w:fill="BFBFBF" w:themeFill="background1" w:themeFillShade="BF"/>
          </w:tcPr>
          <w:p w:rsidRPr="008C7706" w:rsidR="009C2E1C" w:rsidP="009C2E1C" w:rsidRDefault="009C2E1C">
            <w:pPr>
              <w:rPr>
                <w:rFonts w:ascii="Verdana" w:hAnsi="Verdana"/>
                <w:b/>
                <w:sz w:val="16"/>
                <w:szCs w:val="16"/>
              </w:rPr>
            </w:pPr>
            <w:r w:rsidRPr="008C7706">
              <w:rPr>
                <w:rFonts w:ascii="Verdana" w:hAnsi="Verdana"/>
                <w:b/>
                <w:sz w:val="16"/>
                <w:szCs w:val="16"/>
              </w:rPr>
              <w:t>Diesel</w:t>
            </w:r>
          </w:p>
        </w:tc>
        <w:tc>
          <w:tcPr>
            <w:tcW w:w="1316" w:type="dxa"/>
            <w:shd w:val="clear" w:color="auto" w:fill="BFBFBF" w:themeFill="background1" w:themeFillShade="BF"/>
          </w:tcPr>
          <w:p w:rsidRPr="008C7706" w:rsidR="009C2E1C" w:rsidP="009C2E1C" w:rsidRDefault="009C2E1C">
            <w:pPr>
              <w:rPr>
                <w:rFonts w:ascii="Verdana" w:hAnsi="Verdana"/>
                <w:sz w:val="16"/>
                <w:szCs w:val="16"/>
              </w:rPr>
            </w:pPr>
          </w:p>
        </w:tc>
        <w:tc>
          <w:tcPr>
            <w:tcW w:w="1316" w:type="dxa"/>
            <w:shd w:val="clear" w:color="auto" w:fill="BFBFBF" w:themeFill="background1" w:themeFillShade="BF"/>
          </w:tcPr>
          <w:p w:rsidRPr="008C7706" w:rsidR="009C2E1C" w:rsidP="009C2E1C" w:rsidRDefault="009C2E1C">
            <w:pPr>
              <w:rPr>
                <w:rFonts w:ascii="Verdana" w:hAnsi="Verdana"/>
                <w:sz w:val="16"/>
                <w:szCs w:val="16"/>
              </w:rPr>
            </w:pPr>
          </w:p>
        </w:tc>
        <w:tc>
          <w:tcPr>
            <w:tcW w:w="1316" w:type="dxa"/>
            <w:shd w:val="clear" w:color="auto" w:fill="BFBFBF" w:themeFill="background1" w:themeFillShade="BF"/>
          </w:tcPr>
          <w:p w:rsidRPr="008C7706" w:rsidR="009C2E1C" w:rsidP="009C2E1C" w:rsidRDefault="009C2E1C">
            <w:pPr>
              <w:rPr>
                <w:rFonts w:ascii="Verdana" w:hAnsi="Verdana"/>
                <w:sz w:val="16"/>
                <w:szCs w:val="16"/>
              </w:rPr>
            </w:pPr>
          </w:p>
        </w:tc>
        <w:tc>
          <w:tcPr>
            <w:tcW w:w="1316" w:type="dxa"/>
            <w:shd w:val="clear" w:color="auto" w:fill="BFBFBF" w:themeFill="background1" w:themeFillShade="BF"/>
          </w:tcPr>
          <w:p w:rsidRPr="008C7706" w:rsidR="009C2E1C" w:rsidP="009C2E1C" w:rsidRDefault="009C2E1C">
            <w:pPr>
              <w:rPr>
                <w:rFonts w:ascii="Verdana" w:hAnsi="Verdana"/>
                <w:sz w:val="16"/>
                <w:szCs w:val="16"/>
              </w:rPr>
            </w:pPr>
          </w:p>
        </w:tc>
        <w:tc>
          <w:tcPr>
            <w:tcW w:w="1316" w:type="dxa"/>
            <w:shd w:val="clear" w:color="auto" w:fill="BFBFBF" w:themeFill="background1" w:themeFillShade="BF"/>
          </w:tcPr>
          <w:p w:rsidRPr="008C7706" w:rsidR="009C2E1C" w:rsidP="009C2E1C" w:rsidRDefault="009C2E1C">
            <w:pPr>
              <w:rPr>
                <w:rFonts w:ascii="Verdana" w:hAnsi="Verdana"/>
                <w:sz w:val="16"/>
                <w:szCs w:val="16"/>
              </w:rPr>
            </w:pPr>
          </w:p>
        </w:tc>
        <w:tc>
          <w:tcPr>
            <w:tcW w:w="1316" w:type="dxa"/>
            <w:shd w:val="clear" w:color="auto" w:fill="BFBFBF" w:themeFill="background1" w:themeFillShade="BF"/>
          </w:tcPr>
          <w:p w:rsidRPr="008C7706" w:rsidR="009C2E1C" w:rsidP="009C2E1C" w:rsidRDefault="009C2E1C">
            <w:pPr>
              <w:rPr>
                <w:rFonts w:ascii="Verdana" w:hAnsi="Verdana"/>
                <w:sz w:val="16"/>
                <w:szCs w:val="16"/>
              </w:rPr>
            </w:pPr>
          </w:p>
        </w:tc>
      </w:tr>
      <w:tr w:rsidRPr="008C7706" w:rsidR="009C2E1C" w:rsidTr="009C2E1C">
        <w:trPr>
          <w:trHeight w:val="452"/>
        </w:trPr>
        <w:tc>
          <w:tcPr>
            <w:tcW w:w="1316" w:type="dxa"/>
          </w:tcPr>
          <w:p w:rsidRPr="008C7706" w:rsidR="009C2E1C" w:rsidP="009C2E1C" w:rsidRDefault="009C2E1C">
            <w:pPr>
              <w:rPr>
                <w:rFonts w:ascii="Verdana" w:hAnsi="Verdana"/>
                <w:sz w:val="16"/>
                <w:szCs w:val="16"/>
              </w:rPr>
            </w:pPr>
            <w:r w:rsidRPr="008C7706">
              <w:rPr>
                <w:rFonts w:ascii="Verdana" w:hAnsi="Verdana"/>
                <w:sz w:val="16"/>
                <w:szCs w:val="16"/>
              </w:rPr>
              <w:t>Vrijgesteld</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27%</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34%</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28%</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30%</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28%</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18%</w:t>
            </w:r>
          </w:p>
        </w:tc>
      </w:tr>
      <w:tr w:rsidRPr="008C7706" w:rsidR="009C2E1C" w:rsidTr="009C2E1C">
        <w:trPr>
          <w:trHeight w:val="452"/>
        </w:trPr>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1e schijf</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49%</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45%</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45%</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46%</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43%</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42%</w:t>
            </w:r>
          </w:p>
        </w:tc>
      </w:tr>
      <w:tr w:rsidRPr="008C7706" w:rsidR="009C2E1C" w:rsidTr="009C2E1C">
        <w:trPr>
          <w:trHeight w:val="452"/>
        </w:trPr>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2e schijf</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23%</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20%</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21%</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19%</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20%</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24%</w:t>
            </w:r>
          </w:p>
        </w:tc>
      </w:tr>
      <w:tr w:rsidRPr="008C7706" w:rsidR="009C2E1C" w:rsidTr="009C2E1C">
        <w:trPr>
          <w:trHeight w:val="452"/>
        </w:trPr>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3e schijf</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1%</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5%</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5%</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9%</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16%</w:t>
            </w:r>
          </w:p>
        </w:tc>
      </w:tr>
      <w:tr w:rsidRPr="008C7706" w:rsidR="009C2E1C" w:rsidTr="009C2E1C">
        <w:trPr>
          <w:trHeight w:val="452"/>
        </w:trPr>
        <w:tc>
          <w:tcPr>
            <w:tcW w:w="1316" w:type="dxa"/>
            <w:shd w:val="clear" w:color="auto" w:fill="BFBFBF" w:themeFill="background1" w:themeFillShade="BF"/>
          </w:tcPr>
          <w:p w:rsidRPr="008C7706" w:rsidR="009C2E1C" w:rsidP="009C2E1C" w:rsidRDefault="009C2E1C">
            <w:pPr>
              <w:rPr>
                <w:rFonts w:ascii="Verdana" w:hAnsi="Verdana"/>
                <w:b/>
                <w:sz w:val="16"/>
                <w:szCs w:val="16"/>
              </w:rPr>
            </w:pPr>
            <w:r w:rsidRPr="008C7706">
              <w:rPr>
                <w:rFonts w:ascii="Verdana" w:hAnsi="Verdana"/>
                <w:b/>
                <w:sz w:val="16"/>
                <w:szCs w:val="16"/>
              </w:rPr>
              <w:t>Totaal</w:t>
            </w:r>
          </w:p>
        </w:tc>
        <w:tc>
          <w:tcPr>
            <w:tcW w:w="1316" w:type="dxa"/>
            <w:shd w:val="clear" w:color="auto" w:fill="BFBFBF" w:themeFill="background1" w:themeFillShade="BF"/>
          </w:tcPr>
          <w:p w:rsidRPr="008C7706" w:rsidR="009C2E1C" w:rsidP="009C2E1C" w:rsidRDefault="009C2E1C">
            <w:pPr>
              <w:rPr>
                <w:rFonts w:ascii="Verdana" w:hAnsi="Verdana"/>
                <w:sz w:val="16"/>
                <w:szCs w:val="16"/>
              </w:rPr>
            </w:pPr>
          </w:p>
        </w:tc>
        <w:tc>
          <w:tcPr>
            <w:tcW w:w="1316" w:type="dxa"/>
            <w:shd w:val="clear" w:color="auto" w:fill="BFBFBF" w:themeFill="background1" w:themeFillShade="BF"/>
          </w:tcPr>
          <w:p w:rsidRPr="008C7706" w:rsidR="009C2E1C" w:rsidP="009C2E1C" w:rsidRDefault="009C2E1C">
            <w:pPr>
              <w:rPr>
                <w:rFonts w:ascii="Verdana" w:hAnsi="Verdana"/>
                <w:sz w:val="16"/>
                <w:szCs w:val="16"/>
              </w:rPr>
            </w:pPr>
          </w:p>
        </w:tc>
        <w:tc>
          <w:tcPr>
            <w:tcW w:w="1316" w:type="dxa"/>
            <w:shd w:val="clear" w:color="auto" w:fill="BFBFBF" w:themeFill="background1" w:themeFillShade="BF"/>
          </w:tcPr>
          <w:p w:rsidRPr="008C7706" w:rsidR="009C2E1C" w:rsidP="009C2E1C" w:rsidRDefault="009C2E1C">
            <w:pPr>
              <w:rPr>
                <w:rFonts w:ascii="Verdana" w:hAnsi="Verdana"/>
                <w:sz w:val="16"/>
                <w:szCs w:val="16"/>
              </w:rPr>
            </w:pPr>
          </w:p>
        </w:tc>
        <w:tc>
          <w:tcPr>
            <w:tcW w:w="1316" w:type="dxa"/>
            <w:shd w:val="clear" w:color="auto" w:fill="BFBFBF" w:themeFill="background1" w:themeFillShade="BF"/>
          </w:tcPr>
          <w:p w:rsidRPr="008C7706" w:rsidR="009C2E1C" w:rsidP="009C2E1C" w:rsidRDefault="009C2E1C">
            <w:pPr>
              <w:rPr>
                <w:rFonts w:ascii="Verdana" w:hAnsi="Verdana"/>
                <w:sz w:val="16"/>
                <w:szCs w:val="16"/>
              </w:rPr>
            </w:pPr>
          </w:p>
        </w:tc>
        <w:tc>
          <w:tcPr>
            <w:tcW w:w="1316" w:type="dxa"/>
            <w:shd w:val="clear" w:color="auto" w:fill="BFBFBF" w:themeFill="background1" w:themeFillShade="BF"/>
          </w:tcPr>
          <w:p w:rsidRPr="008C7706" w:rsidR="009C2E1C" w:rsidP="009C2E1C" w:rsidRDefault="009C2E1C">
            <w:pPr>
              <w:rPr>
                <w:rFonts w:ascii="Verdana" w:hAnsi="Verdana"/>
                <w:sz w:val="16"/>
                <w:szCs w:val="16"/>
              </w:rPr>
            </w:pPr>
          </w:p>
        </w:tc>
        <w:tc>
          <w:tcPr>
            <w:tcW w:w="1316" w:type="dxa"/>
            <w:shd w:val="clear" w:color="auto" w:fill="BFBFBF" w:themeFill="background1" w:themeFillShade="BF"/>
          </w:tcPr>
          <w:p w:rsidRPr="008C7706" w:rsidR="009C2E1C" w:rsidP="009C2E1C" w:rsidRDefault="009C2E1C">
            <w:pPr>
              <w:rPr>
                <w:rFonts w:ascii="Verdana" w:hAnsi="Verdana"/>
                <w:sz w:val="16"/>
                <w:szCs w:val="16"/>
              </w:rPr>
            </w:pPr>
          </w:p>
        </w:tc>
      </w:tr>
      <w:tr w:rsidRPr="008C7706" w:rsidR="009C2E1C" w:rsidTr="009C2E1C">
        <w:trPr>
          <w:trHeight w:val="452"/>
        </w:trPr>
        <w:tc>
          <w:tcPr>
            <w:tcW w:w="1316" w:type="dxa"/>
          </w:tcPr>
          <w:p w:rsidRPr="008C7706" w:rsidR="009C2E1C" w:rsidP="009C2E1C" w:rsidRDefault="009C2E1C">
            <w:pPr>
              <w:rPr>
                <w:rFonts w:ascii="Verdana" w:hAnsi="Verdana"/>
                <w:sz w:val="16"/>
                <w:szCs w:val="16"/>
              </w:rPr>
            </w:pPr>
            <w:r w:rsidRPr="008C7706">
              <w:rPr>
                <w:rFonts w:ascii="Verdana" w:hAnsi="Verdana"/>
                <w:sz w:val="16"/>
                <w:szCs w:val="16"/>
              </w:rPr>
              <w:t>Vrijgesteld</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25%</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33%</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26%</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22%</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17%</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12%</w:t>
            </w:r>
          </w:p>
        </w:tc>
      </w:tr>
      <w:tr w:rsidRPr="008C7706" w:rsidR="009C2E1C" w:rsidTr="009C2E1C">
        <w:trPr>
          <w:trHeight w:val="452"/>
        </w:trPr>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1e schijf</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64%</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59%</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58%</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56%</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51%</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46%</w:t>
            </w:r>
          </w:p>
        </w:tc>
      </w:tr>
      <w:tr w:rsidRPr="008C7706" w:rsidR="009C2E1C" w:rsidTr="009C2E1C">
        <w:trPr>
          <w:trHeight w:val="452"/>
        </w:trPr>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2e schijf</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11%</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9%</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15%</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21%</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28%</w:t>
            </w:r>
          </w:p>
        </w:tc>
        <w:tc>
          <w:tcPr>
            <w:tcW w:w="1316" w:type="dxa"/>
          </w:tcPr>
          <w:p w:rsidRPr="008C7706" w:rsidR="009C2E1C" w:rsidP="009C2E1C" w:rsidRDefault="009C2E1C">
            <w:pPr>
              <w:spacing w:after="100"/>
              <w:rPr>
                <w:rFonts w:ascii="Verdana" w:hAnsi="Verdana"/>
                <w:sz w:val="16"/>
                <w:szCs w:val="16"/>
              </w:rPr>
            </w:pPr>
            <w:r w:rsidRPr="008C7706">
              <w:rPr>
                <w:rFonts w:ascii="Verdana" w:hAnsi="Verdana"/>
                <w:sz w:val="16"/>
                <w:szCs w:val="16"/>
              </w:rPr>
              <w:t>32%</w:t>
            </w:r>
          </w:p>
        </w:tc>
      </w:tr>
      <w:tr w:rsidRPr="008C7706" w:rsidR="009C2E1C" w:rsidTr="009C2E1C">
        <w:trPr>
          <w:trHeight w:val="452"/>
        </w:trPr>
        <w:tc>
          <w:tcPr>
            <w:tcW w:w="1316" w:type="dxa"/>
            <w:tcBorders>
              <w:bottom w:val="single" w:color="auto" w:sz="4" w:space="0"/>
            </w:tcBorders>
          </w:tcPr>
          <w:p w:rsidRPr="008C7706" w:rsidR="009C2E1C" w:rsidP="009C2E1C" w:rsidRDefault="009C2E1C">
            <w:pPr>
              <w:spacing w:after="100"/>
              <w:rPr>
                <w:rFonts w:ascii="Verdana" w:hAnsi="Verdana"/>
                <w:sz w:val="16"/>
                <w:szCs w:val="16"/>
              </w:rPr>
            </w:pPr>
            <w:r w:rsidRPr="008C7706">
              <w:rPr>
                <w:rFonts w:ascii="Verdana" w:hAnsi="Verdana"/>
                <w:sz w:val="16"/>
                <w:szCs w:val="16"/>
              </w:rPr>
              <w:t>3e schijf</w:t>
            </w:r>
          </w:p>
        </w:tc>
        <w:tc>
          <w:tcPr>
            <w:tcW w:w="1316" w:type="dxa"/>
            <w:tcBorders>
              <w:bottom w:val="single" w:color="auto" w:sz="4" w:space="0"/>
            </w:tcBorders>
          </w:tcPr>
          <w:p w:rsidRPr="008C7706" w:rsidR="009C2E1C" w:rsidP="009C2E1C" w:rsidRDefault="009C2E1C">
            <w:pPr>
              <w:spacing w:after="100"/>
              <w:rPr>
                <w:rFonts w:ascii="Verdana" w:hAnsi="Verdana"/>
                <w:sz w:val="16"/>
                <w:szCs w:val="16"/>
              </w:rPr>
            </w:pPr>
            <w:r w:rsidRPr="008C7706">
              <w:rPr>
                <w:rFonts w:ascii="Verdana" w:hAnsi="Verdana"/>
                <w:sz w:val="16"/>
                <w:szCs w:val="16"/>
              </w:rPr>
              <w:t>0%</w:t>
            </w:r>
          </w:p>
        </w:tc>
        <w:tc>
          <w:tcPr>
            <w:tcW w:w="1316" w:type="dxa"/>
            <w:tcBorders>
              <w:bottom w:val="single" w:color="auto" w:sz="4" w:space="0"/>
            </w:tcBorders>
          </w:tcPr>
          <w:p w:rsidRPr="008C7706" w:rsidR="009C2E1C" w:rsidP="009C2E1C" w:rsidRDefault="009C2E1C">
            <w:pPr>
              <w:spacing w:after="100"/>
              <w:rPr>
                <w:rFonts w:ascii="Verdana" w:hAnsi="Verdana"/>
                <w:sz w:val="16"/>
                <w:szCs w:val="16"/>
              </w:rPr>
            </w:pPr>
            <w:r w:rsidRPr="008C7706">
              <w:rPr>
                <w:rFonts w:ascii="Verdana" w:hAnsi="Verdana"/>
                <w:sz w:val="16"/>
                <w:szCs w:val="16"/>
              </w:rPr>
              <w:t>0%</w:t>
            </w:r>
          </w:p>
        </w:tc>
        <w:tc>
          <w:tcPr>
            <w:tcW w:w="1316" w:type="dxa"/>
            <w:tcBorders>
              <w:bottom w:val="single" w:color="auto" w:sz="4" w:space="0"/>
            </w:tcBorders>
          </w:tcPr>
          <w:p w:rsidRPr="008C7706" w:rsidR="009C2E1C" w:rsidP="009C2E1C" w:rsidRDefault="009C2E1C">
            <w:pPr>
              <w:spacing w:after="100"/>
              <w:rPr>
                <w:rFonts w:ascii="Verdana" w:hAnsi="Verdana"/>
                <w:sz w:val="16"/>
                <w:szCs w:val="16"/>
              </w:rPr>
            </w:pPr>
            <w:r w:rsidRPr="008C7706">
              <w:rPr>
                <w:rFonts w:ascii="Verdana" w:hAnsi="Verdana"/>
                <w:sz w:val="16"/>
                <w:szCs w:val="16"/>
              </w:rPr>
              <w:t>1%</w:t>
            </w:r>
          </w:p>
        </w:tc>
        <w:tc>
          <w:tcPr>
            <w:tcW w:w="1316" w:type="dxa"/>
            <w:tcBorders>
              <w:bottom w:val="single" w:color="auto" w:sz="4" w:space="0"/>
            </w:tcBorders>
          </w:tcPr>
          <w:p w:rsidRPr="008C7706" w:rsidR="009C2E1C" w:rsidP="009C2E1C" w:rsidRDefault="009C2E1C">
            <w:pPr>
              <w:spacing w:after="100"/>
              <w:rPr>
                <w:rFonts w:ascii="Verdana" w:hAnsi="Verdana"/>
                <w:sz w:val="16"/>
                <w:szCs w:val="16"/>
              </w:rPr>
            </w:pPr>
            <w:r w:rsidRPr="008C7706">
              <w:rPr>
                <w:rFonts w:ascii="Verdana" w:hAnsi="Verdana"/>
                <w:sz w:val="16"/>
                <w:szCs w:val="16"/>
              </w:rPr>
              <w:t>1%</w:t>
            </w:r>
          </w:p>
        </w:tc>
        <w:tc>
          <w:tcPr>
            <w:tcW w:w="1316" w:type="dxa"/>
            <w:tcBorders>
              <w:bottom w:val="single" w:color="auto" w:sz="4" w:space="0"/>
            </w:tcBorders>
          </w:tcPr>
          <w:p w:rsidRPr="008C7706" w:rsidR="009C2E1C" w:rsidP="009C2E1C" w:rsidRDefault="009C2E1C">
            <w:pPr>
              <w:spacing w:after="100"/>
              <w:rPr>
                <w:rFonts w:ascii="Verdana" w:hAnsi="Verdana"/>
                <w:sz w:val="16"/>
                <w:szCs w:val="16"/>
              </w:rPr>
            </w:pPr>
            <w:r w:rsidRPr="008C7706">
              <w:rPr>
                <w:rFonts w:ascii="Verdana" w:hAnsi="Verdana"/>
                <w:sz w:val="16"/>
                <w:szCs w:val="16"/>
              </w:rPr>
              <w:t>4%</w:t>
            </w:r>
          </w:p>
        </w:tc>
        <w:tc>
          <w:tcPr>
            <w:tcW w:w="1316" w:type="dxa"/>
            <w:tcBorders>
              <w:bottom w:val="single" w:color="auto" w:sz="4" w:space="0"/>
            </w:tcBorders>
          </w:tcPr>
          <w:p w:rsidRPr="008C7706" w:rsidR="009C2E1C" w:rsidP="009C2E1C" w:rsidRDefault="009C2E1C">
            <w:pPr>
              <w:spacing w:after="100"/>
              <w:rPr>
                <w:rFonts w:ascii="Verdana" w:hAnsi="Verdana"/>
                <w:sz w:val="16"/>
                <w:szCs w:val="16"/>
              </w:rPr>
            </w:pPr>
            <w:r w:rsidRPr="008C7706">
              <w:rPr>
                <w:rFonts w:ascii="Verdana" w:hAnsi="Verdana"/>
                <w:sz w:val="16"/>
                <w:szCs w:val="16"/>
              </w:rPr>
              <w:t>10%</w:t>
            </w:r>
          </w:p>
        </w:tc>
      </w:tr>
    </w:tbl>
    <w:p w:rsidR="009C2E1C" w:rsidP="009C2E1C" w:rsidRDefault="009C2E1C">
      <w:pPr>
        <w:spacing w:after="0"/>
        <w:rPr>
          <w:sz w:val="18"/>
          <w:szCs w:val="18"/>
        </w:rPr>
      </w:pPr>
      <w:r w:rsidRPr="002718DB">
        <w:rPr>
          <w:sz w:val="16"/>
          <w:szCs w:val="16"/>
        </w:rPr>
        <w:t>Bron: Ecorys CARbonTAX model</w:t>
      </w:r>
    </w:p>
    <w:p w:rsidRPr="009C2E1C" w:rsidR="009C2E1C" w:rsidP="00781CF8" w:rsidRDefault="009C2E1C">
      <w:pPr>
        <w:spacing w:after="0"/>
        <w:rPr>
          <w:bCs/>
          <w:sz w:val="18"/>
          <w:szCs w:val="18"/>
        </w:rPr>
      </w:pPr>
    </w:p>
    <w:p w:rsidR="009C2E1C" w:rsidP="00781CF8" w:rsidRDefault="009C2E1C">
      <w:pPr>
        <w:spacing w:after="0"/>
        <w:rPr>
          <w:b/>
          <w:bCs/>
          <w:sz w:val="18"/>
          <w:szCs w:val="18"/>
        </w:rPr>
      </w:pPr>
    </w:p>
    <w:p w:rsidR="00371A7F" w:rsidP="00371A7F" w:rsidRDefault="00371A7F">
      <w:pPr>
        <w:spacing w:after="0"/>
        <w:rPr>
          <w:sz w:val="18"/>
          <w:szCs w:val="18"/>
        </w:rPr>
      </w:pPr>
      <w:r w:rsidRPr="008A2424">
        <w:rPr>
          <w:sz w:val="18"/>
          <w:szCs w:val="18"/>
        </w:rPr>
        <w:t xml:space="preserve">In </w:t>
      </w:r>
      <w:r>
        <w:rPr>
          <w:sz w:val="18"/>
          <w:szCs w:val="18"/>
        </w:rPr>
        <w:t xml:space="preserve">de hierna opgenomen </w:t>
      </w:r>
      <w:r w:rsidRPr="008A2424">
        <w:rPr>
          <w:sz w:val="18"/>
          <w:szCs w:val="18"/>
        </w:rPr>
        <w:t>tabel</w:t>
      </w:r>
      <w:r>
        <w:rPr>
          <w:sz w:val="18"/>
          <w:szCs w:val="18"/>
        </w:rPr>
        <w:t xml:space="preserve"> 9 is</w:t>
      </w:r>
      <w:r w:rsidRPr="008A2424">
        <w:rPr>
          <w:sz w:val="18"/>
          <w:szCs w:val="18"/>
        </w:rPr>
        <w:t xml:space="preserve"> voor </w:t>
      </w:r>
      <w:r w:rsidR="002857D2">
        <w:rPr>
          <w:sz w:val="18"/>
          <w:szCs w:val="18"/>
        </w:rPr>
        <w:t>elf</w:t>
      </w:r>
      <w:r>
        <w:rPr>
          <w:sz w:val="18"/>
          <w:szCs w:val="18"/>
        </w:rPr>
        <w:t>,</w:t>
      </w:r>
      <w:r w:rsidRPr="008A2424">
        <w:rPr>
          <w:sz w:val="18"/>
          <w:szCs w:val="18"/>
        </w:rPr>
        <w:t xml:space="preserve"> door de ANWB aangeleverde voorbeeldauto’s</w:t>
      </w:r>
      <w:r>
        <w:rPr>
          <w:sz w:val="18"/>
          <w:szCs w:val="18"/>
        </w:rPr>
        <w:t>,</w:t>
      </w:r>
      <w:r w:rsidRPr="008A2424">
        <w:rPr>
          <w:sz w:val="18"/>
          <w:szCs w:val="18"/>
        </w:rPr>
        <w:t xml:space="preserve"> de BPM berekend voor de jaren 2011 tot en met 2015</w:t>
      </w:r>
      <w:r>
        <w:rPr>
          <w:sz w:val="18"/>
          <w:szCs w:val="18"/>
        </w:rPr>
        <w:t xml:space="preserve"> op basis van het door Ecorys voorgestelde scenario</w:t>
      </w:r>
      <w:r w:rsidRPr="008A2424">
        <w:rPr>
          <w:sz w:val="18"/>
          <w:szCs w:val="18"/>
        </w:rPr>
        <w:t xml:space="preserve">. </w:t>
      </w:r>
      <w:r>
        <w:rPr>
          <w:sz w:val="18"/>
          <w:szCs w:val="18"/>
        </w:rPr>
        <w:t xml:space="preserve">Aan deze lijst zijn ter illustratie nog twee auto’s met een meer dan gemiddeld verbruik toegevoegd. Omdat is uitgegaan van het door Ecorys voorgestelde scenario zijn de in de tabel opgenomen BPM-bedragen gebaseerd op een veronderstelde opbrengst van € 1,9 mld per jaar. </w:t>
      </w:r>
    </w:p>
    <w:p w:rsidR="00371A7F" w:rsidP="00371A7F" w:rsidRDefault="00371A7F">
      <w:pPr>
        <w:spacing w:after="0"/>
        <w:rPr>
          <w:sz w:val="18"/>
          <w:szCs w:val="18"/>
        </w:rPr>
      </w:pPr>
      <w:r>
        <w:rPr>
          <w:sz w:val="18"/>
          <w:szCs w:val="18"/>
        </w:rPr>
        <w:t xml:space="preserve">In onderstaande tabel 9 </w:t>
      </w:r>
      <w:r w:rsidRPr="008A2424">
        <w:rPr>
          <w:sz w:val="18"/>
          <w:szCs w:val="18"/>
        </w:rPr>
        <w:t xml:space="preserve">is de </w:t>
      </w:r>
      <w:r>
        <w:rPr>
          <w:sz w:val="18"/>
          <w:szCs w:val="18"/>
        </w:rPr>
        <w:t xml:space="preserve">per auto aangegeven </w:t>
      </w:r>
      <w:r w:rsidRPr="008A2424">
        <w:rPr>
          <w:sz w:val="18"/>
          <w:szCs w:val="18"/>
        </w:rPr>
        <w:t>CO</w:t>
      </w:r>
      <w:r w:rsidRPr="008A2424">
        <w:rPr>
          <w:sz w:val="18"/>
          <w:szCs w:val="18"/>
          <w:vertAlign w:val="subscript"/>
        </w:rPr>
        <w:t>2</w:t>
      </w:r>
      <w:r w:rsidRPr="008A2424">
        <w:rPr>
          <w:sz w:val="18"/>
          <w:szCs w:val="18"/>
        </w:rPr>
        <w:t xml:space="preserve">-uitstoot </w:t>
      </w:r>
      <w:r>
        <w:rPr>
          <w:sz w:val="18"/>
          <w:szCs w:val="18"/>
        </w:rPr>
        <w:t xml:space="preserve">voor </w:t>
      </w:r>
      <w:r w:rsidRPr="008A2424">
        <w:rPr>
          <w:sz w:val="18"/>
          <w:szCs w:val="18"/>
        </w:rPr>
        <w:t xml:space="preserve">2011 voor de jaren daarop </w:t>
      </w:r>
      <w:r>
        <w:rPr>
          <w:sz w:val="18"/>
          <w:szCs w:val="18"/>
        </w:rPr>
        <w:t xml:space="preserve">telkens </w:t>
      </w:r>
      <w:r w:rsidRPr="008A2424">
        <w:rPr>
          <w:sz w:val="18"/>
          <w:szCs w:val="18"/>
        </w:rPr>
        <w:t xml:space="preserve">verlaagd met </w:t>
      </w:r>
      <w:r>
        <w:rPr>
          <w:sz w:val="18"/>
          <w:szCs w:val="18"/>
        </w:rPr>
        <w:t>3,4</w:t>
      </w:r>
      <w:r w:rsidRPr="008A2424">
        <w:rPr>
          <w:sz w:val="18"/>
          <w:szCs w:val="18"/>
        </w:rPr>
        <w:t>%.</w:t>
      </w:r>
      <w:r>
        <w:rPr>
          <w:rStyle w:val="Voetnootmarkering"/>
          <w:sz w:val="18"/>
          <w:szCs w:val="18"/>
        </w:rPr>
        <w:footnoteReference w:id="10"/>
      </w:r>
      <w:r w:rsidRPr="008A2424">
        <w:rPr>
          <w:sz w:val="18"/>
          <w:szCs w:val="18"/>
        </w:rPr>
        <w:t xml:space="preserve"> Daarmee wordt </w:t>
      </w:r>
      <w:r>
        <w:rPr>
          <w:sz w:val="18"/>
          <w:szCs w:val="18"/>
        </w:rPr>
        <w:t xml:space="preserve">voor elk jaar uitgegaan van een realistische uitstoot voor die auto waardoor </w:t>
      </w:r>
      <w:r w:rsidRPr="008A2424">
        <w:rPr>
          <w:sz w:val="18"/>
          <w:szCs w:val="18"/>
        </w:rPr>
        <w:t>de BPM-bedragen over de jaren 2012 tot en met 2015 vergelijkbaar zijn met die in 2011.</w:t>
      </w:r>
    </w:p>
    <w:p w:rsidR="00371A7F" w:rsidP="00781CF8" w:rsidRDefault="00371A7F">
      <w:pPr>
        <w:spacing w:after="0"/>
        <w:rPr>
          <w:b/>
          <w:bCs/>
          <w:sz w:val="18"/>
          <w:szCs w:val="18"/>
        </w:rPr>
      </w:pPr>
    </w:p>
    <w:p w:rsidR="00371A7F" w:rsidRDefault="00371A7F">
      <w:pPr>
        <w:spacing w:after="0" w:line="240" w:lineRule="auto"/>
        <w:rPr>
          <w:b/>
          <w:bCs/>
          <w:sz w:val="18"/>
          <w:szCs w:val="18"/>
        </w:rPr>
      </w:pPr>
      <w:r>
        <w:rPr>
          <w:b/>
          <w:bCs/>
          <w:sz w:val="18"/>
          <w:szCs w:val="18"/>
        </w:rPr>
        <w:br w:type="page"/>
      </w:r>
    </w:p>
    <w:p w:rsidR="00371A7F" w:rsidP="00781CF8" w:rsidRDefault="00371A7F">
      <w:pPr>
        <w:spacing w:after="0"/>
        <w:rPr>
          <w:b/>
          <w:bCs/>
          <w:sz w:val="18"/>
          <w:szCs w:val="18"/>
        </w:rPr>
      </w:pPr>
    </w:p>
    <w:p w:rsidRPr="002A30DC" w:rsidR="00371A7F" w:rsidP="00371A7F" w:rsidRDefault="00371A7F">
      <w:pPr>
        <w:spacing w:after="0"/>
        <w:rPr>
          <w:b/>
          <w:i/>
          <w:sz w:val="16"/>
          <w:szCs w:val="16"/>
        </w:rPr>
      </w:pPr>
      <w:r w:rsidRPr="002A30DC">
        <w:rPr>
          <w:b/>
          <w:i/>
          <w:sz w:val="16"/>
          <w:szCs w:val="16"/>
        </w:rPr>
        <w:t xml:space="preserve">Tabel </w:t>
      </w:r>
      <w:r>
        <w:rPr>
          <w:b/>
          <w:i/>
          <w:sz w:val="16"/>
          <w:szCs w:val="16"/>
        </w:rPr>
        <w:t>9</w:t>
      </w:r>
      <w:r w:rsidRPr="002A30DC">
        <w:rPr>
          <w:b/>
          <w:i/>
          <w:sz w:val="16"/>
          <w:szCs w:val="16"/>
        </w:rPr>
        <w:t>: Nieuw scenario</w:t>
      </w:r>
    </w:p>
    <w:tbl>
      <w:tblPr>
        <w:tblStyle w:val="Lichtearcering5"/>
        <w:tblW w:w="0" w:type="auto"/>
        <w:tblLook w:val="04A0"/>
      </w:tblPr>
      <w:tblGrid>
        <w:gridCol w:w="568"/>
        <w:gridCol w:w="2374"/>
        <w:gridCol w:w="567"/>
        <w:gridCol w:w="709"/>
        <w:gridCol w:w="851"/>
        <w:gridCol w:w="843"/>
        <w:gridCol w:w="844"/>
        <w:gridCol w:w="843"/>
        <w:gridCol w:w="844"/>
        <w:gridCol w:w="844"/>
      </w:tblGrid>
      <w:tr w:rsidRPr="00EC0D6B" w:rsidR="00371A7F" w:rsidTr="00371A7F">
        <w:trPr>
          <w:cnfStyle w:val="100000000000"/>
        </w:trPr>
        <w:tc>
          <w:tcPr>
            <w:cnfStyle w:val="001000000000"/>
            <w:tcW w:w="568" w:type="dxa"/>
          </w:tcPr>
          <w:p w:rsidRPr="00EC0D6B" w:rsidR="00371A7F" w:rsidP="00371A7F" w:rsidRDefault="00371A7F">
            <w:pPr>
              <w:spacing w:after="0"/>
              <w:rPr>
                <w:sz w:val="12"/>
                <w:szCs w:val="12"/>
              </w:rPr>
            </w:pPr>
            <w:r>
              <w:rPr>
                <w:sz w:val="12"/>
                <w:szCs w:val="12"/>
              </w:rPr>
              <w:t>Sgmt</w:t>
            </w:r>
          </w:p>
        </w:tc>
        <w:tc>
          <w:tcPr>
            <w:tcW w:w="2375" w:type="dxa"/>
          </w:tcPr>
          <w:p w:rsidRPr="00EC0D6B" w:rsidR="00371A7F" w:rsidP="00371A7F" w:rsidRDefault="00371A7F">
            <w:pPr>
              <w:spacing w:after="0"/>
              <w:cnfStyle w:val="100000000000"/>
              <w:rPr>
                <w:sz w:val="12"/>
                <w:szCs w:val="12"/>
              </w:rPr>
            </w:pPr>
            <w:r>
              <w:rPr>
                <w:sz w:val="12"/>
                <w:szCs w:val="12"/>
              </w:rPr>
              <w:t>Merk, model, uitvoering</w:t>
            </w:r>
          </w:p>
        </w:tc>
        <w:tc>
          <w:tcPr>
            <w:tcW w:w="567" w:type="dxa"/>
          </w:tcPr>
          <w:p w:rsidRPr="00EC0D6B" w:rsidR="00371A7F" w:rsidP="00371A7F" w:rsidRDefault="00371A7F">
            <w:pPr>
              <w:spacing w:after="0"/>
              <w:cnfStyle w:val="100000000000"/>
              <w:rPr>
                <w:sz w:val="12"/>
                <w:szCs w:val="12"/>
              </w:rPr>
            </w:pPr>
            <w:r>
              <w:rPr>
                <w:sz w:val="12"/>
                <w:szCs w:val="12"/>
              </w:rPr>
              <w:t>B/D</w:t>
            </w:r>
          </w:p>
        </w:tc>
        <w:tc>
          <w:tcPr>
            <w:tcW w:w="709" w:type="dxa"/>
          </w:tcPr>
          <w:p w:rsidRPr="00EC0D6B" w:rsidR="00371A7F" w:rsidP="00371A7F" w:rsidRDefault="00371A7F">
            <w:pPr>
              <w:spacing w:after="0"/>
              <w:cnfStyle w:val="100000000000"/>
              <w:rPr>
                <w:sz w:val="12"/>
                <w:szCs w:val="12"/>
              </w:rPr>
            </w:pPr>
            <w:r>
              <w:rPr>
                <w:sz w:val="12"/>
                <w:szCs w:val="12"/>
              </w:rPr>
              <w:t>CO</w:t>
            </w:r>
            <w:r w:rsidRPr="00EC0D6B">
              <w:rPr>
                <w:sz w:val="12"/>
                <w:szCs w:val="12"/>
                <w:vertAlign w:val="subscript"/>
              </w:rPr>
              <w:t>2</w:t>
            </w:r>
          </w:p>
        </w:tc>
        <w:tc>
          <w:tcPr>
            <w:tcW w:w="851" w:type="dxa"/>
          </w:tcPr>
          <w:p w:rsidRPr="00EC0D6B" w:rsidR="00371A7F" w:rsidP="00371A7F" w:rsidRDefault="00371A7F">
            <w:pPr>
              <w:spacing w:after="0"/>
              <w:cnfStyle w:val="100000000000"/>
              <w:rPr>
                <w:sz w:val="12"/>
                <w:szCs w:val="12"/>
              </w:rPr>
            </w:pPr>
            <w:r>
              <w:rPr>
                <w:sz w:val="12"/>
                <w:szCs w:val="12"/>
              </w:rPr>
              <w:t>NCP</w:t>
            </w:r>
          </w:p>
        </w:tc>
        <w:tc>
          <w:tcPr>
            <w:tcW w:w="843" w:type="dxa"/>
          </w:tcPr>
          <w:p w:rsidR="00371A7F" w:rsidP="00371A7F" w:rsidRDefault="00371A7F">
            <w:pPr>
              <w:spacing w:after="0"/>
              <w:cnfStyle w:val="100000000000"/>
              <w:rPr>
                <w:sz w:val="12"/>
                <w:szCs w:val="12"/>
              </w:rPr>
            </w:pPr>
            <w:r>
              <w:rPr>
                <w:sz w:val="12"/>
                <w:szCs w:val="12"/>
              </w:rPr>
              <w:t>BPM</w:t>
            </w:r>
          </w:p>
          <w:p w:rsidRPr="00EC0D6B" w:rsidR="00371A7F" w:rsidP="00371A7F" w:rsidRDefault="00371A7F">
            <w:pPr>
              <w:spacing w:after="0"/>
              <w:cnfStyle w:val="100000000000"/>
              <w:rPr>
                <w:sz w:val="12"/>
                <w:szCs w:val="12"/>
              </w:rPr>
            </w:pPr>
            <w:r>
              <w:rPr>
                <w:sz w:val="12"/>
                <w:szCs w:val="12"/>
              </w:rPr>
              <w:t>2011</w:t>
            </w:r>
          </w:p>
        </w:tc>
        <w:tc>
          <w:tcPr>
            <w:tcW w:w="844" w:type="dxa"/>
          </w:tcPr>
          <w:p w:rsidR="00371A7F" w:rsidP="00371A7F" w:rsidRDefault="00371A7F">
            <w:pPr>
              <w:spacing w:after="0"/>
              <w:cnfStyle w:val="100000000000"/>
              <w:rPr>
                <w:sz w:val="12"/>
                <w:szCs w:val="12"/>
              </w:rPr>
            </w:pPr>
            <w:r>
              <w:rPr>
                <w:sz w:val="12"/>
                <w:szCs w:val="12"/>
              </w:rPr>
              <w:t>BPM</w:t>
            </w:r>
          </w:p>
          <w:p w:rsidRPr="00EC0D6B" w:rsidR="00371A7F" w:rsidP="00371A7F" w:rsidRDefault="00371A7F">
            <w:pPr>
              <w:spacing w:after="0"/>
              <w:cnfStyle w:val="100000000000"/>
              <w:rPr>
                <w:sz w:val="12"/>
                <w:szCs w:val="12"/>
              </w:rPr>
            </w:pPr>
            <w:r>
              <w:rPr>
                <w:sz w:val="12"/>
                <w:szCs w:val="12"/>
              </w:rPr>
              <w:t>2012</w:t>
            </w:r>
          </w:p>
        </w:tc>
        <w:tc>
          <w:tcPr>
            <w:tcW w:w="843" w:type="dxa"/>
          </w:tcPr>
          <w:p w:rsidR="00371A7F" w:rsidP="00371A7F" w:rsidRDefault="00371A7F">
            <w:pPr>
              <w:spacing w:after="0"/>
              <w:cnfStyle w:val="100000000000"/>
              <w:rPr>
                <w:sz w:val="12"/>
                <w:szCs w:val="12"/>
              </w:rPr>
            </w:pPr>
            <w:r>
              <w:rPr>
                <w:sz w:val="12"/>
                <w:szCs w:val="12"/>
              </w:rPr>
              <w:t>BPM</w:t>
            </w:r>
          </w:p>
          <w:p w:rsidRPr="00EC0D6B" w:rsidR="00371A7F" w:rsidP="00371A7F" w:rsidRDefault="00371A7F">
            <w:pPr>
              <w:spacing w:after="0"/>
              <w:cnfStyle w:val="100000000000"/>
              <w:rPr>
                <w:sz w:val="12"/>
                <w:szCs w:val="12"/>
              </w:rPr>
            </w:pPr>
            <w:r>
              <w:rPr>
                <w:sz w:val="12"/>
                <w:szCs w:val="12"/>
              </w:rPr>
              <w:t>2013</w:t>
            </w:r>
          </w:p>
        </w:tc>
        <w:tc>
          <w:tcPr>
            <w:tcW w:w="844" w:type="dxa"/>
          </w:tcPr>
          <w:p w:rsidR="00371A7F" w:rsidP="00371A7F" w:rsidRDefault="00371A7F">
            <w:pPr>
              <w:spacing w:after="0"/>
              <w:cnfStyle w:val="100000000000"/>
              <w:rPr>
                <w:sz w:val="12"/>
                <w:szCs w:val="12"/>
              </w:rPr>
            </w:pPr>
            <w:r>
              <w:rPr>
                <w:sz w:val="12"/>
                <w:szCs w:val="12"/>
              </w:rPr>
              <w:t>BPM</w:t>
            </w:r>
          </w:p>
          <w:p w:rsidRPr="00EC0D6B" w:rsidR="00371A7F" w:rsidP="00371A7F" w:rsidRDefault="00371A7F">
            <w:pPr>
              <w:spacing w:after="0"/>
              <w:cnfStyle w:val="100000000000"/>
              <w:rPr>
                <w:sz w:val="12"/>
                <w:szCs w:val="12"/>
              </w:rPr>
            </w:pPr>
            <w:r>
              <w:rPr>
                <w:sz w:val="12"/>
                <w:szCs w:val="12"/>
              </w:rPr>
              <w:t>2014</w:t>
            </w:r>
          </w:p>
        </w:tc>
        <w:tc>
          <w:tcPr>
            <w:tcW w:w="844" w:type="dxa"/>
          </w:tcPr>
          <w:p w:rsidR="00371A7F" w:rsidP="00371A7F" w:rsidRDefault="00371A7F">
            <w:pPr>
              <w:spacing w:after="0"/>
              <w:cnfStyle w:val="100000000000"/>
              <w:rPr>
                <w:sz w:val="12"/>
                <w:szCs w:val="12"/>
              </w:rPr>
            </w:pPr>
            <w:r>
              <w:rPr>
                <w:sz w:val="12"/>
                <w:szCs w:val="12"/>
              </w:rPr>
              <w:t>BPM</w:t>
            </w:r>
          </w:p>
          <w:p w:rsidRPr="00EC0D6B" w:rsidR="00371A7F" w:rsidP="00371A7F" w:rsidRDefault="00371A7F">
            <w:pPr>
              <w:spacing w:after="0"/>
              <w:cnfStyle w:val="100000000000"/>
              <w:rPr>
                <w:sz w:val="12"/>
                <w:szCs w:val="12"/>
              </w:rPr>
            </w:pPr>
            <w:r>
              <w:rPr>
                <w:sz w:val="12"/>
                <w:szCs w:val="12"/>
              </w:rPr>
              <w:t>2015</w:t>
            </w:r>
          </w:p>
        </w:tc>
      </w:tr>
      <w:tr w:rsidRPr="00630CA9" w:rsidR="00371A7F" w:rsidTr="00371A7F">
        <w:trPr>
          <w:cnfStyle w:val="000000100000"/>
        </w:trPr>
        <w:tc>
          <w:tcPr>
            <w:cnfStyle w:val="001000000000"/>
            <w:tcW w:w="568" w:type="dxa"/>
          </w:tcPr>
          <w:p w:rsidRPr="00630CA9" w:rsidR="00371A7F" w:rsidP="00371A7F" w:rsidRDefault="00371A7F">
            <w:pPr>
              <w:spacing w:after="0"/>
              <w:rPr>
                <w:rFonts w:cs="Arial"/>
                <w:b w:val="0"/>
                <w:sz w:val="14"/>
                <w:szCs w:val="14"/>
              </w:rPr>
            </w:pPr>
            <w:r w:rsidRPr="00630CA9">
              <w:rPr>
                <w:rFonts w:cs="Arial"/>
                <w:b w:val="0"/>
                <w:sz w:val="14"/>
                <w:szCs w:val="14"/>
              </w:rPr>
              <w:t>A</w:t>
            </w:r>
          </w:p>
        </w:tc>
        <w:tc>
          <w:tcPr>
            <w:tcW w:w="2375" w:type="dxa"/>
          </w:tcPr>
          <w:p w:rsidRPr="00382B08" w:rsidR="00371A7F" w:rsidP="00371A7F" w:rsidRDefault="00371A7F">
            <w:pPr>
              <w:spacing w:after="0"/>
              <w:cnfStyle w:val="000000100000"/>
              <w:rPr>
                <w:rFonts w:cs="Arial"/>
                <w:sz w:val="12"/>
                <w:szCs w:val="12"/>
                <w:lang w:val="en-US"/>
              </w:rPr>
            </w:pPr>
            <w:r w:rsidRPr="00382B08">
              <w:rPr>
                <w:rFonts w:cs="Arial"/>
                <w:sz w:val="12"/>
                <w:szCs w:val="12"/>
                <w:lang w:val="en-US"/>
              </w:rPr>
              <w:t>Renault Twingo 1.2 16V  55 kW  3-d dynamique</w:t>
            </w:r>
          </w:p>
        </w:tc>
        <w:tc>
          <w:tcPr>
            <w:tcW w:w="567" w:type="dxa"/>
          </w:tcPr>
          <w:p w:rsidRPr="00630CA9" w:rsidR="00371A7F" w:rsidP="00371A7F" w:rsidRDefault="00371A7F">
            <w:pPr>
              <w:spacing w:after="0"/>
              <w:cnfStyle w:val="000000100000"/>
              <w:rPr>
                <w:sz w:val="12"/>
                <w:szCs w:val="12"/>
                <w:lang w:val="en-US"/>
              </w:rPr>
            </w:pPr>
            <w:r>
              <w:rPr>
                <w:sz w:val="12"/>
                <w:szCs w:val="12"/>
                <w:lang w:val="en-US"/>
              </w:rPr>
              <w:t>B</w:t>
            </w:r>
          </w:p>
        </w:tc>
        <w:tc>
          <w:tcPr>
            <w:tcW w:w="709" w:type="dxa"/>
          </w:tcPr>
          <w:p w:rsidRPr="00382B08" w:rsidR="00371A7F" w:rsidP="00371A7F" w:rsidRDefault="00371A7F">
            <w:pPr>
              <w:spacing w:after="0"/>
              <w:cnfStyle w:val="000000100000"/>
              <w:rPr>
                <w:rFonts w:cs="Arial"/>
                <w:sz w:val="14"/>
                <w:szCs w:val="14"/>
              </w:rPr>
            </w:pPr>
            <w:r w:rsidRPr="00382B08">
              <w:rPr>
                <w:rFonts w:cs="Arial"/>
                <w:sz w:val="14"/>
                <w:szCs w:val="14"/>
              </w:rPr>
              <w:t>109</w:t>
            </w:r>
          </w:p>
        </w:tc>
        <w:tc>
          <w:tcPr>
            <w:tcW w:w="851" w:type="dxa"/>
          </w:tcPr>
          <w:p w:rsidRPr="00382B08" w:rsidR="00371A7F" w:rsidP="00371A7F" w:rsidRDefault="00371A7F">
            <w:pPr>
              <w:spacing w:after="0"/>
              <w:cnfStyle w:val="000000100000"/>
              <w:rPr>
                <w:rFonts w:cs="Arial"/>
                <w:sz w:val="14"/>
                <w:szCs w:val="14"/>
              </w:rPr>
            </w:pPr>
            <w:r w:rsidRPr="00382B08">
              <w:rPr>
                <w:rFonts w:cs="Arial"/>
                <w:sz w:val="14"/>
                <w:szCs w:val="14"/>
              </w:rPr>
              <w:t>8.311</w:t>
            </w:r>
          </w:p>
        </w:tc>
        <w:tc>
          <w:tcPr>
            <w:tcW w:w="843" w:type="dxa"/>
          </w:tcPr>
          <w:p w:rsidRPr="00382B08" w:rsidR="00371A7F" w:rsidP="00371A7F" w:rsidRDefault="00371A7F">
            <w:pPr>
              <w:spacing w:after="0"/>
              <w:cnfStyle w:val="000000100000"/>
              <w:rPr>
                <w:rFonts w:cs="Arial"/>
                <w:sz w:val="14"/>
                <w:szCs w:val="14"/>
              </w:rPr>
            </w:pPr>
            <w:r w:rsidRPr="00382B08">
              <w:rPr>
                <w:rFonts w:cs="Arial"/>
                <w:sz w:val="14"/>
                <w:szCs w:val="14"/>
              </w:rPr>
              <w:t>0</w:t>
            </w:r>
          </w:p>
        </w:tc>
        <w:tc>
          <w:tcPr>
            <w:tcW w:w="844" w:type="dxa"/>
          </w:tcPr>
          <w:p w:rsidRPr="00382B08" w:rsidR="00371A7F" w:rsidP="00371A7F" w:rsidRDefault="00371A7F">
            <w:pPr>
              <w:spacing w:after="0"/>
              <w:cnfStyle w:val="000000100000"/>
              <w:rPr>
                <w:rFonts w:cs="Arial"/>
                <w:sz w:val="14"/>
                <w:szCs w:val="14"/>
              </w:rPr>
            </w:pPr>
            <w:r>
              <w:rPr>
                <w:rFonts w:cs="Arial"/>
                <w:sz w:val="14"/>
                <w:szCs w:val="14"/>
              </w:rPr>
              <w:t>737</w:t>
            </w:r>
          </w:p>
        </w:tc>
        <w:tc>
          <w:tcPr>
            <w:tcW w:w="843" w:type="dxa"/>
          </w:tcPr>
          <w:p w:rsidRPr="00382B08" w:rsidR="00371A7F" w:rsidP="00371A7F" w:rsidRDefault="00371A7F">
            <w:pPr>
              <w:spacing w:after="0"/>
              <w:cnfStyle w:val="000000100000"/>
              <w:rPr>
                <w:rFonts w:cs="Arial"/>
                <w:sz w:val="14"/>
                <w:szCs w:val="14"/>
              </w:rPr>
            </w:pPr>
            <w:r>
              <w:rPr>
                <w:rFonts w:cs="Arial"/>
                <w:sz w:val="14"/>
                <w:szCs w:val="14"/>
              </w:rPr>
              <w:t>749</w:t>
            </w:r>
          </w:p>
        </w:tc>
        <w:tc>
          <w:tcPr>
            <w:tcW w:w="844" w:type="dxa"/>
          </w:tcPr>
          <w:p w:rsidRPr="00382B08" w:rsidR="00371A7F" w:rsidP="00371A7F" w:rsidRDefault="00371A7F">
            <w:pPr>
              <w:spacing w:after="0"/>
              <w:cnfStyle w:val="000000100000"/>
              <w:rPr>
                <w:rFonts w:cs="Arial"/>
                <w:sz w:val="14"/>
                <w:szCs w:val="14"/>
              </w:rPr>
            </w:pPr>
            <w:r>
              <w:rPr>
                <w:rFonts w:cs="Arial"/>
                <w:sz w:val="14"/>
                <w:szCs w:val="14"/>
              </w:rPr>
              <w:t>900</w:t>
            </w:r>
          </w:p>
        </w:tc>
        <w:tc>
          <w:tcPr>
            <w:tcW w:w="844" w:type="dxa"/>
          </w:tcPr>
          <w:p w:rsidRPr="00382B08" w:rsidR="00371A7F" w:rsidP="00371A7F" w:rsidRDefault="00371A7F">
            <w:pPr>
              <w:spacing w:after="0"/>
              <w:cnfStyle w:val="000000100000"/>
              <w:rPr>
                <w:rFonts w:cs="Arial"/>
                <w:sz w:val="14"/>
                <w:szCs w:val="14"/>
              </w:rPr>
            </w:pPr>
            <w:r>
              <w:rPr>
                <w:rFonts w:cs="Arial"/>
                <w:sz w:val="14"/>
                <w:szCs w:val="14"/>
              </w:rPr>
              <w:t>1.053</w:t>
            </w:r>
          </w:p>
        </w:tc>
      </w:tr>
      <w:tr w:rsidRPr="00EC0D6B" w:rsidR="00371A7F" w:rsidTr="00371A7F">
        <w:tc>
          <w:tcPr>
            <w:cnfStyle w:val="001000000000"/>
            <w:tcW w:w="568" w:type="dxa"/>
          </w:tcPr>
          <w:p w:rsidRPr="00630CA9" w:rsidR="00371A7F" w:rsidP="00371A7F" w:rsidRDefault="00371A7F">
            <w:pPr>
              <w:spacing w:after="0"/>
              <w:rPr>
                <w:rFonts w:cs="Arial"/>
                <w:b w:val="0"/>
                <w:sz w:val="14"/>
                <w:szCs w:val="14"/>
              </w:rPr>
            </w:pPr>
            <w:r w:rsidRPr="00630CA9">
              <w:rPr>
                <w:rFonts w:cs="Arial"/>
                <w:b w:val="0"/>
                <w:sz w:val="14"/>
                <w:szCs w:val="14"/>
              </w:rPr>
              <w:t>A</w:t>
            </w:r>
          </w:p>
        </w:tc>
        <w:tc>
          <w:tcPr>
            <w:tcW w:w="2375" w:type="dxa"/>
          </w:tcPr>
          <w:p w:rsidRPr="00382B08" w:rsidR="00371A7F" w:rsidP="00371A7F" w:rsidRDefault="00371A7F">
            <w:pPr>
              <w:spacing w:after="0"/>
              <w:cnfStyle w:val="000000000000"/>
              <w:rPr>
                <w:rFonts w:cs="Arial"/>
                <w:sz w:val="12"/>
                <w:szCs w:val="12"/>
              </w:rPr>
            </w:pPr>
            <w:r w:rsidRPr="00382B08">
              <w:rPr>
                <w:rFonts w:cs="Arial"/>
                <w:sz w:val="12"/>
                <w:szCs w:val="12"/>
              </w:rPr>
              <w:t>Peugeot 107 1.0 50 kW  5-d XR</w:t>
            </w:r>
          </w:p>
        </w:tc>
        <w:tc>
          <w:tcPr>
            <w:tcW w:w="567" w:type="dxa"/>
          </w:tcPr>
          <w:p w:rsidRPr="00EC0D6B" w:rsidR="00371A7F" w:rsidP="00371A7F" w:rsidRDefault="00371A7F">
            <w:pPr>
              <w:spacing w:after="0"/>
              <w:cnfStyle w:val="000000000000"/>
              <w:rPr>
                <w:sz w:val="12"/>
                <w:szCs w:val="12"/>
              </w:rPr>
            </w:pPr>
            <w:r>
              <w:rPr>
                <w:sz w:val="12"/>
                <w:szCs w:val="12"/>
              </w:rPr>
              <w:t>B</w:t>
            </w:r>
          </w:p>
        </w:tc>
        <w:tc>
          <w:tcPr>
            <w:tcW w:w="709" w:type="dxa"/>
          </w:tcPr>
          <w:p w:rsidRPr="00382B08" w:rsidR="00371A7F" w:rsidP="00371A7F" w:rsidRDefault="00371A7F">
            <w:pPr>
              <w:spacing w:after="0"/>
              <w:cnfStyle w:val="000000000000"/>
              <w:rPr>
                <w:rFonts w:cs="Arial"/>
                <w:sz w:val="14"/>
                <w:szCs w:val="14"/>
              </w:rPr>
            </w:pPr>
            <w:r w:rsidRPr="00382B08">
              <w:rPr>
                <w:rFonts w:cs="Arial"/>
                <w:sz w:val="14"/>
                <w:szCs w:val="14"/>
              </w:rPr>
              <w:t>103</w:t>
            </w:r>
          </w:p>
        </w:tc>
        <w:tc>
          <w:tcPr>
            <w:tcW w:w="851" w:type="dxa"/>
          </w:tcPr>
          <w:p w:rsidRPr="00382B08" w:rsidR="00371A7F" w:rsidP="00371A7F" w:rsidRDefault="00371A7F">
            <w:pPr>
              <w:spacing w:after="0"/>
              <w:cnfStyle w:val="000000000000"/>
              <w:rPr>
                <w:rFonts w:cs="Arial"/>
                <w:sz w:val="14"/>
                <w:szCs w:val="14"/>
              </w:rPr>
            </w:pPr>
            <w:r w:rsidRPr="00382B08">
              <w:rPr>
                <w:rFonts w:cs="Arial"/>
                <w:sz w:val="14"/>
                <w:szCs w:val="14"/>
              </w:rPr>
              <w:t>7.773</w:t>
            </w:r>
          </w:p>
        </w:tc>
        <w:tc>
          <w:tcPr>
            <w:tcW w:w="843" w:type="dxa"/>
          </w:tcPr>
          <w:p w:rsidRPr="00382B08" w:rsidR="00371A7F" w:rsidP="00371A7F" w:rsidRDefault="00371A7F">
            <w:pPr>
              <w:spacing w:after="0"/>
              <w:cnfStyle w:val="000000000000"/>
              <w:rPr>
                <w:rFonts w:cs="Arial"/>
                <w:sz w:val="14"/>
                <w:szCs w:val="14"/>
              </w:rPr>
            </w:pPr>
            <w:r w:rsidRPr="00382B08">
              <w:rPr>
                <w:rFonts w:cs="Arial"/>
                <w:sz w:val="14"/>
                <w:szCs w:val="14"/>
              </w:rPr>
              <w:t>0</w:t>
            </w:r>
          </w:p>
        </w:tc>
        <w:tc>
          <w:tcPr>
            <w:tcW w:w="844" w:type="dxa"/>
          </w:tcPr>
          <w:p w:rsidRPr="00382B08" w:rsidR="00371A7F" w:rsidP="00371A7F" w:rsidRDefault="00371A7F">
            <w:pPr>
              <w:spacing w:after="0"/>
              <w:cnfStyle w:val="000000000000"/>
              <w:rPr>
                <w:rFonts w:cs="Arial"/>
                <w:sz w:val="14"/>
                <w:szCs w:val="14"/>
              </w:rPr>
            </w:pPr>
            <w:r>
              <w:rPr>
                <w:rFonts w:cs="Arial"/>
                <w:sz w:val="14"/>
                <w:szCs w:val="14"/>
              </w:rPr>
              <w:t>0</w:t>
            </w:r>
          </w:p>
        </w:tc>
        <w:tc>
          <w:tcPr>
            <w:tcW w:w="843" w:type="dxa"/>
          </w:tcPr>
          <w:p w:rsidRPr="00382B08" w:rsidR="00371A7F" w:rsidP="00371A7F" w:rsidRDefault="00371A7F">
            <w:pPr>
              <w:spacing w:after="0"/>
              <w:cnfStyle w:val="000000000000"/>
              <w:rPr>
                <w:rFonts w:cs="Arial"/>
                <w:sz w:val="14"/>
                <w:szCs w:val="14"/>
              </w:rPr>
            </w:pPr>
            <w:r>
              <w:rPr>
                <w:rFonts w:cs="Arial"/>
                <w:sz w:val="14"/>
                <w:szCs w:val="14"/>
              </w:rPr>
              <w:t>107</w:t>
            </w:r>
          </w:p>
        </w:tc>
        <w:tc>
          <w:tcPr>
            <w:tcW w:w="844" w:type="dxa"/>
          </w:tcPr>
          <w:p w:rsidRPr="00382B08" w:rsidR="00371A7F" w:rsidP="00371A7F" w:rsidRDefault="00371A7F">
            <w:pPr>
              <w:spacing w:after="0"/>
              <w:cnfStyle w:val="000000000000"/>
              <w:rPr>
                <w:rFonts w:cs="Arial"/>
                <w:sz w:val="14"/>
                <w:szCs w:val="14"/>
              </w:rPr>
            </w:pPr>
            <w:r>
              <w:rPr>
                <w:rFonts w:cs="Arial"/>
                <w:sz w:val="14"/>
                <w:szCs w:val="14"/>
              </w:rPr>
              <w:t>450</w:t>
            </w:r>
          </w:p>
        </w:tc>
        <w:tc>
          <w:tcPr>
            <w:tcW w:w="844" w:type="dxa"/>
          </w:tcPr>
          <w:p w:rsidRPr="00382B08" w:rsidR="00371A7F" w:rsidP="00371A7F" w:rsidRDefault="00371A7F">
            <w:pPr>
              <w:spacing w:after="0"/>
              <w:cnfStyle w:val="000000000000"/>
              <w:rPr>
                <w:rFonts w:cs="Arial"/>
                <w:sz w:val="14"/>
                <w:szCs w:val="14"/>
              </w:rPr>
            </w:pPr>
            <w:r>
              <w:rPr>
                <w:rFonts w:cs="Arial"/>
                <w:sz w:val="14"/>
                <w:szCs w:val="14"/>
              </w:rPr>
              <w:t>648</w:t>
            </w:r>
          </w:p>
        </w:tc>
      </w:tr>
      <w:tr w:rsidRPr="00630CA9" w:rsidR="00371A7F" w:rsidTr="00371A7F">
        <w:trPr>
          <w:cnfStyle w:val="000000100000"/>
        </w:trPr>
        <w:tc>
          <w:tcPr>
            <w:cnfStyle w:val="001000000000"/>
            <w:tcW w:w="568" w:type="dxa"/>
          </w:tcPr>
          <w:p w:rsidRPr="00630CA9" w:rsidR="00371A7F" w:rsidP="00371A7F" w:rsidRDefault="00371A7F">
            <w:pPr>
              <w:spacing w:after="0"/>
              <w:rPr>
                <w:rFonts w:cs="Arial"/>
                <w:b w:val="0"/>
                <w:sz w:val="14"/>
                <w:szCs w:val="14"/>
              </w:rPr>
            </w:pPr>
            <w:r w:rsidRPr="00630CA9">
              <w:rPr>
                <w:rFonts w:cs="Arial"/>
                <w:b w:val="0"/>
                <w:sz w:val="14"/>
                <w:szCs w:val="14"/>
              </w:rPr>
              <w:t>B</w:t>
            </w:r>
          </w:p>
        </w:tc>
        <w:tc>
          <w:tcPr>
            <w:tcW w:w="2375" w:type="dxa"/>
          </w:tcPr>
          <w:p w:rsidRPr="00382B08" w:rsidR="00371A7F" w:rsidP="00371A7F" w:rsidRDefault="00371A7F">
            <w:pPr>
              <w:spacing w:after="0"/>
              <w:cnfStyle w:val="000000100000"/>
              <w:rPr>
                <w:rFonts w:cs="Arial"/>
                <w:sz w:val="12"/>
                <w:szCs w:val="12"/>
                <w:lang w:val="en-US"/>
              </w:rPr>
            </w:pPr>
            <w:r w:rsidRPr="00382B08">
              <w:rPr>
                <w:rFonts w:cs="Arial"/>
                <w:sz w:val="12"/>
                <w:szCs w:val="12"/>
                <w:lang w:val="en-US"/>
              </w:rPr>
              <w:t>VW Polo 1.2 TDI 55 kW bluemotrion 5-d trendline</w:t>
            </w:r>
          </w:p>
        </w:tc>
        <w:tc>
          <w:tcPr>
            <w:tcW w:w="567" w:type="dxa"/>
          </w:tcPr>
          <w:p w:rsidRPr="00630CA9" w:rsidR="00371A7F" w:rsidP="00371A7F" w:rsidRDefault="00371A7F">
            <w:pPr>
              <w:spacing w:after="0"/>
              <w:cnfStyle w:val="000000100000"/>
              <w:rPr>
                <w:sz w:val="12"/>
                <w:szCs w:val="12"/>
                <w:lang w:val="en-US"/>
              </w:rPr>
            </w:pPr>
            <w:r>
              <w:rPr>
                <w:sz w:val="12"/>
                <w:szCs w:val="12"/>
                <w:lang w:val="en-US"/>
              </w:rPr>
              <w:t>D</w:t>
            </w:r>
          </w:p>
        </w:tc>
        <w:tc>
          <w:tcPr>
            <w:tcW w:w="709" w:type="dxa"/>
          </w:tcPr>
          <w:p w:rsidRPr="00382B08" w:rsidR="00371A7F" w:rsidP="00371A7F" w:rsidRDefault="00371A7F">
            <w:pPr>
              <w:spacing w:after="0"/>
              <w:cnfStyle w:val="000000100000"/>
              <w:rPr>
                <w:rFonts w:cs="Arial"/>
                <w:sz w:val="14"/>
                <w:szCs w:val="14"/>
              </w:rPr>
            </w:pPr>
            <w:r w:rsidRPr="00382B08">
              <w:rPr>
                <w:rFonts w:cs="Arial"/>
                <w:sz w:val="14"/>
                <w:szCs w:val="14"/>
              </w:rPr>
              <w:t>87</w:t>
            </w:r>
          </w:p>
        </w:tc>
        <w:tc>
          <w:tcPr>
            <w:tcW w:w="851" w:type="dxa"/>
          </w:tcPr>
          <w:p w:rsidRPr="00382B08" w:rsidR="00371A7F" w:rsidP="00371A7F" w:rsidRDefault="00371A7F">
            <w:pPr>
              <w:spacing w:after="0"/>
              <w:cnfStyle w:val="000000100000"/>
              <w:rPr>
                <w:rFonts w:cs="Arial"/>
                <w:sz w:val="14"/>
                <w:szCs w:val="14"/>
              </w:rPr>
            </w:pPr>
            <w:r w:rsidRPr="00382B08">
              <w:rPr>
                <w:rFonts w:cs="Arial"/>
                <w:sz w:val="14"/>
                <w:szCs w:val="14"/>
              </w:rPr>
              <w:t>14.235</w:t>
            </w:r>
          </w:p>
        </w:tc>
        <w:tc>
          <w:tcPr>
            <w:tcW w:w="843" w:type="dxa"/>
          </w:tcPr>
          <w:p w:rsidRPr="00382B08" w:rsidR="00371A7F" w:rsidP="00371A7F" w:rsidRDefault="00371A7F">
            <w:pPr>
              <w:spacing w:after="0"/>
              <w:cnfStyle w:val="000000100000"/>
              <w:rPr>
                <w:rFonts w:cs="Arial"/>
                <w:sz w:val="14"/>
                <w:szCs w:val="14"/>
              </w:rPr>
            </w:pPr>
            <w:r w:rsidRPr="00382B08">
              <w:rPr>
                <w:rFonts w:cs="Arial"/>
                <w:sz w:val="14"/>
                <w:szCs w:val="14"/>
              </w:rPr>
              <w:t>0</w:t>
            </w:r>
          </w:p>
        </w:tc>
        <w:tc>
          <w:tcPr>
            <w:tcW w:w="844" w:type="dxa"/>
          </w:tcPr>
          <w:p w:rsidRPr="00382B08" w:rsidR="00371A7F" w:rsidP="00371A7F" w:rsidRDefault="00371A7F">
            <w:pPr>
              <w:spacing w:after="0"/>
              <w:cnfStyle w:val="000000100000"/>
              <w:rPr>
                <w:rFonts w:cs="Arial"/>
                <w:sz w:val="14"/>
                <w:szCs w:val="14"/>
              </w:rPr>
            </w:pPr>
            <w:r>
              <w:rPr>
                <w:rFonts w:cs="Arial"/>
                <w:sz w:val="14"/>
                <w:szCs w:val="14"/>
              </w:rPr>
              <w:t>560</w:t>
            </w:r>
          </w:p>
        </w:tc>
        <w:tc>
          <w:tcPr>
            <w:tcW w:w="843" w:type="dxa"/>
          </w:tcPr>
          <w:p w:rsidRPr="00382B08" w:rsidR="00371A7F" w:rsidP="00371A7F" w:rsidRDefault="00371A7F">
            <w:pPr>
              <w:spacing w:after="0"/>
              <w:cnfStyle w:val="000000100000"/>
              <w:rPr>
                <w:rFonts w:cs="Arial"/>
                <w:sz w:val="14"/>
                <w:szCs w:val="14"/>
              </w:rPr>
            </w:pPr>
            <w:r>
              <w:rPr>
                <w:rFonts w:cs="Arial"/>
                <w:sz w:val="14"/>
                <w:szCs w:val="14"/>
              </w:rPr>
              <w:t>594</w:t>
            </w:r>
          </w:p>
        </w:tc>
        <w:tc>
          <w:tcPr>
            <w:tcW w:w="844" w:type="dxa"/>
          </w:tcPr>
          <w:p w:rsidRPr="00382B08" w:rsidR="00371A7F" w:rsidP="00371A7F" w:rsidRDefault="00371A7F">
            <w:pPr>
              <w:spacing w:after="0"/>
              <w:cnfStyle w:val="000000100000"/>
              <w:rPr>
                <w:rFonts w:cs="Arial"/>
                <w:sz w:val="14"/>
                <w:szCs w:val="14"/>
              </w:rPr>
            </w:pPr>
            <w:r>
              <w:rPr>
                <w:rFonts w:cs="Arial"/>
                <w:sz w:val="14"/>
                <w:szCs w:val="14"/>
              </w:rPr>
              <w:t>552</w:t>
            </w:r>
          </w:p>
        </w:tc>
        <w:tc>
          <w:tcPr>
            <w:tcW w:w="844" w:type="dxa"/>
          </w:tcPr>
          <w:p w:rsidRPr="00382B08" w:rsidR="00371A7F" w:rsidP="00371A7F" w:rsidRDefault="00371A7F">
            <w:pPr>
              <w:spacing w:after="0"/>
              <w:cnfStyle w:val="000000100000"/>
              <w:rPr>
                <w:rFonts w:cs="Arial"/>
                <w:sz w:val="14"/>
                <w:szCs w:val="14"/>
              </w:rPr>
            </w:pPr>
            <w:r>
              <w:rPr>
                <w:rFonts w:cs="Arial"/>
                <w:sz w:val="14"/>
                <w:szCs w:val="14"/>
              </w:rPr>
              <w:t>480</w:t>
            </w:r>
          </w:p>
        </w:tc>
      </w:tr>
      <w:tr w:rsidRPr="00630CA9" w:rsidR="00371A7F" w:rsidTr="00371A7F">
        <w:tc>
          <w:tcPr>
            <w:cnfStyle w:val="001000000000"/>
            <w:tcW w:w="568" w:type="dxa"/>
          </w:tcPr>
          <w:p w:rsidRPr="00630CA9" w:rsidR="00371A7F" w:rsidP="00371A7F" w:rsidRDefault="00371A7F">
            <w:pPr>
              <w:spacing w:after="0"/>
              <w:rPr>
                <w:rFonts w:cs="Arial"/>
                <w:b w:val="0"/>
                <w:sz w:val="14"/>
                <w:szCs w:val="14"/>
              </w:rPr>
            </w:pPr>
            <w:r w:rsidRPr="00630CA9">
              <w:rPr>
                <w:rFonts w:cs="Arial"/>
                <w:b w:val="0"/>
                <w:sz w:val="14"/>
                <w:szCs w:val="14"/>
              </w:rPr>
              <w:t>B</w:t>
            </w:r>
          </w:p>
        </w:tc>
        <w:tc>
          <w:tcPr>
            <w:tcW w:w="2375" w:type="dxa"/>
          </w:tcPr>
          <w:p w:rsidRPr="00382B08" w:rsidR="00371A7F" w:rsidP="00371A7F" w:rsidRDefault="00371A7F">
            <w:pPr>
              <w:spacing w:after="0"/>
              <w:cnfStyle w:val="000000000000"/>
              <w:rPr>
                <w:rFonts w:cs="Arial"/>
                <w:sz w:val="12"/>
                <w:szCs w:val="12"/>
                <w:lang w:val="en-US"/>
              </w:rPr>
            </w:pPr>
            <w:r w:rsidRPr="00382B08">
              <w:rPr>
                <w:rFonts w:cs="Arial"/>
                <w:sz w:val="12"/>
                <w:szCs w:val="12"/>
                <w:lang w:val="en-US"/>
              </w:rPr>
              <w:t>Seat Ibiza 1.4  63 kW  3-d style</w:t>
            </w:r>
          </w:p>
        </w:tc>
        <w:tc>
          <w:tcPr>
            <w:tcW w:w="567" w:type="dxa"/>
          </w:tcPr>
          <w:p w:rsidRPr="00630CA9" w:rsidR="00371A7F" w:rsidP="00371A7F" w:rsidRDefault="00371A7F">
            <w:pPr>
              <w:spacing w:after="0"/>
              <w:cnfStyle w:val="000000000000"/>
              <w:rPr>
                <w:sz w:val="12"/>
                <w:szCs w:val="12"/>
                <w:lang w:val="en-US"/>
              </w:rPr>
            </w:pPr>
            <w:r>
              <w:rPr>
                <w:sz w:val="12"/>
                <w:szCs w:val="12"/>
                <w:lang w:val="en-US"/>
              </w:rPr>
              <w:t>B</w:t>
            </w:r>
          </w:p>
        </w:tc>
        <w:tc>
          <w:tcPr>
            <w:tcW w:w="709" w:type="dxa"/>
          </w:tcPr>
          <w:p w:rsidRPr="00382B08" w:rsidR="00371A7F" w:rsidP="00371A7F" w:rsidRDefault="00371A7F">
            <w:pPr>
              <w:spacing w:after="0"/>
              <w:cnfStyle w:val="000000000000"/>
              <w:rPr>
                <w:rFonts w:cs="Arial"/>
                <w:sz w:val="14"/>
                <w:szCs w:val="14"/>
              </w:rPr>
            </w:pPr>
            <w:r w:rsidRPr="00382B08">
              <w:rPr>
                <w:rFonts w:cs="Arial"/>
                <w:sz w:val="14"/>
                <w:szCs w:val="14"/>
              </w:rPr>
              <w:t>139</w:t>
            </w:r>
          </w:p>
        </w:tc>
        <w:tc>
          <w:tcPr>
            <w:tcW w:w="851" w:type="dxa"/>
          </w:tcPr>
          <w:p w:rsidRPr="00382B08" w:rsidR="00371A7F" w:rsidP="00371A7F" w:rsidRDefault="00371A7F">
            <w:pPr>
              <w:spacing w:after="0"/>
              <w:cnfStyle w:val="000000000000"/>
              <w:rPr>
                <w:rFonts w:cs="Arial"/>
                <w:sz w:val="14"/>
                <w:szCs w:val="14"/>
              </w:rPr>
            </w:pPr>
            <w:r w:rsidRPr="00382B08">
              <w:rPr>
                <w:rFonts w:cs="Arial"/>
                <w:sz w:val="14"/>
                <w:szCs w:val="14"/>
              </w:rPr>
              <w:t>10.543</w:t>
            </w:r>
          </w:p>
        </w:tc>
        <w:tc>
          <w:tcPr>
            <w:tcW w:w="843" w:type="dxa"/>
          </w:tcPr>
          <w:p w:rsidRPr="00382B08" w:rsidR="00371A7F" w:rsidP="00371A7F" w:rsidRDefault="00371A7F">
            <w:pPr>
              <w:spacing w:after="0"/>
              <w:cnfStyle w:val="000000000000"/>
              <w:rPr>
                <w:rFonts w:cs="Arial"/>
                <w:sz w:val="14"/>
                <w:szCs w:val="14"/>
              </w:rPr>
            </w:pPr>
            <w:r w:rsidRPr="00382B08">
              <w:rPr>
                <w:rFonts w:cs="Arial"/>
                <w:sz w:val="14"/>
                <w:szCs w:val="14"/>
              </w:rPr>
              <w:t>2.948</w:t>
            </w:r>
          </w:p>
        </w:tc>
        <w:tc>
          <w:tcPr>
            <w:tcW w:w="844" w:type="dxa"/>
          </w:tcPr>
          <w:p w:rsidRPr="00382B08" w:rsidR="00371A7F" w:rsidP="00371A7F" w:rsidRDefault="00371A7F">
            <w:pPr>
              <w:spacing w:after="0"/>
              <w:cnfStyle w:val="000000000000"/>
              <w:rPr>
                <w:rFonts w:cs="Arial"/>
                <w:sz w:val="14"/>
                <w:szCs w:val="14"/>
              </w:rPr>
            </w:pPr>
            <w:r w:rsidRPr="00382B08">
              <w:rPr>
                <w:rFonts w:cs="Arial"/>
                <w:sz w:val="14"/>
                <w:szCs w:val="14"/>
              </w:rPr>
              <w:t>3.</w:t>
            </w:r>
            <w:r>
              <w:rPr>
                <w:rFonts w:cs="Arial"/>
                <w:sz w:val="14"/>
                <w:szCs w:val="14"/>
              </w:rPr>
              <w:t>536</w:t>
            </w:r>
          </w:p>
        </w:tc>
        <w:tc>
          <w:tcPr>
            <w:tcW w:w="843" w:type="dxa"/>
          </w:tcPr>
          <w:p w:rsidRPr="00382B08" w:rsidR="00371A7F" w:rsidP="00371A7F" w:rsidRDefault="00371A7F">
            <w:pPr>
              <w:spacing w:after="0"/>
              <w:cnfStyle w:val="000000000000"/>
              <w:rPr>
                <w:rFonts w:cs="Arial"/>
                <w:sz w:val="14"/>
                <w:szCs w:val="14"/>
              </w:rPr>
            </w:pPr>
            <w:r>
              <w:rPr>
                <w:rFonts w:cs="Arial"/>
                <w:sz w:val="14"/>
                <w:szCs w:val="14"/>
              </w:rPr>
              <w:t>3.745</w:t>
            </w:r>
          </w:p>
        </w:tc>
        <w:tc>
          <w:tcPr>
            <w:tcW w:w="844" w:type="dxa"/>
          </w:tcPr>
          <w:p w:rsidRPr="00382B08" w:rsidR="00371A7F" w:rsidP="00371A7F" w:rsidRDefault="00371A7F">
            <w:pPr>
              <w:spacing w:after="0"/>
              <w:cnfStyle w:val="000000000000"/>
              <w:rPr>
                <w:rFonts w:cs="Arial"/>
                <w:sz w:val="14"/>
                <w:szCs w:val="14"/>
              </w:rPr>
            </w:pPr>
            <w:r>
              <w:rPr>
                <w:rFonts w:cs="Arial"/>
                <w:sz w:val="14"/>
                <w:szCs w:val="14"/>
              </w:rPr>
              <w:t>3.348</w:t>
            </w:r>
          </w:p>
        </w:tc>
        <w:tc>
          <w:tcPr>
            <w:tcW w:w="844" w:type="dxa"/>
          </w:tcPr>
          <w:p w:rsidRPr="00382B08" w:rsidR="00371A7F" w:rsidP="00371A7F" w:rsidRDefault="00371A7F">
            <w:pPr>
              <w:spacing w:after="0"/>
              <w:cnfStyle w:val="000000000000"/>
              <w:rPr>
                <w:rFonts w:cs="Arial"/>
                <w:sz w:val="14"/>
                <w:szCs w:val="14"/>
              </w:rPr>
            </w:pPr>
            <w:r>
              <w:rPr>
                <w:rFonts w:cs="Arial"/>
                <w:sz w:val="14"/>
                <w:szCs w:val="14"/>
              </w:rPr>
              <w:t>3.335</w:t>
            </w:r>
          </w:p>
        </w:tc>
      </w:tr>
      <w:tr w:rsidRPr="00630CA9" w:rsidR="00371A7F" w:rsidTr="00371A7F">
        <w:trPr>
          <w:cnfStyle w:val="000000100000"/>
        </w:trPr>
        <w:tc>
          <w:tcPr>
            <w:cnfStyle w:val="001000000000"/>
            <w:tcW w:w="568" w:type="dxa"/>
          </w:tcPr>
          <w:p w:rsidRPr="00630CA9" w:rsidR="00371A7F" w:rsidP="00371A7F" w:rsidRDefault="00371A7F">
            <w:pPr>
              <w:spacing w:after="0"/>
              <w:rPr>
                <w:rFonts w:cs="Arial"/>
                <w:b w:val="0"/>
                <w:sz w:val="14"/>
                <w:szCs w:val="14"/>
              </w:rPr>
            </w:pPr>
            <w:r w:rsidRPr="00630CA9">
              <w:rPr>
                <w:rFonts w:cs="Arial"/>
                <w:b w:val="0"/>
                <w:sz w:val="14"/>
                <w:szCs w:val="14"/>
              </w:rPr>
              <w:t>C</w:t>
            </w:r>
          </w:p>
        </w:tc>
        <w:tc>
          <w:tcPr>
            <w:tcW w:w="2375" w:type="dxa"/>
          </w:tcPr>
          <w:p w:rsidRPr="00382B08" w:rsidR="00371A7F" w:rsidP="00371A7F" w:rsidRDefault="00371A7F">
            <w:pPr>
              <w:spacing w:after="0"/>
              <w:cnfStyle w:val="000000100000"/>
              <w:rPr>
                <w:rFonts w:cs="Arial"/>
                <w:sz w:val="12"/>
                <w:szCs w:val="12"/>
                <w:lang w:val="en-US"/>
              </w:rPr>
            </w:pPr>
            <w:r w:rsidRPr="00382B08">
              <w:rPr>
                <w:rFonts w:cs="Arial"/>
                <w:sz w:val="12"/>
                <w:szCs w:val="12"/>
                <w:lang w:val="en-US"/>
              </w:rPr>
              <w:t>VW Golf 1.6 TDI 77 kW  5-d comfortline</w:t>
            </w:r>
          </w:p>
        </w:tc>
        <w:tc>
          <w:tcPr>
            <w:tcW w:w="567" w:type="dxa"/>
          </w:tcPr>
          <w:p w:rsidRPr="00630CA9" w:rsidR="00371A7F" w:rsidP="00371A7F" w:rsidRDefault="00371A7F">
            <w:pPr>
              <w:spacing w:after="0"/>
              <w:cnfStyle w:val="000000100000"/>
              <w:rPr>
                <w:sz w:val="12"/>
                <w:szCs w:val="12"/>
                <w:lang w:val="en-US"/>
              </w:rPr>
            </w:pPr>
            <w:r>
              <w:rPr>
                <w:sz w:val="12"/>
                <w:szCs w:val="12"/>
                <w:lang w:val="en-US"/>
              </w:rPr>
              <w:t>D</w:t>
            </w:r>
          </w:p>
        </w:tc>
        <w:tc>
          <w:tcPr>
            <w:tcW w:w="709" w:type="dxa"/>
          </w:tcPr>
          <w:p w:rsidRPr="00382B08" w:rsidR="00371A7F" w:rsidP="00371A7F" w:rsidRDefault="00371A7F">
            <w:pPr>
              <w:spacing w:after="0"/>
              <w:cnfStyle w:val="000000100000"/>
              <w:rPr>
                <w:rFonts w:cs="Arial"/>
                <w:sz w:val="14"/>
                <w:szCs w:val="14"/>
              </w:rPr>
            </w:pPr>
            <w:r w:rsidRPr="00382B08">
              <w:rPr>
                <w:rFonts w:cs="Arial"/>
                <w:sz w:val="14"/>
                <w:szCs w:val="14"/>
              </w:rPr>
              <w:t>107</w:t>
            </w:r>
          </w:p>
        </w:tc>
        <w:tc>
          <w:tcPr>
            <w:tcW w:w="851" w:type="dxa"/>
          </w:tcPr>
          <w:p w:rsidRPr="00382B08" w:rsidR="00371A7F" w:rsidP="00371A7F" w:rsidRDefault="00371A7F">
            <w:pPr>
              <w:spacing w:after="0"/>
              <w:cnfStyle w:val="000000100000"/>
              <w:rPr>
                <w:rFonts w:cs="Arial"/>
                <w:sz w:val="14"/>
                <w:szCs w:val="14"/>
              </w:rPr>
            </w:pPr>
            <w:r w:rsidRPr="00382B08">
              <w:rPr>
                <w:rFonts w:cs="Arial"/>
                <w:sz w:val="14"/>
                <w:szCs w:val="14"/>
              </w:rPr>
              <w:t>18.987</w:t>
            </w:r>
          </w:p>
        </w:tc>
        <w:tc>
          <w:tcPr>
            <w:tcW w:w="843" w:type="dxa"/>
          </w:tcPr>
          <w:p w:rsidRPr="00382B08" w:rsidR="00371A7F" w:rsidP="00371A7F" w:rsidRDefault="00371A7F">
            <w:pPr>
              <w:spacing w:after="0"/>
              <w:cnfStyle w:val="000000100000"/>
              <w:rPr>
                <w:rFonts w:cs="Arial"/>
                <w:sz w:val="14"/>
                <w:szCs w:val="14"/>
              </w:rPr>
            </w:pPr>
            <w:r w:rsidRPr="00382B08">
              <w:rPr>
                <w:rFonts w:cs="Arial"/>
                <w:sz w:val="14"/>
                <w:szCs w:val="14"/>
              </w:rPr>
              <w:t>5.366</w:t>
            </w:r>
          </w:p>
        </w:tc>
        <w:tc>
          <w:tcPr>
            <w:tcW w:w="844" w:type="dxa"/>
          </w:tcPr>
          <w:p w:rsidRPr="00382B08" w:rsidR="00371A7F" w:rsidP="00371A7F" w:rsidRDefault="00371A7F">
            <w:pPr>
              <w:spacing w:after="0"/>
              <w:cnfStyle w:val="000000100000"/>
              <w:rPr>
                <w:rFonts w:cs="Arial"/>
                <w:sz w:val="14"/>
                <w:szCs w:val="14"/>
              </w:rPr>
            </w:pPr>
            <w:r w:rsidRPr="00382B08">
              <w:rPr>
                <w:rFonts w:cs="Arial"/>
                <w:sz w:val="14"/>
                <w:szCs w:val="14"/>
              </w:rPr>
              <w:t>4.</w:t>
            </w:r>
            <w:r>
              <w:rPr>
                <w:rFonts w:cs="Arial"/>
                <w:sz w:val="14"/>
                <w:szCs w:val="14"/>
              </w:rPr>
              <w:t>484</w:t>
            </w:r>
          </w:p>
        </w:tc>
        <w:tc>
          <w:tcPr>
            <w:tcW w:w="843" w:type="dxa"/>
          </w:tcPr>
          <w:p w:rsidRPr="00382B08" w:rsidR="00371A7F" w:rsidP="00371A7F" w:rsidRDefault="00371A7F">
            <w:pPr>
              <w:spacing w:after="0"/>
              <w:cnfStyle w:val="000000100000"/>
              <w:rPr>
                <w:rFonts w:cs="Arial"/>
                <w:sz w:val="14"/>
                <w:szCs w:val="14"/>
              </w:rPr>
            </w:pPr>
            <w:r>
              <w:rPr>
                <w:rFonts w:cs="Arial"/>
                <w:sz w:val="14"/>
                <w:szCs w:val="14"/>
              </w:rPr>
              <w:t>2.904</w:t>
            </w:r>
          </w:p>
        </w:tc>
        <w:tc>
          <w:tcPr>
            <w:tcW w:w="844" w:type="dxa"/>
          </w:tcPr>
          <w:p w:rsidRPr="00382B08" w:rsidR="00371A7F" w:rsidP="00371A7F" w:rsidRDefault="00371A7F">
            <w:pPr>
              <w:spacing w:after="0"/>
              <w:cnfStyle w:val="000000100000"/>
              <w:rPr>
                <w:rFonts w:cs="Arial"/>
                <w:sz w:val="14"/>
                <w:szCs w:val="14"/>
              </w:rPr>
            </w:pPr>
            <w:r>
              <w:rPr>
                <w:rFonts w:cs="Arial"/>
                <w:sz w:val="14"/>
                <w:szCs w:val="14"/>
              </w:rPr>
              <w:t>2.784</w:t>
            </w:r>
          </w:p>
        </w:tc>
        <w:tc>
          <w:tcPr>
            <w:tcW w:w="844" w:type="dxa"/>
          </w:tcPr>
          <w:p w:rsidRPr="00382B08" w:rsidR="00371A7F" w:rsidP="00371A7F" w:rsidRDefault="00371A7F">
            <w:pPr>
              <w:spacing w:after="0"/>
              <w:cnfStyle w:val="000000100000"/>
              <w:rPr>
                <w:rFonts w:cs="Arial"/>
                <w:sz w:val="14"/>
                <w:szCs w:val="14"/>
              </w:rPr>
            </w:pPr>
            <w:r>
              <w:rPr>
                <w:rFonts w:cs="Arial"/>
                <w:sz w:val="14"/>
                <w:szCs w:val="14"/>
              </w:rPr>
              <w:t>2.731</w:t>
            </w:r>
          </w:p>
        </w:tc>
      </w:tr>
      <w:tr w:rsidRPr="00630CA9" w:rsidR="00371A7F" w:rsidTr="00371A7F">
        <w:tc>
          <w:tcPr>
            <w:cnfStyle w:val="001000000000"/>
            <w:tcW w:w="568" w:type="dxa"/>
          </w:tcPr>
          <w:p w:rsidRPr="00630CA9" w:rsidR="00371A7F" w:rsidP="00371A7F" w:rsidRDefault="00371A7F">
            <w:pPr>
              <w:spacing w:after="0"/>
              <w:rPr>
                <w:rFonts w:cs="Arial"/>
                <w:b w:val="0"/>
                <w:sz w:val="14"/>
                <w:szCs w:val="14"/>
              </w:rPr>
            </w:pPr>
            <w:r w:rsidRPr="00630CA9">
              <w:rPr>
                <w:rFonts w:cs="Arial"/>
                <w:b w:val="0"/>
                <w:sz w:val="14"/>
                <w:szCs w:val="14"/>
              </w:rPr>
              <w:t>C</w:t>
            </w:r>
          </w:p>
        </w:tc>
        <w:tc>
          <w:tcPr>
            <w:tcW w:w="2375" w:type="dxa"/>
          </w:tcPr>
          <w:p w:rsidRPr="00382B08" w:rsidR="00371A7F" w:rsidP="00371A7F" w:rsidRDefault="00371A7F">
            <w:pPr>
              <w:spacing w:after="0"/>
              <w:cnfStyle w:val="000000000000"/>
              <w:rPr>
                <w:rFonts w:cs="Arial"/>
                <w:sz w:val="12"/>
                <w:szCs w:val="12"/>
                <w:lang w:val="en-US"/>
              </w:rPr>
            </w:pPr>
            <w:r w:rsidRPr="00382B08">
              <w:rPr>
                <w:rFonts w:cs="Arial"/>
                <w:sz w:val="12"/>
                <w:szCs w:val="12"/>
                <w:lang w:val="en-US"/>
              </w:rPr>
              <w:t>Renault Megane Estate 1.4 TCE 96 kW  dynamique</w:t>
            </w:r>
          </w:p>
        </w:tc>
        <w:tc>
          <w:tcPr>
            <w:tcW w:w="567" w:type="dxa"/>
          </w:tcPr>
          <w:p w:rsidRPr="00630CA9" w:rsidR="00371A7F" w:rsidP="00371A7F" w:rsidRDefault="00371A7F">
            <w:pPr>
              <w:spacing w:after="0"/>
              <w:cnfStyle w:val="000000000000"/>
              <w:rPr>
                <w:sz w:val="12"/>
                <w:szCs w:val="12"/>
                <w:lang w:val="en-US"/>
              </w:rPr>
            </w:pPr>
            <w:r>
              <w:rPr>
                <w:sz w:val="12"/>
                <w:szCs w:val="12"/>
                <w:lang w:val="en-US"/>
              </w:rPr>
              <w:t>B</w:t>
            </w:r>
          </w:p>
        </w:tc>
        <w:tc>
          <w:tcPr>
            <w:tcW w:w="709" w:type="dxa"/>
          </w:tcPr>
          <w:p w:rsidRPr="00382B08" w:rsidR="00371A7F" w:rsidP="00371A7F" w:rsidRDefault="00371A7F">
            <w:pPr>
              <w:spacing w:after="0"/>
              <w:cnfStyle w:val="000000000000"/>
              <w:rPr>
                <w:rFonts w:cs="Arial"/>
                <w:sz w:val="14"/>
                <w:szCs w:val="14"/>
              </w:rPr>
            </w:pPr>
            <w:r w:rsidRPr="00382B08">
              <w:rPr>
                <w:rFonts w:cs="Arial"/>
                <w:sz w:val="14"/>
                <w:szCs w:val="14"/>
              </w:rPr>
              <w:t>145</w:t>
            </w:r>
          </w:p>
        </w:tc>
        <w:tc>
          <w:tcPr>
            <w:tcW w:w="851" w:type="dxa"/>
          </w:tcPr>
          <w:p w:rsidRPr="00382B08" w:rsidR="00371A7F" w:rsidP="00371A7F" w:rsidRDefault="00371A7F">
            <w:pPr>
              <w:spacing w:after="0"/>
              <w:cnfStyle w:val="000000000000"/>
              <w:rPr>
                <w:rFonts w:cs="Arial"/>
                <w:sz w:val="14"/>
                <w:szCs w:val="14"/>
              </w:rPr>
            </w:pPr>
            <w:r w:rsidRPr="00382B08">
              <w:rPr>
                <w:rFonts w:cs="Arial"/>
                <w:sz w:val="14"/>
                <w:szCs w:val="14"/>
              </w:rPr>
              <w:t>16.434</w:t>
            </w:r>
          </w:p>
        </w:tc>
        <w:tc>
          <w:tcPr>
            <w:tcW w:w="843" w:type="dxa"/>
          </w:tcPr>
          <w:p w:rsidRPr="00382B08" w:rsidR="00371A7F" w:rsidP="00371A7F" w:rsidRDefault="00371A7F">
            <w:pPr>
              <w:spacing w:after="0"/>
              <w:cnfStyle w:val="000000000000"/>
              <w:rPr>
                <w:rFonts w:cs="Arial"/>
                <w:sz w:val="14"/>
                <w:szCs w:val="14"/>
              </w:rPr>
            </w:pPr>
            <w:r w:rsidRPr="00382B08">
              <w:rPr>
                <w:rFonts w:cs="Arial"/>
                <w:sz w:val="14"/>
                <w:szCs w:val="14"/>
              </w:rPr>
              <w:t>4.433</w:t>
            </w:r>
          </w:p>
        </w:tc>
        <w:tc>
          <w:tcPr>
            <w:tcW w:w="844" w:type="dxa"/>
          </w:tcPr>
          <w:p w:rsidRPr="00382B08" w:rsidR="00371A7F" w:rsidP="00371A7F" w:rsidRDefault="00371A7F">
            <w:pPr>
              <w:spacing w:after="0"/>
              <w:cnfStyle w:val="000000000000"/>
              <w:rPr>
                <w:rFonts w:cs="Arial"/>
                <w:sz w:val="14"/>
                <w:szCs w:val="14"/>
              </w:rPr>
            </w:pPr>
            <w:r>
              <w:rPr>
                <w:rFonts w:cs="Arial"/>
                <w:sz w:val="14"/>
                <w:szCs w:val="14"/>
              </w:rPr>
              <w:t>4.718</w:t>
            </w:r>
          </w:p>
        </w:tc>
        <w:tc>
          <w:tcPr>
            <w:tcW w:w="843" w:type="dxa"/>
          </w:tcPr>
          <w:p w:rsidRPr="00382B08" w:rsidR="00371A7F" w:rsidP="00371A7F" w:rsidRDefault="00371A7F">
            <w:pPr>
              <w:spacing w:after="0"/>
              <w:cnfStyle w:val="000000000000"/>
              <w:rPr>
                <w:rFonts w:cs="Arial"/>
                <w:sz w:val="14"/>
                <w:szCs w:val="14"/>
              </w:rPr>
            </w:pPr>
            <w:r>
              <w:rPr>
                <w:rFonts w:cs="Arial"/>
                <w:sz w:val="14"/>
                <w:szCs w:val="14"/>
              </w:rPr>
              <w:t>4.280</w:t>
            </w:r>
          </w:p>
        </w:tc>
        <w:tc>
          <w:tcPr>
            <w:tcW w:w="844" w:type="dxa"/>
          </w:tcPr>
          <w:p w:rsidRPr="00382B08" w:rsidR="00371A7F" w:rsidP="00371A7F" w:rsidRDefault="00371A7F">
            <w:pPr>
              <w:spacing w:after="0"/>
              <w:cnfStyle w:val="000000000000"/>
              <w:rPr>
                <w:rFonts w:cs="Arial"/>
                <w:sz w:val="14"/>
                <w:szCs w:val="14"/>
              </w:rPr>
            </w:pPr>
            <w:r>
              <w:rPr>
                <w:rFonts w:cs="Arial"/>
                <w:sz w:val="14"/>
                <w:szCs w:val="14"/>
              </w:rPr>
              <w:t>3.996</w:t>
            </w:r>
          </w:p>
        </w:tc>
        <w:tc>
          <w:tcPr>
            <w:tcW w:w="844" w:type="dxa"/>
          </w:tcPr>
          <w:p w:rsidRPr="00382B08" w:rsidR="00371A7F" w:rsidP="00371A7F" w:rsidRDefault="00371A7F">
            <w:pPr>
              <w:spacing w:after="0"/>
              <w:cnfStyle w:val="000000000000"/>
              <w:rPr>
                <w:rFonts w:cs="Arial"/>
                <w:sz w:val="14"/>
                <w:szCs w:val="14"/>
              </w:rPr>
            </w:pPr>
            <w:r>
              <w:rPr>
                <w:rFonts w:cs="Arial"/>
                <w:sz w:val="14"/>
                <w:szCs w:val="14"/>
              </w:rPr>
              <w:t>3.820</w:t>
            </w:r>
          </w:p>
        </w:tc>
      </w:tr>
      <w:tr w:rsidRPr="00630CA9" w:rsidR="00371A7F" w:rsidTr="00371A7F">
        <w:trPr>
          <w:cnfStyle w:val="000000100000"/>
        </w:trPr>
        <w:tc>
          <w:tcPr>
            <w:cnfStyle w:val="001000000000"/>
            <w:tcW w:w="568" w:type="dxa"/>
          </w:tcPr>
          <w:p w:rsidRPr="00630CA9" w:rsidR="00371A7F" w:rsidP="00371A7F" w:rsidRDefault="00371A7F">
            <w:pPr>
              <w:spacing w:after="0"/>
              <w:rPr>
                <w:rFonts w:cs="Arial"/>
                <w:b w:val="0"/>
                <w:sz w:val="14"/>
                <w:szCs w:val="14"/>
              </w:rPr>
            </w:pPr>
            <w:r w:rsidRPr="00630CA9">
              <w:rPr>
                <w:rFonts w:cs="Arial"/>
                <w:b w:val="0"/>
                <w:sz w:val="14"/>
                <w:szCs w:val="14"/>
              </w:rPr>
              <w:t>D</w:t>
            </w:r>
          </w:p>
        </w:tc>
        <w:tc>
          <w:tcPr>
            <w:tcW w:w="2375" w:type="dxa"/>
          </w:tcPr>
          <w:p w:rsidRPr="00382B08" w:rsidR="00371A7F" w:rsidP="00371A7F" w:rsidRDefault="00371A7F">
            <w:pPr>
              <w:spacing w:after="0"/>
              <w:cnfStyle w:val="000000100000"/>
              <w:rPr>
                <w:rFonts w:cs="Arial"/>
                <w:sz w:val="12"/>
                <w:szCs w:val="12"/>
                <w:lang w:val="en-US"/>
              </w:rPr>
            </w:pPr>
            <w:r w:rsidRPr="00382B08">
              <w:rPr>
                <w:rFonts w:cs="Arial"/>
                <w:sz w:val="12"/>
                <w:szCs w:val="12"/>
                <w:lang w:val="en-US"/>
              </w:rPr>
              <w:t>VW Passat Variant 1.4 TSI 90 kW DSG comfortline</w:t>
            </w:r>
          </w:p>
        </w:tc>
        <w:tc>
          <w:tcPr>
            <w:tcW w:w="567" w:type="dxa"/>
          </w:tcPr>
          <w:p w:rsidRPr="00630CA9" w:rsidR="00371A7F" w:rsidP="00371A7F" w:rsidRDefault="00371A7F">
            <w:pPr>
              <w:spacing w:after="0"/>
              <w:cnfStyle w:val="000000100000"/>
              <w:rPr>
                <w:sz w:val="12"/>
                <w:szCs w:val="12"/>
                <w:lang w:val="en-US"/>
              </w:rPr>
            </w:pPr>
            <w:r>
              <w:rPr>
                <w:sz w:val="12"/>
                <w:szCs w:val="12"/>
                <w:lang w:val="en-US"/>
              </w:rPr>
              <w:t>B</w:t>
            </w:r>
          </w:p>
        </w:tc>
        <w:tc>
          <w:tcPr>
            <w:tcW w:w="709" w:type="dxa"/>
          </w:tcPr>
          <w:p w:rsidRPr="00382B08" w:rsidR="00371A7F" w:rsidP="00371A7F" w:rsidRDefault="00371A7F">
            <w:pPr>
              <w:spacing w:after="0"/>
              <w:cnfStyle w:val="000000100000"/>
              <w:rPr>
                <w:rFonts w:cs="Arial"/>
                <w:sz w:val="14"/>
                <w:szCs w:val="14"/>
              </w:rPr>
            </w:pPr>
            <w:r w:rsidRPr="00382B08">
              <w:rPr>
                <w:rFonts w:cs="Arial"/>
                <w:sz w:val="14"/>
                <w:szCs w:val="14"/>
              </w:rPr>
              <w:t>140</w:t>
            </w:r>
          </w:p>
        </w:tc>
        <w:tc>
          <w:tcPr>
            <w:tcW w:w="851" w:type="dxa"/>
          </w:tcPr>
          <w:p w:rsidRPr="00382B08" w:rsidR="00371A7F" w:rsidP="00371A7F" w:rsidRDefault="00371A7F">
            <w:pPr>
              <w:spacing w:after="0"/>
              <w:cnfStyle w:val="000000100000"/>
              <w:rPr>
                <w:rFonts w:cs="Arial"/>
                <w:sz w:val="14"/>
                <w:szCs w:val="14"/>
              </w:rPr>
            </w:pPr>
            <w:r w:rsidRPr="00382B08">
              <w:rPr>
                <w:rFonts w:cs="Arial"/>
                <w:sz w:val="14"/>
                <w:szCs w:val="14"/>
              </w:rPr>
              <w:t>24.481</w:t>
            </w:r>
          </w:p>
        </w:tc>
        <w:tc>
          <w:tcPr>
            <w:tcW w:w="843" w:type="dxa"/>
          </w:tcPr>
          <w:p w:rsidRPr="00382B08" w:rsidR="00371A7F" w:rsidP="00371A7F" w:rsidRDefault="00371A7F">
            <w:pPr>
              <w:spacing w:after="0"/>
              <w:cnfStyle w:val="000000100000"/>
              <w:rPr>
                <w:rFonts w:cs="Arial"/>
                <w:sz w:val="14"/>
                <w:szCs w:val="14"/>
              </w:rPr>
            </w:pPr>
            <w:r w:rsidRPr="00382B08">
              <w:rPr>
                <w:rFonts w:cs="Arial"/>
                <w:sz w:val="14"/>
                <w:szCs w:val="14"/>
              </w:rPr>
              <w:t>5.657</w:t>
            </w:r>
          </w:p>
        </w:tc>
        <w:tc>
          <w:tcPr>
            <w:tcW w:w="844" w:type="dxa"/>
          </w:tcPr>
          <w:p w:rsidRPr="00382B08" w:rsidR="00371A7F" w:rsidP="00371A7F" w:rsidRDefault="00371A7F">
            <w:pPr>
              <w:spacing w:after="0"/>
              <w:cnfStyle w:val="000000100000"/>
              <w:rPr>
                <w:rFonts w:cs="Arial"/>
                <w:sz w:val="14"/>
                <w:szCs w:val="14"/>
              </w:rPr>
            </w:pPr>
            <w:r>
              <w:rPr>
                <w:rFonts w:cs="Arial"/>
                <w:sz w:val="14"/>
                <w:szCs w:val="14"/>
              </w:rPr>
              <w:t>5.171</w:t>
            </w:r>
          </w:p>
        </w:tc>
        <w:tc>
          <w:tcPr>
            <w:tcW w:w="843" w:type="dxa"/>
          </w:tcPr>
          <w:p w:rsidRPr="00382B08" w:rsidR="00371A7F" w:rsidP="00371A7F" w:rsidRDefault="00371A7F">
            <w:pPr>
              <w:spacing w:after="0"/>
              <w:cnfStyle w:val="000000100000"/>
              <w:rPr>
                <w:rFonts w:cs="Arial"/>
                <w:sz w:val="14"/>
                <w:szCs w:val="14"/>
              </w:rPr>
            </w:pPr>
            <w:r>
              <w:rPr>
                <w:rFonts w:cs="Arial"/>
                <w:sz w:val="14"/>
                <w:szCs w:val="14"/>
              </w:rPr>
              <w:t>3.852</w:t>
            </w:r>
          </w:p>
        </w:tc>
        <w:tc>
          <w:tcPr>
            <w:tcW w:w="844" w:type="dxa"/>
          </w:tcPr>
          <w:p w:rsidRPr="00382B08" w:rsidR="00371A7F" w:rsidP="00371A7F" w:rsidRDefault="00371A7F">
            <w:pPr>
              <w:spacing w:after="0"/>
              <w:cnfStyle w:val="000000100000"/>
              <w:rPr>
                <w:rFonts w:cs="Arial"/>
                <w:sz w:val="14"/>
                <w:szCs w:val="14"/>
              </w:rPr>
            </w:pPr>
            <w:r>
              <w:rPr>
                <w:rFonts w:cs="Arial"/>
                <w:sz w:val="14"/>
                <w:szCs w:val="14"/>
              </w:rPr>
              <w:t>3.456</w:t>
            </w:r>
          </w:p>
        </w:tc>
        <w:tc>
          <w:tcPr>
            <w:tcW w:w="844" w:type="dxa"/>
          </w:tcPr>
          <w:p w:rsidRPr="00382B08" w:rsidR="00371A7F" w:rsidP="00371A7F" w:rsidRDefault="00371A7F">
            <w:pPr>
              <w:spacing w:after="0"/>
              <w:cnfStyle w:val="000000100000"/>
              <w:rPr>
                <w:rFonts w:cs="Arial"/>
                <w:sz w:val="14"/>
                <w:szCs w:val="14"/>
              </w:rPr>
            </w:pPr>
            <w:r>
              <w:rPr>
                <w:rFonts w:cs="Arial"/>
                <w:sz w:val="14"/>
                <w:szCs w:val="14"/>
              </w:rPr>
              <w:t>3.432</w:t>
            </w:r>
          </w:p>
        </w:tc>
      </w:tr>
      <w:tr w:rsidRPr="00630CA9" w:rsidR="00371A7F" w:rsidTr="00371A7F">
        <w:tc>
          <w:tcPr>
            <w:cnfStyle w:val="001000000000"/>
            <w:tcW w:w="568" w:type="dxa"/>
          </w:tcPr>
          <w:p w:rsidRPr="00630CA9" w:rsidR="00371A7F" w:rsidP="00371A7F" w:rsidRDefault="00371A7F">
            <w:pPr>
              <w:spacing w:after="0"/>
              <w:rPr>
                <w:rFonts w:cs="Arial"/>
                <w:b w:val="0"/>
                <w:sz w:val="14"/>
                <w:szCs w:val="14"/>
              </w:rPr>
            </w:pPr>
            <w:r w:rsidRPr="00630CA9">
              <w:rPr>
                <w:rFonts w:cs="Arial"/>
                <w:b w:val="0"/>
                <w:sz w:val="14"/>
                <w:szCs w:val="14"/>
              </w:rPr>
              <w:t>D</w:t>
            </w:r>
          </w:p>
        </w:tc>
        <w:tc>
          <w:tcPr>
            <w:tcW w:w="2375" w:type="dxa"/>
          </w:tcPr>
          <w:p w:rsidRPr="00382B08" w:rsidR="00371A7F" w:rsidP="00371A7F" w:rsidRDefault="00371A7F">
            <w:pPr>
              <w:spacing w:after="0"/>
              <w:cnfStyle w:val="000000000000"/>
              <w:rPr>
                <w:rFonts w:cs="Arial"/>
                <w:sz w:val="12"/>
                <w:szCs w:val="12"/>
                <w:lang w:val="en-US"/>
              </w:rPr>
            </w:pPr>
            <w:r w:rsidRPr="00382B08">
              <w:rPr>
                <w:rFonts w:cs="Arial"/>
                <w:sz w:val="12"/>
                <w:szCs w:val="12"/>
                <w:lang w:val="en-US"/>
              </w:rPr>
              <w:t>BMW 320d 120 kW efficient dynamics edition 4-d</w:t>
            </w:r>
          </w:p>
        </w:tc>
        <w:tc>
          <w:tcPr>
            <w:tcW w:w="567" w:type="dxa"/>
          </w:tcPr>
          <w:p w:rsidRPr="00630CA9" w:rsidR="00371A7F" w:rsidP="00371A7F" w:rsidRDefault="00371A7F">
            <w:pPr>
              <w:spacing w:after="0"/>
              <w:cnfStyle w:val="000000000000"/>
              <w:rPr>
                <w:sz w:val="12"/>
                <w:szCs w:val="12"/>
                <w:lang w:val="en-US"/>
              </w:rPr>
            </w:pPr>
            <w:r>
              <w:rPr>
                <w:sz w:val="12"/>
                <w:szCs w:val="12"/>
                <w:lang w:val="en-US"/>
              </w:rPr>
              <w:t>D</w:t>
            </w:r>
          </w:p>
        </w:tc>
        <w:tc>
          <w:tcPr>
            <w:tcW w:w="709" w:type="dxa"/>
          </w:tcPr>
          <w:p w:rsidRPr="00382B08" w:rsidR="00371A7F" w:rsidP="00371A7F" w:rsidRDefault="00371A7F">
            <w:pPr>
              <w:spacing w:after="0"/>
              <w:cnfStyle w:val="000000000000"/>
              <w:rPr>
                <w:rFonts w:cs="Arial"/>
                <w:sz w:val="14"/>
                <w:szCs w:val="14"/>
              </w:rPr>
            </w:pPr>
            <w:r w:rsidRPr="00382B08">
              <w:rPr>
                <w:rFonts w:cs="Arial"/>
                <w:sz w:val="14"/>
                <w:szCs w:val="14"/>
              </w:rPr>
              <w:t>109</w:t>
            </w:r>
          </w:p>
        </w:tc>
        <w:tc>
          <w:tcPr>
            <w:tcW w:w="851" w:type="dxa"/>
          </w:tcPr>
          <w:p w:rsidRPr="00382B08" w:rsidR="00371A7F" w:rsidP="00371A7F" w:rsidRDefault="00371A7F">
            <w:pPr>
              <w:spacing w:after="0"/>
              <w:cnfStyle w:val="000000000000"/>
              <w:rPr>
                <w:rFonts w:cs="Arial"/>
                <w:sz w:val="14"/>
                <w:szCs w:val="14"/>
              </w:rPr>
            </w:pPr>
            <w:r w:rsidRPr="00382B08">
              <w:rPr>
                <w:rFonts w:cs="Arial"/>
                <w:sz w:val="14"/>
                <w:szCs w:val="14"/>
              </w:rPr>
              <w:t>27.109</w:t>
            </w:r>
          </w:p>
        </w:tc>
        <w:tc>
          <w:tcPr>
            <w:tcW w:w="843" w:type="dxa"/>
          </w:tcPr>
          <w:p w:rsidRPr="00382B08" w:rsidR="00371A7F" w:rsidP="00371A7F" w:rsidRDefault="00371A7F">
            <w:pPr>
              <w:spacing w:after="0"/>
              <w:cnfStyle w:val="000000000000"/>
              <w:rPr>
                <w:rFonts w:cs="Arial"/>
                <w:sz w:val="14"/>
                <w:szCs w:val="14"/>
              </w:rPr>
            </w:pPr>
            <w:r w:rsidRPr="00382B08">
              <w:rPr>
                <w:rFonts w:cs="Arial"/>
                <w:sz w:val="14"/>
                <w:szCs w:val="14"/>
              </w:rPr>
              <w:t>7.031</w:t>
            </w:r>
          </w:p>
        </w:tc>
        <w:tc>
          <w:tcPr>
            <w:tcW w:w="844" w:type="dxa"/>
          </w:tcPr>
          <w:p w:rsidRPr="00382B08" w:rsidR="00371A7F" w:rsidP="00371A7F" w:rsidRDefault="00371A7F">
            <w:pPr>
              <w:spacing w:after="0"/>
              <w:cnfStyle w:val="000000000000"/>
              <w:rPr>
                <w:rFonts w:cs="Arial"/>
                <w:sz w:val="14"/>
                <w:szCs w:val="14"/>
              </w:rPr>
            </w:pPr>
            <w:r>
              <w:rPr>
                <w:rFonts w:cs="Arial"/>
                <w:sz w:val="14"/>
                <w:szCs w:val="14"/>
              </w:rPr>
              <w:t>5.641</w:t>
            </w:r>
          </w:p>
        </w:tc>
        <w:tc>
          <w:tcPr>
            <w:tcW w:w="843" w:type="dxa"/>
          </w:tcPr>
          <w:p w:rsidRPr="00382B08" w:rsidR="00371A7F" w:rsidP="00371A7F" w:rsidRDefault="00371A7F">
            <w:pPr>
              <w:spacing w:after="0"/>
              <w:cnfStyle w:val="000000000000"/>
              <w:rPr>
                <w:rFonts w:cs="Arial"/>
                <w:sz w:val="14"/>
                <w:szCs w:val="14"/>
              </w:rPr>
            </w:pPr>
            <w:r>
              <w:rPr>
                <w:rFonts w:cs="Arial"/>
                <w:sz w:val="14"/>
                <w:szCs w:val="14"/>
              </w:rPr>
              <w:t>3.226</w:t>
            </w:r>
          </w:p>
        </w:tc>
        <w:tc>
          <w:tcPr>
            <w:tcW w:w="844" w:type="dxa"/>
          </w:tcPr>
          <w:p w:rsidRPr="00382B08" w:rsidR="00371A7F" w:rsidP="00371A7F" w:rsidRDefault="00371A7F">
            <w:pPr>
              <w:spacing w:after="0"/>
              <w:cnfStyle w:val="000000000000"/>
              <w:rPr>
                <w:rFonts w:cs="Arial"/>
                <w:sz w:val="14"/>
                <w:szCs w:val="14"/>
              </w:rPr>
            </w:pPr>
            <w:r>
              <w:rPr>
                <w:rFonts w:cs="Arial"/>
                <w:sz w:val="14"/>
                <w:szCs w:val="14"/>
              </w:rPr>
              <w:t>3.102</w:t>
            </w:r>
          </w:p>
        </w:tc>
        <w:tc>
          <w:tcPr>
            <w:tcW w:w="844" w:type="dxa"/>
          </w:tcPr>
          <w:p w:rsidRPr="00382B08" w:rsidR="00371A7F" w:rsidP="00371A7F" w:rsidRDefault="00371A7F">
            <w:pPr>
              <w:spacing w:after="0"/>
              <w:cnfStyle w:val="000000000000"/>
              <w:rPr>
                <w:rFonts w:cs="Arial"/>
                <w:sz w:val="14"/>
                <w:szCs w:val="14"/>
              </w:rPr>
            </w:pPr>
            <w:r>
              <w:rPr>
                <w:rFonts w:cs="Arial"/>
                <w:sz w:val="14"/>
                <w:szCs w:val="14"/>
              </w:rPr>
              <w:t>3.053</w:t>
            </w:r>
          </w:p>
        </w:tc>
      </w:tr>
      <w:tr w:rsidRPr="00630CA9" w:rsidR="00371A7F" w:rsidTr="00371A7F">
        <w:trPr>
          <w:cnfStyle w:val="000000100000"/>
        </w:trPr>
        <w:tc>
          <w:tcPr>
            <w:cnfStyle w:val="001000000000"/>
            <w:tcW w:w="568" w:type="dxa"/>
          </w:tcPr>
          <w:p w:rsidRPr="00630CA9" w:rsidR="00371A7F" w:rsidP="00371A7F" w:rsidRDefault="00371A7F">
            <w:pPr>
              <w:spacing w:after="0"/>
              <w:rPr>
                <w:rFonts w:cs="Arial"/>
                <w:b w:val="0"/>
                <w:sz w:val="14"/>
                <w:szCs w:val="14"/>
              </w:rPr>
            </w:pPr>
            <w:r w:rsidRPr="00630CA9">
              <w:rPr>
                <w:rFonts w:cs="Arial"/>
                <w:b w:val="0"/>
                <w:sz w:val="14"/>
                <w:szCs w:val="14"/>
              </w:rPr>
              <w:t>E</w:t>
            </w:r>
          </w:p>
        </w:tc>
        <w:tc>
          <w:tcPr>
            <w:tcW w:w="2375" w:type="dxa"/>
          </w:tcPr>
          <w:p w:rsidRPr="00382B08" w:rsidR="00371A7F" w:rsidP="00371A7F" w:rsidRDefault="00371A7F">
            <w:pPr>
              <w:spacing w:after="0"/>
              <w:cnfStyle w:val="000000100000"/>
              <w:rPr>
                <w:rFonts w:cs="Arial"/>
                <w:sz w:val="12"/>
                <w:szCs w:val="12"/>
                <w:lang w:val="en-US"/>
              </w:rPr>
            </w:pPr>
            <w:r w:rsidRPr="00382B08">
              <w:rPr>
                <w:rFonts w:cs="Arial"/>
                <w:sz w:val="12"/>
                <w:szCs w:val="12"/>
                <w:lang w:val="en-US"/>
              </w:rPr>
              <w:t>BMW 523i  150 kW  4-d executive automaat</w:t>
            </w:r>
          </w:p>
        </w:tc>
        <w:tc>
          <w:tcPr>
            <w:tcW w:w="567" w:type="dxa"/>
          </w:tcPr>
          <w:p w:rsidRPr="00630CA9" w:rsidR="00371A7F" w:rsidP="00371A7F" w:rsidRDefault="00371A7F">
            <w:pPr>
              <w:spacing w:after="0"/>
              <w:cnfStyle w:val="000000100000"/>
              <w:rPr>
                <w:sz w:val="12"/>
                <w:szCs w:val="12"/>
                <w:lang w:val="en-US"/>
              </w:rPr>
            </w:pPr>
            <w:r>
              <w:rPr>
                <w:sz w:val="12"/>
                <w:szCs w:val="12"/>
                <w:lang w:val="en-US"/>
              </w:rPr>
              <w:t>B</w:t>
            </w:r>
          </w:p>
        </w:tc>
        <w:tc>
          <w:tcPr>
            <w:tcW w:w="709" w:type="dxa"/>
          </w:tcPr>
          <w:p w:rsidRPr="00382B08" w:rsidR="00371A7F" w:rsidP="00371A7F" w:rsidRDefault="00371A7F">
            <w:pPr>
              <w:spacing w:after="0"/>
              <w:cnfStyle w:val="000000100000"/>
              <w:rPr>
                <w:rFonts w:cs="Arial"/>
                <w:sz w:val="14"/>
                <w:szCs w:val="14"/>
              </w:rPr>
            </w:pPr>
            <w:r w:rsidRPr="00382B08">
              <w:rPr>
                <w:rFonts w:cs="Arial"/>
                <w:sz w:val="14"/>
                <w:szCs w:val="14"/>
              </w:rPr>
              <w:t>178</w:t>
            </w:r>
          </w:p>
        </w:tc>
        <w:tc>
          <w:tcPr>
            <w:tcW w:w="851" w:type="dxa"/>
          </w:tcPr>
          <w:p w:rsidRPr="00382B08" w:rsidR="00371A7F" w:rsidP="00371A7F" w:rsidRDefault="00371A7F">
            <w:pPr>
              <w:spacing w:after="0"/>
              <w:cnfStyle w:val="000000100000"/>
              <w:rPr>
                <w:rFonts w:cs="Arial"/>
                <w:sz w:val="14"/>
                <w:szCs w:val="14"/>
              </w:rPr>
            </w:pPr>
            <w:r w:rsidRPr="00382B08">
              <w:rPr>
                <w:rFonts w:cs="Arial"/>
                <w:sz w:val="14"/>
                <w:szCs w:val="14"/>
              </w:rPr>
              <w:t>39.008</w:t>
            </w:r>
          </w:p>
        </w:tc>
        <w:tc>
          <w:tcPr>
            <w:tcW w:w="843" w:type="dxa"/>
          </w:tcPr>
          <w:p w:rsidRPr="00382B08" w:rsidR="00371A7F" w:rsidP="00371A7F" w:rsidRDefault="00371A7F">
            <w:pPr>
              <w:spacing w:after="0"/>
              <w:cnfStyle w:val="000000100000"/>
              <w:rPr>
                <w:rFonts w:cs="Arial"/>
                <w:sz w:val="14"/>
                <w:szCs w:val="14"/>
              </w:rPr>
            </w:pPr>
            <w:r w:rsidRPr="00382B08">
              <w:rPr>
                <w:rFonts w:cs="Arial"/>
                <w:sz w:val="14"/>
                <w:szCs w:val="14"/>
              </w:rPr>
              <w:t>10.736</w:t>
            </w:r>
          </w:p>
        </w:tc>
        <w:tc>
          <w:tcPr>
            <w:tcW w:w="844" w:type="dxa"/>
          </w:tcPr>
          <w:p w:rsidRPr="00382B08" w:rsidR="00371A7F" w:rsidP="00371A7F" w:rsidRDefault="00371A7F">
            <w:pPr>
              <w:spacing w:after="0"/>
              <w:cnfStyle w:val="000000100000"/>
              <w:rPr>
                <w:rFonts w:cs="Arial"/>
                <w:sz w:val="14"/>
                <w:szCs w:val="14"/>
              </w:rPr>
            </w:pPr>
            <w:r w:rsidRPr="00382B08">
              <w:rPr>
                <w:rFonts w:cs="Arial"/>
                <w:sz w:val="14"/>
                <w:szCs w:val="14"/>
              </w:rPr>
              <w:t>10.</w:t>
            </w:r>
            <w:r>
              <w:rPr>
                <w:rFonts w:cs="Arial"/>
                <w:sz w:val="14"/>
                <w:szCs w:val="14"/>
              </w:rPr>
              <w:t>274</w:t>
            </w:r>
          </w:p>
        </w:tc>
        <w:tc>
          <w:tcPr>
            <w:tcW w:w="843" w:type="dxa"/>
          </w:tcPr>
          <w:p w:rsidRPr="00382B08" w:rsidR="00371A7F" w:rsidP="00371A7F" w:rsidRDefault="00371A7F">
            <w:pPr>
              <w:spacing w:after="0"/>
              <w:cnfStyle w:val="000000100000"/>
              <w:rPr>
                <w:rFonts w:cs="Arial"/>
                <w:sz w:val="14"/>
                <w:szCs w:val="14"/>
              </w:rPr>
            </w:pPr>
            <w:r>
              <w:rPr>
                <w:rFonts w:cs="Arial"/>
                <w:sz w:val="14"/>
                <w:szCs w:val="14"/>
              </w:rPr>
              <w:t>8.143</w:t>
            </w:r>
          </w:p>
        </w:tc>
        <w:tc>
          <w:tcPr>
            <w:tcW w:w="844" w:type="dxa"/>
          </w:tcPr>
          <w:p w:rsidRPr="00382B08" w:rsidR="00371A7F" w:rsidP="00371A7F" w:rsidRDefault="00371A7F">
            <w:pPr>
              <w:spacing w:after="0"/>
              <w:cnfStyle w:val="000000100000"/>
              <w:rPr>
                <w:rFonts w:cs="Arial"/>
                <w:sz w:val="14"/>
                <w:szCs w:val="14"/>
              </w:rPr>
            </w:pPr>
            <w:r>
              <w:rPr>
                <w:rFonts w:cs="Arial"/>
                <w:sz w:val="14"/>
                <w:szCs w:val="14"/>
              </w:rPr>
              <w:t>7.128</w:t>
            </w:r>
          </w:p>
        </w:tc>
        <w:tc>
          <w:tcPr>
            <w:tcW w:w="844" w:type="dxa"/>
          </w:tcPr>
          <w:p w:rsidRPr="00382B08" w:rsidR="00371A7F" w:rsidP="00371A7F" w:rsidRDefault="00371A7F">
            <w:pPr>
              <w:spacing w:after="0"/>
              <w:cnfStyle w:val="000000100000"/>
              <w:rPr>
                <w:rFonts w:cs="Arial"/>
                <w:sz w:val="14"/>
                <w:szCs w:val="14"/>
              </w:rPr>
            </w:pPr>
            <w:r>
              <w:rPr>
                <w:rFonts w:cs="Arial"/>
                <w:sz w:val="14"/>
                <w:szCs w:val="14"/>
              </w:rPr>
              <w:t>6.633</w:t>
            </w:r>
          </w:p>
        </w:tc>
      </w:tr>
      <w:tr w:rsidRPr="00630CA9" w:rsidR="00371A7F" w:rsidTr="00371A7F">
        <w:tc>
          <w:tcPr>
            <w:cnfStyle w:val="001000000000"/>
            <w:tcW w:w="568" w:type="dxa"/>
          </w:tcPr>
          <w:p w:rsidRPr="00630CA9" w:rsidR="00371A7F" w:rsidP="00371A7F" w:rsidRDefault="00371A7F">
            <w:pPr>
              <w:spacing w:after="0"/>
              <w:rPr>
                <w:rFonts w:cs="Arial"/>
                <w:b w:val="0"/>
                <w:sz w:val="14"/>
                <w:szCs w:val="14"/>
              </w:rPr>
            </w:pPr>
            <w:r w:rsidRPr="00630CA9">
              <w:rPr>
                <w:rFonts w:cs="Arial"/>
                <w:b w:val="0"/>
                <w:sz w:val="14"/>
                <w:szCs w:val="14"/>
              </w:rPr>
              <w:t>J</w:t>
            </w:r>
          </w:p>
        </w:tc>
        <w:tc>
          <w:tcPr>
            <w:tcW w:w="2375" w:type="dxa"/>
          </w:tcPr>
          <w:p w:rsidRPr="00382B08" w:rsidR="00371A7F" w:rsidP="00371A7F" w:rsidRDefault="00371A7F">
            <w:pPr>
              <w:spacing w:after="0"/>
              <w:cnfStyle w:val="000000000000"/>
              <w:rPr>
                <w:rFonts w:cs="Arial"/>
                <w:sz w:val="12"/>
                <w:szCs w:val="12"/>
                <w:lang w:val="en-US"/>
              </w:rPr>
            </w:pPr>
            <w:r w:rsidRPr="00382B08">
              <w:rPr>
                <w:rFonts w:cs="Arial"/>
                <w:sz w:val="12"/>
                <w:szCs w:val="12"/>
                <w:lang w:val="en-US"/>
              </w:rPr>
              <w:t>Opel Meriva 1.4T Ecotec 88 kW  5-d edition</w:t>
            </w:r>
          </w:p>
        </w:tc>
        <w:tc>
          <w:tcPr>
            <w:tcW w:w="567" w:type="dxa"/>
          </w:tcPr>
          <w:p w:rsidRPr="00630CA9" w:rsidR="00371A7F" w:rsidP="00371A7F" w:rsidRDefault="00371A7F">
            <w:pPr>
              <w:spacing w:after="0"/>
              <w:cnfStyle w:val="000000000000"/>
              <w:rPr>
                <w:sz w:val="12"/>
                <w:szCs w:val="12"/>
                <w:lang w:val="en-US"/>
              </w:rPr>
            </w:pPr>
            <w:r>
              <w:rPr>
                <w:sz w:val="12"/>
                <w:szCs w:val="12"/>
                <w:lang w:val="en-US"/>
              </w:rPr>
              <w:t>B</w:t>
            </w:r>
          </w:p>
        </w:tc>
        <w:tc>
          <w:tcPr>
            <w:tcW w:w="709" w:type="dxa"/>
          </w:tcPr>
          <w:p w:rsidRPr="00382B08" w:rsidR="00371A7F" w:rsidP="00371A7F" w:rsidRDefault="00371A7F">
            <w:pPr>
              <w:spacing w:after="0"/>
              <w:cnfStyle w:val="000000000000"/>
              <w:rPr>
                <w:rFonts w:cs="Arial"/>
                <w:sz w:val="14"/>
                <w:szCs w:val="14"/>
              </w:rPr>
            </w:pPr>
            <w:r w:rsidRPr="00382B08">
              <w:rPr>
                <w:rFonts w:cs="Arial"/>
                <w:sz w:val="14"/>
                <w:szCs w:val="14"/>
              </w:rPr>
              <w:t>143</w:t>
            </w:r>
          </w:p>
        </w:tc>
        <w:tc>
          <w:tcPr>
            <w:tcW w:w="851" w:type="dxa"/>
          </w:tcPr>
          <w:p w:rsidRPr="00382B08" w:rsidR="00371A7F" w:rsidP="00371A7F" w:rsidRDefault="00371A7F">
            <w:pPr>
              <w:spacing w:after="0"/>
              <w:cnfStyle w:val="000000000000"/>
              <w:rPr>
                <w:rFonts w:cs="Arial"/>
                <w:sz w:val="14"/>
                <w:szCs w:val="14"/>
              </w:rPr>
            </w:pPr>
            <w:r w:rsidRPr="00382B08">
              <w:rPr>
                <w:rFonts w:cs="Arial"/>
                <w:sz w:val="14"/>
                <w:szCs w:val="14"/>
              </w:rPr>
              <w:t>14.207</w:t>
            </w:r>
          </w:p>
        </w:tc>
        <w:tc>
          <w:tcPr>
            <w:tcW w:w="843" w:type="dxa"/>
          </w:tcPr>
          <w:p w:rsidRPr="00382B08" w:rsidR="00371A7F" w:rsidP="00371A7F" w:rsidRDefault="00371A7F">
            <w:pPr>
              <w:spacing w:after="0"/>
              <w:cnfStyle w:val="000000000000"/>
              <w:rPr>
                <w:rFonts w:cs="Arial"/>
                <w:sz w:val="14"/>
                <w:szCs w:val="14"/>
              </w:rPr>
            </w:pPr>
            <w:r w:rsidRPr="00382B08">
              <w:rPr>
                <w:rFonts w:cs="Arial"/>
                <w:sz w:val="14"/>
                <w:szCs w:val="14"/>
              </w:rPr>
              <w:t>3.888</w:t>
            </w:r>
          </w:p>
        </w:tc>
        <w:tc>
          <w:tcPr>
            <w:tcW w:w="844" w:type="dxa"/>
          </w:tcPr>
          <w:p w:rsidRPr="00382B08" w:rsidR="00371A7F" w:rsidP="00371A7F" w:rsidRDefault="00371A7F">
            <w:pPr>
              <w:spacing w:after="0"/>
              <w:cnfStyle w:val="000000000000"/>
              <w:rPr>
                <w:rFonts w:cs="Arial"/>
                <w:sz w:val="14"/>
                <w:szCs w:val="14"/>
              </w:rPr>
            </w:pPr>
            <w:r w:rsidRPr="00382B08">
              <w:rPr>
                <w:rFonts w:cs="Arial"/>
                <w:sz w:val="14"/>
                <w:szCs w:val="14"/>
              </w:rPr>
              <w:t>4.</w:t>
            </w:r>
            <w:r>
              <w:rPr>
                <w:rFonts w:cs="Arial"/>
                <w:sz w:val="14"/>
                <w:szCs w:val="14"/>
              </w:rPr>
              <w:t>295</w:t>
            </w:r>
          </w:p>
        </w:tc>
        <w:tc>
          <w:tcPr>
            <w:tcW w:w="843" w:type="dxa"/>
          </w:tcPr>
          <w:p w:rsidRPr="00382B08" w:rsidR="00371A7F" w:rsidP="00371A7F" w:rsidRDefault="00371A7F">
            <w:pPr>
              <w:spacing w:after="0"/>
              <w:cnfStyle w:val="000000000000"/>
              <w:rPr>
                <w:rFonts w:cs="Arial"/>
                <w:sz w:val="14"/>
                <w:szCs w:val="14"/>
              </w:rPr>
            </w:pPr>
            <w:r>
              <w:rPr>
                <w:rFonts w:cs="Arial"/>
                <w:sz w:val="14"/>
                <w:szCs w:val="14"/>
              </w:rPr>
              <w:t>4.066</w:t>
            </w:r>
          </w:p>
        </w:tc>
        <w:tc>
          <w:tcPr>
            <w:tcW w:w="844" w:type="dxa"/>
          </w:tcPr>
          <w:p w:rsidRPr="00382B08" w:rsidR="00371A7F" w:rsidP="00371A7F" w:rsidRDefault="00371A7F">
            <w:pPr>
              <w:spacing w:after="0"/>
              <w:cnfStyle w:val="000000000000"/>
              <w:rPr>
                <w:rFonts w:cs="Arial"/>
                <w:sz w:val="14"/>
                <w:szCs w:val="14"/>
              </w:rPr>
            </w:pPr>
            <w:r>
              <w:rPr>
                <w:rFonts w:cs="Arial"/>
                <w:sz w:val="14"/>
                <w:szCs w:val="14"/>
              </w:rPr>
              <w:t>3.780</w:t>
            </w:r>
          </w:p>
        </w:tc>
        <w:tc>
          <w:tcPr>
            <w:tcW w:w="844" w:type="dxa"/>
          </w:tcPr>
          <w:p w:rsidRPr="00382B08" w:rsidR="00371A7F" w:rsidP="00371A7F" w:rsidRDefault="00371A7F">
            <w:pPr>
              <w:spacing w:after="0"/>
              <w:cnfStyle w:val="000000000000"/>
              <w:rPr>
                <w:rFonts w:cs="Arial"/>
                <w:sz w:val="14"/>
                <w:szCs w:val="14"/>
              </w:rPr>
            </w:pPr>
            <w:r>
              <w:rPr>
                <w:rFonts w:cs="Arial"/>
                <w:sz w:val="14"/>
                <w:szCs w:val="14"/>
              </w:rPr>
              <w:t>3.723</w:t>
            </w:r>
          </w:p>
        </w:tc>
      </w:tr>
      <w:tr w:rsidRPr="00EC0D6B" w:rsidR="00371A7F" w:rsidTr="00371A7F">
        <w:trPr>
          <w:cnfStyle w:val="000000100000"/>
        </w:trPr>
        <w:tc>
          <w:tcPr>
            <w:cnfStyle w:val="001000000000"/>
            <w:tcW w:w="568" w:type="dxa"/>
          </w:tcPr>
          <w:p w:rsidRPr="00630CA9" w:rsidR="00371A7F" w:rsidP="00371A7F" w:rsidRDefault="00371A7F">
            <w:pPr>
              <w:spacing w:after="0"/>
              <w:rPr>
                <w:rFonts w:cs="Arial"/>
                <w:b w:val="0"/>
                <w:sz w:val="14"/>
                <w:szCs w:val="14"/>
              </w:rPr>
            </w:pPr>
            <w:r w:rsidRPr="00630CA9">
              <w:rPr>
                <w:rFonts w:cs="Arial"/>
                <w:b w:val="0"/>
                <w:sz w:val="14"/>
                <w:szCs w:val="14"/>
              </w:rPr>
              <w:t>L</w:t>
            </w:r>
          </w:p>
        </w:tc>
        <w:tc>
          <w:tcPr>
            <w:tcW w:w="2375" w:type="dxa"/>
          </w:tcPr>
          <w:p w:rsidRPr="00382B08" w:rsidR="00371A7F" w:rsidP="00371A7F" w:rsidRDefault="00371A7F">
            <w:pPr>
              <w:spacing w:after="0"/>
              <w:cnfStyle w:val="000000100000"/>
              <w:rPr>
                <w:rFonts w:cs="Arial"/>
                <w:sz w:val="12"/>
                <w:szCs w:val="12"/>
              </w:rPr>
            </w:pPr>
            <w:r w:rsidRPr="00382B08">
              <w:rPr>
                <w:rFonts w:cs="Arial"/>
                <w:sz w:val="12"/>
                <w:szCs w:val="12"/>
              </w:rPr>
              <w:t>Hyundai iX35 2.0 CVVT 120 kW 2WD 5-d dynamic</w:t>
            </w:r>
          </w:p>
        </w:tc>
        <w:tc>
          <w:tcPr>
            <w:tcW w:w="567" w:type="dxa"/>
          </w:tcPr>
          <w:p w:rsidRPr="00EC0D6B" w:rsidR="00371A7F" w:rsidP="00371A7F" w:rsidRDefault="00371A7F">
            <w:pPr>
              <w:spacing w:after="0"/>
              <w:cnfStyle w:val="000000100000"/>
              <w:rPr>
                <w:sz w:val="12"/>
                <w:szCs w:val="12"/>
              </w:rPr>
            </w:pPr>
            <w:r>
              <w:rPr>
                <w:sz w:val="12"/>
                <w:szCs w:val="12"/>
              </w:rPr>
              <w:t>B</w:t>
            </w:r>
          </w:p>
        </w:tc>
        <w:tc>
          <w:tcPr>
            <w:tcW w:w="709" w:type="dxa"/>
          </w:tcPr>
          <w:p w:rsidRPr="00382B08" w:rsidR="00371A7F" w:rsidP="00371A7F" w:rsidRDefault="00371A7F">
            <w:pPr>
              <w:spacing w:after="0"/>
              <w:cnfStyle w:val="000000100000"/>
              <w:rPr>
                <w:rFonts w:cs="Arial"/>
                <w:sz w:val="14"/>
                <w:szCs w:val="14"/>
              </w:rPr>
            </w:pPr>
            <w:r w:rsidRPr="00382B08">
              <w:rPr>
                <w:rFonts w:cs="Arial"/>
                <w:sz w:val="14"/>
                <w:szCs w:val="14"/>
              </w:rPr>
              <w:t>177</w:t>
            </w:r>
          </w:p>
        </w:tc>
        <w:tc>
          <w:tcPr>
            <w:tcW w:w="851" w:type="dxa"/>
          </w:tcPr>
          <w:p w:rsidRPr="00382B08" w:rsidR="00371A7F" w:rsidP="00371A7F" w:rsidRDefault="00371A7F">
            <w:pPr>
              <w:spacing w:after="0"/>
              <w:cnfStyle w:val="000000100000"/>
              <w:rPr>
                <w:rFonts w:cs="Arial"/>
                <w:sz w:val="14"/>
                <w:szCs w:val="14"/>
              </w:rPr>
            </w:pPr>
            <w:r w:rsidRPr="00382B08">
              <w:rPr>
                <w:rFonts w:cs="Arial"/>
                <w:sz w:val="14"/>
                <w:szCs w:val="14"/>
              </w:rPr>
              <w:t>16.110</w:t>
            </w:r>
          </w:p>
        </w:tc>
        <w:tc>
          <w:tcPr>
            <w:tcW w:w="843" w:type="dxa"/>
          </w:tcPr>
          <w:p w:rsidRPr="00382B08" w:rsidR="00371A7F" w:rsidP="00371A7F" w:rsidRDefault="00371A7F">
            <w:pPr>
              <w:spacing w:after="0"/>
              <w:cnfStyle w:val="000000100000"/>
              <w:rPr>
                <w:rFonts w:cs="Arial"/>
                <w:sz w:val="14"/>
                <w:szCs w:val="14"/>
              </w:rPr>
            </w:pPr>
            <w:r w:rsidRPr="00382B08">
              <w:rPr>
                <w:rFonts w:cs="Arial"/>
                <w:sz w:val="14"/>
                <w:szCs w:val="14"/>
              </w:rPr>
              <w:t>6.324</w:t>
            </w:r>
          </w:p>
        </w:tc>
        <w:tc>
          <w:tcPr>
            <w:tcW w:w="844" w:type="dxa"/>
          </w:tcPr>
          <w:p w:rsidRPr="00382B08" w:rsidR="00371A7F" w:rsidP="00371A7F" w:rsidRDefault="00371A7F">
            <w:pPr>
              <w:spacing w:after="0"/>
              <w:cnfStyle w:val="000000100000"/>
              <w:rPr>
                <w:rFonts w:cs="Arial"/>
                <w:sz w:val="14"/>
                <w:szCs w:val="14"/>
              </w:rPr>
            </w:pPr>
            <w:r>
              <w:rPr>
                <w:rFonts w:cs="Arial"/>
                <w:sz w:val="14"/>
                <w:szCs w:val="14"/>
              </w:rPr>
              <w:t>7.626</w:t>
            </w:r>
          </w:p>
        </w:tc>
        <w:tc>
          <w:tcPr>
            <w:tcW w:w="843" w:type="dxa"/>
          </w:tcPr>
          <w:p w:rsidRPr="00382B08" w:rsidR="00371A7F" w:rsidP="00371A7F" w:rsidRDefault="00371A7F">
            <w:pPr>
              <w:spacing w:after="0"/>
              <w:cnfStyle w:val="000000100000"/>
              <w:rPr>
                <w:rFonts w:cs="Arial"/>
                <w:sz w:val="14"/>
                <w:szCs w:val="14"/>
              </w:rPr>
            </w:pPr>
            <w:r>
              <w:rPr>
                <w:rFonts w:cs="Arial"/>
                <w:sz w:val="14"/>
                <w:szCs w:val="14"/>
              </w:rPr>
              <w:t>8.015</w:t>
            </w:r>
          </w:p>
        </w:tc>
        <w:tc>
          <w:tcPr>
            <w:tcW w:w="844" w:type="dxa"/>
          </w:tcPr>
          <w:p w:rsidRPr="00382B08" w:rsidR="00371A7F" w:rsidP="00371A7F" w:rsidRDefault="00371A7F">
            <w:pPr>
              <w:spacing w:after="0"/>
              <w:cnfStyle w:val="000000100000"/>
              <w:rPr>
                <w:rFonts w:cs="Arial"/>
                <w:sz w:val="14"/>
                <w:szCs w:val="14"/>
              </w:rPr>
            </w:pPr>
            <w:r>
              <w:rPr>
                <w:rFonts w:cs="Arial"/>
                <w:sz w:val="14"/>
                <w:szCs w:val="14"/>
              </w:rPr>
              <w:t>7.128</w:t>
            </w:r>
          </w:p>
        </w:tc>
        <w:tc>
          <w:tcPr>
            <w:tcW w:w="844" w:type="dxa"/>
          </w:tcPr>
          <w:p w:rsidRPr="00382B08" w:rsidR="00371A7F" w:rsidP="00371A7F" w:rsidRDefault="00371A7F">
            <w:pPr>
              <w:spacing w:after="0"/>
              <w:cnfStyle w:val="000000100000"/>
              <w:rPr>
                <w:rFonts w:cs="Arial"/>
                <w:sz w:val="14"/>
                <w:szCs w:val="14"/>
              </w:rPr>
            </w:pPr>
            <w:r>
              <w:rPr>
                <w:rFonts w:cs="Arial"/>
                <w:sz w:val="14"/>
                <w:szCs w:val="14"/>
              </w:rPr>
              <w:t>6.536</w:t>
            </w:r>
          </w:p>
        </w:tc>
      </w:tr>
      <w:tr w:rsidRPr="00EC0D6B" w:rsidR="00371A7F" w:rsidTr="00371A7F">
        <w:tc>
          <w:tcPr>
            <w:cnfStyle w:val="001000000000"/>
            <w:tcW w:w="568" w:type="dxa"/>
          </w:tcPr>
          <w:p w:rsidRPr="00630CA9" w:rsidR="00371A7F" w:rsidP="00371A7F" w:rsidRDefault="00371A7F">
            <w:pPr>
              <w:spacing w:after="0"/>
              <w:rPr>
                <w:rFonts w:cs="Arial"/>
                <w:b w:val="0"/>
                <w:sz w:val="14"/>
                <w:szCs w:val="14"/>
              </w:rPr>
            </w:pPr>
            <w:r>
              <w:rPr>
                <w:rFonts w:cs="Arial"/>
                <w:b w:val="0"/>
                <w:sz w:val="14"/>
                <w:szCs w:val="14"/>
              </w:rPr>
              <w:t>L</w:t>
            </w:r>
          </w:p>
        </w:tc>
        <w:tc>
          <w:tcPr>
            <w:tcW w:w="2375" w:type="dxa"/>
          </w:tcPr>
          <w:p w:rsidRPr="00382B08" w:rsidR="00371A7F" w:rsidP="00371A7F" w:rsidRDefault="00371A7F">
            <w:pPr>
              <w:spacing w:after="0"/>
              <w:cnfStyle w:val="000000000000"/>
              <w:rPr>
                <w:rFonts w:cs="Arial"/>
                <w:sz w:val="12"/>
                <w:szCs w:val="12"/>
              </w:rPr>
            </w:pPr>
            <w:r>
              <w:rPr>
                <w:rFonts w:cs="Arial"/>
                <w:sz w:val="12"/>
                <w:szCs w:val="12"/>
              </w:rPr>
              <w:t>Porsche Cayenne</w:t>
            </w:r>
          </w:p>
        </w:tc>
        <w:tc>
          <w:tcPr>
            <w:tcW w:w="567" w:type="dxa"/>
          </w:tcPr>
          <w:p w:rsidR="00371A7F" w:rsidP="00371A7F" w:rsidRDefault="00371A7F">
            <w:pPr>
              <w:spacing w:after="0"/>
              <w:cnfStyle w:val="000000000000"/>
              <w:rPr>
                <w:sz w:val="12"/>
                <w:szCs w:val="12"/>
              </w:rPr>
            </w:pPr>
            <w:r>
              <w:rPr>
                <w:sz w:val="12"/>
                <w:szCs w:val="12"/>
              </w:rPr>
              <w:t>B</w:t>
            </w:r>
          </w:p>
        </w:tc>
        <w:tc>
          <w:tcPr>
            <w:tcW w:w="709" w:type="dxa"/>
          </w:tcPr>
          <w:p w:rsidRPr="00382B08" w:rsidR="00371A7F" w:rsidP="00371A7F" w:rsidRDefault="00371A7F">
            <w:pPr>
              <w:spacing w:after="0"/>
              <w:cnfStyle w:val="000000000000"/>
              <w:rPr>
                <w:rFonts w:cs="Arial"/>
                <w:sz w:val="14"/>
                <w:szCs w:val="14"/>
              </w:rPr>
            </w:pPr>
            <w:r>
              <w:rPr>
                <w:rFonts w:cs="Arial"/>
                <w:sz w:val="14"/>
                <w:szCs w:val="14"/>
              </w:rPr>
              <w:t>270</w:t>
            </w:r>
          </w:p>
        </w:tc>
        <w:tc>
          <w:tcPr>
            <w:tcW w:w="851" w:type="dxa"/>
          </w:tcPr>
          <w:p w:rsidRPr="00382B08" w:rsidR="00371A7F" w:rsidP="00371A7F" w:rsidRDefault="00371A7F">
            <w:pPr>
              <w:spacing w:after="0"/>
              <w:cnfStyle w:val="000000000000"/>
              <w:rPr>
                <w:rFonts w:cs="Arial"/>
                <w:sz w:val="14"/>
                <w:szCs w:val="14"/>
              </w:rPr>
            </w:pPr>
            <w:r>
              <w:rPr>
                <w:rFonts w:cs="Arial"/>
                <w:sz w:val="14"/>
                <w:szCs w:val="14"/>
              </w:rPr>
              <w:t>99.220</w:t>
            </w:r>
          </w:p>
        </w:tc>
        <w:tc>
          <w:tcPr>
            <w:tcW w:w="843" w:type="dxa"/>
          </w:tcPr>
          <w:p w:rsidRPr="00382B08" w:rsidR="00371A7F" w:rsidP="00371A7F" w:rsidRDefault="00371A7F">
            <w:pPr>
              <w:spacing w:after="0"/>
              <w:cnfStyle w:val="000000000000"/>
              <w:rPr>
                <w:rFonts w:cs="Arial"/>
                <w:sz w:val="14"/>
                <w:szCs w:val="14"/>
              </w:rPr>
            </w:pPr>
            <w:r>
              <w:rPr>
                <w:rFonts w:cs="Arial"/>
                <w:sz w:val="14"/>
                <w:szCs w:val="14"/>
              </w:rPr>
              <w:t>40.478</w:t>
            </w:r>
          </w:p>
        </w:tc>
        <w:tc>
          <w:tcPr>
            <w:tcW w:w="844" w:type="dxa"/>
          </w:tcPr>
          <w:p w:rsidRPr="00382B08" w:rsidR="00371A7F" w:rsidP="00371A7F" w:rsidRDefault="00371A7F">
            <w:pPr>
              <w:spacing w:after="0"/>
              <w:cnfStyle w:val="000000000000"/>
              <w:rPr>
                <w:rFonts w:cs="Arial"/>
                <w:sz w:val="14"/>
                <w:szCs w:val="14"/>
              </w:rPr>
            </w:pPr>
            <w:r>
              <w:rPr>
                <w:rFonts w:cs="Arial"/>
                <w:sz w:val="14"/>
                <w:szCs w:val="14"/>
              </w:rPr>
              <w:t>28.503</w:t>
            </w:r>
          </w:p>
        </w:tc>
        <w:tc>
          <w:tcPr>
            <w:tcW w:w="843" w:type="dxa"/>
          </w:tcPr>
          <w:p w:rsidRPr="00382B08" w:rsidR="00371A7F" w:rsidP="00371A7F" w:rsidRDefault="00371A7F">
            <w:pPr>
              <w:spacing w:after="0"/>
              <w:cnfStyle w:val="000000000000"/>
              <w:rPr>
                <w:rFonts w:cs="Arial"/>
                <w:sz w:val="14"/>
                <w:szCs w:val="14"/>
              </w:rPr>
            </w:pPr>
            <w:r>
              <w:rPr>
                <w:rFonts w:cs="Arial"/>
                <w:sz w:val="14"/>
                <w:szCs w:val="14"/>
              </w:rPr>
              <w:t>23.859</w:t>
            </w:r>
          </w:p>
        </w:tc>
        <w:tc>
          <w:tcPr>
            <w:tcW w:w="844" w:type="dxa"/>
          </w:tcPr>
          <w:p w:rsidRPr="00382B08" w:rsidR="00371A7F" w:rsidP="00371A7F" w:rsidRDefault="00371A7F">
            <w:pPr>
              <w:spacing w:after="0"/>
              <w:cnfStyle w:val="000000000000"/>
              <w:rPr>
                <w:rFonts w:cs="Arial"/>
                <w:sz w:val="14"/>
                <w:szCs w:val="14"/>
              </w:rPr>
            </w:pPr>
            <w:r>
              <w:rPr>
                <w:rFonts w:cs="Arial"/>
                <w:sz w:val="14"/>
                <w:szCs w:val="14"/>
              </w:rPr>
              <w:t>21.582</w:t>
            </w:r>
          </w:p>
        </w:tc>
        <w:tc>
          <w:tcPr>
            <w:tcW w:w="844" w:type="dxa"/>
          </w:tcPr>
          <w:p w:rsidRPr="00382B08" w:rsidR="00371A7F" w:rsidP="00371A7F" w:rsidRDefault="00371A7F">
            <w:pPr>
              <w:spacing w:after="0"/>
              <w:cnfStyle w:val="000000000000"/>
              <w:rPr>
                <w:rFonts w:cs="Arial"/>
                <w:sz w:val="14"/>
                <w:szCs w:val="14"/>
              </w:rPr>
            </w:pPr>
            <w:r>
              <w:rPr>
                <w:rFonts w:cs="Arial"/>
                <w:sz w:val="14"/>
                <w:szCs w:val="14"/>
              </w:rPr>
              <w:t>20.468</w:t>
            </w:r>
          </w:p>
        </w:tc>
      </w:tr>
      <w:tr w:rsidRPr="003B637F" w:rsidR="00371A7F" w:rsidTr="00371A7F">
        <w:trPr>
          <w:cnfStyle w:val="000000100000"/>
        </w:trPr>
        <w:tc>
          <w:tcPr>
            <w:cnfStyle w:val="001000000000"/>
            <w:tcW w:w="568" w:type="dxa"/>
          </w:tcPr>
          <w:p w:rsidRPr="003B637F" w:rsidR="00371A7F" w:rsidP="00371A7F" w:rsidRDefault="00371A7F">
            <w:pPr>
              <w:spacing w:after="0"/>
              <w:rPr>
                <w:rFonts w:cs="Arial"/>
                <w:b w:val="0"/>
                <w:sz w:val="14"/>
                <w:szCs w:val="14"/>
              </w:rPr>
            </w:pPr>
            <w:r w:rsidRPr="003B637F">
              <w:rPr>
                <w:rFonts w:cs="Arial"/>
                <w:b w:val="0"/>
                <w:sz w:val="14"/>
                <w:szCs w:val="14"/>
              </w:rPr>
              <w:t>L</w:t>
            </w:r>
          </w:p>
        </w:tc>
        <w:tc>
          <w:tcPr>
            <w:tcW w:w="2375" w:type="dxa"/>
          </w:tcPr>
          <w:p w:rsidRPr="003B637F" w:rsidR="00371A7F" w:rsidP="00371A7F" w:rsidRDefault="00371A7F">
            <w:pPr>
              <w:spacing w:after="0"/>
              <w:cnfStyle w:val="000000100000"/>
              <w:rPr>
                <w:rFonts w:cs="Arial"/>
                <w:sz w:val="12"/>
                <w:szCs w:val="12"/>
              </w:rPr>
            </w:pPr>
            <w:r>
              <w:rPr>
                <w:rFonts w:cs="Arial"/>
                <w:sz w:val="12"/>
                <w:szCs w:val="12"/>
              </w:rPr>
              <w:t>Volvo XC90 3.2 Momentum</w:t>
            </w:r>
          </w:p>
        </w:tc>
        <w:tc>
          <w:tcPr>
            <w:tcW w:w="567" w:type="dxa"/>
          </w:tcPr>
          <w:p w:rsidRPr="003B637F" w:rsidR="00371A7F" w:rsidP="00371A7F" w:rsidRDefault="00371A7F">
            <w:pPr>
              <w:spacing w:after="0"/>
              <w:cnfStyle w:val="000000100000"/>
              <w:rPr>
                <w:sz w:val="12"/>
                <w:szCs w:val="12"/>
              </w:rPr>
            </w:pPr>
            <w:r>
              <w:rPr>
                <w:sz w:val="12"/>
                <w:szCs w:val="12"/>
              </w:rPr>
              <w:t>B</w:t>
            </w:r>
          </w:p>
        </w:tc>
        <w:tc>
          <w:tcPr>
            <w:tcW w:w="709" w:type="dxa"/>
          </w:tcPr>
          <w:p w:rsidRPr="003B637F" w:rsidR="00371A7F" w:rsidP="00371A7F" w:rsidRDefault="00371A7F">
            <w:pPr>
              <w:spacing w:after="0"/>
              <w:cnfStyle w:val="000000100000"/>
              <w:rPr>
                <w:rFonts w:cs="Arial"/>
                <w:sz w:val="14"/>
                <w:szCs w:val="14"/>
              </w:rPr>
            </w:pPr>
            <w:r>
              <w:rPr>
                <w:rFonts w:cs="Arial"/>
                <w:sz w:val="14"/>
                <w:szCs w:val="14"/>
              </w:rPr>
              <w:t>269</w:t>
            </w:r>
          </w:p>
        </w:tc>
        <w:tc>
          <w:tcPr>
            <w:tcW w:w="851" w:type="dxa"/>
          </w:tcPr>
          <w:p w:rsidRPr="003B637F" w:rsidR="00371A7F" w:rsidP="00371A7F" w:rsidRDefault="00371A7F">
            <w:pPr>
              <w:spacing w:after="0"/>
              <w:cnfStyle w:val="000000100000"/>
              <w:rPr>
                <w:rFonts w:cs="Arial"/>
                <w:sz w:val="14"/>
                <w:szCs w:val="14"/>
              </w:rPr>
            </w:pPr>
            <w:r>
              <w:rPr>
                <w:rFonts w:cs="Arial"/>
                <w:sz w:val="14"/>
                <w:szCs w:val="14"/>
              </w:rPr>
              <w:t>45.338</w:t>
            </w:r>
          </w:p>
        </w:tc>
        <w:tc>
          <w:tcPr>
            <w:tcW w:w="843" w:type="dxa"/>
          </w:tcPr>
          <w:p w:rsidRPr="003B637F" w:rsidR="00371A7F" w:rsidP="00371A7F" w:rsidRDefault="00371A7F">
            <w:pPr>
              <w:spacing w:after="0"/>
              <w:cnfStyle w:val="000000100000"/>
              <w:rPr>
                <w:rFonts w:cs="Arial"/>
                <w:sz w:val="14"/>
                <w:szCs w:val="14"/>
              </w:rPr>
            </w:pPr>
            <w:r>
              <w:rPr>
                <w:rFonts w:cs="Arial"/>
                <w:sz w:val="14"/>
                <w:szCs w:val="14"/>
              </w:rPr>
              <w:t>30.038</w:t>
            </w:r>
          </w:p>
        </w:tc>
        <w:tc>
          <w:tcPr>
            <w:tcW w:w="844" w:type="dxa"/>
          </w:tcPr>
          <w:p w:rsidRPr="003B637F" w:rsidR="00371A7F" w:rsidP="00371A7F" w:rsidRDefault="00371A7F">
            <w:pPr>
              <w:spacing w:after="0"/>
              <w:cnfStyle w:val="000000100000"/>
              <w:rPr>
                <w:rFonts w:cs="Arial"/>
                <w:sz w:val="14"/>
                <w:szCs w:val="14"/>
              </w:rPr>
            </w:pPr>
            <w:r>
              <w:rPr>
                <w:rFonts w:cs="Arial"/>
                <w:sz w:val="14"/>
                <w:szCs w:val="14"/>
              </w:rPr>
              <w:t>22.779</w:t>
            </w:r>
          </w:p>
        </w:tc>
        <w:tc>
          <w:tcPr>
            <w:tcW w:w="843" w:type="dxa"/>
          </w:tcPr>
          <w:p w:rsidRPr="003B637F" w:rsidR="00371A7F" w:rsidP="00371A7F" w:rsidRDefault="00371A7F">
            <w:pPr>
              <w:spacing w:after="0"/>
              <w:cnfStyle w:val="000000100000"/>
              <w:rPr>
                <w:rFonts w:cs="Arial"/>
                <w:sz w:val="14"/>
                <w:szCs w:val="14"/>
              </w:rPr>
            </w:pPr>
            <w:r>
              <w:rPr>
                <w:rFonts w:cs="Arial"/>
                <w:sz w:val="14"/>
                <w:szCs w:val="14"/>
              </w:rPr>
              <w:t>23.624</w:t>
            </w:r>
          </w:p>
        </w:tc>
        <w:tc>
          <w:tcPr>
            <w:tcW w:w="844" w:type="dxa"/>
          </w:tcPr>
          <w:p w:rsidRPr="003B637F" w:rsidR="00371A7F" w:rsidP="00371A7F" w:rsidRDefault="00371A7F">
            <w:pPr>
              <w:spacing w:after="0"/>
              <w:cnfStyle w:val="000000100000"/>
              <w:rPr>
                <w:rFonts w:cs="Arial"/>
                <w:sz w:val="14"/>
                <w:szCs w:val="14"/>
              </w:rPr>
            </w:pPr>
            <w:r>
              <w:rPr>
                <w:rFonts w:cs="Arial"/>
                <w:sz w:val="14"/>
                <w:szCs w:val="14"/>
              </w:rPr>
              <w:t>21.384</w:t>
            </w:r>
          </w:p>
        </w:tc>
        <w:tc>
          <w:tcPr>
            <w:tcW w:w="844" w:type="dxa"/>
          </w:tcPr>
          <w:p w:rsidRPr="003B637F" w:rsidR="00371A7F" w:rsidP="00371A7F" w:rsidRDefault="00371A7F">
            <w:pPr>
              <w:spacing w:after="0"/>
              <w:cnfStyle w:val="000000100000"/>
              <w:rPr>
                <w:rFonts w:cs="Arial"/>
                <w:sz w:val="14"/>
                <w:szCs w:val="14"/>
              </w:rPr>
            </w:pPr>
            <w:r>
              <w:rPr>
                <w:rFonts w:cs="Arial"/>
                <w:sz w:val="14"/>
                <w:szCs w:val="14"/>
              </w:rPr>
              <w:t>20.209</w:t>
            </w:r>
          </w:p>
        </w:tc>
      </w:tr>
    </w:tbl>
    <w:p w:rsidRPr="00630CA9" w:rsidR="00371A7F" w:rsidP="00371A7F" w:rsidRDefault="00371A7F">
      <w:pPr>
        <w:spacing w:after="0"/>
        <w:rPr>
          <w:sz w:val="14"/>
          <w:szCs w:val="14"/>
          <w:lang w:val="en-US"/>
        </w:rPr>
      </w:pPr>
      <w:r w:rsidRPr="00630CA9">
        <w:rPr>
          <w:sz w:val="14"/>
          <w:szCs w:val="14"/>
          <w:lang w:val="en-US"/>
        </w:rPr>
        <w:t>Sgmt = Segment; B/D = benzine/diesel; CO</w:t>
      </w:r>
      <w:r w:rsidRPr="00630CA9">
        <w:rPr>
          <w:sz w:val="14"/>
          <w:szCs w:val="14"/>
          <w:vertAlign w:val="subscript"/>
          <w:lang w:val="en-US"/>
        </w:rPr>
        <w:t>2</w:t>
      </w:r>
      <w:r>
        <w:rPr>
          <w:sz w:val="14"/>
          <w:szCs w:val="14"/>
          <w:vertAlign w:val="subscript"/>
          <w:lang w:val="en-US"/>
        </w:rPr>
        <w:t xml:space="preserve"> </w:t>
      </w:r>
      <w:r w:rsidRPr="00630CA9">
        <w:rPr>
          <w:sz w:val="14"/>
          <w:szCs w:val="14"/>
          <w:lang w:val="en-US"/>
        </w:rPr>
        <w:t>= CO</w:t>
      </w:r>
      <w:r w:rsidRPr="00630CA9">
        <w:rPr>
          <w:sz w:val="14"/>
          <w:szCs w:val="14"/>
          <w:vertAlign w:val="subscript"/>
          <w:lang w:val="en-US"/>
        </w:rPr>
        <w:t>2</w:t>
      </w:r>
      <w:r w:rsidRPr="00630CA9">
        <w:rPr>
          <w:sz w:val="14"/>
          <w:szCs w:val="14"/>
          <w:lang w:val="en-US"/>
        </w:rPr>
        <w:t>-uitstoot</w:t>
      </w:r>
      <w:r>
        <w:rPr>
          <w:sz w:val="14"/>
          <w:szCs w:val="14"/>
          <w:vertAlign w:val="subscript"/>
          <w:lang w:val="en-US"/>
        </w:rPr>
        <w:t xml:space="preserve"> </w:t>
      </w:r>
      <w:r>
        <w:rPr>
          <w:sz w:val="14"/>
          <w:szCs w:val="14"/>
          <w:lang w:val="en-US"/>
        </w:rPr>
        <w:t>in gr/km; NCP = netto catalogusprijs</w:t>
      </w:r>
    </w:p>
    <w:p w:rsidRPr="00477308" w:rsidR="00371A7F" w:rsidP="00371A7F" w:rsidRDefault="00371A7F">
      <w:pPr>
        <w:spacing w:after="0"/>
        <w:rPr>
          <w:sz w:val="18"/>
          <w:szCs w:val="18"/>
        </w:rPr>
      </w:pPr>
    </w:p>
    <w:p w:rsidR="00371A7F" w:rsidP="00371A7F" w:rsidRDefault="00371A7F">
      <w:pPr>
        <w:spacing w:after="0"/>
        <w:rPr>
          <w:sz w:val="18"/>
          <w:szCs w:val="18"/>
        </w:rPr>
      </w:pPr>
      <w:r w:rsidRPr="00477308">
        <w:rPr>
          <w:sz w:val="18"/>
          <w:szCs w:val="18"/>
        </w:rPr>
        <w:t xml:space="preserve">Uit tabel </w:t>
      </w:r>
      <w:r>
        <w:rPr>
          <w:sz w:val="18"/>
          <w:szCs w:val="18"/>
        </w:rPr>
        <w:t>9</w:t>
      </w:r>
      <w:r w:rsidRPr="00477308">
        <w:rPr>
          <w:sz w:val="18"/>
          <w:szCs w:val="18"/>
        </w:rPr>
        <w:t xml:space="preserve"> blijkt allereerst dat de BPM-druk voor de duurdere auto</w:t>
      </w:r>
      <w:r>
        <w:rPr>
          <w:sz w:val="18"/>
          <w:szCs w:val="18"/>
        </w:rPr>
        <w:t>’</w:t>
      </w:r>
      <w:r w:rsidRPr="00477308">
        <w:rPr>
          <w:sz w:val="18"/>
          <w:szCs w:val="18"/>
        </w:rPr>
        <w:t xml:space="preserve">s </w:t>
      </w:r>
      <w:r>
        <w:rPr>
          <w:sz w:val="18"/>
          <w:szCs w:val="18"/>
        </w:rPr>
        <w:t xml:space="preserve">in het door Ecorys voorgestelde scenario </w:t>
      </w:r>
      <w:r w:rsidRPr="00477308">
        <w:rPr>
          <w:sz w:val="18"/>
          <w:szCs w:val="18"/>
        </w:rPr>
        <w:t xml:space="preserve">harder daalt dan voor de goedkopere auto’s. </w:t>
      </w:r>
      <w:r w:rsidR="00B2046D">
        <w:rPr>
          <w:sz w:val="18"/>
          <w:szCs w:val="18"/>
        </w:rPr>
        <w:t>Als gevolg van de ombouw van een op catalogusprijs gebaseerde BPM naar een volledig CO</w:t>
      </w:r>
      <w:r w:rsidRPr="00B2046D" w:rsidR="00B2046D">
        <w:rPr>
          <w:sz w:val="18"/>
          <w:szCs w:val="18"/>
          <w:vertAlign w:val="subscript"/>
        </w:rPr>
        <w:t>2</w:t>
      </w:r>
      <w:r w:rsidR="00B2046D">
        <w:rPr>
          <w:sz w:val="18"/>
          <w:szCs w:val="18"/>
        </w:rPr>
        <w:t>-gebaseerde BPM, geldt dat v</w:t>
      </w:r>
      <w:r w:rsidRPr="00477308">
        <w:rPr>
          <w:sz w:val="18"/>
          <w:szCs w:val="18"/>
        </w:rPr>
        <w:t>oor auto’s met een gelijke CO</w:t>
      </w:r>
      <w:r w:rsidRPr="00477308">
        <w:rPr>
          <w:sz w:val="18"/>
          <w:szCs w:val="18"/>
          <w:vertAlign w:val="subscript"/>
        </w:rPr>
        <w:t>2</w:t>
      </w:r>
      <w:r w:rsidRPr="00477308">
        <w:rPr>
          <w:sz w:val="18"/>
          <w:szCs w:val="18"/>
        </w:rPr>
        <w:t xml:space="preserve">-uitstoot maar met sterk uiteenlopende prijzen en met voorheen sterk uiteenlopende BPM-bedragen, na de voltooiing van de ombouw </w:t>
      </w:r>
      <w:r>
        <w:rPr>
          <w:sz w:val="18"/>
          <w:szCs w:val="18"/>
        </w:rPr>
        <w:t xml:space="preserve">in 2013 </w:t>
      </w:r>
      <w:r w:rsidRPr="00477308">
        <w:rPr>
          <w:sz w:val="18"/>
          <w:szCs w:val="18"/>
        </w:rPr>
        <w:t xml:space="preserve">gelijke BPM-bedragen </w:t>
      </w:r>
      <w:r w:rsidR="00B2046D">
        <w:rPr>
          <w:sz w:val="18"/>
          <w:szCs w:val="18"/>
        </w:rPr>
        <w:t xml:space="preserve">zullen </w:t>
      </w:r>
      <w:r w:rsidRPr="00477308">
        <w:rPr>
          <w:sz w:val="18"/>
          <w:szCs w:val="18"/>
        </w:rPr>
        <w:t xml:space="preserve">gelden. </w:t>
      </w:r>
      <w:r>
        <w:rPr>
          <w:sz w:val="18"/>
          <w:szCs w:val="18"/>
        </w:rPr>
        <w:t>De laatste twee in de tabel genoemde voorbeelden illustreren dit doordat sprake is van uiteenlopende catalogusprijzen en vrijwel gelijke CO</w:t>
      </w:r>
      <w:r w:rsidRPr="001E40E6">
        <w:rPr>
          <w:sz w:val="18"/>
          <w:szCs w:val="18"/>
          <w:vertAlign w:val="subscript"/>
        </w:rPr>
        <w:t>2</w:t>
      </w:r>
      <w:r>
        <w:rPr>
          <w:sz w:val="18"/>
          <w:szCs w:val="18"/>
        </w:rPr>
        <w:t>-uitstoot.</w:t>
      </w:r>
    </w:p>
    <w:p w:rsidRPr="00477308" w:rsidR="00371A7F" w:rsidP="00371A7F" w:rsidRDefault="00371A7F">
      <w:pPr>
        <w:spacing w:after="0"/>
        <w:rPr>
          <w:sz w:val="18"/>
          <w:szCs w:val="18"/>
        </w:rPr>
      </w:pPr>
      <w:r>
        <w:rPr>
          <w:sz w:val="18"/>
          <w:szCs w:val="18"/>
        </w:rPr>
        <w:t xml:space="preserve">Overigens blijkt uit de </w:t>
      </w:r>
      <w:r w:rsidRPr="00477308">
        <w:rPr>
          <w:sz w:val="18"/>
          <w:szCs w:val="18"/>
        </w:rPr>
        <w:t xml:space="preserve">tabel </w:t>
      </w:r>
      <w:r>
        <w:rPr>
          <w:sz w:val="18"/>
          <w:szCs w:val="18"/>
        </w:rPr>
        <w:t xml:space="preserve">9 </w:t>
      </w:r>
      <w:r w:rsidR="00B2046D">
        <w:rPr>
          <w:sz w:val="18"/>
          <w:szCs w:val="18"/>
        </w:rPr>
        <w:t xml:space="preserve">het </w:t>
      </w:r>
      <w:r>
        <w:rPr>
          <w:sz w:val="18"/>
          <w:szCs w:val="18"/>
        </w:rPr>
        <w:t>progressie</w:t>
      </w:r>
      <w:r w:rsidR="00B2046D">
        <w:rPr>
          <w:sz w:val="18"/>
          <w:szCs w:val="18"/>
        </w:rPr>
        <w:t xml:space="preserve">ve </w:t>
      </w:r>
      <w:r>
        <w:rPr>
          <w:sz w:val="18"/>
          <w:szCs w:val="18"/>
        </w:rPr>
        <w:t xml:space="preserve">karakter </w:t>
      </w:r>
      <w:r w:rsidR="00B2046D">
        <w:rPr>
          <w:sz w:val="18"/>
          <w:szCs w:val="18"/>
        </w:rPr>
        <w:t>van de tariefstelling</w:t>
      </w:r>
      <w:r>
        <w:rPr>
          <w:sz w:val="18"/>
          <w:szCs w:val="18"/>
        </w:rPr>
        <w:t>. Ter illustratie: v</w:t>
      </w:r>
      <w:r w:rsidRPr="00477308">
        <w:rPr>
          <w:sz w:val="18"/>
          <w:szCs w:val="18"/>
        </w:rPr>
        <w:t xml:space="preserve">oor een auto met een uitstoot van 103 gr/km in 2011 zal in 2015 een BPM verschuldigd zijn van € 648. Voor een auto met een uitstoot van 145 gr/km geldt echter een verschuldigd bedrag van € 3820. Een uitstoot die een factor 1,4 hoger </w:t>
      </w:r>
      <w:r>
        <w:rPr>
          <w:sz w:val="18"/>
          <w:szCs w:val="18"/>
        </w:rPr>
        <w:t xml:space="preserve">is (145 gr/km ten opzichte van 103 gr/km) </w:t>
      </w:r>
      <w:r w:rsidRPr="00477308">
        <w:rPr>
          <w:sz w:val="18"/>
          <w:szCs w:val="18"/>
        </w:rPr>
        <w:t>leidt tot een BPM die een factor 6 hoger is</w:t>
      </w:r>
      <w:r>
        <w:rPr>
          <w:sz w:val="18"/>
          <w:szCs w:val="18"/>
        </w:rPr>
        <w:t xml:space="preserve"> (€ 3820 ten opzichte van € 648)</w:t>
      </w:r>
      <w:r w:rsidRPr="00477308">
        <w:rPr>
          <w:sz w:val="18"/>
          <w:szCs w:val="18"/>
        </w:rPr>
        <w:t>. Indien de vergelijking wordt gemaakt met ee</w:t>
      </w:r>
      <w:r>
        <w:rPr>
          <w:sz w:val="18"/>
          <w:szCs w:val="18"/>
        </w:rPr>
        <w:t>n auto met een uitstoot van 270 </w:t>
      </w:r>
      <w:r w:rsidRPr="00477308">
        <w:rPr>
          <w:sz w:val="18"/>
          <w:szCs w:val="18"/>
        </w:rPr>
        <w:t xml:space="preserve">gr/km is sprake van een uitstoot die een factor 2,6 hoger is dan 103 gr/km. De </w:t>
      </w:r>
      <w:r>
        <w:rPr>
          <w:sz w:val="18"/>
          <w:szCs w:val="18"/>
        </w:rPr>
        <w:t xml:space="preserve">daarbij behorende </w:t>
      </w:r>
      <w:r w:rsidRPr="00477308">
        <w:rPr>
          <w:sz w:val="18"/>
          <w:szCs w:val="18"/>
        </w:rPr>
        <w:t xml:space="preserve">BPM </w:t>
      </w:r>
      <w:r>
        <w:rPr>
          <w:sz w:val="18"/>
          <w:szCs w:val="18"/>
        </w:rPr>
        <w:t xml:space="preserve">van € 20.468, </w:t>
      </w:r>
      <w:r w:rsidRPr="00477308">
        <w:rPr>
          <w:sz w:val="18"/>
          <w:szCs w:val="18"/>
        </w:rPr>
        <w:t>is in dat geval echter een factor 32 hoger.</w:t>
      </w:r>
    </w:p>
    <w:p w:rsidRPr="00166F2A" w:rsidR="00371A7F" w:rsidP="00781CF8" w:rsidRDefault="00371A7F">
      <w:pPr>
        <w:spacing w:after="0"/>
        <w:rPr>
          <w:b/>
          <w:bCs/>
          <w:sz w:val="18"/>
          <w:szCs w:val="18"/>
        </w:rPr>
      </w:pPr>
    </w:p>
    <w:p w:rsidRPr="00E718A0" w:rsidR="002A30DC" w:rsidP="00E718A0" w:rsidRDefault="008D1BFF">
      <w:pPr>
        <w:pStyle w:val="Kop2"/>
        <w:rPr>
          <w:rFonts w:ascii="Verdana" w:hAnsi="Verdana"/>
          <w:color w:val="auto"/>
          <w:sz w:val="18"/>
          <w:szCs w:val="18"/>
        </w:rPr>
      </w:pPr>
      <w:bookmarkStart w:name="_Toc293998533" w:id="21"/>
      <w:r w:rsidRPr="00E718A0">
        <w:rPr>
          <w:rFonts w:ascii="Verdana" w:hAnsi="Verdana"/>
          <w:color w:val="auto"/>
          <w:sz w:val="18"/>
          <w:szCs w:val="18"/>
        </w:rPr>
        <w:t>3.6. Uitvoering toekomstig scenario</w:t>
      </w:r>
      <w:bookmarkEnd w:id="21"/>
    </w:p>
    <w:p w:rsidRPr="00E718A0" w:rsidR="002A30DC" w:rsidP="00E718A0" w:rsidRDefault="008D1BFF">
      <w:pPr>
        <w:pStyle w:val="Kop3"/>
        <w:rPr>
          <w:rFonts w:ascii="Verdana" w:hAnsi="Verdana"/>
          <w:b w:val="0"/>
          <w:i/>
          <w:color w:val="auto"/>
          <w:sz w:val="18"/>
          <w:szCs w:val="18"/>
        </w:rPr>
      </w:pPr>
      <w:bookmarkStart w:name="_Toc293998534" w:id="22"/>
      <w:r w:rsidRPr="00E718A0">
        <w:rPr>
          <w:rFonts w:ascii="Verdana" w:hAnsi="Verdana"/>
          <w:b w:val="0"/>
          <w:i/>
          <w:color w:val="auto"/>
          <w:sz w:val="18"/>
          <w:szCs w:val="18"/>
        </w:rPr>
        <w:t>3.6.1. inleiding</w:t>
      </w:r>
      <w:bookmarkEnd w:id="22"/>
    </w:p>
    <w:p w:rsidR="008D1BFF" w:rsidP="002B795B" w:rsidRDefault="002B795B">
      <w:pPr>
        <w:spacing w:after="0"/>
        <w:rPr>
          <w:sz w:val="18"/>
          <w:szCs w:val="18"/>
        </w:rPr>
      </w:pPr>
      <w:r>
        <w:rPr>
          <w:sz w:val="18"/>
          <w:szCs w:val="18"/>
        </w:rPr>
        <w:t>Ecorys heeft op ba</w:t>
      </w:r>
      <w:r w:rsidR="00E94975">
        <w:rPr>
          <w:sz w:val="18"/>
          <w:szCs w:val="18"/>
        </w:rPr>
        <w:t>s</w:t>
      </w:r>
      <w:r w:rsidR="00392976">
        <w:rPr>
          <w:sz w:val="18"/>
          <w:szCs w:val="18"/>
        </w:rPr>
        <w:t>is van de onder</w:t>
      </w:r>
      <w:r>
        <w:rPr>
          <w:sz w:val="18"/>
          <w:szCs w:val="18"/>
        </w:rPr>
        <w:t xml:space="preserve"> </w:t>
      </w:r>
      <w:r w:rsidR="00E94975">
        <w:rPr>
          <w:sz w:val="18"/>
          <w:szCs w:val="18"/>
        </w:rPr>
        <w:t xml:space="preserve">andere </w:t>
      </w:r>
      <w:r>
        <w:rPr>
          <w:sz w:val="18"/>
          <w:szCs w:val="18"/>
        </w:rPr>
        <w:t xml:space="preserve">de aangereikte uitgangspunten, zoals maximale stimulering van de meest zuinige auto, een solide en robuuste BPM-opbrengst, een vereenvoudiging van het huidige complexe stelsel en het waar mogelijk voorkomen van marktverstoringen, een scenario uitgewerkt waar ik mij in grote lijnen in kan vinden. Het voorstel bevat naar </w:t>
      </w:r>
      <w:r w:rsidR="008D1BFF">
        <w:rPr>
          <w:sz w:val="18"/>
          <w:szCs w:val="18"/>
        </w:rPr>
        <w:t xml:space="preserve">mijn mening </w:t>
      </w:r>
      <w:r>
        <w:rPr>
          <w:sz w:val="18"/>
          <w:szCs w:val="18"/>
        </w:rPr>
        <w:t xml:space="preserve">dan ook voldoende aanknopingspunten om het merendeel daarvan </w:t>
      </w:r>
      <w:r w:rsidR="008D1BFF">
        <w:rPr>
          <w:sz w:val="18"/>
          <w:szCs w:val="18"/>
        </w:rPr>
        <w:t>om</w:t>
      </w:r>
      <w:r>
        <w:rPr>
          <w:sz w:val="18"/>
          <w:szCs w:val="18"/>
        </w:rPr>
        <w:t xml:space="preserve"> te </w:t>
      </w:r>
      <w:r w:rsidR="008D1BFF">
        <w:rPr>
          <w:sz w:val="18"/>
          <w:szCs w:val="18"/>
        </w:rPr>
        <w:t>zetten in een wetsvoorstel. Het scenario levert een belangrijke bijdrage aan</w:t>
      </w:r>
      <w:r w:rsidRPr="00A878C4" w:rsidR="008D1BFF">
        <w:rPr>
          <w:sz w:val="18"/>
          <w:szCs w:val="18"/>
        </w:rPr>
        <w:t xml:space="preserve"> </w:t>
      </w:r>
      <w:r w:rsidR="008D1BFF">
        <w:rPr>
          <w:sz w:val="18"/>
          <w:szCs w:val="18"/>
        </w:rPr>
        <w:t xml:space="preserve">mijn doelstellingen om te komen tot </w:t>
      </w:r>
      <w:r w:rsidRPr="00A878C4" w:rsidR="008D1BFF">
        <w:rPr>
          <w:sz w:val="18"/>
          <w:szCs w:val="18"/>
        </w:rPr>
        <w:t xml:space="preserve">een </w:t>
      </w:r>
      <w:r w:rsidR="008D1BFF">
        <w:rPr>
          <w:sz w:val="18"/>
          <w:szCs w:val="18"/>
        </w:rPr>
        <w:t xml:space="preserve">meer </w:t>
      </w:r>
      <w:r w:rsidRPr="00A878C4" w:rsidR="008D1BFF">
        <w:rPr>
          <w:sz w:val="18"/>
          <w:szCs w:val="18"/>
        </w:rPr>
        <w:t xml:space="preserve">eenvoudig, solide </w:t>
      </w:r>
      <w:r w:rsidR="008D1BFF">
        <w:rPr>
          <w:sz w:val="18"/>
          <w:szCs w:val="18"/>
        </w:rPr>
        <w:t xml:space="preserve">en fraudebestendig </w:t>
      </w:r>
      <w:r w:rsidRPr="00A878C4" w:rsidR="008D1BFF">
        <w:rPr>
          <w:sz w:val="18"/>
          <w:szCs w:val="18"/>
        </w:rPr>
        <w:t>systeem</w:t>
      </w:r>
      <w:r w:rsidR="008D1BFF">
        <w:rPr>
          <w:sz w:val="18"/>
          <w:szCs w:val="18"/>
        </w:rPr>
        <w:t xml:space="preserve"> van autogerelateerde belastingen. Bovendien wordt een belangrijke doelstelling van het onderzoek bereikt, namelijk </w:t>
      </w:r>
      <w:r w:rsidR="00256F4C">
        <w:rPr>
          <w:sz w:val="18"/>
          <w:szCs w:val="18"/>
        </w:rPr>
        <w:t xml:space="preserve">het ontwikkelen van </w:t>
      </w:r>
      <w:r w:rsidR="008D1BFF">
        <w:rPr>
          <w:sz w:val="18"/>
          <w:szCs w:val="18"/>
        </w:rPr>
        <w:t xml:space="preserve">een systeem van autogerelateerde belastingen dat </w:t>
      </w:r>
      <w:r w:rsidRPr="00A878C4" w:rsidR="008D1BFF">
        <w:rPr>
          <w:sz w:val="18"/>
          <w:szCs w:val="18"/>
        </w:rPr>
        <w:t xml:space="preserve">ook in de toekomst een stimulans </w:t>
      </w:r>
      <w:r w:rsidR="008D1BFF">
        <w:rPr>
          <w:sz w:val="18"/>
          <w:szCs w:val="18"/>
        </w:rPr>
        <w:t xml:space="preserve">geeft </w:t>
      </w:r>
      <w:r w:rsidRPr="00A878C4" w:rsidR="008D1BFF">
        <w:rPr>
          <w:sz w:val="18"/>
          <w:szCs w:val="18"/>
        </w:rPr>
        <w:t xml:space="preserve">om te </w:t>
      </w:r>
      <w:r w:rsidR="008D1BFF">
        <w:rPr>
          <w:sz w:val="18"/>
          <w:szCs w:val="18"/>
        </w:rPr>
        <w:t xml:space="preserve">blijven </w:t>
      </w:r>
      <w:r w:rsidRPr="00A878C4" w:rsidR="008D1BFF">
        <w:rPr>
          <w:sz w:val="18"/>
          <w:szCs w:val="18"/>
        </w:rPr>
        <w:t xml:space="preserve">kiezen voor de </w:t>
      </w:r>
      <w:r w:rsidR="005A289B">
        <w:rPr>
          <w:sz w:val="18"/>
          <w:szCs w:val="18"/>
        </w:rPr>
        <w:t>meest zuinige</w:t>
      </w:r>
      <w:r w:rsidRPr="00A878C4" w:rsidR="008D1BFF">
        <w:rPr>
          <w:sz w:val="18"/>
          <w:szCs w:val="18"/>
        </w:rPr>
        <w:t xml:space="preserve"> auto.</w:t>
      </w:r>
      <w:r w:rsidR="008D1BFF">
        <w:rPr>
          <w:sz w:val="18"/>
          <w:szCs w:val="18"/>
        </w:rPr>
        <w:t xml:space="preserve"> Het onderzoek geeft dan ook belangrijke aangrijpingspunten om </w:t>
      </w:r>
      <w:r w:rsidR="00256F4C">
        <w:rPr>
          <w:sz w:val="18"/>
          <w:szCs w:val="18"/>
        </w:rPr>
        <w:t xml:space="preserve">al </w:t>
      </w:r>
      <w:r w:rsidR="008D1BFF">
        <w:rPr>
          <w:sz w:val="18"/>
          <w:szCs w:val="18"/>
        </w:rPr>
        <w:t xml:space="preserve">in het Belastingplan 2012 met concrete voorstellen te komen voor BPM, MRB en bijtelling. Hierbij geldt dat ik </w:t>
      </w:r>
      <w:r w:rsidR="002A334D">
        <w:rPr>
          <w:sz w:val="18"/>
          <w:szCs w:val="18"/>
        </w:rPr>
        <w:t xml:space="preserve">– behoudens een eventuele extra schijf in de tariefstructuur van de BPM om het progressieve karakter te waarborgen – </w:t>
      </w:r>
      <w:r w:rsidR="008D1BFF">
        <w:rPr>
          <w:sz w:val="18"/>
          <w:szCs w:val="18"/>
        </w:rPr>
        <w:t>het</w:t>
      </w:r>
      <w:r w:rsidR="002A334D">
        <w:rPr>
          <w:sz w:val="18"/>
          <w:szCs w:val="18"/>
        </w:rPr>
        <w:t xml:space="preserve"> </w:t>
      </w:r>
      <w:r w:rsidR="008D1BFF">
        <w:rPr>
          <w:sz w:val="18"/>
          <w:szCs w:val="18"/>
        </w:rPr>
        <w:t xml:space="preserve">door Ecorys geschetste eindbeeld in 2015 als uitgangspunt neem en ik voor de periode vanaf 2012 kies voor een geleidelijke weg naar dat eindbeeld toe. </w:t>
      </w:r>
      <w:r w:rsidR="00D00320">
        <w:rPr>
          <w:sz w:val="18"/>
          <w:szCs w:val="18"/>
        </w:rPr>
        <w:t xml:space="preserve">Ik neem echter niet alle voorstellen van Ecorys over. </w:t>
      </w:r>
      <w:r w:rsidR="00D00320">
        <w:rPr>
          <w:sz w:val="18"/>
          <w:szCs w:val="18"/>
        </w:rPr>
        <w:lastRenderedPageBreak/>
        <w:t>Zo heb ik het voornemen om de huidige vrijstelling in de MRB</w:t>
      </w:r>
      <w:r w:rsidR="002857D2">
        <w:rPr>
          <w:sz w:val="18"/>
          <w:szCs w:val="18"/>
        </w:rPr>
        <w:t xml:space="preserve"> ongewijzigd te handhaven tot 1 </w:t>
      </w:r>
      <w:r w:rsidR="00D00320">
        <w:rPr>
          <w:sz w:val="18"/>
          <w:szCs w:val="18"/>
        </w:rPr>
        <w:t>januari 2014, de vrijstelling MRB in de periode tot en met 2015 te handhaven voor personenauto’s met een CO</w:t>
      </w:r>
      <w:r w:rsidRPr="00D00320" w:rsidR="00D00320">
        <w:rPr>
          <w:sz w:val="18"/>
          <w:szCs w:val="18"/>
          <w:vertAlign w:val="subscript"/>
        </w:rPr>
        <w:t>2</w:t>
      </w:r>
      <w:r w:rsidR="00D00320">
        <w:rPr>
          <w:sz w:val="18"/>
          <w:szCs w:val="18"/>
        </w:rPr>
        <w:t>-uitstoot van niet meer dan 50 gr/km, in de bijtelling het bereik van de huidige nihilbijtelling voor nulemissieauto’s uit te breiden tot personenauto’s met een CO</w:t>
      </w:r>
      <w:r w:rsidRPr="00D00320" w:rsidR="00D00320">
        <w:rPr>
          <w:sz w:val="18"/>
          <w:szCs w:val="18"/>
          <w:vertAlign w:val="subscript"/>
        </w:rPr>
        <w:t>2</w:t>
      </w:r>
      <w:r w:rsidR="00D00320">
        <w:rPr>
          <w:sz w:val="18"/>
          <w:szCs w:val="18"/>
        </w:rPr>
        <w:t xml:space="preserve">-uitstoot van niet meer dan 50 gr/km </w:t>
      </w:r>
      <w:r w:rsidR="001A78DD">
        <w:rPr>
          <w:sz w:val="18"/>
          <w:szCs w:val="18"/>
        </w:rPr>
        <w:t>met een jaar te verle</w:t>
      </w:r>
      <w:r w:rsidR="0045007E">
        <w:rPr>
          <w:sz w:val="18"/>
          <w:szCs w:val="18"/>
        </w:rPr>
        <w:t>n</w:t>
      </w:r>
      <w:r w:rsidR="001A78DD">
        <w:rPr>
          <w:sz w:val="18"/>
          <w:szCs w:val="18"/>
        </w:rPr>
        <w:t xml:space="preserve">gen (tot en met 2015) </w:t>
      </w:r>
      <w:r w:rsidR="00D00320">
        <w:rPr>
          <w:sz w:val="18"/>
          <w:szCs w:val="18"/>
        </w:rPr>
        <w:t xml:space="preserve">en zal ik voorstellen </w:t>
      </w:r>
      <w:r w:rsidR="002A334D">
        <w:rPr>
          <w:sz w:val="18"/>
          <w:szCs w:val="18"/>
        </w:rPr>
        <w:t xml:space="preserve">het merendeel van de </w:t>
      </w:r>
      <w:r w:rsidR="00D00320">
        <w:rPr>
          <w:sz w:val="18"/>
          <w:szCs w:val="18"/>
        </w:rPr>
        <w:t>maatregelen te laten ingaan op 1 juli 201</w:t>
      </w:r>
      <w:r w:rsidR="009E75A4">
        <w:rPr>
          <w:sz w:val="18"/>
          <w:szCs w:val="18"/>
        </w:rPr>
        <w:t>2</w:t>
      </w:r>
      <w:r w:rsidR="00D00320">
        <w:rPr>
          <w:sz w:val="18"/>
          <w:szCs w:val="18"/>
        </w:rPr>
        <w:t xml:space="preserve">. </w:t>
      </w:r>
      <w:r w:rsidR="002A334D">
        <w:rPr>
          <w:sz w:val="18"/>
          <w:szCs w:val="18"/>
        </w:rPr>
        <w:t>De uitbreiding van nihilbijtelling voor personenauto’s met een CO</w:t>
      </w:r>
      <w:r w:rsidRPr="00D00320" w:rsidR="002A334D">
        <w:rPr>
          <w:sz w:val="18"/>
          <w:szCs w:val="18"/>
          <w:vertAlign w:val="subscript"/>
        </w:rPr>
        <w:t>2</w:t>
      </w:r>
      <w:r w:rsidR="002A334D">
        <w:rPr>
          <w:sz w:val="18"/>
          <w:szCs w:val="18"/>
        </w:rPr>
        <w:t xml:space="preserve">-uitstoot van niet meer dan 50 gr/km treedt in werking met ingang van 1 januari 2012. </w:t>
      </w:r>
      <w:r w:rsidR="008D1BFF">
        <w:rPr>
          <w:sz w:val="18"/>
          <w:szCs w:val="18"/>
        </w:rPr>
        <w:t>Concreet betekent dit dat ik voornemens ben om de volgende maatregelen op te nemen in het Belastingplan 2012 voor de periode 2012-2015:</w:t>
      </w:r>
    </w:p>
    <w:p w:rsidR="00A710AA" w:rsidP="00A710AA" w:rsidRDefault="00A710AA">
      <w:pPr>
        <w:spacing w:after="0"/>
        <w:rPr>
          <w:sz w:val="18"/>
          <w:szCs w:val="18"/>
        </w:rPr>
      </w:pPr>
    </w:p>
    <w:tbl>
      <w:tblPr>
        <w:tblStyle w:val="Tabelraster"/>
        <w:tblW w:w="0" w:type="auto"/>
        <w:tblLook w:val="04A0"/>
      </w:tblPr>
      <w:tblGrid>
        <w:gridCol w:w="9211"/>
      </w:tblGrid>
      <w:tr w:rsidR="00A710AA" w:rsidTr="00A710AA">
        <w:tc>
          <w:tcPr>
            <w:tcW w:w="9211" w:type="dxa"/>
          </w:tcPr>
          <w:p w:rsidRPr="009E75A4" w:rsidR="00A710AA" w:rsidP="00A710AA" w:rsidRDefault="00A710AA">
            <w:pPr>
              <w:spacing w:after="0"/>
              <w:rPr>
                <w:rFonts w:ascii="Verdana" w:hAnsi="Verdana"/>
                <w:sz w:val="16"/>
                <w:szCs w:val="16"/>
              </w:rPr>
            </w:pPr>
            <w:r w:rsidRPr="009E75A4">
              <w:rPr>
                <w:rFonts w:ascii="Verdana" w:hAnsi="Verdana"/>
                <w:sz w:val="16"/>
                <w:szCs w:val="16"/>
              </w:rPr>
              <w:t>BPM</w:t>
            </w:r>
          </w:p>
          <w:p w:rsidRPr="009E75A4" w:rsidR="00A710AA" w:rsidP="00A710AA" w:rsidRDefault="00A710AA">
            <w:pPr>
              <w:numPr>
                <w:ilvl w:val="0"/>
                <w:numId w:val="41"/>
              </w:numPr>
              <w:spacing w:after="0"/>
              <w:rPr>
                <w:rFonts w:ascii="Verdana" w:hAnsi="Verdana"/>
                <w:sz w:val="16"/>
                <w:szCs w:val="16"/>
              </w:rPr>
            </w:pPr>
            <w:r w:rsidRPr="009E75A4">
              <w:rPr>
                <w:rFonts w:ascii="Verdana" w:hAnsi="Verdana"/>
                <w:sz w:val="16"/>
                <w:szCs w:val="16"/>
              </w:rPr>
              <w:t>Tot 1 juli 2012 is de tariefstructuur zoals beschreven in Belastingplan 2011 van toepassing.</w:t>
            </w:r>
          </w:p>
          <w:p w:rsidRPr="009E75A4" w:rsidR="00A710AA" w:rsidP="00A710AA" w:rsidRDefault="00A710AA">
            <w:pPr>
              <w:numPr>
                <w:ilvl w:val="0"/>
                <w:numId w:val="41"/>
              </w:numPr>
              <w:spacing w:after="0"/>
              <w:rPr>
                <w:rFonts w:ascii="Verdana" w:hAnsi="Verdana"/>
                <w:sz w:val="16"/>
                <w:szCs w:val="16"/>
              </w:rPr>
            </w:pPr>
            <w:r w:rsidRPr="009E75A4">
              <w:rPr>
                <w:rFonts w:ascii="Verdana" w:hAnsi="Verdana"/>
                <w:sz w:val="16"/>
                <w:szCs w:val="16"/>
              </w:rPr>
              <w:t>De CO</w:t>
            </w:r>
            <w:r w:rsidRPr="009E75A4">
              <w:rPr>
                <w:rFonts w:ascii="Verdana" w:hAnsi="Verdana"/>
                <w:sz w:val="16"/>
                <w:szCs w:val="16"/>
                <w:vertAlign w:val="subscript"/>
              </w:rPr>
              <w:t>2</w:t>
            </w:r>
            <w:r w:rsidRPr="009E75A4">
              <w:rPr>
                <w:rFonts w:ascii="Verdana" w:hAnsi="Verdana"/>
                <w:sz w:val="16"/>
                <w:szCs w:val="16"/>
              </w:rPr>
              <w:t xml:space="preserve">-schijfgrenzen worden jaarlijks </w:t>
            </w:r>
            <w:r w:rsidR="0045007E">
              <w:rPr>
                <w:rFonts w:ascii="Verdana" w:hAnsi="Verdana"/>
                <w:sz w:val="16"/>
                <w:szCs w:val="16"/>
              </w:rPr>
              <w:t xml:space="preserve">per 1 januari </w:t>
            </w:r>
            <w:r w:rsidRPr="009E75A4">
              <w:rPr>
                <w:rFonts w:ascii="Verdana" w:hAnsi="Verdana"/>
                <w:sz w:val="16"/>
                <w:szCs w:val="16"/>
              </w:rPr>
              <w:t>naar beneden aangepast</w:t>
            </w:r>
            <w:r w:rsidR="0045007E">
              <w:rPr>
                <w:rFonts w:ascii="Verdana" w:hAnsi="Verdana"/>
                <w:sz w:val="16"/>
                <w:szCs w:val="16"/>
              </w:rPr>
              <w:t xml:space="preserve"> (te starten op 1 juli 2012)</w:t>
            </w:r>
            <w:r w:rsidRPr="009E75A4">
              <w:rPr>
                <w:rFonts w:ascii="Verdana" w:hAnsi="Verdana"/>
                <w:sz w:val="16"/>
                <w:szCs w:val="16"/>
              </w:rPr>
              <w:t>.</w:t>
            </w:r>
            <w:r w:rsidRPr="009E75A4" w:rsidR="00D00320">
              <w:rPr>
                <w:rFonts w:ascii="Verdana" w:hAnsi="Verdana"/>
                <w:sz w:val="16"/>
                <w:szCs w:val="16"/>
              </w:rPr>
              <w:t xml:space="preserve"> Dit wordt in het belastingplan 2012 voor de jaren tot en met 2015 vastgelegd.</w:t>
            </w:r>
          </w:p>
          <w:p w:rsidRPr="009E75A4" w:rsidR="00A710AA" w:rsidP="00A710AA" w:rsidRDefault="00A710AA">
            <w:pPr>
              <w:numPr>
                <w:ilvl w:val="0"/>
                <w:numId w:val="42"/>
              </w:numPr>
              <w:spacing w:after="0"/>
              <w:rPr>
                <w:rFonts w:ascii="Verdana" w:hAnsi="Verdana"/>
                <w:sz w:val="16"/>
                <w:szCs w:val="16"/>
              </w:rPr>
            </w:pPr>
            <w:r w:rsidRPr="009E75A4">
              <w:rPr>
                <w:rFonts w:ascii="Verdana" w:hAnsi="Verdana"/>
                <w:sz w:val="16"/>
                <w:szCs w:val="16"/>
              </w:rPr>
              <w:t xml:space="preserve">De benzine- en dieselgrenzen groeien langzaam naar elkaar </w:t>
            </w:r>
            <w:r w:rsidRPr="009E75A4" w:rsidR="00D00320">
              <w:rPr>
                <w:rFonts w:ascii="Verdana" w:hAnsi="Verdana"/>
                <w:sz w:val="16"/>
                <w:szCs w:val="16"/>
              </w:rPr>
              <w:t xml:space="preserve">toe </w:t>
            </w:r>
            <w:r w:rsidRPr="009E75A4">
              <w:rPr>
                <w:rFonts w:ascii="Verdana" w:hAnsi="Verdana"/>
                <w:sz w:val="16"/>
                <w:szCs w:val="16"/>
              </w:rPr>
              <w:t>tot gelijke waarden in 2015.</w:t>
            </w:r>
          </w:p>
          <w:p w:rsidRPr="009E75A4" w:rsidR="00A710AA" w:rsidP="00A710AA" w:rsidRDefault="00A710AA">
            <w:pPr>
              <w:numPr>
                <w:ilvl w:val="0"/>
                <w:numId w:val="41"/>
              </w:numPr>
              <w:spacing w:after="0"/>
              <w:rPr>
                <w:rFonts w:ascii="Verdana" w:hAnsi="Verdana"/>
                <w:sz w:val="16"/>
                <w:szCs w:val="16"/>
              </w:rPr>
            </w:pPr>
            <w:r w:rsidRPr="009E75A4">
              <w:rPr>
                <w:rFonts w:ascii="Verdana" w:hAnsi="Verdana"/>
                <w:sz w:val="16"/>
                <w:szCs w:val="16"/>
              </w:rPr>
              <w:t>De vaste dieseltoeslag wordt met ingang van 1 juli 2012 vervangen door een CO</w:t>
            </w:r>
            <w:r w:rsidRPr="009E75A4">
              <w:rPr>
                <w:rFonts w:ascii="Verdana" w:hAnsi="Verdana"/>
                <w:sz w:val="16"/>
                <w:szCs w:val="16"/>
                <w:vertAlign w:val="subscript"/>
              </w:rPr>
              <w:t>2</w:t>
            </w:r>
            <w:r w:rsidRPr="009E75A4">
              <w:rPr>
                <w:rFonts w:ascii="Verdana" w:hAnsi="Verdana"/>
                <w:sz w:val="16"/>
                <w:szCs w:val="16"/>
              </w:rPr>
              <w:t>-gerelateerde toeslag.</w:t>
            </w:r>
            <w:r w:rsidRPr="009E75A4" w:rsidR="00D00320">
              <w:rPr>
                <w:rFonts w:ascii="Verdana" w:hAnsi="Verdana"/>
                <w:sz w:val="16"/>
                <w:szCs w:val="16"/>
              </w:rPr>
              <w:t xml:space="preserve"> Deze toeslag wordt dan ook met ingang van die datum verschuldigd.</w:t>
            </w:r>
          </w:p>
          <w:p w:rsidRPr="009E75A4" w:rsidR="00A710AA" w:rsidP="00A710AA" w:rsidRDefault="00A710AA">
            <w:pPr>
              <w:spacing w:after="0"/>
              <w:rPr>
                <w:rFonts w:ascii="Verdana" w:hAnsi="Verdana"/>
                <w:sz w:val="16"/>
                <w:szCs w:val="16"/>
              </w:rPr>
            </w:pPr>
          </w:p>
          <w:p w:rsidRPr="009E75A4" w:rsidR="00A710AA" w:rsidP="00A710AA" w:rsidRDefault="00A710AA">
            <w:pPr>
              <w:spacing w:after="0"/>
              <w:rPr>
                <w:rFonts w:ascii="Verdana" w:hAnsi="Verdana"/>
                <w:sz w:val="16"/>
                <w:szCs w:val="16"/>
              </w:rPr>
            </w:pPr>
            <w:r w:rsidRPr="009E75A4">
              <w:rPr>
                <w:rFonts w:ascii="Verdana" w:hAnsi="Verdana"/>
                <w:sz w:val="16"/>
                <w:szCs w:val="16"/>
              </w:rPr>
              <w:t>MRB</w:t>
            </w:r>
          </w:p>
          <w:p w:rsidRPr="009E75A4" w:rsidR="00A710AA" w:rsidP="00A710AA" w:rsidRDefault="00A710AA">
            <w:pPr>
              <w:numPr>
                <w:ilvl w:val="0"/>
                <w:numId w:val="42"/>
              </w:numPr>
              <w:spacing w:after="0"/>
              <w:rPr>
                <w:rFonts w:ascii="Verdana" w:hAnsi="Verdana"/>
                <w:sz w:val="16"/>
                <w:szCs w:val="16"/>
              </w:rPr>
            </w:pPr>
            <w:r w:rsidRPr="009E75A4">
              <w:rPr>
                <w:rFonts w:ascii="Verdana" w:hAnsi="Verdana"/>
                <w:sz w:val="16"/>
                <w:szCs w:val="16"/>
              </w:rPr>
              <w:t>De vrijstelling van de MRB voor zeer zuinige auto’s vervalt per 1 januari 2014 voor zowel nieuwe als bestaande personenauto’s. Hierdoor zal de MRB vanaf 2014 alleen nog op gewicht gebaseerd zijn.</w:t>
            </w:r>
          </w:p>
          <w:p w:rsidRPr="009E75A4" w:rsidR="00A710AA" w:rsidP="00A710AA" w:rsidRDefault="00A710AA">
            <w:pPr>
              <w:numPr>
                <w:ilvl w:val="0"/>
                <w:numId w:val="42"/>
              </w:numPr>
              <w:spacing w:after="0"/>
              <w:rPr>
                <w:rFonts w:ascii="Verdana" w:hAnsi="Verdana"/>
                <w:sz w:val="16"/>
                <w:szCs w:val="16"/>
              </w:rPr>
            </w:pPr>
            <w:r w:rsidRPr="009E75A4">
              <w:rPr>
                <w:rFonts w:ascii="Verdana" w:hAnsi="Verdana"/>
                <w:sz w:val="16"/>
                <w:szCs w:val="16"/>
              </w:rPr>
              <w:t>Tot 1 januari 2014 gelden de huidige- CO</w:t>
            </w:r>
            <w:r w:rsidRPr="009E75A4">
              <w:rPr>
                <w:rFonts w:ascii="Verdana" w:hAnsi="Verdana"/>
                <w:sz w:val="16"/>
                <w:szCs w:val="16"/>
                <w:vertAlign w:val="subscript"/>
              </w:rPr>
              <w:t>2</w:t>
            </w:r>
            <w:r w:rsidRPr="009E75A4">
              <w:rPr>
                <w:rFonts w:ascii="Verdana" w:hAnsi="Verdana"/>
                <w:sz w:val="16"/>
                <w:szCs w:val="16"/>
              </w:rPr>
              <w:t>-vrijstellingsgrenzen (benzine 110 gr/km, diesel 95 gr/km).</w:t>
            </w:r>
          </w:p>
          <w:p w:rsidRPr="009E75A4" w:rsidR="00D00320" w:rsidP="00A710AA" w:rsidRDefault="00D00320">
            <w:pPr>
              <w:numPr>
                <w:ilvl w:val="0"/>
                <w:numId w:val="42"/>
              </w:numPr>
              <w:spacing w:after="0"/>
              <w:rPr>
                <w:rFonts w:ascii="Verdana" w:hAnsi="Verdana"/>
                <w:sz w:val="16"/>
                <w:szCs w:val="16"/>
              </w:rPr>
            </w:pPr>
            <w:r w:rsidRPr="009E75A4">
              <w:rPr>
                <w:rFonts w:ascii="Verdana" w:hAnsi="Verdana"/>
                <w:sz w:val="16"/>
                <w:szCs w:val="16"/>
              </w:rPr>
              <w:t>Personenauto’s met een CO</w:t>
            </w:r>
            <w:r w:rsidRPr="009E75A4">
              <w:rPr>
                <w:rFonts w:ascii="Verdana" w:hAnsi="Verdana"/>
                <w:sz w:val="16"/>
                <w:szCs w:val="16"/>
                <w:vertAlign w:val="subscript"/>
              </w:rPr>
              <w:t>2</w:t>
            </w:r>
            <w:r w:rsidRPr="009E75A4">
              <w:rPr>
                <w:rFonts w:ascii="Verdana" w:hAnsi="Verdana"/>
                <w:sz w:val="16"/>
                <w:szCs w:val="16"/>
              </w:rPr>
              <w:t>-uitstoot van niet meer dan 50 gr/km zullen tot en met 2015 worden vrijgesteld.</w:t>
            </w:r>
          </w:p>
          <w:p w:rsidRPr="009E75A4" w:rsidR="00A710AA" w:rsidP="00A710AA" w:rsidRDefault="00A710AA">
            <w:pPr>
              <w:spacing w:after="0"/>
              <w:rPr>
                <w:rFonts w:ascii="Verdana" w:hAnsi="Verdana"/>
                <w:sz w:val="16"/>
                <w:szCs w:val="16"/>
              </w:rPr>
            </w:pPr>
          </w:p>
          <w:p w:rsidRPr="009E75A4" w:rsidR="00A710AA" w:rsidP="00A710AA" w:rsidRDefault="00A710AA">
            <w:pPr>
              <w:spacing w:after="0"/>
              <w:rPr>
                <w:rFonts w:ascii="Verdana" w:hAnsi="Verdana"/>
                <w:sz w:val="16"/>
                <w:szCs w:val="16"/>
              </w:rPr>
            </w:pPr>
            <w:r w:rsidRPr="009E75A4">
              <w:rPr>
                <w:rFonts w:ascii="Verdana" w:hAnsi="Verdana"/>
                <w:sz w:val="16"/>
                <w:szCs w:val="16"/>
              </w:rPr>
              <w:t>Bijtelling</w:t>
            </w:r>
          </w:p>
          <w:p w:rsidRPr="009E75A4" w:rsidR="00A710AA" w:rsidP="00A710AA" w:rsidRDefault="00A710AA">
            <w:pPr>
              <w:numPr>
                <w:ilvl w:val="0"/>
                <w:numId w:val="42"/>
              </w:numPr>
              <w:spacing w:after="0"/>
              <w:rPr>
                <w:rFonts w:ascii="Verdana" w:hAnsi="Verdana"/>
                <w:sz w:val="16"/>
                <w:szCs w:val="16"/>
              </w:rPr>
            </w:pPr>
            <w:r w:rsidRPr="009E75A4">
              <w:rPr>
                <w:rFonts w:ascii="Verdana" w:hAnsi="Verdana"/>
                <w:sz w:val="16"/>
                <w:szCs w:val="16"/>
              </w:rPr>
              <w:t xml:space="preserve">Tot 1 juli 2012 </w:t>
            </w:r>
            <w:r w:rsidRPr="009E75A4" w:rsidR="00D00320">
              <w:rPr>
                <w:rFonts w:ascii="Verdana" w:hAnsi="Verdana"/>
                <w:sz w:val="16"/>
                <w:szCs w:val="16"/>
              </w:rPr>
              <w:t xml:space="preserve">blijven </w:t>
            </w:r>
            <w:r w:rsidRPr="009E75A4">
              <w:rPr>
                <w:rFonts w:ascii="Verdana" w:hAnsi="Verdana"/>
                <w:sz w:val="16"/>
                <w:szCs w:val="16"/>
              </w:rPr>
              <w:t>de huidige grenzen voor het 14%-tarief en het 20%-tarief van toepassing.</w:t>
            </w:r>
          </w:p>
          <w:p w:rsidRPr="009E75A4" w:rsidR="00A710AA" w:rsidP="00A710AA" w:rsidRDefault="00A710AA">
            <w:pPr>
              <w:numPr>
                <w:ilvl w:val="0"/>
                <w:numId w:val="42"/>
              </w:numPr>
              <w:spacing w:after="0"/>
              <w:rPr>
                <w:rFonts w:ascii="Verdana" w:hAnsi="Verdana"/>
                <w:sz w:val="16"/>
                <w:szCs w:val="16"/>
              </w:rPr>
            </w:pPr>
            <w:r w:rsidRPr="009E75A4">
              <w:rPr>
                <w:rFonts w:ascii="Verdana" w:hAnsi="Verdana"/>
                <w:sz w:val="16"/>
                <w:szCs w:val="16"/>
              </w:rPr>
              <w:t>De</w:t>
            </w:r>
            <w:r w:rsidRPr="009E75A4" w:rsidR="00D00320">
              <w:rPr>
                <w:rFonts w:ascii="Verdana" w:hAnsi="Verdana"/>
                <w:sz w:val="16"/>
                <w:szCs w:val="16"/>
              </w:rPr>
              <w:t>ze</w:t>
            </w:r>
            <w:r w:rsidRPr="009E75A4">
              <w:rPr>
                <w:rFonts w:ascii="Verdana" w:hAnsi="Verdana"/>
                <w:sz w:val="16"/>
                <w:szCs w:val="16"/>
              </w:rPr>
              <w:t xml:space="preserve"> grenzen worden </w:t>
            </w:r>
            <w:r w:rsidR="00242F9D">
              <w:rPr>
                <w:rFonts w:ascii="Verdana" w:hAnsi="Verdana"/>
                <w:sz w:val="16"/>
                <w:szCs w:val="16"/>
              </w:rPr>
              <w:t xml:space="preserve">jaarlijks per 1 januari </w:t>
            </w:r>
            <w:r w:rsidRPr="009E75A4">
              <w:rPr>
                <w:rFonts w:ascii="Verdana" w:hAnsi="Verdana"/>
                <w:sz w:val="16"/>
                <w:szCs w:val="16"/>
              </w:rPr>
              <w:t>voor het 14%-tarief en het 20%-tarief naar beneden aangepast</w:t>
            </w:r>
            <w:r w:rsidR="00242F9D">
              <w:rPr>
                <w:rFonts w:ascii="Verdana" w:hAnsi="Verdana"/>
                <w:sz w:val="16"/>
                <w:szCs w:val="16"/>
              </w:rPr>
              <w:t xml:space="preserve"> (te starten op juli 2012)</w:t>
            </w:r>
            <w:r w:rsidRPr="009E75A4">
              <w:rPr>
                <w:rFonts w:ascii="Verdana" w:hAnsi="Verdana"/>
                <w:sz w:val="16"/>
                <w:szCs w:val="16"/>
              </w:rPr>
              <w:t>.</w:t>
            </w:r>
            <w:r w:rsidRPr="009E75A4" w:rsidR="00D72E3F">
              <w:rPr>
                <w:rFonts w:ascii="Verdana" w:hAnsi="Verdana"/>
                <w:sz w:val="16"/>
                <w:szCs w:val="16"/>
              </w:rPr>
              <w:t xml:space="preserve"> Dit wordt in het </w:t>
            </w:r>
            <w:r w:rsidR="001A78DD">
              <w:rPr>
                <w:rFonts w:ascii="Verdana" w:hAnsi="Verdana"/>
                <w:sz w:val="16"/>
                <w:szCs w:val="16"/>
              </w:rPr>
              <w:t>B</w:t>
            </w:r>
            <w:r w:rsidRPr="009E75A4" w:rsidR="00D72E3F">
              <w:rPr>
                <w:rFonts w:ascii="Verdana" w:hAnsi="Verdana"/>
                <w:sz w:val="16"/>
                <w:szCs w:val="16"/>
              </w:rPr>
              <w:t>elastingplan 2012 voor de jaren tot en met 2015 vastgelegd.</w:t>
            </w:r>
          </w:p>
          <w:p w:rsidRPr="009E75A4" w:rsidR="00A710AA" w:rsidP="00A710AA" w:rsidRDefault="00A710AA">
            <w:pPr>
              <w:numPr>
                <w:ilvl w:val="0"/>
                <w:numId w:val="42"/>
              </w:numPr>
              <w:spacing w:after="0"/>
              <w:rPr>
                <w:rFonts w:ascii="Verdana" w:hAnsi="Verdana"/>
                <w:sz w:val="16"/>
                <w:szCs w:val="16"/>
              </w:rPr>
            </w:pPr>
            <w:r w:rsidRPr="009E75A4">
              <w:rPr>
                <w:rFonts w:ascii="Verdana" w:hAnsi="Verdana"/>
                <w:sz w:val="16"/>
                <w:szCs w:val="16"/>
              </w:rPr>
              <w:t>De benzine- en dieselgrenzen groeien langzaam naar elkaar toe tot gelijke waarden in 2015.</w:t>
            </w:r>
          </w:p>
          <w:p w:rsidRPr="009E75A4" w:rsidR="00A710AA" w:rsidP="00A710AA" w:rsidRDefault="00A710AA">
            <w:pPr>
              <w:numPr>
                <w:ilvl w:val="0"/>
                <w:numId w:val="42"/>
              </w:numPr>
              <w:spacing w:after="0"/>
              <w:rPr>
                <w:rFonts w:ascii="Verdana" w:hAnsi="Verdana"/>
                <w:sz w:val="16"/>
                <w:szCs w:val="16"/>
              </w:rPr>
            </w:pPr>
            <w:r w:rsidRPr="009E75A4">
              <w:rPr>
                <w:rFonts w:ascii="Verdana" w:hAnsi="Verdana"/>
                <w:sz w:val="16"/>
                <w:szCs w:val="16"/>
              </w:rPr>
              <w:t xml:space="preserve">De grens voor het 14%-tarief blijft overeenkomen met de vrijstellingsgrens in de BPM. Het 20%-tarief is uiteindelijk in 2015 van toepassing op alle auto’s </w:t>
            </w:r>
            <w:r w:rsidRPr="009E75A4" w:rsidR="00D72E3F">
              <w:rPr>
                <w:rFonts w:ascii="Verdana" w:hAnsi="Verdana"/>
                <w:sz w:val="16"/>
                <w:szCs w:val="16"/>
              </w:rPr>
              <w:t>met een CO</w:t>
            </w:r>
            <w:r w:rsidRPr="009E75A4" w:rsidR="00D72E3F">
              <w:rPr>
                <w:rFonts w:ascii="Verdana" w:hAnsi="Verdana"/>
                <w:sz w:val="16"/>
                <w:szCs w:val="16"/>
                <w:vertAlign w:val="subscript"/>
              </w:rPr>
              <w:t>2</w:t>
            </w:r>
            <w:r w:rsidRPr="009E75A4" w:rsidR="00D72E3F">
              <w:rPr>
                <w:rFonts w:ascii="Verdana" w:hAnsi="Verdana"/>
                <w:sz w:val="16"/>
                <w:szCs w:val="16"/>
              </w:rPr>
              <w:t>-uitstoot van maximaal 110 gr/km.</w:t>
            </w:r>
          </w:p>
          <w:p w:rsidRPr="009E75A4" w:rsidR="00D72E3F" w:rsidP="00A710AA" w:rsidRDefault="00D72E3F">
            <w:pPr>
              <w:numPr>
                <w:ilvl w:val="0"/>
                <w:numId w:val="42"/>
              </w:numPr>
              <w:spacing w:after="0"/>
              <w:rPr>
                <w:rFonts w:ascii="Verdana" w:hAnsi="Verdana"/>
                <w:sz w:val="16"/>
                <w:szCs w:val="16"/>
              </w:rPr>
            </w:pPr>
            <w:r w:rsidRPr="009E75A4">
              <w:rPr>
                <w:rFonts w:ascii="Verdana" w:hAnsi="Verdana"/>
                <w:sz w:val="16"/>
                <w:szCs w:val="16"/>
              </w:rPr>
              <w:t>Voor personenauto’s met een CO</w:t>
            </w:r>
            <w:r w:rsidRPr="009E75A4">
              <w:rPr>
                <w:rFonts w:ascii="Verdana" w:hAnsi="Verdana"/>
                <w:sz w:val="16"/>
                <w:szCs w:val="16"/>
                <w:vertAlign w:val="subscript"/>
              </w:rPr>
              <w:t>2</w:t>
            </w:r>
            <w:r w:rsidRPr="009E75A4">
              <w:rPr>
                <w:rFonts w:ascii="Verdana" w:hAnsi="Verdana"/>
                <w:sz w:val="16"/>
                <w:szCs w:val="16"/>
              </w:rPr>
              <w:t>-uitstoot van niet meer dan 50 gr/km geldt</w:t>
            </w:r>
            <w:r w:rsidR="002A334D">
              <w:rPr>
                <w:rFonts w:ascii="Verdana" w:hAnsi="Verdana"/>
                <w:sz w:val="16"/>
                <w:szCs w:val="16"/>
              </w:rPr>
              <w:t xml:space="preserve"> vanaf 1 januari 2012 </w:t>
            </w:r>
            <w:r w:rsidRPr="009E75A4">
              <w:rPr>
                <w:rFonts w:ascii="Verdana" w:hAnsi="Verdana"/>
                <w:sz w:val="16"/>
                <w:szCs w:val="16"/>
              </w:rPr>
              <w:t xml:space="preserve"> tot en met 2015 een nihiltarief voor de bijtelling.</w:t>
            </w:r>
          </w:p>
          <w:p w:rsidRPr="00A710AA" w:rsidR="00A710AA" w:rsidP="00091745" w:rsidRDefault="00A710AA">
            <w:pPr>
              <w:numPr>
                <w:ilvl w:val="0"/>
                <w:numId w:val="42"/>
              </w:numPr>
              <w:spacing w:after="0"/>
              <w:rPr>
                <w:rFonts w:ascii="Verdana" w:hAnsi="Verdana"/>
                <w:sz w:val="16"/>
                <w:szCs w:val="16"/>
              </w:rPr>
            </w:pPr>
            <w:r w:rsidRPr="009E75A4">
              <w:rPr>
                <w:rFonts w:ascii="Verdana" w:hAnsi="Verdana"/>
                <w:sz w:val="16"/>
                <w:szCs w:val="16"/>
              </w:rPr>
              <w:t>Auto’s houden het tarief voor een periode die gelijk is aan de gebruikelijk</w:t>
            </w:r>
            <w:r w:rsidR="001A78DD">
              <w:rPr>
                <w:rFonts w:ascii="Verdana" w:hAnsi="Verdana"/>
                <w:sz w:val="16"/>
                <w:szCs w:val="16"/>
              </w:rPr>
              <w:t>e</w:t>
            </w:r>
            <w:r w:rsidRPr="009E75A4">
              <w:rPr>
                <w:rFonts w:ascii="Verdana" w:hAnsi="Verdana"/>
                <w:sz w:val="16"/>
                <w:szCs w:val="16"/>
              </w:rPr>
              <w:t xml:space="preserve"> leaseperiode, rekenend vanaf het moment dat de auto voor het eerst op kenteken is gesteld.</w:t>
            </w:r>
          </w:p>
        </w:tc>
      </w:tr>
    </w:tbl>
    <w:p w:rsidR="00A710AA" w:rsidP="00A710AA" w:rsidRDefault="00A710AA">
      <w:pPr>
        <w:spacing w:after="0"/>
        <w:rPr>
          <w:sz w:val="18"/>
          <w:szCs w:val="18"/>
        </w:rPr>
      </w:pPr>
    </w:p>
    <w:p w:rsidR="008D1BFF" w:rsidP="00A710AA" w:rsidRDefault="008D1BFF">
      <w:pPr>
        <w:spacing w:after="0" w:line="240" w:lineRule="atLeast"/>
        <w:rPr>
          <w:sz w:val="18"/>
          <w:szCs w:val="18"/>
        </w:rPr>
      </w:pPr>
      <w:r>
        <w:rPr>
          <w:sz w:val="18"/>
          <w:szCs w:val="18"/>
        </w:rPr>
        <w:t xml:space="preserve">Ik zal in paragrafen 3.6.2 tot en met 3.6.4 </w:t>
      </w:r>
      <w:r w:rsidR="00D72E3F">
        <w:rPr>
          <w:sz w:val="18"/>
          <w:szCs w:val="18"/>
        </w:rPr>
        <w:t>het vorenstaande nader toelichten.</w:t>
      </w:r>
      <w:r>
        <w:rPr>
          <w:sz w:val="18"/>
          <w:szCs w:val="18"/>
        </w:rPr>
        <w:t xml:space="preserve"> </w:t>
      </w:r>
    </w:p>
    <w:p w:rsidR="008D1BFF" w:rsidP="008D1BFF" w:rsidRDefault="008D1BFF">
      <w:pPr>
        <w:pStyle w:val="Lijstalinea"/>
        <w:rPr>
          <w:sz w:val="18"/>
          <w:szCs w:val="18"/>
        </w:rPr>
      </w:pPr>
    </w:p>
    <w:p w:rsidRPr="00E718A0" w:rsidR="002A30DC" w:rsidP="00E718A0" w:rsidRDefault="00EF792D">
      <w:pPr>
        <w:pStyle w:val="Kop3"/>
        <w:rPr>
          <w:rFonts w:ascii="Verdana" w:hAnsi="Verdana"/>
          <w:b w:val="0"/>
          <w:i/>
          <w:color w:val="auto"/>
          <w:sz w:val="18"/>
          <w:szCs w:val="18"/>
        </w:rPr>
      </w:pPr>
      <w:bookmarkStart w:name="_Toc293998535" w:id="23"/>
      <w:r w:rsidRPr="00E718A0">
        <w:rPr>
          <w:rFonts w:ascii="Verdana" w:hAnsi="Verdana"/>
          <w:b w:val="0"/>
          <w:i/>
          <w:color w:val="auto"/>
          <w:sz w:val="18"/>
          <w:szCs w:val="18"/>
        </w:rPr>
        <w:t xml:space="preserve">3.6.2 </w:t>
      </w:r>
      <w:r w:rsidRPr="00E718A0" w:rsidR="00267EDF">
        <w:rPr>
          <w:rFonts w:ascii="Verdana" w:hAnsi="Verdana"/>
          <w:b w:val="0"/>
          <w:i/>
          <w:color w:val="auto"/>
          <w:sz w:val="18"/>
          <w:szCs w:val="18"/>
        </w:rPr>
        <w:t xml:space="preserve">Voorstellen ten aanzien van de </w:t>
      </w:r>
      <w:r w:rsidRPr="00E718A0" w:rsidR="008D1BFF">
        <w:rPr>
          <w:rFonts w:ascii="Verdana" w:hAnsi="Verdana"/>
          <w:b w:val="0"/>
          <w:i/>
          <w:color w:val="auto"/>
          <w:sz w:val="18"/>
          <w:szCs w:val="18"/>
        </w:rPr>
        <w:t>BPM</w:t>
      </w:r>
      <w:bookmarkEnd w:id="23"/>
    </w:p>
    <w:p w:rsidR="002A30DC" w:rsidRDefault="008D1BFF">
      <w:pPr>
        <w:spacing w:after="0"/>
        <w:rPr>
          <w:i/>
          <w:sz w:val="18"/>
          <w:szCs w:val="18"/>
        </w:rPr>
      </w:pPr>
      <w:r>
        <w:rPr>
          <w:i/>
          <w:sz w:val="18"/>
          <w:szCs w:val="18"/>
        </w:rPr>
        <w:t>Ingangsdatum</w:t>
      </w:r>
    </w:p>
    <w:p w:rsidR="002A30DC" w:rsidRDefault="008D1BFF">
      <w:pPr>
        <w:spacing w:after="0"/>
        <w:rPr>
          <w:sz w:val="18"/>
          <w:szCs w:val="18"/>
        </w:rPr>
      </w:pPr>
      <w:r>
        <w:rPr>
          <w:sz w:val="18"/>
          <w:szCs w:val="18"/>
        </w:rPr>
        <w:t xml:space="preserve">Het door </w:t>
      </w:r>
      <w:r w:rsidRPr="0070443B">
        <w:rPr>
          <w:sz w:val="18"/>
          <w:szCs w:val="18"/>
        </w:rPr>
        <w:t xml:space="preserve">Ecorys </w:t>
      </w:r>
      <w:r>
        <w:rPr>
          <w:sz w:val="18"/>
          <w:szCs w:val="18"/>
        </w:rPr>
        <w:t xml:space="preserve">voorgestelde scenario gaat uit van invoering per 1 januari 2012. Om zowel de autobranche als de Belastingdienst voldoende voorbereidingstijd te geven, wil ik </w:t>
      </w:r>
      <w:r w:rsidR="00D72E3F">
        <w:rPr>
          <w:sz w:val="18"/>
          <w:szCs w:val="18"/>
        </w:rPr>
        <w:t xml:space="preserve">de </w:t>
      </w:r>
      <w:r>
        <w:rPr>
          <w:sz w:val="18"/>
          <w:szCs w:val="18"/>
        </w:rPr>
        <w:t>wijzigingen pas per 1 juli 2012 doorvoeren. Dit betekent dat in de eerste helft van 2012 de tariefstructuur</w:t>
      </w:r>
      <w:r w:rsidR="00D72E3F">
        <w:rPr>
          <w:sz w:val="18"/>
          <w:szCs w:val="18"/>
        </w:rPr>
        <w:t xml:space="preserve">, zoals beschreven in Belastingplan 2011 </w:t>
      </w:r>
      <w:r>
        <w:rPr>
          <w:sz w:val="18"/>
          <w:szCs w:val="18"/>
        </w:rPr>
        <w:t xml:space="preserve">van toepassing is. In de tweede helft van 2012 geldt dan de </w:t>
      </w:r>
      <w:r w:rsidR="00D72E3F">
        <w:rPr>
          <w:sz w:val="18"/>
          <w:szCs w:val="18"/>
        </w:rPr>
        <w:t xml:space="preserve">in het Belastingplan 2012 op te nemen </w:t>
      </w:r>
      <w:r>
        <w:rPr>
          <w:sz w:val="18"/>
          <w:szCs w:val="18"/>
        </w:rPr>
        <w:t>tariefstructuur 2012</w:t>
      </w:r>
      <w:r w:rsidR="00D72E3F">
        <w:rPr>
          <w:sz w:val="18"/>
          <w:szCs w:val="18"/>
        </w:rPr>
        <w:t>, gebaseerd op het voorstel van Ecorys</w:t>
      </w:r>
      <w:r>
        <w:rPr>
          <w:sz w:val="18"/>
          <w:szCs w:val="18"/>
        </w:rPr>
        <w:t xml:space="preserve">. </w:t>
      </w:r>
    </w:p>
    <w:p w:rsidR="002A30DC" w:rsidRDefault="002A30DC">
      <w:pPr>
        <w:spacing w:after="0"/>
        <w:rPr>
          <w:i/>
          <w:sz w:val="18"/>
          <w:szCs w:val="18"/>
        </w:rPr>
      </w:pPr>
    </w:p>
    <w:p w:rsidR="002A30DC" w:rsidRDefault="008D1BFF">
      <w:pPr>
        <w:spacing w:after="0"/>
        <w:rPr>
          <w:i/>
          <w:sz w:val="18"/>
          <w:szCs w:val="18"/>
        </w:rPr>
      </w:pPr>
      <w:r w:rsidRPr="0070443B">
        <w:rPr>
          <w:i/>
          <w:sz w:val="18"/>
          <w:szCs w:val="18"/>
        </w:rPr>
        <w:t>Robuuste opbrengst BPM</w:t>
      </w:r>
    </w:p>
    <w:p w:rsidR="002A30DC" w:rsidRDefault="008D1BFF">
      <w:pPr>
        <w:spacing w:after="0"/>
        <w:rPr>
          <w:sz w:val="18"/>
          <w:szCs w:val="18"/>
        </w:rPr>
      </w:pPr>
      <w:r w:rsidRPr="0070443B">
        <w:rPr>
          <w:sz w:val="18"/>
          <w:szCs w:val="18"/>
        </w:rPr>
        <w:t xml:space="preserve">Ecorys heeft </w:t>
      </w:r>
      <w:r>
        <w:rPr>
          <w:sz w:val="18"/>
          <w:szCs w:val="18"/>
        </w:rPr>
        <w:t xml:space="preserve">in het scenario </w:t>
      </w:r>
      <w:r w:rsidRPr="0070443B">
        <w:rPr>
          <w:sz w:val="18"/>
          <w:szCs w:val="18"/>
        </w:rPr>
        <w:t xml:space="preserve">een tariefstructuur uitgewerkt waarin </w:t>
      </w:r>
      <w:r>
        <w:rPr>
          <w:sz w:val="18"/>
          <w:szCs w:val="18"/>
        </w:rPr>
        <w:t xml:space="preserve">naar verwachting </w:t>
      </w:r>
      <w:r w:rsidRPr="0070443B">
        <w:rPr>
          <w:sz w:val="18"/>
          <w:szCs w:val="18"/>
        </w:rPr>
        <w:t>tot en met 2015 jaarlijks een opbrengst van € 1,9 mld zal worden gerealiseerd.</w:t>
      </w:r>
      <w:r>
        <w:rPr>
          <w:sz w:val="18"/>
          <w:szCs w:val="18"/>
        </w:rPr>
        <w:t xml:space="preserve"> Ecorys is daarbij uitgegaan van de</w:t>
      </w:r>
      <w:r w:rsidRPr="0070443B">
        <w:rPr>
          <w:sz w:val="18"/>
          <w:szCs w:val="18"/>
        </w:rPr>
        <w:t xml:space="preserve"> </w:t>
      </w:r>
      <w:r>
        <w:rPr>
          <w:sz w:val="18"/>
          <w:szCs w:val="18"/>
        </w:rPr>
        <w:t>raming in de</w:t>
      </w:r>
      <w:r w:rsidRPr="0070443B">
        <w:rPr>
          <w:sz w:val="18"/>
          <w:szCs w:val="18"/>
        </w:rPr>
        <w:t xml:space="preserve"> </w:t>
      </w:r>
      <w:r w:rsidR="000420B5">
        <w:rPr>
          <w:sz w:val="18"/>
          <w:szCs w:val="18"/>
        </w:rPr>
        <w:t>M</w:t>
      </w:r>
      <w:r w:rsidRPr="0070443B">
        <w:rPr>
          <w:sz w:val="18"/>
          <w:szCs w:val="18"/>
        </w:rPr>
        <w:t xml:space="preserve">iljoenennota </w:t>
      </w:r>
      <w:r>
        <w:rPr>
          <w:sz w:val="18"/>
          <w:szCs w:val="18"/>
        </w:rPr>
        <w:t>2011 waarin</w:t>
      </w:r>
      <w:r w:rsidRPr="0070443B">
        <w:rPr>
          <w:sz w:val="18"/>
          <w:szCs w:val="18"/>
        </w:rPr>
        <w:t xml:space="preserve"> voor </w:t>
      </w:r>
      <w:r>
        <w:rPr>
          <w:sz w:val="18"/>
          <w:szCs w:val="18"/>
        </w:rPr>
        <w:t xml:space="preserve">het kalenderjaar </w:t>
      </w:r>
      <w:r w:rsidRPr="0070443B">
        <w:rPr>
          <w:sz w:val="18"/>
          <w:szCs w:val="18"/>
        </w:rPr>
        <w:t>2011 een opbrengst van €</w:t>
      </w:r>
      <w:r>
        <w:rPr>
          <w:sz w:val="18"/>
          <w:szCs w:val="18"/>
        </w:rPr>
        <w:t> </w:t>
      </w:r>
      <w:r w:rsidRPr="0070443B">
        <w:rPr>
          <w:sz w:val="18"/>
          <w:szCs w:val="18"/>
        </w:rPr>
        <w:t xml:space="preserve">1,9 mld </w:t>
      </w:r>
      <w:r>
        <w:rPr>
          <w:sz w:val="18"/>
          <w:szCs w:val="18"/>
        </w:rPr>
        <w:t>is voorzien</w:t>
      </w:r>
      <w:r w:rsidRPr="0070443B">
        <w:rPr>
          <w:sz w:val="18"/>
          <w:szCs w:val="18"/>
        </w:rPr>
        <w:t>.</w:t>
      </w:r>
      <w:r>
        <w:rPr>
          <w:sz w:val="18"/>
          <w:szCs w:val="18"/>
        </w:rPr>
        <w:t xml:space="preserve"> Ik zal </w:t>
      </w:r>
      <w:r w:rsidR="00D72E3F">
        <w:rPr>
          <w:sz w:val="18"/>
          <w:szCs w:val="18"/>
        </w:rPr>
        <w:t xml:space="preserve">in </w:t>
      </w:r>
      <w:r>
        <w:rPr>
          <w:sz w:val="18"/>
          <w:szCs w:val="18"/>
        </w:rPr>
        <w:t>het Belastingplan 2012 uitgaan van de meest recente raming</w:t>
      </w:r>
      <w:r w:rsidR="006609DF">
        <w:rPr>
          <w:sz w:val="18"/>
          <w:szCs w:val="18"/>
        </w:rPr>
        <w:t xml:space="preserve"> voor 2011</w:t>
      </w:r>
      <w:r w:rsidR="00D72E3F">
        <w:rPr>
          <w:sz w:val="18"/>
          <w:szCs w:val="18"/>
        </w:rPr>
        <w:t>, te weten die welke zal worden opgenomen in de Miljoenennota 2012</w:t>
      </w:r>
      <w:r>
        <w:rPr>
          <w:sz w:val="18"/>
          <w:szCs w:val="18"/>
        </w:rPr>
        <w:t xml:space="preserve">. </w:t>
      </w:r>
      <w:r w:rsidRPr="0070443B">
        <w:rPr>
          <w:sz w:val="18"/>
          <w:szCs w:val="18"/>
        </w:rPr>
        <w:t>De door Ecorys voorgestelde tariefstructuur wordt hierop aangepast.</w:t>
      </w:r>
      <w:r>
        <w:rPr>
          <w:sz w:val="18"/>
          <w:szCs w:val="18"/>
        </w:rPr>
        <w:t xml:space="preserve"> Door uit te gaan van de opbrengst in 2011</w:t>
      </w:r>
      <w:r w:rsidRPr="003E3C0F">
        <w:rPr>
          <w:sz w:val="18"/>
          <w:szCs w:val="18"/>
        </w:rPr>
        <w:t xml:space="preserve"> wordt recht gedaan aan de in het verleden gedane toezegging dat gedragseffecten niet achteraf zullen worden gecorrigeerd. </w:t>
      </w:r>
    </w:p>
    <w:p w:rsidR="002A30DC" w:rsidRDefault="002A30DC">
      <w:pPr>
        <w:spacing w:after="0"/>
        <w:rPr>
          <w:i/>
          <w:sz w:val="18"/>
          <w:szCs w:val="18"/>
        </w:rPr>
      </w:pPr>
    </w:p>
    <w:p w:rsidR="002A30DC" w:rsidRDefault="008D1BFF">
      <w:pPr>
        <w:spacing w:after="0"/>
        <w:rPr>
          <w:i/>
          <w:sz w:val="18"/>
          <w:szCs w:val="18"/>
        </w:rPr>
      </w:pPr>
      <w:r>
        <w:rPr>
          <w:i/>
          <w:sz w:val="18"/>
          <w:szCs w:val="18"/>
        </w:rPr>
        <w:t xml:space="preserve">Tariefstructuur </w:t>
      </w:r>
    </w:p>
    <w:p w:rsidR="002A30DC" w:rsidRDefault="008D1BFF">
      <w:pPr>
        <w:spacing w:after="0"/>
        <w:rPr>
          <w:sz w:val="18"/>
          <w:szCs w:val="18"/>
        </w:rPr>
      </w:pPr>
      <w:r w:rsidRPr="008835BF">
        <w:rPr>
          <w:sz w:val="18"/>
          <w:szCs w:val="18"/>
        </w:rPr>
        <w:t>De tariefstructuur zoals voorgesteld door Ecorys kent – net als de huidige tariefstructuur – drie schijven. De eerste schijf vangt in de eindsituatie (2015) aan bij een CO</w:t>
      </w:r>
      <w:r w:rsidRPr="00B21729">
        <w:rPr>
          <w:sz w:val="18"/>
          <w:szCs w:val="18"/>
          <w:vertAlign w:val="subscript"/>
        </w:rPr>
        <w:t>2</w:t>
      </w:r>
      <w:r w:rsidRPr="008835BF">
        <w:rPr>
          <w:sz w:val="18"/>
          <w:szCs w:val="18"/>
        </w:rPr>
        <w:t>-uitstoot van 83 gr/km. Auto’s met een lagere CO</w:t>
      </w:r>
      <w:r w:rsidRPr="00B21729">
        <w:rPr>
          <w:sz w:val="18"/>
          <w:szCs w:val="18"/>
          <w:vertAlign w:val="subscript"/>
        </w:rPr>
        <w:t>2</w:t>
      </w:r>
      <w:r w:rsidRPr="008835BF">
        <w:rPr>
          <w:sz w:val="18"/>
          <w:szCs w:val="18"/>
        </w:rPr>
        <w:t xml:space="preserve">-uitstoot zijn vrijgesteld van </w:t>
      </w:r>
      <w:r w:rsidR="00DF04C1">
        <w:rPr>
          <w:sz w:val="18"/>
          <w:szCs w:val="18"/>
        </w:rPr>
        <w:t>BPM (met uitzondering van een eventueel verschuldigde dieseltoeslag)</w:t>
      </w:r>
      <w:r w:rsidRPr="008835BF">
        <w:rPr>
          <w:sz w:val="18"/>
          <w:szCs w:val="18"/>
        </w:rPr>
        <w:t xml:space="preserve">. Dit is een forse aanscherping ten opzichte van de huidige vrijstellingsgrens </w:t>
      </w:r>
      <w:r w:rsidR="00DF04C1">
        <w:rPr>
          <w:sz w:val="18"/>
          <w:szCs w:val="18"/>
        </w:rPr>
        <w:t xml:space="preserve">op grond </w:t>
      </w:r>
      <w:r w:rsidRPr="008835BF">
        <w:rPr>
          <w:sz w:val="18"/>
          <w:szCs w:val="18"/>
        </w:rPr>
        <w:t>waar</w:t>
      </w:r>
      <w:r w:rsidR="00DF04C1">
        <w:rPr>
          <w:sz w:val="18"/>
          <w:szCs w:val="18"/>
        </w:rPr>
        <w:t>van</w:t>
      </w:r>
      <w:r w:rsidRPr="008835BF">
        <w:rPr>
          <w:sz w:val="18"/>
          <w:szCs w:val="18"/>
        </w:rPr>
        <w:t xml:space="preserve"> benzineauto’s zijn vrijgesteld bij een maximale uitstoot van 110 gr/km en dieselauto’s bij een maximale uitstoot van 95 gr/km. Ecorys heeft berekend dat het </w:t>
      </w:r>
      <w:r>
        <w:rPr>
          <w:sz w:val="18"/>
          <w:szCs w:val="18"/>
        </w:rPr>
        <w:t>percentage</w:t>
      </w:r>
      <w:r w:rsidRPr="008835BF">
        <w:rPr>
          <w:sz w:val="18"/>
          <w:szCs w:val="18"/>
        </w:rPr>
        <w:t xml:space="preserve"> auto’s dat in 2015 </w:t>
      </w:r>
      <w:r>
        <w:rPr>
          <w:sz w:val="18"/>
          <w:szCs w:val="18"/>
        </w:rPr>
        <w:t>is</w:t>
      </w:r>
      <w:r w:rsidRPr="008835BF">
        <w:rPr>
          <w:sz w:val="18"/>
          <w:szCs w:val="18"/>
        </w:rPr>
        <w:t xml:space="preserve"> vrijgesteld van </w:t>
      </w:r>
      <w:r w:rsidR="00DF04C1">
        <w:rPr>
          <w:sz w:val="18"/>
          <w:szCs w:val="18"/>
        </w:rPr>
        <w:t xml:space="preserve">BPM </w:t>
      </w:r>
      <w:r w:rsidRPr="008835BF">
        <w:rPr>
          <w:sz w:val="18"/>
          <w:szCs w:val="18"/>
        </w:rPr>
        <w:t>zal zijn teruggebracht van 33% nu</w:t>
      </w:r>
      <w:r w:rsidR="003929A4">
        <w:rPr>
          <w:sz w:val="18"/>
          <w:szCs w:val="18"/>
        </w:rPr>
        <w:t>,</w:t>
      </w:r>
      <w:r w:rsidRPr="008835BF">
        <w:rPr>
          <w:sz w:val="18"/>
          <w:szCs w:val="18"/>
        </w:rPr>
        <w:t xml:space="preserve"> naar zo’n 1</w:t>
      </w:r>
      <w:r>
        <w:rPr>
          <w:sz w:val="18"/>
          <w:szCs w:val="18"/>
        </w:rPr>
        <w:t>2</w:t>
      </w:r>
      <w:r w:rsidRPr="008835BF">
        <w:rPr>
          <w:sz w:val="18"/>
          <w:szCs w:val="18"/>
        </w:rPr>
        <w:t>% dan.</w:t>
      </w:r>
      <w:r>
        <w:rPr>
          <w:sz w:val="18"/>
          <w:szCs w:val="18"/>
        </w:rPr>
        <w:t xml:space="preserve"> </w:t>
      </w:r>
      <w:r w:rsidRPr="008835BF">
        <w:rPr>
          <w:sz w:val="18"/>
          <w:szCs w:val="18"/>
        </w:rPr>
        <w:t>Ik acht een dergelijk</w:t>
      </w:r>
      <w:r>
        <w:rPr>
          <w:sz w:val="18"/>
          <w:szCs w:val="18"/>
        </w:rPr>
        <w:t>e aanscherping gewenst</w:t>
      </w:r>
      <w:r w:rsidRPr="008835BF">
        <w:rPr>
          <w:sz w:val="18"/>
          <w:szCs w:val="18"/>
        </w:rPr>
        <w:t>. Naar mijn mening wordt met een dergelijk percentage recht gedaan aan de wens om steeds de meest zuinige auto’s te stimuleren en daardoor mensen te verleiden tot de aanschaf van de meest zuinige auto.</w:t>
      </w:r>
      <w:r w:rsidR="00DF04C1">
        <w:rPr>
          <w:sz w:val="18"/>
          <w:szCs w:val="18"/>
        </w:rPr>
        <w:t xml:space="preserve"> </w:t>
      </w:r>
      <w:r w:rsidRPr="008835BF">
        <w:rPr>
          <w:sz w:val="18"/>
          <w:szCs w:val="18"/>
        </w:rPr>
        <w:t xml:space="preserve">Het is moeilijk om op basis van het huidige aanbod van auto’s aan te geven welke auto’s straks nog onder de </w:t>
      </w:r>
      <w:r w:rsidR="00DF04C1">
        <w:rPr>
          <w:sz w:val="18"/>
          <w:szCs w:val="18"/>
        </w:rPr>
        <w:t>BPM-</w:t>
      </w:r>
      <w:r w:rsidDel="00DF04C1" w:rsidR="00DF04C1">
        <w:rPr>
          <w:sz w:val="18"/>
          <w:szCs w:val="18"/>
        </w:rPr>
        <w:t xml:space="preserve"> </w:t>
      </w:r>
      <w:r w:rsidRPr="008835BF">
        <w:rPr>
          <w:sz w:val="18"/>
          <w:szCs w:val="18"/>
        </w:rPr>
        <w:t xml:space="preserve">vrijstelling zullen vallen. Ik zou dat </w:t>
      </w:r>
      <w:r w:rsidR="00DF04C1">
        <w:rPr>
          <w:sz w:val="18"/>
          <w:szCs w:val="18"/>
        </w:rPr>
        <w:t xml:space="preserve">dan </w:t>
      </w:r>
      <w:r w:rsidRPr="008835BF">
        <w:rPr>
          <w:sz w:val="18"/>
          <w:szCs w:val="18"/>
        </w:rPr>
        <w:t xml:space="preserve">moeten baseren op de huidige uitstoot van die auto’s en </w:t>
      </w:r>
      <w:r w:rsidR="00DF04C1">
        <w:rPr>
          <w:sz w:val="18"/>
          <w:szCs w:val="18"/>
        </w:rPr>
        <w:t xml:space="preserve">deze moeten corrigeren voor </w:t>
      </w:r>
      <w:r w:rsidRPr="008835BF">
        <w:rPr>
          <w:sz w:val="18"/>
          <w:szCs w:val="18"/>
        </w:rPr>
        <w:t>de te verwachten uitstoot</w:t>
      </w:r>
      <w:r w:rsidR="00DF04C1">
        <w:rPr>
          <w:sz w:val="18"/>
          <w:szCs w:val="18"/>
        </w:rPr>
        <w:t xml:space="preserve">daling </w:t>
      </w:r>
      <w:r w:rsidRPr="008835BF">
        <w:rPr>
          <w:sz w:val="18"/>
          <w:szCs w:val="18"/>
        </w:rPr>
        <w:t xml:space="preserve">voor die auto’s. Hoewel er </w:t>
      </w:r>
      <w:r w:rsidR="00DF04C1">
        <w:rPr>
          <w:sz w:val="18"/>
          <w:szCs w:val="18"/>
        </w:rPr>
        <w:t xml:space="preserve">in het algemeen </w:t>
      </w:r>
      <w:r w:rsidRPr="008835BF">
        <w:rPr>
          <w:sz w:val="18"/>
          <w:szCs w:val="18"/>
        </w:rPr>
        <w:t xml:space="preserve">wel uitspraken mogelijk zijn voor de gemiddelde uitstootdaling acht ik dergelijke uitspraken niet mogelijk voor specifieke auto’s. </w:t>
      </w:r>
      <w:r w:rsidR="0045007E">
        <w:rPr>
          <w:sz w:val="18"/>
          <w:szCs w:val="18"/>
        </w:rPr>
        <w:t xml:space="preserve">Duidelijk is wel </w:t>
      </w:r>
      <w:r w:rsidRPr="008835BF">
        <w:rPr>
          <w:sz w:val="18"/>
          <w:szCs w:val="18"/>
        </w:rPr>
        <w:t>dat het aantal benzineauto’s dat onder de BPM-vrijstelling zal vallen zal afnemen. De nieuwe grens van 8</w:t>
      </w:r>
      <w:r>
        <w:rPr>
          <w:sz w:val="18"/>
          <w:szCs w:val="18"/>
        </w:rPr>
        <w:t>2</w:t>
      </w:r>
      <w:r w:rsidRPr="008835BF">
        <w:rPr>
          <w:sz w:val="18"/>
          <w:szCs w:val="18"/>
        </w:rPr>
        <w:t xml:space="preserve"> gr/km zal voor een benzineauto wellicht wat moeilijker te realiseren zijn dan voor een dieselauto. Om die reden verwacht ik dat het aantal benzineauto’s en dieselauto’s dat voor de </w:t>
      </w:r>
      <w:r>
        <w:rPr>
          <w:sz w:val="18"/>
          <w:szCs w:val="18"/>
        </w:rPr>
        <w:t>CO</w:t>
      </w:r>
      <w:r w:rsidRPr="001A728B">
        <w:rPr>
          <w:sz w:val="18"/>
          <w:szCs w:val="18"/>
          <w:vertAlign w:val="subscript"/>
        </w:rPr>
        <w:t>2</w:t>
      </w:r>
      <w:r>
        <w:rPr>
          <w:sz w:val="18"/>
          <w:szCs w:val="18"/>
        </w:rPr>
        <w:t>-</w:t>
      </w:r>
      <w:r w:rsidRPr="008835BF">
        <w:rPr>
          <w:sz w:val="18"/>
          <w:szCs w:val="18"/>
        </w:rPr>
        <w:t>vrijstelling in aanmerking zal komen, wat meer in verhouding zal komen te liggen.</w:t>
      </w:r>
      <w:r>
        <w:rPr>
          <w:sz w:val="18"/>
          <w:szCs w:val="18"/>
        </w:rPr>
        <w:t xml:space="preserve"> </w:t>
      </w:r>
    </w:p>
    <w:p w:rsidR="002A30DC" w:rsidRDefault="002A30DC">
      <w:pPr>
        <w:spacing w:after="0"/>
        <w:rPr>
          <w:sz w:val="18"/>
          <w:szCs w:val="18"/>
        </w:rPr>
      </w:pPr>
    </w:p>
    <w:p w:rsidR="002A30DC" w:rsidRDefault="008D1BFF">
      <w:pPr>
        <w:spacing w:after="0"/>
        <w:rPr>
          <w:i/>
          <w:sz w:val="18"/>
          <w:szCs w:val="18"/>
        </w:rPr>
      </w:pPr>
      <w:r>
        <w:rPr>
          <w:i/>
          <w:sz w:val="18"/>
          <w:szCs w:val="18"/>
        </w:rPr>
        <w:t>Dieseltoeslag</w:t>
      </w:r>
    </w:p>
    <w:p w:rsidR="008D1BFF" w:rsidP="00337116" w:rsidRDefault="008D1BFF">
      <w:pPr>
        <w:spacing w:after="0"/>
        <w:rPr>
          <w:sz w:val="18"/>
          <w:szCs w:val="18"/>
        </w:rPr>
      </w:pPr>
      <w:r>
        <w:rPr>
          <w:sz w:val="18"/>
          <w:szCs w:val="18"/>
        </w:rPr>
        <w:t>Het voorstel van Ecorys om de huidige vaste dieseltoeslag te vervangen door een CO</w:t>
      </w:r>
      <w:r w:rsidRPr="00912DB2">
        <w:rPr>
          <w:sz w:val="18"/>
          <w:szCs w:val="18"/>
          <w:vertAlign w:val="subscript"/>
        </w:rPr>
        <w:t>2</w:t>
      </w:r>
      <w:r>
        <w:rPr>
          <w:sz w:val="18"/>
          <w:szCs w:val="18"/>
        </w:rPr>
        <w:t>-gerelateerde toeslag doet recht aan het idee dat het gemiddelde accijnsverschil tussen een benzine- en een dieselauto toeneemt naarmate de auto groter is</w:t>
      </w:r>
      <w:r w:rsidR="00DF04C1">
        <w:rPr>
          <w:sz w:val="18"/>
          <w:szCs w:val="18"/>
        </w:rPr>
        <w:t xml:space="preserve"> en navenant meer verbruikt</w:t>
      </w:r>
      <w:r>
        <w:rPr>
          <w:sz w:val="18"/>
          <w:szCs w:val="18"/>
        </w:rPr>
        <w:t xml:space="preserve">. </w:t>
      </w:r>
      <w:r w:rsidRPr="008835BF">
        <w:rPr>
          <w:sz w:val="18"/>
          <w:szCs w:val="18"/>
        </w:rPr>
        <w:t xml:space="preserve">Door de </w:t>
      </w:r>
      <w:r>
        <w:rPr>
          <w:sz w:val="18"/>
          <w:szCs w:val="18"/>
        </w:rPr>
        <w:t>diesel</w:t>
      </w:r>
      <w:r w:rsidRPr="008835BF">
        <w:rPr>
          <w:sz w:val="18"/>
          <w:szCs w:val="18"/>
        </w:rPr>
        <w:t xml:space="preserve">toeslag aan te laten vangen bij een uitstoot van 70 gr/km wordt feitelijk de vrijstelling in de BPM voor de zeer zuinige dieselauto beperkt tot dat deel van de BPM dat geen betrekking heeft op de dieseltoeslag. De volledige vrijstelling </w:t>
      </w:r>
      <w:r>
        <w:rPr>
          <w:sz w:val="18"/>
          <w:szCs w:val="18"/>
        </w:rPr>
        <w:t>geldt slechts voor</w:t>
      </w:r>
      <w:r w:rsidRPr="008835BF">
        <w:rPr>
          <w:sz w:val="18"/>
          <w:szCs w:val="18"/>
        </w:rPr>
        <w:t xml:space="preserve"> dieselauto’s met een CO</w:t>
      </w:r>
      <w:r w:rsidRPr="008835BF">
        <w:rPr>
          <w:sz w:val="18"/>
          <w:szCs w:val="18"/>
          <w:vertAlign w:val="subscript"/>
        </w:rPr>
        <w:t>2</w:t>
      </w:r>
      <w:r w:rsidRPr="008835BF">
        <w:rPr>
          <w:sz w:val="18"/>
          <w:szCs w:val="18"/>
        </w:rPr>
        <w:t xml:space="preserve">-uitstoot van minder dan 70 gr/km. </w:t>
      </w:r>
      <w:r w:rsidR="005C4CAC">
        <w:rPr>
          <w:sz w:val="18"/>
          <w:szCs w:val="18"/>
        </w:rPr>
        <w:t>Op dit moment heeft het vervallen van de vrijstelling als gevolg van het opschuiven van de zuinigheidsgrenzen tot gevolg dat op dat moment zowel het CO</w:t>
      </w:r>
      <w:r w:rsidRPr="005C4CAC" w:rsidR="005C4CAC">
        <w:rPr>
          <w:sz w:val="18"/>
          <w:szCs w:val="18"/>
          <w:vertAlign w:val="subscript"/>
        </w:rPr>
        <w:t>2</w:t>
      </w:r>
      <w:r w:rsidR="005C4CAC">
        <w:rPr>
          <w:sz w:val="18"/>
          <w:szCs w:val="18"/>
        </w:rPr>
        <w:t xml:space="preserve">-deel van de BPM als de dieseltoeslag verschuldigd wordt. De stapeling van de dan verschuldigde belastingen maakt de overgang wel heel erg abrupt. Door in alle gevallen wel de </w:t>
      </w:r>
      <w:r w:rsidR="003929A4">
        <w:rPr>
          <w:sz w:val="18"/>
          <w:szCs w:val="18"/>
        </w:rPr>
        <w:t>dieseltoeslag</w:t>
      </w:r>
      <w:r w:rsidR="005C4CAC">
        <w:rPr>
          <w:sz w:val="18"/>
          <w:szCs w:val="18"/>
        </w:rPr>
        <w:t xml:space="preserve"> te heffen, leidt het vervallen van de vrijstelling in de meeste gevallen tot het verschuldigd worden van een CO</w:t>
      </w:r>
      <w:r w:rsidRPr="005C4CAC" w:rsidR="005C4CAC">
        <w:rPr>
          <w:sz w:val="18"/>
          <w:szCs w:val="18"/>
          <w:vertAlign w:val="subscript"/>
        </w:rPr>
        <w:t>2</w:t>
      </w:r>
      <w:r w:rsidR="005C4CAC">
        <w:rPr>
          <w:sz w:val="18"/>
          <w:szCs w:val="18"/>
        </w:rPr>
        <w:t xml:space="preserve">-heffing over een paar gram boven de vrijstellingsgrens. Schokeffecten als gevolg van het verliezen van de vrijstelling worden daarmee voorkomen. </w:t>
      </w:r>
      <w:r>
        <w:rPr>
          <w:sz w:val="18"/>
          <w:szCs w:val="18"/>
        </w:rPr>
        <w:t>Ik neem het voorstel voor deze nieuwe dieseltoeslag dan ook over. Vanaf 1 juli 2012 zal derhalve voor elke dieselauto een dieseltoeslag gelden van een vast tarief per gram CO</w:t>
      </w:r>
      <w:r w:rsidRPr="00912DB2">
        <w:rPr>
          <w:sz w:val="18"/>
          <w:szCs w:val="18"/>
          <w:vertAlign w:val="subscript"/>
        </w:rPr>
        <w:t>2</w:t>
      </w:r>
      <w:r>
        <w:rPr>
          <w:sz w:val="18"/>
          <w:szCs w:val="18"/>
        </w:rPr>
        <w:t>-uitstoot boven de 70 gr/km. Het tarief neemt geleidelijk toe van € 40 per gr/km in 2012 tot € 80 per gr/km in 2015. Tot 1 juli 2012 geldt voor dieselauto’s met een uitstoot van meer dan 95 gr/km een vaste toeslag van € 1.900.</w:t>
      </w:r>
    </w:p>
    <w:p w:rsidR="00907088" w:rsidP="00907088" w:rsidRDefault="00907088">
      <w:pPr>
        <w:spacing w:after="0"/>
        <w:rPr>
          <w:sz w:val="18"/>
          <w:szCs w:val="18"/>
        </w:rPr>
      </w:pPr>
    </w:p>
    <w:p w:rsidRPr="005135B7" w:rsidR="00907088" w:rsidP="00907088" w:rsidRDefault="004364A3">
      <w:pPr>
        <w:spacing w:after="0"/>
        <w:rPr>
          <w:i/>
          <w:sz w:val="16"/>
          <w:szCs w:val="16"/>
        </w:rPr>
      </w:pPr>
      <w:r>
        <w:rPr>
          <w:b/>
          <w:i/>
          <w:sz w:val="16"/>
          <w:szCs w:val="16"/>
        </w:rPr>
        <w:t xml:space="preserve">Tabel </w:t>
      </w:r>
      <w:r w:rsidR="00371A7F">
        <w:rPr>
          <w:b/>
          <w:i/>
          <w:sz w:val="16"/>
          <w:szCs w:val="16"/>
        </w:rPr>
        <w:t>10</w:t>
      </w:r>
      <w:r>
        <w:rPr>
          <w:b/>
          <w:i/>
          <w:sz w:val="16"/>
          <w:szCs w:val="16"/>
        </w:rPr>
        <w:t xml:space="preserve">: </w:t>
      </w:r>
      <w:r w:rsidRPr="005135B7" w:rsidR="00907088">
        <w:rPr>
          <w:b/>
          <w:i/>
          <w:sz w:val="16"/>
          <w:szCs w:val="16"/>
        </w:rPr>
        <w:t>Tariefstelling BPM dieseltoeslag per gram CO</w:t>
      </w:r>
      <w:r w:rsidRPr="005135B7" w:rsidR="00907088">
        <w:rPr>
          <w:b/>
          <w:i/>
          <w:sz w:val="16"/>
          <w:szCs w:val="16"/>
          <w:vertAlign w:val="subscript"/>
        </w:rPr>
        <w:t>2</w:t>
      </w:r>
      <w:r w:rsidRPr="005135B7" w:rsidR="00907088">
        <w:rPr>
          <w:b/>
          <w:i/>
          <w:sz w:val="16"/>
          <w:szCs w:val="16"/>
        </w:rPr>
        <w:t xml:space="preserve"> boven 70 g</w:t>
      </w:r>
      <w:r w:rsidR="005A289B">
        <w:rPr>
          <w:b/>
          <w:i/>
          <w:sz w:val="16"/>
          <w:szCs w:val="16"/>
        </w:rPr>
        <w:t>r</w:t>
      </w:r>
      <w:r w:rsidRPr="005135B7" w:rsidR="00907088">
        <w:rPr>
          <w:b/>
          <w:i/>
          <w:sz w:val="16"/>
          <w:szCs w:val="16"/>
        </w:rPr>
        <w:t>/km, 2012-2015</w:t>
      </w:r>
    </w:p>
    <w:tbl>
      <w:tblPr>
        <w:tblStyle w:val="Tabelraster"/>
        <w:tblW w:w="0" w:type="auto"/>
        <w:tblBorders>
          <w:top w:val="single" w:color="auto" w:sz="4" w:space="0"/>
          <w:left w:val="none" w:color="auto" w:sz="0" w:space="0"/>
          <w:bottom w:val="single" w:color="auto" w:sz="4" w:space="0"/>
          <w:right w:val="none" w:color="auto" w:sz="0" w:space="0"/>
          <w:insideH w:val="single" w:color="auto" w:sz="4" w:space="0"/>
          <w:insideV w:val="none" w:color="auto" w:sz="0" w:space="0"/>
        </w:tblBorders>
        <w:tblLook w:val="04A0"/>
      </w:tblPr>
      <w:tblGrid>
        <w:gridCol w:w="1842"/>
        <w:gridCol w:w="1842"/>
        <w:gridCol w:w="1842"/>
        <w:gridCol w:w="1843"/>
        <w:gridCol w:w="1843"/>
      </w:tblGrid>
      <w:tr w:rsidRPr="00907088" w:rsidR="00907088" w:rsidTr="00907088">
        <w:tc>
          <w:tcPr>
            <w:tcW w:w="1842" w:type="dxa"/>
          </w:tcPr>
          <w:p w:rsidRPr="00907088" w:rsidR="00907088" w:rsidP="00907088" w:rsidRDefault="00907088">
            <w:pPr>
              <w:spacing w:after="0"/>
              <w:rPr>
                <w:rFonts w:ascii="Verdana" w:hAnsi="Verdana"/>
                <w:sz w:val="16"/>
                <w:szCs w:val="16"/>
              </w:rPr>
            </w:pPr>
          </w:p>
        </w:tc>
        <w:tc>
          <w:tcPr>
            <w:tcW w:w="1842" w:type="dxa"/>
          </w:tcPr>
          <w:p w:rsidRPr="00907088" w:rsidR="00907088" w:rsidP="00907088" w:rsidRDefault="00907088">
            <w:pPr>
              <w:spacing w:after="0"/>
              <w:rPr>
                <w:rFonts w:ascii="Verdana" w:hAnsi="Verdana"/>
                <w:b/>
                <w:sz w:val="16"/>
                <w:szCs w:val="16"/>
              </w:rPr>
            </w:pPr>
            <w:r w:rsidRPr="00907088">
              <w:rPr>
                <w:rFonts w:ascii="Verdana" w:hAnsi="Verdana"/>
                <w:b/>
                <w:sz w:val="16"/>
                <w:szCs w:val="16"/>
              </w:rPr>
              <w:t>2012</w:t>
            </w:r>
          </w:p>
        </w:tc>
        <w:tc>
          <w:tcPr>
            <w:tcW w:w="1842" w:type="dxa"/>
          </w:tcPr>
          <w:p w:rsidRPr="00907088" w:rsidR="00907088" w:rsidP="00907088" w:rsidRDefault="00907088">
            <w:pPr>
              <w:spacing w:after="0"/>
              <w:rPr>
                <w:rFonts w:ascii="Verdana" w:hAnsi="Verdana"/>
                <w:b/>
                <w:sz w:val="16"/>
                <w:szCs w:val="16"/>
              </w:rPr>
            </w:pPr>
            <w:r w:rsidRPr="00907088">
              <w:rPr>
                <w:rFonts w:ascii="Verdana" w:hAnsi="Verdana"/>
                <w:b/>
                <w:sz w:val="16"/>
                <w:szCs w:val="16"/>
              </w:rPr>
              <w:t>2013</w:t>
            </w:r>
          </w:p>
        </w:tc>
        <w:tc>
          <w:tcPr>
            <w:tcW w:w="1843" w:type="dxa"/>
          </w:tcPr>
          <w:p w:rsidRPr="00907088" w:rsidR="00907088" w:rsidP="00907088" w:rsidRDefault="00907088">
            <w:pPr>
              <w:spacing w:after="0"/>
              <w:rPr>
                <w:rFonts w:ascii="Verdana" w:hAnsi="Verdana"/>
                <w:b/>
                <w:sz w:val="16"/>
                <w:szCs w:val="16"/>
              </w:rPr>
            </w:pPr>
            <w:r w:rsidRPr="00907088">
              <w:rPr>
                <w:rFonts w:ascii="Verdana" w:hAnsi="Verdana"/>
                <w:b/>
                <w:sz w:val="16"/>
                <w:szCs w:val="16"/>
              </w:rPr>
              <w:t>2014</w:t>
            </w:r>
          </w:p>
        </w:tc>
        <w:tc>
          <w:tcPr>
            <w:tcW w:w="1843" w:type="dxa"/>
          </w:tcPr>
          <w:p w:rsidRPr="00907088" w:rsidR="00907088" w:rsidP="00907088" w:rsidRDefault="00907088">
            <w:pPr>
              <w:spacing w:after="0"/>
              <w:rPr>
                <w:rFonts w:ascii="Verdana" w:hAnsi="Verdana"/>
                <w:b/>
                <w:sz w:val="16"/>
                <w:szCs w:val="16"/>
              </w:rPr>
            </w:pPr>
            <w:r w:rsidRPr="00907088">
              <w:rPr>
                <w:rFonts w:ascii="Verdana" w:hAnsi="Verdana"/>
                <w:b/>
                <w:sz w:val="16"/>
                <w:szCs w:val="16"/>
              </w:rPr>
              <w:t>2015</w:t>
            </w:r>
          </w:p>
        </w:tc>
      </w:tr>
      <w:tr w:rsidRPr="00907088" w:rsidR="00907088" w:rsidTr="00907088">
        <w:tc>
          <w:tcPr>
            <w:tcW w:w="1842" w:type="dxa"/>
            <w:vAlign w:val="bottom"/>
          </w:tcPr>
          <w:p w:rsidRPr="00907088" w:rsidR="00907088" w:rsidP="00907088" w:rsidRDefault="00907088">
            <w:pPr>
              <w:spacing w:after="0"/>
              <w:rPr>
                <w:rFonts w:ascii="Verdana" w:hAnsi="Verdana"/>
                <w:sz w:val="16"/>
                <w:szCs w:val="16"/>
              </w:rPr>
            </w:pPr>
            <w:r w:rsidRPr="00907088">
              <w:rPr>
                <w:rFonts w:ascii="Verdana" w:hAnsi="Verdana"/>
                <w:sz w:val="16"/>
                <w:szCs w:val="16"/>
              </w:rPr>
              <w:t>Tarief (€)</w:t>
            </w:r>
          </w:p>
        </w:tc>
        <w:tc>
          <w:tcPr>
            <w:tcW w:w="1842" w:type="dxa"/>
            <w:vAlign w:val="bottom"/>
          </w:tcPr>
          <w:p w:rsidRPr="00907088" w:rsidR="00907088" w:rsidP="00907088" w:rsidRDefault="00907088">
            <w:pPr>
              <w:spacing w:after="0"/>
              <w:rPr>
                <w:rFonts w:ascii="Verdana" w:hAnsi="Verdana"/>
                <w:sz w:val="16"/>
                <w:szCs w:val="16"/>
              </w:rPr>
            </w:pPr>
            <w:r w:rsidRPr="00907088">
              <w:rPr>
                <w:rFonts w:ascii="Verdana" w:hAnsi="Verdana"/>
                <w:sz w:val="16"/>
                <w:szCs w:val="16"/>
              </w:rPr>
              <w:t>40</w:t>
            </w:r>
          </w:p>
        </w:tc>
        <w:tc>
          <w:tcPr>
            <w:tcW w:w="1842" w:type="dxa"/>
            <w:vAlign w:val="bottom"/>
          </w:tcPr>
          <w:p w:rsidRPr="00907088" w:rsidR="00907088" w:rsidP="00907088" w:rsidRDefault="00907088">
            <w:pPr>
              <w:spacing w:after="0"/>
              <w:rPr>
                <w:rFonts w:ascii="Verdana" w:hAnsi="Verdana"/>
                <w:sz w:val="16"/>
                <w:szCs w:val="16"/>
              </w:rPr>
            </w:pPr>
            <w:r w:rsidRPr="00907088">
              <w:rPr>
                <w:rFonts w:ascii="Verdana" w:hAnsi="Verdana"/>
                <w:sz w:val="16"/>
                <w:szCs w:val="16"/>
              </w:rPr>
              <w:t>54</w:t>
            </w:r>
          </w:p>
        </w:tc>
        <w:tc>
          <w:tcPr>
            <w:tcW w:w="1843" w:type="dxa"/>
            <w:vAlign w:val="bottom"/>
          </w:tcPr>
          <w:p w:rsidRPr="00907088" w:rsidR="00907088" w:rsidP="00907088" w:rsidRDefault="00907088">
            <w:pPr>
              <w:spacing w:after="0"/>
              <w:rPr>
                <w:rFonts w:ascii="Verdana" w:hAnsi="Verdana"/>
                <w:sz w:val="16"/>
                <w:szCs w:val="16"/>
              </w:rPr>
            </w:pPr>
            <w:r w:rsidRPr="00907088">
              <w:rPr>
                <w:rFonts w:ascii="Verdana" w:hAnsi="Verdana"/>
                <w:sz w:val="16"/>
                <w:szCs w:val="16"/>
              </w:rPr>
              <w:t>69</w:t>
            </w:r>
          </w:p>
        </w:tc>
        <w:tc>
          <w:tcPr>
            <w:tcW w:w="1843" w:type="dxa"/>
            <w:vAlign w:val="bottom"/>
          </w:tcPr>
          <w:p w:rsidRPr="00907088" w:rsidR="00907088" w:rsidP="00907088" w:rsidRDefault="00907088">
            <w:pPr>
              <w:spacing w:after="0"/>
              <w:rPr>
                <w:rFonts w:ascii="Verdana" w:hAnsi="Verdana"/>
                <w:sz w:val="16"/>
                <w:szCs w:val="16"/>
              </w:rPr>
            </w:pPr>
            <w:r w:rsidRPr="00907088">
              <w:rPr>
                <w:rFonts w:ascii="Verdana" w:hAnsi="Verdana"/>
                <w:sz w:val="16"/>
                <w:szCs w:val="16"/>
              </w:rPr>
              <w:t>80</w:t>
            </w:r>
          </w:p>
        </w:tc>
      </w:tr>
    </w:tbl>
    <w:p w:rsidRPr="00907088" w:rsidR="00907088" w:rsidP="00907088" w:rsidRDefault="00907088">
      <w:pPr>
        <w:spacing w:after="0"/>
        <w:rPr>
          <w:sz w:val="16"/>
          <w:szCs w:val="16"/>
        </w:rPr>
      </w:pPr>
    </w:p>
    <w:p w:rsidRPr="008A2424" w:rsidR="00907088" w:rsidP="00907088" w:rsidRDefault="00907088">
      <w:pPr>
        <w:spacing w:after="0"/>
        <w:rPr>
          <w:sz w:val="18"/>
          <w:szCs w:val="18"/>
        </w:rPr>
      </w:pPr>
    </w:p>
    <w:p w:rsidRPr="008A2424" w:rsidR="008D1BFF" w:rsidP="005135B7" w:rsidRDefault="008A2424">
      <w:pPr>
        <w:spacing w:after="0"/>
        <w:rPr>
          <w:sz w:val="18"/>
          <w:szCs w:val="18"/>
        </w:rPr>
      </w:pPr>
      <w:r w:rsidRPr="008A2424">
        <w:rPr>
          <w:i/>
          <w:sz w:val="18"/>
          <w:szCs w:val="18"/>
        </w:rPr>
        <w:t>BPM-ontwikkeling voor een aantal specifieke auto’s</w:t>
      </w:r>
    </w:p>
    <w:p w:rsidR="008A2424" w:rsidP="005135B7" w:rsidRDefault="008D1BFF">
      <w:pPr>
        <w:spacing w:after="0"/>
        <w:rPr>
          <w:sz w:val="18"/>
          <w:szCs w:val="18"/>
        </w:rPr>
      </w:pPr>
      <w:r w:rsidRPr="008A2424">
        <w:rPr>
          <w:sz w:val="18"/>
          <w:szCs w:val="18"/>
        </w:rPr>
        <w:t xml:space="preserve">In </w:t>
      </w:r>
      <w:r w:rsidR="00B2046D">
        <w:rPr>
          <w:sz w:val="18"/>
          <w:szCs w:val="18"/>
        </w:rPr>
        <w:t xml:space="preserve">tabel 9 hiervoor is reeds </w:t>
      </w:r>
      <w:r w:rsidRPr="008A2424">
        <w:rPr>
          <w:sz w:val="18"/>
          <w:szCs w:val="18"/>
        </w:rPr>
        <w:t>voor 11</w:t>
      </w:r>
      <w:r w:rsidR="00267EDF">
        <w:rPr>
          <w:sz w:val="18"/>
          <w:szCs w:val="18"/>
        </w:rPr>
        <w:t>,</w:t>
      </w:r>
      <w:r w:rsidRPr="008A2424">
        <w:rPr>
          <w:sz w:val="18"/>
          <w:szCs w:val="18"/>
        </w:rPr>
        <w:t xml:space="preserve"> door de ANWB aangeleverde voorbeeldauto’s</w:t>
      </w:r>
      <w:r w:rsidR="00267EDF">
        <w:rPr>
          <w:sz w:val="18"/>
          <w:szCs w:val="18"/>
        </w:rPr>
        <w:t>,</w:t>
      </w:r>
      <w:r w:rsidRPr="008A2424">
        <w:rPr>
          <w:sz w:val="18"/>
          <w:szCs w:val="18"/>
        </w:rPr>
        <w:t xml:space="preserve"> de BPM berekend voor de jaren 2011 tot en met 2015</w:t>
      </w:r>
      <w:r w:rsidR="008A2424">
        <w:rPr>
          <w:sz w:val="18"/>
          <w:szCs w:val="18"/>
        </w:rPr>
        <w:t xml:space="preserve"> op basis van het door Ecorys voorgestelde scenario</w:t>
      </w:r>
      <w:r w:rsidRPr="008A2424">
        <w:rPr>
          <w:sz w:val="18"/>
          <w:szCs w:val="18"/>
        </w:rPr>
        <w:t xml:space="preserve">. </w:t>
      </w:r>
      <w:r w:rsidR="00B2046D">
        <w:rPr>
          <w:sz w:val="18"/>
          <w:szCs w:val="18"/>
        </w:rPr>
        <w:t xml:space="preserve">In die tabel is uitgegaan </w:t>
      </w:r>
      <w:r w:rsidR="00267EDF">
        <w:rPr>
          <w:sz w:val="18"/>
          <w:szCs w:val="18"/>
        </w:rPr>
        <w:t xml:space="preserve">van het door Ecorys voorgestelde scenario </w:t>
      </w:r>
      <w:r w:rsidR="00B2046D">
        <w:rPr>
          <w:sz w:val="18"/>
          <w:szCs w:val="18"/>
        </w:rPr>
        <w:t xml:space="preserve">en </w:t>
      </w:r>
      <w:r w:rsidR="00267EDF">
        <w:rPr>
          <w:sz w:val="18"/>
          <w:szCs w:val="18"/>
        </w:rPr>
        <w:t>zijn de in d</w:t>
      </w:r>
      <w:r w:rsidR="00B2046D">
        <w:rPr>
          <w:sz w:val="18"/>
          <w:szCs w:val="18"/>
        </w:rPr>
        <w:t>i</w:t>
      </w:r>
      <w:r w:rsidR="00267EDF">
        <w:rPr>
          <w:sz w:val="18"/>
          <w:szCs w:val="18"/>
        </w:rPr>
        <w:t xml:space="preserve">e tabel opgenomen BPM-bedragen gebaseerd op </w:t>
      </w:r>
      <w:r w:rsidR="008A2424">
        <w:rPr>
          <w:sz w:val="18"/>
          <w:szCs w:val="18"/>
        </w:rPr>
        <w:t xml:space="preserve">een veronderstelde opbrengst van € 1,9 mld per jaar. De uiteindelijke voorstellen in het Belastingplan 2012 zullen </w:t>
      </w:r>
      <w:r w:rsidR="006609DF">
        <w:rPr>
          <w:sz w:val="18"/>
          <w:szCs w:val="18"/>
        </w:rPr>
        <w:t>geijkt worden op de meest recente raming</w:t>
      </w:r>
      <w:r w:rsidR="00B2046D">
        <w:rPr>
          <w:sz w:val="18"/>
          <w:szCs w:val="18"/>
        </w:rPr>
        <w:t xml:space="preserve"> voor de opbrengst over 2011, waardoor de uiteindelijke tarieven en BPM-bedragen zullen afwijken van het voorstel van Ecorys</w:t>
      </w:r>
      <w:r w:rsidR="006609DF">
        <w:rPr>
          <w:sz w:val="18"/>
          <w:szCs w:val="18"/>
        </w:rPr>
        <w:t>.</w:t>
      </w:r>
      <w:r w:rsidR="008A2424">
        <w:rPr>
          <w:sz w:val="18"/>
          <w:szCs w:val="18"/>
        </w:rPr>
        <w:t xml:space="preserve"> In </w:t>
      </w:r>
      <w:r w:rsidR="00B2046D">
        <w:rPr>
          <w:sz w:val="18"/>
          <w:szCs w:val="18"/>
        </w:rPr>
        <w:t xml:space="preserve">het </w:t>
      </w:r>
      <w:r w:rsidR="008A2424">
        <w:rPr>
          <w:sz w:val="18"/>
          <w:szCs w:val="18"/>
        </w:rPr>
        <w:t xml:space="preserve">Belastingplan </w:t>
      </w:r>
      <w:r w:rsidR="00B2046D">
        <w:rPr>
          <w:sz w:val="18"/>
          <w:szCs w:val="18"/>
        </w:rPr>
        <w:t xml:space="preserve">2011 </w:t>
      </w:r>
      <w:r w:rsidR="008A2424">
        <w:rPr>
          <w:sz w:val="18"/>
          <w:szCs w:val="18"/>
        </w:rPr>
        <w:t xml:space="preserve">zal ik in dat geval een herziene tabel opnemen. </w:t>
      </w:r>
    </w:p>
    <w:p w:rsidR="0026455C" w:rsidRDefault="0026455C">
      <w:pPr>
        <w:spacing w:after="0" w:line="240" w:lineRule="auto"/>
        <w:rPr>
          <w:b/>
          <w:i/>
          <w:sz w:val="16"/>
          <w:szCs w:val="16"/>
        </w:rPr>
      </w:pPr>
      <w:r>
        <w:rPr>
          <w:b/>
          <w:i/>
          <w:sz w:val="16"/>
          <w:szCs w:val="16"/>
        </w:rPr>
        <w:br w:type="page"/>
      </w:r>
    </w:p>
    <w:p w:rsidR="00AF35DF" w:rsidP="00477308" w:rsidRDefault="00477308">
      <w:pPr>
        <w:spacing w:after="0"/>
        <w:rPr>
          <w:sz w:val="18"/>
          <w:szCs w:val="18"/>
        </w:rPr>
      </w:pPr>
      <w:r w:rsidRPr="00477308">
        <w:rPr>
          <w:sz w:val="18"/>
          <w:szCs w:val="18"/>
        </w:rPr>
        <w:lastRenderedPageBreak/>
        <w:t xml:space="preserve">Uit </w:t>
      </w:r>
      <w:r w:rsidR="00B2046D">
        <w:rPr>
          <w:sz w:val="18"/>
          <w:szCs w:val="18"/>
        </w:rPr>
        <w:t xml:space="preserve">meergenoemde </w:t>
      </w:r>
      <w:r w:rsidRPr="00477308">
        <w:rPr>
          <w:sz w:val="18"/>
          <w:szCs w:val="18"/>
        </w:rPr>
        <w:t xml:space="preserve">tabel </w:t>
      </w:r>
      <w:r w:rsidR="00B2046D">
        <w:rPr>
          <w:sz w:val="18"/>
          <w:szCs w:val="18"/>
        </w:rPr>
        <w:t>9</w:t>
      </w:r>
      <w:r w:rsidRPr="00477308">
        <w:rPr>
          <w:sz w:val="18"/>
          <w:szCs w:val="18"/>
        </w:rPr>
        <w:t xml:space="preserve"> blijkt </w:t>
      </w:r>
      <w:r w:rsidR="00B2046D">
        <w:rPr>
          <w:sz w:val="18"/>
          <w:szCs w:val="18"/>
        </w:rPr>
        <w:t xml:space="preserve">– zoals al eerder gezegd – </w:t>
      </w:r>
      <w:r w:rsidRPr="00477308">
        <w:rPr>
          <w:sz w:val="18"/>
          <w:szCs w:val="18"/>
        </w:rPr>
        <w:t>allereerst</w:t>
      </w:r>
      <w:r w:rsidR="00B2046D">
        <w:rPr>
          <w:sz w:val="18"/>
          <w:szCs w:val="18"/>
        </w:rPr>
        <w:t xml:space="preserve"> </w:t>
      </w:r>
      <w:r w:rsidRPr="00477308">
        <w:rPr>
          <w:sz w:val="18"/>
          <w:szCs w:val="18"/>
        </w:rPr>
        <w:t xml:space="preserve">dat de BPM-druk voor de duurdere auto’s harder daalt dan voor de goedkopere auto’s. Dit is een </w:t>
      </w:r>
      <w:r w:rsidR="00B2046D">
        <w:rPr>
          <w:sz w:val="18"/>
          <w:szCs w:val="18"/>
        </w:rPr>
        <w:t xml:space="preserve">logische consequentie </w:t>
      </w:r>
      <w:r w:rsidRPr="00477308">
        <w:rPr>
          <w:sz w:val="18"/>
          <w:szCs w:val="18"/>
        </w:rPr>
        <w:t>van het in het verleden ingezette en door de Tweede Kamer gevraagde beleid</w:t>
      </w:r>
      <w:r w:rsidR="00B2046D">
        <w:rPr>
          <w:rStyle w:val="Voetnootmarkering"/>
          <w:sz w:val="18"/>
          <w:szCs w:val="18"/>
        </w:rPr>
        <w:footnoteReference w:id="11"/>
      </w:r>
      <w:r w:rsidR="001E40E6">
        <w:rPr>
          <w:sz w:val="18"/>
          <w:szCs w:val="18"/>
        </w:rPr>
        <w:t xml:space="preserve"> </w:t>
      </w:r>
      <w:r w:rsidRPr="00477308">
        <w:rPr>
          <w:sz w:val="18"/>
          <w:szCs w:val="18"/>
        </w:rPr>
        <w:t>om de op catalogusprijs gebaseerde BPM om te vormen naar een volledig op CO</w:t>
      </w:r>
      <w:r w:rsidRPr="00477308">
        <w:rPr>
          <w:sz w:val="18"/>
          <w:szCs w:val="18"/>
          <w:vertAlign w:val="subscript"/>
        </w:rPr>
        <w:t>2</w:t>
      </w:r>
      <w:r w:rsidRPr="00477308">
        <w:rPr>
          <w:sz w:val="18"/>
          <w:szCs w:val="18"/>
        </w:rPr>
        <w:t>-uitstoot gebaseerde BPM. Dat houdt per definitie in dat de eerder hoge BPM voor hele dure auto’s niet kan worden gehandhaafd als de BPM wordt gebaseerd op een objectief criterium als de CO</w:t>
      </w:r>
      <w:r w:rsidRPr="00477308">
        <w:rPr>
          <w:sz w:val="18"/>
          <w:szCs w:val="18"/>
          <w:vertAlign w:val="subscript"/>
        </w:rPr>
        <w:t>2</w:t>
      </w:r>
      <w:r w:rsidRPr="00477308">
        <w:rPr>
          <w:sz w:val="18"/>
          <w:szCs w:val="18"/>
        </w:rPr>
        <w:t>-uitstoot. Voor auto’s met een gelijke CO</w:t>
      </w:r>
      <w:r w:rsidRPr="00477308">
        <w:rPr>
          <w:sz w:val="18"/>
          <w:szCs w:val="18"/>
          <w:vertAlign w:val="subscript"/>
        </w:rPr>
        <w:t>2</w:t>
      </w:r>
      <w:r w:rsidRPr="00477308">
        <w:rPr>
          <w:sz w:val="18"/>
          <w:szCs w:val="18"/>
        </w:rPr>
        <w:t xml:space="preserve">-uitstoot maar met sterk uiteenlopende prijzen en met voorheen sterk uiteenlopende BPM-bedragen, zullen na de voltooiing van de ombouw </w:t>
      </w:r>
      <w:r w:rsidR="001E40E6">
        <w:rPr>
          <w:sz w:val="18"/>
          <w:szCs w:val="18"/>
        </w:rPr>
        <w:t xml:space="preserve">in 2013 </w:t>
      </w:r>
      <w:r w:rsidRPr="00477308">
        <w:rPr>
          <w:sz w:val="18"/>
          <w:szCs w:val="18"/>
        </w:rPr>
        <w:t xml:space="preserve">gelijke BPM-bedragen gelden. </w:t>
      </w:r>
    </w:p>
    <w:p w:rsidR="00AF35DF" w:rsidP="00477308" w:rsidRDefault="00AF35DF">
      <w:pPr>
        <w:spacing w:after="0"/>
        <w:rPr>
          <w:sz w:val="18"/>
          <w:szCs w:val="18"/>
        </w:rPr>
      </w:pPr>
      <w:r>
        <w:rPr>
          <w:sz w:val="18"/>
          <w:szCs w:val="18"/>
        </w:rPr>
        <w:t>Uit de eerder genoemde tabel 9 zijn hierna nog een aantal auto’s opnieuw weergegeven. Dit betreft alle benzineauto’s uit verschillende prijssegmenten en met verschillende hoeveelheden CO</w:t>
      </w:r>
      <w:r w:rsidRPr="00AF35DF">
        <w:rPr>
          <w:sz w:val="18"/>
          <w:szCs w:val="18"/>
          <w:vertAlign w:val="subscript"/>
        </w:rPr>
        <w:t>2</w:t>
      </w:r>
      <w:r>
        <w:rPr>
          <w:sz w:val="18"/>
          <w:szCs w:val="18"/>
        </w:rPr>
        <w:t>-uitstoot.</w:t>
      </w:r>
    </w:p>
    <w:p w:rsidR="00AF35DF" w:rsidP="00477308" w:rsidRDefault="00AF35DF">
      <w:pPr>
        <w:spacing w:after="0"/>
        <w:rPr>
          <w:sz w:val="18"/>
          <w:szCs w:val="18"/>
        </w:rPr>
      </w:pPr>
    </w:p>
    <w:tbl>
      <w:tblPr>
        <w:tblStyle w:val="Lichtearcering5"/>
        <w:tblW w:w="0" w:type="auto"/>
        <w:tblLook w:val="04A0"/>
      </w:tblPr>
      <w:tblGrid>
        <w:gridCol w:w="568"/>
        <w:gridCol w:w="2374"/>
        <w:gridCol w:w="567"/>
        <w:gridCol w:w="709"/>
        <w:gridCol w:w="851"/>
        <w:gridCol w:w="843"/>
        <w:gridCol w:w="844"/>
        <w:gridCol w:w="843"/>
        <w:gridCol w:w="844"/>
        <w:gridCol w:w="844"/>
      </w:tblGrid>
      <w:tr w:rsidRPr="00EC0D6B" w:rsidR="00AF35DF" w:rsidTr="00AF35DF">
        <w:trPr>
          <w:cnfStyle w:val="100000000000"/>
        </w:trPr>
        <w:tc>
          <w:tcPr>
            <w:cnfStyle w:val="001000000000"/>
            <w:tcW w:w="568" w:type="dxa"/>
          </w:tcPr>
          <w:p w:rsidRPr="00EC0D6B" w:rsidR="00AF35DF" w:rsidP="00AF35DF" w:rsidRDefault="00AF35DF">
            <w:pPr>
              <w:spacing w:after="0"/>
              <w:rPr>
                <w:sz w:val="12"/>
                <w:szCs w:val="12"/>
              </w:rPr>
            </w:pPr>
            <w:r>
              <w:rPr>
                <w:sz w:val="12"/>
                <w:szCs w:val="12"/>
              </w:rPr>
              <w:t>Sgmt</w:t>
            </w:r>
          </w:p>
        </w:tc>
        <w:tc>
          <w:tcPr>
            <w:tcW w:w="2374" w:type="dxa"/>
          </w:tcPr>
          <w:p w:rsidRPr="00EC0D6B" w:rsidR="00AF35DF" w:rsidP="00AF35DF" w:rsidRDefault="00AF35DF">
            <w:pPr>
              <w:spacing w:after="0"/>
              <w:cnfStyle w:val="100000000000"/>
              <w:rPr>
                <w:sz w:val="12"/>
                <w:szCs w:val="12"/>
              </w:rPr>
            </w:pPr>
            <w:r>
              <w:rPr>
                <w:sz w:val="12"/>
                <w:szCs w:val="12"/>
              </w:rPr>
              <w:t>Merk, model, uitvoering</w:t>
            </w:r>
          </w:p>
        </w:tc>
        <w:tc>
          <w:tcPr>
            <w:tcW w:w="567" w:type="dxa"/>
          </w:tcPr>
          <w:p w:rsidRPr="00EC0D6B" w:rsidR="00AF35DF" w:rsidP="00AF35DF" w:rsidRDefault="00AF35DF">
            <w:pPr>
              <w:spacing w:after="0"/>
              <w:cnfStyle w:val="100000000000"/>
              <w:rPr>
                <w:sz w:val="12"/>
                <w:szCs w:val="12"/>
              </w:rPr>
            </w:pPr>
            <w:r>
              <w:rPr>
                <w:sz w:val="12"/>
                <w:szCs w:val="12"/>
              </w:rPr>
              <w:t>B/D</w:t>
            </w:r>
          </w:p>
        </w:tc>
        <w:tc>
          <w:tcPr>
            <w:tcW w:w="709" w:type="dxa"/>
          </w:tcPr>
          <w:p w:rsidRPr="00EC0D6B" w:rsidR="00AF35DF" w:rsidP="00AF35DF" w:rsidRDefault="00AF35DF">
            <w:pPr>
              <w:spacing w:after="0"/>
              <w:cnfStyle w:val="100000000000"/>
              <w:rPr>
                <w:sz w:val="12"/>
                <w:szCs w:val="12"/>
              </w:rPr>
            </w:pPr>
            <w:r>
              <w:rPr>
                <w:sz w:val="12"/>
                <w:szCs w:val="12"/>
              </w:rPr>
              <w:t>CO</w:t>
            </w:r>
            <w:r w:rsidRPr="00EC0D6B">
              <w:rPr>
                <w:sz w:val="12"/>
                <w:szCs w:val="12"/>
                <w:vertAlign w:val="subscript"/>
              </w:rPr>
              <w:t>2</w:t>
            </w:r>
          </w:p>
        </w:tc>
        <w:tc>
          <w:tcPr>
            <w:tcW w:w="851" w:type="dxa"/>
          </w:tcPr>
          <w:p w:rsidRPr="00EC0D6B" w:rsidR="00AF35DF" w:rsidP="00AF35DF" w:rsidRDefault="00AF35DF">
            <w:pPr>
              <w:spacing w:after="0"/>
              <w:cnfStyle w:val="100000000000"/>
              <w:rPr>
                <w:sz w:val="12"/>
                <w:szCs w:val="12"/>
              </w:rPr>
            </w:pPr>
            <w:r>
              <w:rPr>
                <w:sz w:val="12"/>
                <w:szCs w:val="12"/>
              </w:rPr>
              <w:t>NCP</w:t>
            </w:r>
          </w:p>
        </w:tc>
        <w:tc>
          <w:tcPr>
            <w:tcW w:w="843" w:type="dxa"/>
          </w:tcPr>
          <w:p w:rsidR="00AF35DF" w:rsidP="00AF35DF" w:rsidRDefault="00AF35DF">
            <w:pPr>
              <w:spacing w:after="0"/>
              <w:cnfStyle w:val="100000000000"/>
              <w:rPr>
                <w:sz w:val="12"/>
                <w:szCs w:val="12"/>
              </w:rPr>
            </w:pPr>
            <w:r>
              <w:rPr>
                <w:sz w:val="12"/>
                <w:szCs w:val="12"/>
              </w:rPr>
              <w:t>BPM</w:t>
            </w:r>
          </w:p>
          <w:p w:rsidRPr="00EC0D6B" w:rsidR="00AF35DF" w:rsidP="00AF35DF" w:rsidRDefault="00AF35DF">
            <w:pPr>
              <w:spacing w:after="0"/>
              <w:cnfStyle w:val="100000000000"/>
              <w:rPr>
                <w:sz w:val="12"/>
                <w:szCs w:val="12"/>
              </w:rPr>
            </w:pPr>
            <w:r>
              <w:rPr>
                <w:sz w:val="12"/>
                <w:szCs w:val="12"/>
              </w:rPr>
              <w:t>2011</w:t>
            </w:r>
          </w:p>
        </w:tc>
        <w:tc>
          <w:tcPr>
            <w:tcW w:w="844" w:type="dxa"/>
          </w:tcPr>
          <w:p w:rsidR="00AF35DF" w:rsidP="00AF35DF" w:rsidRDefault="00AF35DF">
            <w:pPr>
              <w:spacing w:after="0"/>
              <w:cnfStyle w:val="100000000000"/>
              <w:rPr>
                <w:sz w:val="12"/>
                <w:szCs w:val="12"/>
              </w:rPr>
            </w:pPr>
            <w:r>
              <w:rPr>
                <w:sz w:val="12"/>
                <w:szCs w:val="12"/>
              </w:rPr>
              <w:t>BPM</w:t>
            </w:r>
          </w:p>
          <w:p w:rsidRPr="00EC0D6B" w:rsidR="00AF35DF" w:rsidP="00AF35DF" w:rsidRDefault="00AF35DF">
            <w:pPr>
              <w:spacing w:after="0"/>
              <w:cnfStyle w:val="100000000000"/>
              <w:rPr>
                <w:sz w:val="12"/>
                <w:szCs w:val="12"/>
              </w:rPr>
            </w:pPr>
            <w:r>
              <w:rPr>
                <w:sz w:val="12"/>
                <w:szCs w:val="12"/>
              </w:rPr>
              <w:t>2012</w:t>
            </w:r>
          </w:p>
        </w:tc>
        <w:tc>
          <w:tcPr>
            <w:tcW w:w="843" w:type="dxa"/>
          </w:tcPr>
          <w:p w:rsidR="00AF35DF" w:rsidP="00AF35DF" w:rsidRDefault="00AF35DF">
            <w:pPr>
              <w:spacing w:after="0"/>
              <w:cnfStyle w:val="100000000000"/>
              <w:rPr>
                <w:sz w:val="12"/>
                <w:szCs w:val="12"/>
              </w:rPr>
            </w:pPr>
            <w:r>
              <w:rPr>
                <w:sz w:val="12"/>
                <w:szCs w:val="12"/>
              </w:rPr>
              <w:t>BPM</w:t>
            </w:r>
          </w:p>
          <w:p w:rsidRPr="00EC0D6B" w:rsidR="00AF35DF" w:rsidP="00AF35DF" w:rsidRDefault="00AF35DF">
            <w:pPr>
              <w:spacing w:after="0"/>
              <w:cnfStyle w:val="100000000000"/>
              <w:rPr>
                <w:sz w:val="12"/>
                <w:szCs w:val="12"/>
              </w:rPr>
            </w:pPr>
            <w:r>
              <w:rPr>
                <w:sz w:val="12"/>
                <w:szCs w:val="12"/>
              </w:rPr>
              <w:t>2013</w:t>
            </w:r>
          </w:p>
        </w:tc>
        <w:tc>
          <w:tcPr>
            <w:tcW w:w="844" w:type="dxa"/>
          </w:tcPr>
          <w:p w:rsidR="00AF35DF" w:rsidP="00AF35DF" w:rsidRDefault="00AF35DF">
            <w:pPr>
              <w:spacing w:after="0"/>
              <w:cnfStyle w:val="100000000000"/>
              <w:rPr>
                <w:sz w:val="12"/>
                <w:szCs w:val="12"/>
              </w:rPr>
            </w:pPr>
            <w:r>
              <w:rPr>
                <w:sz w:val="12"/>
                <w:szCs w:val="12"/>
              </w:rPr>
              <w:t>BPM</w:t>
            </w:r>
          </w:p>
          <w:p w:rsidRPr="00EC0D6B" w:rsidR="00AF35DF" w:rsidP="00AF35DF" w:rsidRDefault="00AF35DF">
            <w:pPr>
              <w:spacing w:after="0"/>
              <w:cnfStyle w:val="100000000000"/>
              <w:rPr>
                <w:sz w:val="12"/>
                <w:szCs w:val="12"/>
              </w:rPr>
            </w:pPr>
            <w:r>
              <w:rPr>
                <w:sz w:val="12"/>
                <w:szCs w:val="12"/>
              </w:rPr>
              <w:t>2014</w:t>
            </w:r>
          </w:p>
        </w:tc>
        <w:tc>
          <w:tcPr>
            <w:tcW w:w="844" w:type="dxa"/>
          </w:tcPr>
          <w:p w:rsidR="00AF35DF" w:rsidP="00AF35DF" w:rsidRDefault="00AF35DF">
            <w:pPr>
              <w:spacing w:after="0"/>
              <w:cnfStyle w:val="100000000000"/>
              <w:rPr>
                <w:sz w:val="12"/>
                <w:szCs w:val="12"/>
              </w:rPr>
            </w:pPr>
            <w:r>
              <w:rPr>
                <w:sz w:val="12"/>
                <w:szCs w:val="12"/>
              </w:rPr>
              <w:t>BPM</w:t>
            </w:r>
          </w:p>
          <w:p w:rsidRPr="00EC0D6B" w:rsidR="00AF35DF" w:rsidP="00AF35DF" w:rsidRDefault="00AF35DF">
            <w:pPr>
              <w:spacing w:after="0"/>
              <w:cnfStyle w:val="100000000000"/>
              <w:rPr>
                <w:sz w:val="12"/>
                <w:szCs w:val="12"/>
              </w:rPr>
            </w:pPr>
            <w:r>
              <w:rPr>
                <w:sz w:val="12"/>
                <w:szCs w:val="12"/>
              </w:rPr>
              <w:t>2015</w:t>
            </w:r>
          </w:p>
        </w:tc>
      </w:tr>
      <w:tr w:rsidRPr="00EC0D6B" w:rsidR="00AF35DF" w:rsidTr="00AF35DF">
        <w:trPr>
          <w:cnfStyle w:val="000000100000"/>
        </w:trPr>
        <w:tc>
          <w:tcPr>
            <w:cnfStyle w:val="001000000000"/>
            <w:tcW w:w="568" w:type="dxa"/>
          </w:tcPr>
          <w:p w:rsidRPr="00630CA9" w:rsidR="00AF35DF" w:rsidP="00AF35DF" w:rsidRDefault="00AF35DF">
            <w:pPr>
              <w:spacing w:after="0"/>
              <w:rPr>
                <w:rFonts w:cs="Arial"/>
                <w:b w:val="0"/>
                <w:sz w:val="14"/>
                <w:szCs w:val="14"/>
              </w:rPr>
            </w:pPr>
            <w:r w:rsidRPr="00630CA9">
              <w:rPr>
                <w:rFonts w:cs="Arial"/>
                <w:b w:val="0"/>
                <w:sz w:val="14"/>
                <w:szCs w:val="14"/>
              </w:rPr>
              <w:t>A</w:t>
            </w:r>
          </w:p>
        </w:tc>
        <w:tc>
          <w:tcPr>
            <w:tcW w:w="2374" w:type="dxa"/>
          </w:tcPr>
          <w:p w:rsidRPr="00382B08" w:rsidR="00AF35DF" w:rsidP="00AF35DF" w:rsidRDefault="00AF35DF">
            <w:pPr>
              <w:spacing w:after="0"/>
              <w:cnfStyle w:val="000000100000"/>
              <w:rPr>
                <w:rFonts w:cs="Arial"/>
                <w:sz w:val="12"/>
                <w:szCs w:val="12"/>
              </w:rPr>
            </w:pPr>
            <w:r w:rsidRPr="00382B08">
              <w:rPr>
                <w:rFonts w:cs="Arial"/>
                <w:sz w:val="12"/>
                <w:szCs w:val="12"/>
              </w:rPr>
              <w:t>Peugeot 107 1.0 50 kW  5-d XR</w:t>
            </w:r>
          </w:p>
        </w:tc>
        <w:tc>
          <w:tcPr>
            <w:tcW w:w="567" w:type="dxa"/>
          </w:tcPr>
          <w:p w:rsidRPr="00EC0D6B" w:rsidR="00AF35DF" w:rsidP="00AF35DF" w:rsidRDefault="00AF35DF">
            <w:pPr>
              <w:spacing w:after="0"/>
              <w:cnfStyle w:val="000000100000"/>
              <w:rPr>
                <w:sz w:val="12"/>
                <w:szCs w:val="12"/>
              </w:rPr>
            </w:pPr>
            <w:r>
              <w:rPr>
                <w:sz w:val="12"/>
                <w:szCs w:val="12"/>
              </w:rPr>
              <w:t>B</w:t>
            </w:r>
          </w:p>
        </w:tc>
        <w:tc>
          <w:tcPr>
            <w:tcW w:w="709" w:type="dxa"/>
          </w:tcPr>
          <w:p w:rsidRPr="00382B08" w:rsidR="00AF35DF" w:rsidP="00AF35DF" w:rsidRDefault="00AF35DF">
            <w:pPr>
              <w:spacing w:after="0"/>
              <w:cnfStyle w:val="000000100000"/>
              <w:rPr>
                <w:rFonts w:cs="Arial"/>
                <w:sz w:val="14"/>
                <w:szCs w:val="14"/>
              </w:rPr>
            </w:pPr>
            <w:r w:rsidRPr="00382B08">
              <w:rPr>
                <w:rFonts w:cs="Arial"/>
                <w:sz w:val="14"/>
                <w:szCs w:val="14"/>
              </w:rPr>
              <w:t>103</w:t>
            </w:r>
          </w:p>
        </w:tc>
        <w:tc>
          <w:tcPr>
            <w:tcW w:w="851" w:type="dxa"/>
          </w:tcPr>
          <w:p w:rsidRPr="00382B08" w:rsidR="00AF35DF" w:rsidP="00AF35DF" w:rsidRDefault="00AF35DF">
            <w:pPr>
              <w:spacing w:after="0"/>
              <w:cnfStyle w:val="000000100000"/>
              <w:rPr>
                <w:rFonts w:cs="Arial"/>
                <w:sz w:val="14"/>
                <w:szCs w:val="14"/>
              </w:rPr>
            </w:pPr>
            <w:r w:rsidRPr="00382B08">
              <w:rPr>
                <w:rFonts w:cs="Arial"/>
                <w:sz w:val="14"/>
                <w:szCs w:val="14"/>
              </w:rPr>
              <w:t>7.773</w:t>
            </w:r>
          </w:p>
        </w:tc>
        <w:tc>
          <w:tcPr>
            <w:tcW w:w="843" w:type="dxa"/>
          </w:tcPr>
          <w:p w:rsidRPr="00382B08" w:rsidR="00AF35DF" w:rsidP="00AF35DF" w:rsidRDefault="00AF35DF">
            <w:pPr>
              <w:spacing w:after="0"/>
              <w:cnfStyle w:val="000000100000"/>
              <w:rPr>
                <w:rFonts w:cs="Arial"/>
                <w:sz w:val="14"/>
                <w:szCs w:val="14"/>
              </w:rPr>
            </w:pPr>
            <w:r w:rsidRPr="00382B08">
              <w:rPr>
                <w:rFonts w:cs="Arial"/>
                <w:sz w:val="14"/>
                <w:szCs w:val="14"/>
              </w:rPr>
              <w:t>0</w:t>
            </w:r>
          </w:p>
        </w:tc>
        <w:tc>
          <w:tcPr>
            <w:tcW w:w="844" w:type="dxa"/>
          </w:tcPr>
          <w:p w:rsidRPr="00382B08" w:rsidR="00AF35DF" w:rsidP="00AF35DF" w:rsidRDefault="00AF35DF">
            <w:pPr>
              <w:spacing w:after="0"/>
              <w:cnfStyle w:val="000000100000"/>
              <w:rPr>
                <w:rFonts w:cs="Arial"/>
                <w:sz w:val="14"/>
                <w:szCs w:val="14"/>
              </w:rPr>
            </w:pPr>
            <w:r>
              <w:rPr>
                <w:rFonts w:cs="Arial"/>
                <w:sz w:val="14"/>
                <w:szCs w:val="14"/>
              </w:rPr>
              <w:t>0</w:t>
            </w:r>
          </w:p>
        </w:tc>
        <w:tc>
          <w:tcPr>
            <w:tcW w:w="843" w:type="dxa"/>
          </w:tcPr>
          <w:p w:rsidRPr="00382B08" w:rsidR="00AF35DF" w:rsidP="00AF35DF" w:rsidRDefault="00AF35DF">
            <w:pPr>
              <w:spacing w:after="0"/>
              <w:cnfStyle w:val="000000100000"/>
              <w:rPr>
                <w:rFonts w:cs="Arial"/>
                <w:sz w:val="14"/>
                <w:szCs w:val="14"/>
              </w:rPr>
            </w:pPr>
            <w:r>
              <w:rPr>
                <w:rFonts w:cs="Arial"/>
                <w:sz w:val="14"/>
                <w:szCs w:val="14"/>
              </w:rPr>
              <w:t>107</w:t>
            </w:r>
          </w:p>
        </w:tc>
        <w:tc>
          <w:tcPr>
            <w:tcW w:w="844" w:type="dxa"/>
          </w:tcPr>
          <w:p w:rsidRPr="00382B08" w:rsidR="00AF35DF" w:rsidP="00AF35DF" w:rsidRDefault="00AF35DF">
            <w:pPr>
              <w:spacing w:after="0"/>
              <w:cnfStyle w:val="000000100000"/>
              <w:rPr>
                <w:rFonts w:cs="Arial"/>
                <w:sz w:val="14"/>
                <w:szCs w:val="14"/>
              </w:rPr>
            </w:pPr>
            <w:r>
              <w:rPr>
                <w:rFonts w:cs="Arial"/>
                <w:sz w:val="14"/>
                <w:szCs w:val="14"/>
              </w:rPr>
              <w:t>450</w:t>
            </w:r>
          </w:p>
        </w:tc>
        <w:tc>
          <w:tcPr>
            <w:tcW w:w="844" w:type="dxa"/>
          </w:tcPr>
          <w:p w:rsidRPr="00382B08" w:rsidR="00AF35DF" w:rsidP="00AF35DF" w:rsidRDefault="00AF35DF">
            <w:pPr>
              <w:spacing w:after="0"/>
              <w:cnfStyle w:val="000000100000"/>
              <w:rPr>
                <w:rFonts w:cs="Arial"/>
                <w:sz w:val="14"/>
                <w:szCs w:val="14"/>
              </w:rPr>
            </w:pPr>
            <w:r>
              <w:rPr>
                <w:rFonts w:cs="Arial"/>
                <w:sz w:val="14"/>
                <w:szCs w:val="14"/>
              </w:rPr>
              <w:t>648</w:t>
            </w:r>
          </w:p>
        </w:tc>
      </w:tr>
      <w:tr w:rsidRPr="00630CA9" w:rsidR="00AF35DF" w:rsidTr="00AF35DF">
        <w:tc>
          <w:tcPr>
            <w:cnfStyle w:val="001000000000"/>
            <w:tcW w:w="568" w:type="dxa"/>
          </w:tcPr>
          <w:p w:rsidRPr="00630CA9" w:rsidR="00AF35DF" w:rsidP="00AF35DF" w:rsidRDefault="00AF35DF">
            <w:pPr>
              <w:spacing w:after="0"/>
              <w:rPr>
                <w:rFonts w:cs="Arial"/>
                <w:b w:val="0"/>
                <w:sz w:val="14"/>
                <w:szCs w:val="14"/>
              </w:rPr>
            </w:pPr>
            <w:r w:rsidRPr="00630CA9">
              <w:rPr>
                <w:rFonts w:cs="Arial"/>
                <w:b w:val="0"/>
                <w:sz w:val="14"/>
                <w:szCs w:val="14"/>
              </w:rPr>
              <w:t>C</w:t>
            </w:r>
          </w:p>
        </w:tc>
        <w:tc>
          <w:tcPr>
            <w:tcW w:w="2374" w:type="dxa"/>
          </w:tcPr>
          <w:p w:rsidRPr="00382B08" w:rsidR="00AF35DF" w:rsidP="00AF35DF" w:rsidRDefault="00AF35DF">
            <w:pPr>
              <w:spacing w:after="0"/>
              <w:cnfStyle w:val="000000000000"/>
              <w:rPr>
                <w:rFonts w:cs="Arial"/>
                <w:sz w:val="12"/>
                <w:szCs w:val="12"/>
                <w:lang w:val="en-US"/>
              </w:rPr>
            </w:pPr>
            <w:r w:rsidRPr="00382B08">
              <w:rPr>
                <w:rFonts w:cs="Arial"/>
                <w:sz w:val="12"/>
                <w:szCs w:val="12"/>
                <w:lang w:val="en-US"/>
              </w:rPr>
              <w:t>Renault Megane Estate 1.4 TCE 96 kW  dynamique</w:t>
            </w:r>
          </w:p>
        </w:tc>
        <w:tc>
          <w:tcPr>
            <w:tcW w:w="567" w:type="dxa"/>
          </w:tcPr>
          <w:p w:rsidRPr="00630CA9" w:rsidR="00AF35DF" w:rsidP="00AF35DF" w:rsidRDefault="00AF35DF">
            <w:pPr>
              <w:spacing w:after="0"/>
              <w:cnfStyle w:val="000000000000"/>
              <w:rPr>
                <w:sz w:val="12"/>
                <w:szCs w:val="12"/>
                <w:lang w:val="en-US"/>
              </w:rPr>
            </w:pPr>
            <w:r>
              <w:rPr>
                <w:sz w:val="12"/>
                <w:szCs w:val="12"/>
                <w:lang w:val="en-US"/>
              </w:rPr>
              <w:t>B</w:t>
            </w:r>
          </w:p>
        </w:tc>
        <w:tc>
          <w:tcPr>
            <w:tcW w:w="709" w:type="dxa"/>
          </w:tcPr>
          <w:p w:rsidRPr="00382B08" w:rsidR="00AF35DF" w:rsidP="00AF35DF" w:rsidRDefault="00AF35DF">
            <w:pPr>
              <w:spacing w:after="0"/>
              <w:cnfStyle w:val="000000000000"/>
              <w:rPr>
                <w:rFonts w:cs="Arial"/>
                <w:sz w:val="14"/>
                <w:szCs w:val="14"/>
              </w:rPr>
            </w:pPr>
            <w:r w:rsidRPr="00382B08">
              <w:rPr>
                <w:rFonts w:cs="Arial"/>
                <w:sz w:val="14"/>
                <w:szCs w:val="14"/>
              </w:rPr>
              <w:t>145</w:t>
            </w:r>
          </w:p>
        </w:tc>
        <w:tc>
          <w:tcPr>
            <w:tcW w:w="851" w:type="dxa"/>
          </w:tcPr>
          <w:p w:rsidRPr="00382B08" w:rsidR="00AF35DF" w:rsidP="00AF35DF" w:rsidRDefault="00AF35DF">
            <w:pPr>
              <w:spacing w:after="0"/>
              <w:cnfStyle w:val="000000000000"/>
              <w:rPr>
                <w:rFonts w:cs="Arial"/>
                <w:sz w:val="14"/>
                <w:szCs w:val="14"/>
              </w:rPr>
            </w:pPr>
            <w:r w:rsidRPr="00382B08">
              <w:rPr>
                <w:rFonts w:cs="Arial"/>
                <w:sz w:val="14"/>
                <w:szCs w:val="14"/>
              </w:rPr>
              <w:t>16.434</w:t>
            </w:r>
          </w:p>
        </w:tc>
        <w:tc>
          <w:tcPr>
            <w:tcW w:w="843" w:type="dxa"/>
          </w:tcPr>
          <w:p w:rsidRPr="00382B08" w:rsidR="00AF35DF" w:rsidP="00AF35DF" w:rsidRDefault="00AF35DF">
            <w:pPr>
              <w:spacing w:after="0"/>
              <w:cnfStyle w:val="000000000000"/>
              <w:rPr>
                <w:rFonts w:cs="Arial"/>
                <w:sz w:val="14"/>
                <w:szCs w:val="14"/>
              </w:rPr>
            </w:pPr>
            <w:r w:rsidRPr="00382B08">
              <w:rPr>
                <w:rFonts w:cs="Arial"/>
                <w:sz w:val="14"/>
                <w:szCs w:val="14"/>
              </w:rPr>
              <w:t>4.433</w:t>
            </w:r>
          </w:p>
        </w:tc>
        <w:tc>
          <w:tcPr>
            <w:tcW w:w="844" w:type="dxa"/>
          </w:tcPr>
          <w:p w:rsidRPr="00382B08" w:rsidR="00AF35DF" w:rsidP="00AF35DF" w:rsidRDefault="00AF35DF">
            <w:pPr>
              <w:spacing w:after="0"/>
              <w:cnfStyle w:val="000000000000"/>
              <w:rPr>
                <w:rFonts w:cs="Arial"/>
                <w:sz w:val="14"/>
                <w:szCs w:val="14"/>
              </w:rPr>
            </w:pPr>
            <w:r>
              <w:rPr>
                <w:rFonts w:cs="Arial"/>
                <w:sz w:val="14"/>
                <w:szCs w:val="14"/>
              </w:rPr>
              <w:t>4.718</w:t>
            </w:r>
          </w:p>
        </w:tc>
        <w:tc>
          <w:tcPr>
            <w:tcW w:w="843" w:type="dxa"/>
          </w:tcPr>
          <w:p w:rsidRPr="00382B08" w:rsidR="00AF35DF" w:rsidP="00AF35DF" w:rsidRDefault="00AF35DF">
            <w:pPr>
              <w:spacing w:after="0"/>
              <w:cnfStyle w:val="000000000000"/>
              <w:rPr>
                <w:rFonts w:cs="Arial"/>
                <w:sz w:val="14"/>
                <w:szCs w:val="14"/>
              </w:rPr>
            </w:pPr>
            <w:r>
              <w:rPr>
                <w:rFonts w:cs="Arial"/>
                <w:sz w:val="14"/>
                <w:szCs w:val="14"/>
              </w:rPr>
              <w:t>4.280</w:t>
            </w:r>
          </w:p>
        </w:tc>
        <w:tc>
          <w:tcPr>
            <w:tcW w:w="844" w:type="dxa"/>
          </w:tcPr>
          <w:p w:rsidRPr="00382B08" w:rsidR="00AF35DF" w:rsidP="00AF35DF" w:rsidRDefault="00AF35DF">
            <w:pPr>
              <w:spacing w:after="0"/>
              <w:cnfStyle w:val="000000000000"/>
              <w:rPr>
                <w:rFonts w:cs="Arial"/>
                <w:sz w:val="14"/>
                <w:szCs w:val="14"/>
              </w:rPr>
            </w:pPr>
            <w:r>
              <w:rPr>
                <w:rFonts w:cs="Arial"/>
                <w:sz w:val="14"/>
                <w:szCs w:val="14"/>
              </w:rPr>
              <w:t>3.996</w:t>
            </w:r>
          </w:p>
        </w:tc>
        <w:tc>
          <w:tcPr>
            <w:tcW w:w="844" w:type="dxa"/>
          </w:tcPr>
          <w:p w:rsidRPr="00382B08" w:rsidR="00AF35DF" w:rsidP="00AF35DF" w:rsidRDefault="00AF35DF">
            <w:pPr>
              <w:spacing w:after="0"/>
              <w:cnfStyle w:val="000000000000"/>
              <w:rPr>
                <w:rFonts w:cs="Arial"/>
                <w:sz w:val="14"/>
                <w:szCs w:val="14"/>
              </w:rPr>
            </w:pPr>
            <w:r>
              <w:rPr>
                <w:rFonts w:cs="Arial"/>
                <w:sz w:val="14"/>
                <w:szCs w:val="14"/>
              </w:rPr>
              <w:t>3.820</w:t>
            </w:r>
          </w:p>
        </w:tc>
      </w:tr>
      <w:tr w:rsidRPr="00630CA9" w:rsidR="00AF35DF" w:rsidTr="00AF35DF">
        <w:trPr>
          <w:cnfStyle w:val="000000100000"/>
        </w:trPr>
        <w:tc>
          <w:tcPr>
            <w:cnfStyle w:val="001000000000"/>
            <w:tcW w:w="568" w:type="dxa"/>
          </w:tcPr>
          <w:p w:rsidRPr="00630CA9" w:rsidR="00AF35DF" w:rsidP="00AF35DF" w:rsidRDefault="00AF35DF">
            <w:pPr>
              <w:spacing w:after="0"/>
              <w:rPr>
                <w:rFonts w:cs="Arial"/>
                <w:b w:val="0"/>
                <w:sz w:val="14"/>
                <w:szCs w:val="14"/>
              </w:rPr>
            </w:pPr>
            <w:r w:rsidRPr="00630CA9">
              <w:rPr>
                <w:rFonts w:cs="Arial"/>
                <w:b w:val="0"/>
                <w:sz w:val="14"/>
                <w:szCs w:val="14"/>
              </w:rPr>
              <w:t>E</w:t>
            </w:r>
          </w:p>
        </w:tc>
        <w:tc>
          <w:tcPr>
            <w:tcW w:w="2374" w:type="dxa"/>
          </w:tcPr>
          <w:p w:rsidRPr="00382B08" w:rsidR="00AF35DF" w:rsidP="00AF35DF" w:rsidRDefault="00AF35DF">
            <w:pPr>
              <w:spacing w:after="0"/>
              <w:cnfStyle w:val="000000100000"/>
              <w:rPr>
                <w:rFonts w:cs="Arial"/>
                <w:sz w:val="12"/>
                <w:szCs w:val="12"/>
                <w:lang w:val="en-US"/>
              </w:rPr>
            </w:pPr>
            <w:r w:rsidRPr="00382B08">
              <w:rPr>
                <w:rFonts w:cs="Arial"/>
                <w:sz w:val="12"/>
                <w:szCs w:val="12"/>
                <w:lang w:val="en-US"/>
              </w:rPr>
              <w:t>BMW 523i  150 kW  4-d executive automaat</w:t>
            </w:r>
          </w:p>
        </w:tc>
        <w:tc>
          <w:tcPr>
            <w:tcW w:w="567" w:type="dxa"/>
          </w:tcPr>
          <w:p w:rsidRPr="00630CA9" w:rsidR="00AF35DF" w:rsidP="00AF35DF" w:rsidRDefault="00AF35DF">
            <w:pPr>
              <w:spacing w:after="0"/>
              <w:cnfStyle w:val="000000100000"/>
              <w:rPr>
                <w:sz w:val="12"/>
                <w:szCs w:val="12"/>
                <w:lang w:val="en-US"/>
              </w:rPr>
            </w:pPr>
            <w:r>
              <w:rPr>
                <w:sz w:val="12"/>
                <w:szCs w:val="12"/>
                <w:lang w:val="en-US"/>
              </w:rPr>
              <w:t>B</w:t>
            </w:r>
          </w:p>
        </w:tc>
        <w:tc>
          <w:tcPr>
            <w:tcW w:w="709" w:type="dxa"/>
          </w:tcPr>
          <w:p w:rsidRPr="00382B08" w:rsidR="00AF35DF" w:rsidP="00AF35DF" w:rsidRDefault="00AF35DF">
            <w:pPr>
              <w:spacing w:after="0"/>
              <w:cnfStyle w:val="000000100000"/>
              <w:rPr>
                <w:rFonts w:cs="Arial"/>
                <w:sz w:val="14"/>
                <w:szCs w:val="14"/>
              </w:rPr>
            </w:pPr>
            <w:r w:rsidRPr="00382B08">
              <w:rPr>
                <w:rFonts w:cs="Arial"/>
                <w:sz w:val="14"/>
                <w:szCs w:val="14"/>
              </w:rPr>
              <w:t>178</w:t>
            </w:r>
          </w:p>
        </w:tc>
        <w:tc>
          <w:tcPr>
            <w:tcW w:w="851" w:type="dxa"/>
          </w:tcPr>
          <w:p w:rsidRPr="00382B08" w:rsidR="00AF35DF" w:rsidP="00AF35DF" w:rsidRDefault="00AF35DF">
            <w:pPr>
              <w:spacing w:after="0"/>
              <w:cnfStyle w:val="000000100000"/>
              <w:rPr>
                <w:rFonts w:cs="Arial"/>
                <w:sz w:val="14"/>
                <w:szCs w:val="14"/>
              </w:rPr>
            </w:pPr>
            <w:r w:rsidRPr="00382B08">
              <w:rPr>
                <w:rFonts w:cs="Arial"/>
                <w:sz w:val="14"/>
                <w:szCs w:val="14"/>
              </w:rPr>
              <w:t>39.008</w:t>
            </w:r>
          </w:p>
        </w:tc>
        <w:tc>
          <w:tcPr>
            <w:tcW w:w="843" w:type="dxa"/>
          </w:tcPr>
          <w:p w:rsidRPr="00382B08" w:rsidR="00AF35DF" w:rsidP="00AF35DF" w:rsidRDefault="00AF35DF">
            <w:pPr>
              <w:spacing w:after="0"/>
              <w:cnfStyle w:val="000000100000"/>
              <w:rPr>
                <w:rFonts w:cs="Arial"/>
                <w:sz w:val="14"/>
                <w:szCs w:val="14"/>
              </w:rPr>
            </w:pPr>
            <w:r w:rsidRPr="00382B08">
              <w:rPr>
                <w:rFonts w:cs="Arial"/>
                <w:sz w:val="14"/>
                <w:szCs w:val="14"/>
              </w:rPr>
              <w:t>10.736</w:t>
            </w:r>
          </w:p>
        </w:tc>
        <w:tc>
          <w:tcPr>
            <w:tcW w:w="844" w:type="dxa"/>
          </w:tcPr>
          <w:p w:rsidRPr="00382B08" w:rsidR="00AF35DF" w:rsidP="00AF35DF" w:rsidRDefault="00AF35DF">
            <w:pPr>
              <w:spacing w:after="0"/>
              <w:cnfStyle w:val="000000100000"/>
              <w:rPr>
                <w:rFonts w:cs="Arial"/>
                <w:sz w:val="14"/>
                <w:szCs w:val="14"/>
              </w:rPr>
            </w:pPr>
            <w:r w:rsidRPr="00382B08">
              <w:rPr>
                <w:rFonts w:cs="Arial"/>
                <w:sz w:val="14"/>
                <w:szCs w:val="14"/>
              </w:rPr>
              <w:t>10.</w:t>
            </w:r>
            <w:r>
              <w:rPr>
                <w:rFonts w:cs="Arial"/>
                <w:sz w:val="14"/>
                <w:szCs w:val="14"/>
              </w:rPr>
              <w:t>274</w:t>
            </w:r>
          </w:p>
        </w:tc>
        <w:tc>
          <w:tcPr>
            <w:tcW w:w="843" w:type="dxa"/>
          </w:tcPr>
          <w:p w:rsidRPr="00382B08" w:rsidR="00AF35DF" w:rsidP="00AF35DF" w:rsidRDefault="00AF35DF">
            <w:pPr>
              <w:spacing w:after="0"/>
              <w:cnfStyle w:val="000000100000"/>
              <w:rPr>
                <w:rFonts w:cs="Arial"/>
                <w:sz w:val="14"/>
                <w:szCs w:val="14"/>
              </w:rPr>
            </w:pPr>
            <w:r>
              <w:rPr>
                <w:rFonts w:cs="Arial"/>
                <w:sz w:val="14"/>
                <w:szCs w:val="14"/>
              </w:rPr>
              <w:t>8.143</w:t>
            </w:r>
          </w:p>
        </w:tc>
        <w:tc>
          <w:tcPr>
            <w:tcW w:w="844" w:type="dxa"/>
          </w:tcPr>
          <w:p w:rsidRPr="00382B08" w:rsidR="00AF35DF" w:rsidP="00AF35DF" w:rsidRDefault="00AF35DF">
            <w:pPr>
              <w:spacing w:after="0"/>
              <w:cnfStyle w:val="000000100000"/>
              <w:rPr>
                <w:rFonts w:cs="Arial"/>
                <w:sz w:val="14"/>
                <w:szCs w:val="14"/>
              </w:rPr>
            </w:pPr>
            <w:r>
              <w:rPr>
                <w:rFonts w:cs="Arial"/>
                <w:sz w:val="14"/>
                <w:szCs w:val="14"/>
              </w:rPr>
              <w:t>7.128</w:t>
            </w:r>
          </w:p>
        </w:tc>
        <w:tc>
          <w:tcPr>
            <w:tcW w:w="844" w:type="dxa"/>
          </w:tcPr>
          <w:p w:rsidRPr="00382B08" w:rsidR="00AF35DF" w:rsidP="00AF35DF" w:rsidRDefault="00AF35DF">
            <w:pPr>
              <w:spacing w:after="0"/>
              <w:cnfStyle w:val="000000100000"/>
              <w:rPr>
                <w:rFonts w:cs="Arial"/>
                <w:sz w:val="14"/>
                <w:szCs w:val="14"/>
              </w:rPr>
            </w:pPr>
            <w:r>
              <w:rPr>
                <w:rFonts w:cs="Arial"/>
                <w:sz w:val="14"/>
                <w:szCs w:val="14"/>
              </w:rPr>
              <w:t>6.633</w:t>
            </w:r>
          </w:p>
        </w:tc>
      </w:tr>
      <w:tr w:rsidRPr="00EC0D6B" w:rsidR="00AF35DF" w:rsidTr="00AF35DF">
        <w:tc>
          <w:tcPr>
            <w:cnfStyle w:val="001000000000"/>
            <w:tcW w:w="568" w:type="dxa"/>
          </w:tcPr>
          <w:p w:rsidRPr="00630CA9" w:rsidR="00AF35DF" w:rsidP="00AF35DF" w:rsidRDefault="00AF35DF">
            <w:pPr>
              <w:spacing w:after="0"/>
              <w:rPr>
                <w:rFonts w:cs="Arial"/>
                <w:b w:val="0"/>
                <w:sz w:val="14"/>
                <w:szCs w:val="14"/>
              </w:rPr>
            </w:pPr>
            <w:r>
              <w:rPr>
                <w:rFonts w:cs="Arial"/>
                <w:b w:val="0"/>
                <w:sz w:val="14"/>
                <w:szCs w:val="14"/>
              </w:rPr>
              <w:t>L</w:t>
            </w:r>
          </w:p>
        </w:tc>
        <w:tc>
          <w:tcPr>
            <w:tcW w:w="2374" w:type="dxa"/>
          </w:tcPr>
          <w:p w:rsidRPr="00382B08" w:rsidR="00AF35DF" w:rsidP="00AF35DF" w:rsidRDefault="00AF35DF">
            <w:pPr>
              <w:spacing w:after="0"/>
              <w:cnfStyle w:val="000000000000"/>
              <w:rPr>
                <w:rFonts w:cs="Arial"/>
                <w:sz w:val="12"/>
                <w:szCs w:val="12"/>
              </w:rPr>
            </w:pPr>
            <w:r>
              <w:rPr>
                <w:rFonts w:cs="Arial"/>
                <w:sz w:val="12"/>
                <w:szCs w:val="12"/>
              </w:rPr>
              <w:t>Porsche Cayenne</w:t>
            </w:r>
          </w:p>
        </w:tc>
        <w:tc>
          <w:tcPr>
            <w:tcW w:w="567" w:type="dxa"/>
          </w:tcPr>
          <w:p w:rsidR="00AF35DF" w:rsidP="00AF35DF" w:rsidRDefault="00AF35DF">
            <w:pPr>
              <w:spacing w:after="0"/>
              <w:cnfStyle w:val="000000000000"/>
              <w:rPr>
                <w:sz w:val="12"/>
                <w:szCs w:val="12"/>
              </w:rPr>
            </w:pPr>
            <w:r>
              <w:rPr>
                <w:sz w:val="12"/>
                <w:szCs w:val="12"/>
              </w:rPr>
              <w:t>B</w:t>
            </w:r>
          </w:p>
        </w:tc>
        <w:tc>
          <w:tcPr>
            <w:tcW w:w="709" w:type="dxa"/>
          </w:tcPr>
          <w:p w:rsidRPr="00382B08" w:rsidR="00AF35DF" w:rsidP="00AF35DF" w:rsidRDefault="00AF35DF">
            <w:pPr>
              <w:spacing w:after="0"/>
              <w:cnfStyle w:val="000000000000"/>
              <w:rPr>
                <w:rFonts w:cs="Arial"/>
                <w:sz w:val="14"/>
                <w:szCs w:val="14"/>
              </w:rPr>
            </w:pPr>
            <w:r>
              <w:rPr>
                <w:rFonts w:cs="Arial"/>
                <w:sz w:val="14"/>
                <w:szCs w:val="14"/>
              </w:rPr>
              <w:t>270</w:t>
            </w:r>
          </w:p>
        </w:tc>
        <w:tc>
          <w:tcPr>
            <w:tcW w:w="851" w:type="dxa"/>
          </w:tcPr>
          <w:p w:rsidRPr="00382B08" w:rsidR="00AF35DF" w:rsidP="00AF35DF" w:rsidRDefault="00AF35DF">
            <w:pPr>
              <w:spacing w:after="0"/>
              <w:cnfStyle w:val="000000000000"/>
              <w:rPr>
                <w:rFonts w:cs="Arial"/>
                <w:sz w:val="14"/>
                <w:szCs w:val="14"/>
              </w:rPr>
            </w:pPr>
            <w:r>
              <w:rPr>
                <w:rFonts w:cs="Arial"/>
                <w:sz w:val="14"/>
                <w:szCs w:val="14"/>
              </w:rPr>
              <w:t>99.220</w:t>
            </w:r>
          </w:p>
        </w:tc>
        <w:tc>
          <w:tcPr>
            <w:tcW w:w="843" w:type="dxa"/>
          </w:tcPr>
          <w:p w:rsidRPr="00382B08" w:rsidR="00AF35DF" w:rsidP="00AF35DF" w:rsidRDefault="00AF35DF">
            <w:pPr>
              <w:spacing w:after="0"/>
              <w:cnfStyle w:val="000000000000"/>
              <w:rPr>
                <w:rFonts w:cs="Arial"/>
                <w:sz w:val="14"/>
                <w:szCs w:val="14"/>
              </w:rPr>
            </w:pPr>
            <w:r>
              <w:rPr>
                <w:rFonts w:cs="Arial"/>
                <w:sz w:val="14"/>
                <w:szCs w:val="14"/>
              </w:rPr>
              <w:t>40.478</w:t>
            </w:r>
          </w:p>
        </w:tc>
        <w:tc>
          <w:tcPr>
            <w:tcW w:w="844" w:type="dxa"/>
          </w:tcPr>
          <w:p w:rsidRPr="00382B08" w:rsidR="00AF35DF" w:rsidP="00AF35DF" w:rsidRDefault="00AF35DF">
            <w:pPr>
              <w:spacing w:after="0"/>
              <w:cnfStyle w:val="000000000000"/>
              <w:rPr>
                <w:rFonts w:cs="Arial"/>
                <w:sz w:val="14"/>
                <w:szCs w:val="14"/>
              </w:rPr>
            </w:pPr>
            <w:r>
              <w:rPr>
                <w:rFonts w:cs="Arial"/>
                <w:sz w:val="14"/>
                <w:szCs w:val="14"/>
              </w:rPr>
              <w:t>28.503</w:t>
            </w:r>
          </w:p>
        </w:tc>
        <w:tc>
          <w:tcPr>
            <w:tcW w:w="843" w:type="dxa"/>
          </w:tcPr>
          <w:p w:rsidRPr="00382B08" w:rsidR="00AF35DF" w:rsidP="00AF35DF" w:rsidRDefault="00AF35DF">
            <w:pPr>
              <w:spacing w:after="0"/>
              <w:cnfStyle w:val="000000000000"/>
              <w:rPr>
                <w:rFonts w:cs="Arial"/>
                <w:sz w:val="14"/>
                <w:szCs w:val="14"/>
              </w:rPr>
            </w:pPr>
            <w:r>
              <w:rPr>
                <w:rFonts w:cs="Arial"/>
                <w:sz w:val="14"/>
                <w:szCs w:val="14"/>
              </w:rPr>
              <w:t>23.859</w:t>
            </w:r>
          </w:p>
        </w:tc>
        <w:tc>
          <w:tcPr>
            <w:tcW w:w="844" w:type="dxa"/>
          </w:tcPr>
          <w:p w:rsidRPr="00382B08" w:rsidR="00AF35DF" w:rsidP="00AF35DF" w:rsidRDefault="00AF35DF">
            <w:pPr>
              <w:spacing w:after="0"/>
              <w:cnfStyle w:val="000000000000"/>
              <w:rPr>
                <w:rFonts w:cs="Arial"/>
                <w:sz w:val="14"/>
                <w:szCs w:val="14"/>
              </w:rPr>
            </w:pPr>
            <w:r>
              <w:rPr>
                <w:rFonts w:cs="Arial"/>
                <w:sz w:val="14"/>
                <w:szCs w:val="14"/>
              </w:rPr>
              <w:t>21.582</w:t>
            </w:r>
          </w:p>
        </w:tc>
        <w:tc>
          <w:tcPr>
            <w:tcW w:w="844" w:type="dxa"/>
          </w:tcPr>
          <w:p w:rsidRPr="00382B08" w:rsidR="00AF35DF" w:rsidP="00AF35DF" w:rsidRDefault="00AF35DF">
            <w:pPr>
              <w:spacing w:after="0"/>
              <w:cnfStyle w:val="000000000000"/>
              <w:rPr>
                <w:rFonts w:cs="Arial"/>
                <w:sz w:val="14"/>
                <w:szCs w:val="14"/>
              </w:rPr>
            </w:pPr>
            <w:r>
              <w:rPr>
                <w:rFonts w:cs="Arial"/>
                <w:sz w:val="14"/>
                <w:szCs w:val="14"/>
              </w:rPr>
              <w:t>20.468</w:t>
            </w:r>
          </w:p>
        </w:tc>
      </w:tr>
      <w:tr w:rsidRPr="003B637F" w:rsidR="00AF35DF" w:rsidTr="00AF35DF">
        <w:trPr>
          <w:cnfStyle w:val="000000100000"/>
        </w:trPr>
        <w:tc>
          <w:tcPr>
            <w:cnfStyle w:val="001000000000"/>
            <w:tcW w:w="568" w:type="dxa"/>
          </w:tcPr>
          <w:p w:rsidRPr="003B637F" w:rsidR="00AF35DF" w:rsidP="00AF35DF" w:rsidRDefault="00AF35DF">
            <w:pPr>
              <w:spacing w:after="0"/>
              <w:rPr>
                <w:rFonts w:cs="Arial"/>
                <w:b w:val="0"/>
                <w:sz w:val="14"/>
                <w:szCs w:val="14"/>
              </w:rPr>
            </w:pPr>
            <w:r w:rsidRPr="003B637F">
              <w:rPr>
                <w:rFonts w:cs="Arial"/>
                <w:b w:val="0"/>
                <w:sz w:val="14"/>
                <w:szCs w:val="14"/>
              </w:rPr>
              <w:t>L</w:t>
            </w:r>
          </w:p>
        </w:tc>
        <w:tc>
          <w:tcPr>
            <w:tcW w:w="2374" w:type="dxa"/>
          </w:tcPr>
          <w:p w:rsidRPr="003B637F" w:rsidR="00AF35DF" w:rsidP="00AF35DF" w:rsidRDefault="00AF35DF">
            <w:pPr>
              <w:spacing w:after="0"/>
              <w:cnfStyle w:val="000000100000"/>
              <w:rPr>
                <w:rFonts w:cs="Arial"/>
                <w:sz w:val="12"/>
                <w:szCs w:val="12"/>
              </w:rPr>
            </w:pPr>
            <w:r>
              <w:rPr>
                <w:rFonts w:cs="Arial"/>
                <w:sz w:val="12"/>
                <w:szCs w:val="12"/>
              </w:rPr>
              <w:t>Volvo XC90 3.2 Momentum</w:t>
            </w:r>
          </w:p>
        </w:tc>
        <w:tc>
          <w:tcPr>
            <w:tcW w:w="567" w:type="dxa"/>
          </w:tcPr>
          <w:p w:rsidRPr="003B637F" w:rsidR="00AF35DF" w:rsidP="00AF35DF" w:rsidRDefault="00AF35DF">
            <w:pPr>
              <w:spacing w:after="0"/>
              <w:cnfStyle w:val="000000100000"/>
              <w:rPr>
                <w:sz w:val="12"/>
                <w:szCs w:val="12"/>
              </w:rPr>
            </w:pPr>
            <w:r>
              <w:rPr>
                <w:sz w:val="12"/>
                <w:szCs w:val="12"/>
              </w:rPr>
              <w:t>B</w:t>
            </w:r>
          </w:p>
        </w:tc>
        <w:tc>
          <w:tcPr>
            <w:tcW w:w="709" w:type="dxa"/>
          </w:tcPr>
          <w:p w:rsidRPr="003B637F" w:rsidR="00AF35DF" w:rsidP="00AF35DF" w:rsidRDefault="00AF35DF">
            <w:pPr>
              <w:spacing w:after="0"/>
              <w:cnfStyle w:val="000000100000"/>
              <w:rPr>
                <w:rFonts w:cs="Arial"/>
                <w:sz w:val="14"/>
                <w:szCs w:val="14"/>
              </w:rPr>
            </w:pPr>
            <w:r>
              <w:rPr>
                <w:rFonts w:cs="Arial"/>
                <w:sz w:val="14"/>
                <w:szCs w:val="14"/>
              </w:rPr>
              <w:t>269</w:t>
            </w:r>
          </w:p>
        </w:tc>
        <w:tc>
          <w:tcPr>
            <w:tcW w:w="851" w:type="dxa"/>
          </w:tcPr>
          <w:p w:rsidRPr="003B637F" w:rsidR="00AF35DF" w:rsidP="00AF35DF" w:rsidRDefault="00AF35DF">
            <w:pPr>
              <w:spacing w:after="0"/>
              <w:cnfStyle w:val="000000100000"/>
              <w:rPr>
                <w:rFonts w:cs="Arial"/>
                <w:sz w:val="14"/>
                <w:szCs w:val="14"/>
              </w:rPr>
            </w:pPr>
            <w:r>
              <w:rPr>
                <w:rFonts w:cs="Arial"/>
                <w:sz w:val="14"/>
                <w:szCs w:val="14"/>
              </w:rPr>
              <w:t>45.338</w:t>
            </w:r>
          </w:p>
        </w:tc>
        <w:tc>
          <w:tcPr>
            <w:tcW w:w="843" w:type="dxa"/>
          </w:tcPr>
          <w:p w:rsidRPr="003B637F" w:rsidR="00AF35DF" w:rsidP="00AF35DF" w:rsidRDefault="00AF35DF">
            <w:pPr>
              <w:spacing w:after="0"/>
              <w:cnfStyle w:val="000000100000"/>
              <w:rPr>
                <w:rFonts w:cs="Arial"/>
                <w:sz w:val="14"/>
                <w:szCs w:val="14"/>
              </w:rPr>
            </w:pPr>
            <w:r>
              <w:rPr>
                <w:rFonts w:cs="Arial"/>
                <w:sz w:val="14"/>
                <w:szCs w:val="14"/>
              </w:rPr>
              <w:t>30.038</w:t>
            </w:r>
          </w:p>
        </w:tc>
        <w:tc>
          <w:tcPr>
            <w:tcW w:w="844" w:type="dxa"/>
          </w:tcPr>
          <w:p w:rsidRPr="003B637F" w:rsidR="00AF35DF" w:rsidP="00AF35DF" w:rsidRDefault="00AF35DF">
            <w:pPr>
              <w:spacing w:after="0"/>
              <w:cnfStyle w:val="000000100000"/>
              <w:rPr>
                <w:rFonts w:cs="Arial"/>
                <w:sz w:val="14"/>
                <w:szCs w:val="14"/>
              </w:rPr>
            </w:pPr>
            <w:r>
              <w:rPr>
                <w:rFonts w:cs="Arial"/>
                <w:sz w:val="14"/>
                <w:szCs w:val="14"/>
              </w:rPr>
              <w:t>22.779</w:t>
            </w:r>
          </w:p>
        </w:tc>
        <w:tc>
          <w:tcPr>
            <w:tcW w:w="843" w:type="dxa"/>
          </w:tcPr>
          <w:p w:rsidRPr="003B637F" w:rsidR="00AF35DF" w:rsidP="00AF35DF" w:rsidRDefault="00AF35DF">
            <w:pPr>
              <w:spacing w:after="0"/>
              <w:cnfStyle w:val="000000100000"/>
              <w:rPr>
                <w:rFonts w:cs="Arial"/>
                <w:sz w:val="14"/>
                <w:szCs w:val="14"/>
              </w:rPr>
            </w:pPr>
            <w:r>
              <w:rPr>
                <w:rFonts w:cs="Arial"/>
                <w:sz w:val="14"/>
                <w:szCs w:val="14"/>
              </w:rPr>
              <w:t>23.624</w:t>
            </w:r>
          </w:p>
        </w:tc>
        <w:tc>
          <w:tcPr>
            <w:tcW w:w="844" w:type="dxa"/>
          </w:tcPr>
          <w:p w:rsidRPr="003B637F" w:rsidR="00AF35DF" w:rsidP="00AF35DF" w:rsidRDefault="00AF35DF">
            <w:pPr>
              <w:spacing w:after="0"/>
              <w:cnfStyle w:val="000000100000"/>
              <w:rPr>
                <w:rFonts w:cs="Arial"/>
                <w:sz w:val="14"/>
                <w:szCs w:val="14"/>
              </w:rPr>
            </w:pPr>
            <w:r>
              <w:rPr>
                <w:rFonts w:cs="Arial"/>
                <w:sz w:val="14"/>
                <w:szCs w:val="14"/>
              </w:rPr>
              <w:t>21.384</w:t>
            </w:r>
          </w:p>
        </w:tc>
        <w:tc>
          <w:tcPr>
            <w:tcW w:w="844" w:type="dxa"/>
          </w:tcPr>
          <w:p w:rsidRPr="003B637F" w:rsidR="00AF35DF" w:rsidP="00AF35DF" w:rsidRDefault="00AF35DF">
            <w:pPr>
              <w:spacing w:after="0"/>
              <w:cnfStyle w:val="000000100000"/>
              <w:rPr>
                <w:rFonts w:cs="Arial"/>
                <w:sz w:val="14"/>
                <w:szCs w:val="14"/>
              </w:rPr>
            </w:pPr>
            <w:r>
              <w:rPr>
                <w:rFonts w:cs="Arial"/>
                <w:sz w:val="14"/>
                <w:szCs w:val="14"/>
              </w:rPr>
              <w:t>20.209</w:t>
            </w:r>
          </w:p>
        </w:tc>
      </w:tr>
    </w:tbl>
    <w:p w:rsidRPr="00630CA9" w:rsidR="00AF35DF" w:rsidP="00AF35DF" w:rsidRDefault="00AF35DF">
      <w:pPr>
        <w:spacing w:after="0"/>
        <w:rPr>
          <w:sz w:val="14"/>
          <w:szCs w:val="14"/>
          <w:lang w:val="en-US"/>
        </w:rPr>
      </w:pPr>
      <w:r w:rsidRPr="00630CA9">
        <w:rPr>
          <w:sz w:val="14"/>
          <w:szCs w:val="14"/>
          <w:lang w:val="en-US"/>
        </w:rPr>
        <w:t>Sgmt = Segment; B/D = benzine/diesel; CO</w:t>
      </w:r>
      <w:r w:rsidRPr="00630CA9">
        <w:rPr>
          <w:sz w:val="14"/>
          <w:szCs w:val="14"/>
          <w:vertAlign w:val="subscript"/>
          <w:lang w:val="en-US"/>
        </w:rPr>
        <w:t>2</w:t>
      </w:r>
      <w:r>
        <w:rPr>
          <w:sz w:val="14"/>
          <w:szCs w:val="14"/>
          <w:vertAlign w:val="subscript"/>
          <w:lang w:val="en-US"/>
        </w:rPr>
        <w:t xml:space="preserve"> </w:t>
      </w:r>
      <w:r w:rsidRPr="00630CA9">
        <w:rPr>
          <w:sz w:val="14"/>
          <w:szCs w:val="14"/>
          <w:lang w:val="en-US"/>
        </w:rPr>
        <w:t>= CO</w:t>
      </w:r>
      <w:r w:rsidRPr="00630CA9">
        <w:rPr>
          <w:sz w:val="14"/>
          <w:szCs w:val="14"/>
          <w:vertAlign w:val="subscript"/>
          <w:lang w:val="en-US"/>
        </w:rPr>
        <w:t>2</w:t>
      </w:r>
      <w:r w:rsidRPr="00630CA9">
        <w:rPr>
          <w:sz w:val="14"/>
          <w:szCs w:val="14"/>
          <w:lang w:val="en-US"/>
        </w:rPr>
        <w:t>-uitstoot</w:t>
      </w:r>
      <w:r>
        <w:rPr>
          <w:sz w:val="14"/>
          <w:szCs w:val="14"/>
          <w:vertAlign w:val="subscript"/>
          <w:lang w:val="en-US"/>
        </w:rPr>
        <w:t xml:space="preserve"> </w:t>
      </w:r>
      <w:r>
        <w:rPr>
          <w:sz w:val="14"/>
          <w:szCs w:val="14"/>
          <w:lang w:val="en-US"/>
        </w:rPr>
        <w:t>in gr/km; NCP = netto catalogusprijs</w:t>
      </w:r>
    </w:p>
    <w:p w:rsidR="00AF35DF" w:rsidP="00477308" w:rsidRDefault="00AF35DF">
      <w:pPr>
        <w:spacing w:after="0"/>
        <w:rPr>
          <w:sz w:val="18"/>
          <w:szCs w:val="18"/>
        </w:rPr>
      </w:pPr>
    </w:p>
    <w:p w:rsidR="00AF35DF" w:rsidP="00477308" w:rsidRDefault="00AF35DF">
      <w:pPr>
        <w:spacing w:after="0"/>
        <w:rPr>
          <w:sz w:val="18"/>
          <w:szCs w:val="18"/>
        </w:rPr>
      </w:pPr>
      <w:r>
        <w:rPr>
          <w:sz w:val="18"/>
          <w:szCs w:val="18"/>
        </w:rPr>
        <w:t xml:space="preserve">Deze uitsnede laat enerzijds zien dat een </w:t>
      </w:r>
      <w:r w:rsidR="009F03FD">
        <w:rPr>
          <w:sz w:val="18"/>
          <w:szCs w:val="18"/>
        </w:rPr>
        <w:t xml:space="preserve">huidig model </w:t>
      </w:r>
      <w:r>
        <w:rPr>
          <w:sz w:val="18"/>
          <w:szCs w:val="18"/>
        </w:rPr>
        <w:t>waarvoor thans nog een vrijstelling geldt, op enig moment geconfronteerd wordt met de aanscherping van de CO</w:t>
      </w:r>
      <w:r w:rsidRPr="00AF35DF">
        <w:rPr>
          <w:sz w:val="18"/>
          <w:szCs w:val="18"/>
          <w:vertAlign w:val="subscript"/>
        </w:rPr>
        <w:t>2</w:t>
      </w:r>
      <w:r>
        <w:rPr>
          <w:sz w:val="18"/>
          <w:szCs w:val="18"/>
        </w:rPr>
        <w:t>-grenzen, waardoor ook voor deze auto BPM verschuldigd wordt.</w:t>
      </w:r>
      <w:r w:rsidR="009F03FD">
        <w:rPr>
          <w:sz w:val="18"/>
          <w:szCs w:val="18"/>
        </w:rPr>
        <w:t xml:space="preserve"> Daar staat tegenover het voorbeeld van de meer dan gemiddeld uitstotende auto (rond de 270 gr/km) waarvoor de BPM ook meer dan gemiddeld daalt.</w:t>
      </w:r>
    </w:p>
    <w:p w:rsidRPr="00477308" w:rsidR="009F03FD" w:rsidP="009F03FD" w:rsidRDefault="009F03FD">
      <w:pPr>
        <w:spacing w:after="0"/>
        <w:rPr>
          <w:sz w:val="18"/>
          <w:szCs w:val="18"/>
        </w:rPr>
      </w:pPr>
      <w:r>
        <w:rPr>
          <w:sz w:val="18"/>
          <w:szCs w:val="18"/>
        </w:rPr>
        <w:t xml:space="preserve">Voor een deel is dit een gevolg van de wens om de BPM-opbrengst voor het jaar 2011 als uitgangspunt te nemen. </w:t>
      </w:r>
      <w:r w:rsidRPr="00477308">
        <w:rPr>
          <w:sz w:val="18"/>
          <w:szCs w:val="18"/>
        </w:rPr>
        <w:t>Op dit moment is zo’n 33% van de nieuw verkochte auto’s vrijgesteld van BPM. Dat houdt in dat 67% van de nieuw verkochte auto’s verantwoordelijk is voor de huidige opbrengst. Doordat het aantal auto’s waarvoor vrijstelling BPM van toepassing is zal worden teruggebracht van 33% nu naar zo’n 12% in 2015, zal die huidige opbrengst worden opgebracht door een kleine 90% van de nieuw verkochte auto’s. Daardoor daalt voor het totaal aan auto’s waarvoor geen vrijstelling geldt of zal gelden, de gemiddelde BPM per auto. Indien zou worden gekozen voor het constant houden van die gemiddelde BPM, dus op het niveau zoals dat thans geldt voor de 67% van de nieuw verkochte auto’s, zou deze herziening gepaard gaan met een lastenverzwaring op de nieuwverkopen die ik ongewenst acht.</w:t>
      </w:r>
    </w:p>
    <w:p w:rsidR="00AF35DF" w:rsidP="00477308" w:rsidRDefault="004343DD">
      <w:pPr>
        <w:spacing w:after="0"/>
        <w:rPr>
          <w:sz w:val="18"/>
          <w:szCs w:val="18"/>
        </w:rPr>
      </w:pPr>
      <w:r>
        <w:rPr>
          <w:sz w:val="18"/>
          <w:szCs w:val="18"/>
        </w:rPr>
        <w:t xml:space="preserve">Ecorys heeft bij de vaststelling van het overigens </w:t>
      </w:r>
      <w:r w:rsidR="009F03FD">
        <w:rPr>
          <w:sz w:val="18"/>
          <w:szCs w:val="18"/>
        </w:rPr>
        <w:t xml:space="preserve">progressieve karakter van de tariefstelling </w:t>
      </w:r>
      <w:r>
        <w:rPr>
          <w:sz w:val="18"/>
          <w:szCs w:val="18"/>
        </w:rPr>
        <w:t>rekening gehouden met dit uitgangspunt. Ik kan mij vinden in de door Ecorys voorgestelde progressiviteit van het tarief, met uitzondering van de daaruit voortvloeiende tariefstelling voor het de auto’s met een meer dan gemiddelde CO</w:t>
      </w:r>
      <w:r w:rsidRPr="004343DD">
        <w:rPr>
          <w:sz w:val="18"/>
          <w:szCs w:val="18"/>
          <w:vertAlign w:val="subscript"/>
        </w:rPr>
        <w:t>2</w:t>
      </w:r>
      <w:r>
        <w:rPr>
          <w:sz w:val="18"/>
          <w:szCs w:val="18"/>
        </w:rPr>
        <w:t xml:space="preserve">-uitstoot. </w:t>
      </w:r>
      <w:r w:rsidR="009F03FD">
        <w:rPr>
          <w:sz w:val="18"/>
          <w:szCs w:val="18"/>
        </w:rPr>
        <w:t>Ik ben dan ook voornemens om op dat punt af te wijken van het voorstel. Naar mijn mening dient de progressiviteit van de tariefstelling voor deze groep meer dan gemiddeld uitstotende auto’s te worden versterkt. De BPM-druk zal dan voor deze auto’s stijgen ten opzichte van het voorstel van Ecorys, waardoor ook voor deze categorie auto’s voldoende prikkel ontstaat om de CO</w:t>
      </w:r>
      <w:r w:rsidRPr="009F03FD" w:rsidR="009F03FD">
        <w:rPr>
          <w:sz w:val="18"/>
          <w:szCs w:val="18"/>
          <w:vertAlign w:val="subscript"/>
        </w:rPr>
        <w:t>2</w:t>
      </w:r>
      <w:r w:rsidR="009F03FD">
        <w:rPr>
          <w:sz w:val="18"/>
          <w:szCs w:val="18"/>
        </w:rPr>
        <w:t xml:space="preserve">-uitstoot te reduceren. </w:t>
      </w:r>
    </w:p>
    <w:p w:rsidR="006C1E9E" w:rsidRDefault="00B03460">
      <w:pPr>
        <w:spacing w:after="0"/>
        <w:rPr>
          <w:sz w:val="18"/>
          <w:szCs w:val="18"/>
        </w:rPr>
      </w:pPr>
      <w:r>
        <w:rPr>
          <w:sz w:val="18"/>
          <w:szCs w:val="18"/>
        </w:rPr>
        <w:t xml:space="preserve">De progressiviteit van het tarief </w:t>
      </w:r>
      <w:r w:rsidR="004343DD">
        <w:rPr>
          <w:sz w:val="18"/>
          <w:szCs w:val="18"/>
        </w:rPr>
        <w:t xml:space="preserve">zoals dat door Ecorys wordt voorgesteld </w:t>
      </w:r>
      <w:r>
        <w:rPr>
          <w:sz w:val="18"/>
          <w:szCs w:val="18"/>
        </w:rPr>
        <w:t>is</w:t>
      </w:r>
      <w:r w:rsidR="00A91F32">
        <w:rPr>
          <w:sz w:val="18"/>
          <w:szCs w:val="18"/>
        </w:rPr>
        <w:t xml:space="preserve"> </w:t>
      </w:r>
      <w:r>
        <w:rPr>
          <w:sz w:val="18"/>
          <w:szCs w:val="18"/>
        </w:rPr>
        <w:t xml:space="preserve">in de hierna opgenomen grafiek </w:t>
      </w:r>
      <w:r w:rsidR="00242F9D">
        <w:rPr>
          <w:sz w:val="18"/>
          <w:szCs w:val="18"/>
        </w:rPr>
        <w:t xml:space="preserve">4 </w:t>
      </w:r>
      <w:r w:rsidR="00A91F32">
        <w:rPr>
          <w:sz w:val="18"/>
          <w:szCs w:val="18"/>
        </w:rPr>
        <w:t>voor zowel benzine als diesel</w:t>
      </w:r>
      <w:r w:rsidR="003A3348">
        <w:rPr>
          <w:sz w:val="18"/>
          <w:szCs w:val="18"/>
        </w:rPr>
        <w:t>,</w:t>
      </w:r>
      <w:r w:rsidR="00A91F32">
        <w:rPr>
          <w:sz w:val="18"/>
          <w:szCs w:val="18"/>
        </w:rPr>
        <w:t xml:space="preserve"> </w:t>
      </w:r>
      <w:r w:rsidR="003A3348">
        <w:rPr>
          <w:sz w:val="18"/>
          <w:szCs w:val="18"/>
        </w:rPr>
        <w:t xml:space="preserve">met de daarin verwerkte dieseltoeslag, </w:t>
      </w:r>
      <w:r w:rsidR="00242F9D">
        <w:rPr>
          <w:sz w:val="18"/>
          <w:szCs w:val="18"/>
        </w:rPr>
        <w:t xml:space="preserve">(stand 2015) </w:t>
      </w:r>
      <w:r>
        <w:rPr>
          <w:sz w:val="18"/>
          <w:szCs w:val="18"/>
        </w:rPr>
        <w:t>weergegeven.</w:t>
      </w:r>
    </w:p>
    <w:p w:rsidR="006C1E9E" w:rsidRDefault="006C1E9E">
      <w:pPr>
        <w:spacing w:after="0"/>
        <w:rPr>
          <w:sz w:val="18"/>
          <w:szCs w:val="18"/>
        </w:rPr>
      </w:pPr>
    </w:p>
    <w:p w:rsidR="0026455C" w:rsidRDefault="0026455C">
      <w:pPr>
        <w:spacing w:after="0" w:line="240" w:lineRule="auto"/>
        <w:rPr>
          <w:b/>
          <w:i/>
          <w:sz w:val="16"/>
          <w:szCs w:val="16"/>
        </w:rPr>
      </w:pPr>
      <w:r>
        <w:rPr>
          <w:b/>
          <w:i/>
          <w:sz w:val="16"/>
          <w:szCs w:val="16"/>
        </w:rPr>
        <w:br w:type="page"/>
      </w:r>
    </w:p>
    <w:p w:rsidR="00A91F32" w:rsidRDefault="00A91F32">
      <w:pPr>
        <w:spacing w:after="0"/>
        <w:rPr>
          <w:b/>
          <w:i/>
          <w:sz w:val="16"/>
          <w:szCs w:val="16"/>
        </w:rPr>
      </w:pPr>
      <w:r w:rsidRPr="00A91F32">
        <w:rPr>
          <w:b/>
          <w:i/>
          <w:sz w:val="16"/>
          <w:szCs w:val="16"/>
        </w:rPr>
        <w:lastRenderedPageBreak/>
        <w:t>Grafiek 4: Progressief verloop BPM-tarief</w:t>
      </w:r>
    </w:p>
    <w:p w:rsidRPr="00A91F32" w:rsidR="00A91F32" w:rsidRDefault="00A91F32">
      <w:pPr>
        <w:spacing w:after="0"/>
        <w:rPr>
          <w:b/>
          <w:i/>
          <w:sz w:val="16"/>
          <w:szCs w:val="16"/>
        </w:rPr>
      </w:pPr>
    </w:p>
    <w:p w:rsidR="006C1E9E" w:rsidRDefault="00F24D3B">
      <w:pPr>
        <w:spacing w:after="0"/>
        <w:rPr>
          <w:sz w:val="18"/>
          <w:szCs w:val="18"/>
        </w:rPr>
      </w:pPr>
      <w:r w:rsidRPr="00F24D3B">
        <w:rPr>
          <w:noProof/>
          <w:sz w:val="18"/>
          <w:szCs w:val="18"/>
          <w:lang w:eastAsia="nl-NL"/>
        </w:rPr>
        <w:drawing>
          <wp:inline distT="0" distB="0" distL="0" distR="0">
            <wp:extent cx="5286195" cy="4252823"/>
            <wp:effectExtent l="19050" t="0" r="9705" b="0"/>
            <wp:docPr id="5"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1E9E" w:rsidRDefault="006C1E9E">
      <w:pPr>
        <w:spacing w:after="0"/>
        <w:rPr>
          <w:sz w:val="18"/>
          <w:szCs w:val="18"/>
        </w:rPr>
      </w:pPr>
    </w:p>
    <w:p w:rsidR="006C1E9E" w:rsidRDefault="006C1E9E">
      <w:pPr>
        <w:spacing w:after="0"/>
        <w:rPr>
          <w:sz w:val="18"/>
          <w:szCs w:val="18"/>
        </w:rPr>
      </w:pPr>
    </w:p>
    <w:p w:rsidR="004343DD" w:rsidRDefault="004343DD">
      <w:pPr>
        <w:spacing w:after="0"/>
        <w:rPr>
          <w:sz w:val="18"/>
          <w:szCs w:val="18"/>
        </w:rPr>
      </w:pPr>
      <w:r>
        <w:rPr>
          <w:sz w:val="18"/>
          <w:szCs w:val="18"/>
        </w:rPr>
        <w:t xml:space="preserve">Ik onderzoek op dit moment de introductie van een vierde schijf in de tariefstructuur. In het Belastingplan 2012 zal een uitgewerkt voorstel op dit punt worden opgenomen. Dan zal ook duidelijk worden bij welke uitstoot de vierde schijf aanvangt en welk tarief in die vierde schijf van toepassing zal zijn. De opbrengst die voortvloeit uit de toename van de progressiviteit van het tarief zal worden teruggesluisd in de tariefstelling van de andere auto’s zodat de totale </w:t>
      </w:r>
      <w:r w:rsidR="002A334D">
        <w:rPr>
          <w:sz w:val="18"/>
          <w:szCs w:val="18"/>
        </w:rPr>
        <w:t>BPM-</w:t>
      </w:r>
      <w:r>
        <w:rPr>
          <w:sz w:val="18"/>
          <w:szCs w:val="18"/>
        </w:rPr>
        <w:t xml:space="preserve">opbrengst </w:t>
      </w:r>
      <w:r w:rsidR="002A334D">
        <w:rPr>
          <w:sz w:val="18"/>
          <w:szCs w:val="18"/>
        </w:rPr>
        <w:t>gelijk blijft.</w:t>
      </w:r>
    </w:p>
    <w:p w:rsidR="004343DD" w:rsidRDefault="004343DD">
      <w:pPr>
        <w:spacing w:after="0"/>
        <w:rPr>
          <w:sz w:val="18"/>
          <w:szCs w:val="18"/>
        </w:rPr>
      </w:pPr>
    </w:p>
    <w:p w:rsidRPr="00E718A0" w:rsidR="002A30DC" w:rsidP="00E718A0" w:rsidRDefault="008D1BFF">
      <w:pPr>
        <w:pStyle w:val="Kop3"/>
        <w:rPr>
          <w:rFonts w:ascii="Verdana" w:hAnsi="Verdana"/>
          <w:b w:val="0"/>
          <w:i/>
          <w:color w:val="auto"/>
          <w:sz w:val="18"/>
          <w:szCs w:val="18"/>
        </w:rPr>
      </w:pPr>
      <w:bookmarkStart w:name="_Toc293998536" w:id="24"/>
      <w:r w:rsidRPr="00E718A0">
        <w:rPr>
          <w:rFonts w:ascii="Verdana" w:hAnsi="Verdana"/>
          <w:b w:val="0"/>
          <w:i/>
          <w:color w:val="auto"/>
          <w:sz w:val="18"/>
          <w:szCs w:val="18"/>
        </w:rPr>
        <w:t xml:space="preserve">3.6.3 </w:t>
      </w:r>
      <w:r w:rsidRPr="00E718A0" w:rsidR="00267EDF">
        <w:rPr>
          <w:rFonts w:ascii="Verdana" w:hAnsi="Verdana"/>
          <w:b w:val="0"/>
          <w:i/>
          <w:color w:val="auto"/>
          <w:sz w:val="18"/>
          <w:szCs w:val="18"/>
        </w:rPr>
        <w:t xml:space="preserve">Voorstellen ten aanzien van </w:t>
      </w:r>
      <w:r w:rsidRPr="00E718A0">
        <w:rPr>
          <w:rFonts w:ascii="Verdana" w:hAnsi="Verdana"/>
          <w:b w:val="0"/>
          <w:i/>
          <w:color w:val="auto"/>
          <w:sz w:val="18"/>
          <w:szCs w:val="18"/>
        </w:rPr>
        <w:t>de MRB</w:t>
      </w:r>
      <w:bookmarkEnd w:id="24"/>
    </w:p>
    <w:p w:rsidR="002A30DC" w:rsidRDefault="008D1BFF">
      <w:pPr>
        <w:spacing w:after="0"/>
        <w:rPr>
          <w:sz w:val="18"/>
          <w:szCs w:val="18"/>
        </w:rPr>
      </w:pPr>
      <w:r w:rsidRPr="008835BF">
        <w:rPr>
          <w:sz w:val="18"/>
          <w:szCs w:val="18"/>
        </w:rPr>
        <w:t>Ecorys stelt voor om de huidige vrijstelling voor zeer zuinige auto</w:t>
      </w:r>
      <w:r>
        <w:rPr>
          <w:sz w:val="18"/>
          <w:szCs w:val="18"/>
        </w:rPr>
        <w:t>’</w:t>
      </w:r>
      <w:r w:rsidRPr="008835BF">
        <w:rPr>
          <w:sz w:val="18"/>
          <w:szCs w:val="18"/>
        </w:rPr>
        <w:t xml:space="preserve">s, benzineauto’s met een maximale uitstoot van 110 gr/km en dieselauto’s met een maximale uitstoot van 95 gr/km, te doen vervallen. BOVAG/RAI en de ANWB </w:t>
      </w:r>
      <w:r w:rsidR="00267EDF">
        <w:rPr>
          <w:sz w:val="18"/>
          <w:szCs w:val="18"/>
        </w:rPr>
        <w:t xml:space="preserve">hebben in hun interview met Ecorys gewezen </w:t>
      </w:r>
      <w:r w:rsidRPr="008835BF">
        <w:rPr>
          <w:sz w:val="18"/>
          <w:szCs w:val="18"/>
        </w:rPr>
        <w:t xml:space="preserve">op de wel zeer gunstige bevoordeling van de zeer zuinige auto’s door vrijstellingen in zowel de BPM als in de MRB waarbij voor de zakelijke rijder </w:t>
      </w:r>
      <w:r w:rsidR="00267EDF">
        <w:rPr>
          <w:sz w:val="18"/>
          <w:szCs w:val="18"/>
        </w:rPr>
        <w:t xml:space="preserve">ook </w:t>
      </w:r>
      <w:r w:rsidRPr="008835BF">
        <w:rPr>
          <w:sz w:val="18"/>
          <w:szCs w:val="18"/>
        </w:rPr>
        <w:t xml:space="preserve">nog het </w:t>
      </w:r>
      <w:r w:rsidR="00267EDF">
        <w:rPr>
          <w:sz w:val="18"/>
          <w:szCs w:val="18"/>
        </w:rPr>
        <w:t xml:space="preserve">bijkomende </w:t>
      </w:r>
      <w:r w:rsidRPr="008835BF">
        <w:rPr>
          <w:sz w:val="18"/>
          <w:szCs w:val="18"/>
        </w:rPr>
        <w:t xml:space="preserve">voordeel van een zeer lage bijtelling </w:t>
      </w:r>
      <w:r w:rsidR="00267EDF">
        <w:rPr>
          <w:sz w:val="18"/>
          <w:szCs w:val="18"/>
        </w:rPr>
        <w:t xml:space="preserve">moet </w:t>
      </w:r>
      <w:r w:rsidRPr="008835BF">
        <w:rPr>
          <w:sz w:val="18"/>
          <w:szCs w:val="18"/>
        </w:rPr>
        <w:t xml:space="preserve">worden geteld. Een dergelijke stapeling van fiscaal begunstigende maatregelen </w:t>
      </w:r>
      <w:r w:rsidR="00242F9D">
        <w:rPr>
          <w:sz w:val="18"/>
          <w:szCs w:val="18"/>
        </w:rPr>
        <w:t xml:space="preserve">veroorzaakt </w:t>
      </w:r>
      <w:r w:rsidRPr="008835BF">
        <w:rPr>
          <w:sz w:val="18"/>
          <w:szCs w:val="18"/>
        </w:rPr>
        <w:t xml:space="preserve">een marktverstoring ten gunste van de veelal kleinere auto. Daarnaast wijzen de partijen op het feit dat het verlenen van vrijstellingen in de BPM en de MRB ook betekent dat de corrigerende dieseltoeslag in beide belastingen niet wordt geheven. Daardoor wordt ook het </w:t>
      </w:r>
      <w:r w:rsidR="00267EDF">
        <w:rPr>
          <w:sz w:val="18"/>
          <w:szCs w:val="18"/>
        </w:rPr>
        <w:t xml:space="preserve">toch wel aanwezige </w:t>
      </w:r>
      <w:r w:rsidRPr="008835BF">
        <w:rPr>
          <w:sz w:val="18"/>
          <w:szCs w:val="18"/>
        </w:rPr>
        <w:t xml:space="preserve">accijnsvoordeel voor zeer zuinige dieselauto’s niet langer gecorrigeerd. Ook dat werkt markverstorend. Wat betreft de vrijstelling van de dieseltoeslag in de BPM verwijs ik naar </w:t>
      </w:r>
      <w:r w:rsidRPr="00AD1DAA">
        <w:rPr>
          <w:sz w:val="18"/>
          <w:szCs w:val="18"/>
        </w:rPr>
        <w:t>paragraaf 3.6.2 waarin ik aangeef dat ik het voorstel van Ecorys om de vrijstelling van de</w:t>
      </w:r>
      <w:r w:rsidRPr="008835BF">
        <w:rPr>
          <w:sz w:val="18"/>
          <w:szCs w:val="18"/>
        </w:rPr>
        <w:t xml:space="preserve"> dieseltoeslag in de BPM te beëindigen en deze tegelijkertijd volledig te baseren op de CO</w:t>
      </w:r>
      <w:r w:rsidRPr="008835BF">
        <w:rPr>
          <w:sz w:val="18"/>
          <w:szCs w:val="18"/>
          <w:vertAlign w:val="subscript"/>
        </w:rPr>
        <w:t>2</w:t>
      </w:r>
      <w:r w:rsidRPr="008835BF">
        <w:rPr>
          <w:sz w:val="18"/>
          <w:szCs w:val="18"/>
        </w:rPr>
        <w:t>-uitstoot zal overnemen.</w:t>
      </w:r>
    </w:p>
    <w:p w:rsidR="001B4212" w:rsidP="001B4212" w:rsidRDefault="008D1BFF">
      <w:pPr>
        <w:spacing w:after="0"/>
        <w:rPr>
          <w:sz w:val="18"/>
          <w:szCs w:val="18"/>
        </w:rPr>
      </w:pPr>
      <w:r w:rsidRPr="008835BF">
        <w:rPr>
          <w:sz w:val="18"/>
          <w:szCs w:val="18"/>
        </w:rPr>
        <w:t xml:space="preserve">Een deel van de door de autobranche gesignaleerde marktverstoring zal daarmee worden weggenomen, wat blijft is de ook door de branche gesignaleerde ongelijkheid dat door deze </w:t>
      </w:r>
      <w:r w:rsidRPr="008835BF">
        <w:rPr>
          <w:sz w:val="18"/>
          <w:szCs w:val="18"/>
        </w:rPr>
        <w:lastRenderedPageBreak/>
        <w:t>vrijstellingen niet iedereen bijdraagt aan het gebruik van de weg. Zuinige en zeer zuinige auto’s maken alle gebruik van de weg en zouden uit die</w:t>
      </w:r>
      <w:r>
        <w:rPr>
          <w:sz w:val="18"/>
          <w:szCs w:val="18"/>
        </w:rPr>
        <w:t>n</w:t>
      </w:r>
      <w:r w:rsidRPr="008835BF">
        <w:rPr>
          <w:sz w:val="18"/>
          <w:szCs w:val="18"/>
        </w:rPr>
        <w:t xml:space="preserve"> hoofde enige vorm van belasting verschuldigd moeten zijn. In dat licht past het niet om een vrijstelling van MRB te verlenen.</w:t>
      </w:r>
      <w:r w:rsidR="001B4212">
        <w:rPr>
          <w:sz w:val="18"/>
          <w:szCs w:val="18"/>
        </w:rPr>
        <w:t xml:space="preserve"> </w:t>
      </w:r>
    </w:p>
    <w:p w:rsidR="002A30DC" w:rsidP="001B4212" w:rsidRDefault="001B4212">
      <w:pPr>
        <w:spacing w:after="0"/>
        <w:rPr>
          <w:sz w:val="18"/>
          <w:szCs w:val="18"/>
        </w:rPr>
      </w:pPr>
      <w:r>
        <w:rPr>
          <w:sz w:val="18"/>
          <w:szCs w:val="18"/>
        </w:rPr>
        <w:t xml:space="preserve">Ik deel in grote lijnen de hiervoor genoemde argumenten </w:t>
      </w:r>
      <w:r w:rsidRPr="008835BF" w:rsidR="008D1BFF">
        <w:rPr>
          <w:sz w:val="18"/>
          <w:szCs w:val="18"/>
        </w:rPr>
        <w:t xml:space="preserve">tegen een </w:t>
      </w:r>
      <w:r>
        <w:rPr>
          <w:sz w:val="18"/>
          <w:szCs w:val="18"/>
        </w:rPr>
        <w:t xml:space="preserve">volledige </w:t>
      </w:r>
      <w:r w:rsidRPr="008835BF" w:rsidR="008D1BFF">
        <w:rPr>
          <w:sz w:val="18"/>
          <w:szCs w:val="18"/>
        </w:rPr>
        <w:t xml:space="preserve">vrijstelling MRB voor zeer zuinige auto’s. </w:t>
      </w:r>
    </w:p>
    <w:p w:rsidR="002A30DC" w:rsidP="001B4212" w:rsidRDefault="008D1BFF">
      <w:pPr>
        <w:spacing w:after="0"/>
        <w:rPr>
          <w:sz w:val="18"/>
          <w:szCs w:val="18"/>
        </w:rPr>
      </w:pPr>
      <w:r w:rsidRPr="008835BF">
        <w:rPr>
          <w:sz w:val="18"/>
          <w:szCs w:val="18"/>
        </w:rPr>
        <w:t>Ik zal in het Belastingplan 2012 een voorstel opnemen om te komen tot een afschaffing van de vrijstelling van MRB voor zeer zuinige auto’s. Ik volg daarbij niet het voorstel van Ecorys om dat in stappen te doen. Ik zal voorstellen om de huidige vrijstelling, met inbegrip van handhaving van de huidige daarvoor geldende grenzen (benzineauto’s met een maximale uitstoot van 110 gr/km en dieselauto’s met een maximale uitstoot van 95 gr/km) te handhaven tot 1 januari 2014. Het huidige wagenpark dat daarvoor kwalificeert en elke nieuw verkochte auto die aan genoemde criteria voldoet zal dus volledige vrijstelling genieten tot 1 januari 2014. Daarna wordt voor elke auto de vrijstelling beëindigd, ook als de auto op 31 december 2013 is aa</w:t>
      </w:r>
      <w:r>
        <w:rPr>
          <w:sz w:val="18"/>
          <w:szCs w:val="18"/>
        </w:rPr>
        <w:t>n</w:t>
      </w:r>
      <w:r w:rsidRPr="008835BF">
        <w:rPr>
          <w:sz w:val="18"/>
          <w:szCs w:val="18"/>
        </w:rPr>
        <w:t>geschaft.</w:t>
      </w:r>
    </w:p>
    <w:p w:rsidR="001B4212" w:rsidP="001B4212" w:rsidRDefault="001B4212">
      <w:pPr>
        <w:spacing w:after="0"/>
        <w:rPr>
          <w:sz w:val="18"/>
          <w:szCs w:val="18"/>
        </w:rPr>
      </w:pPr>
      <w:r>
        <w:rPr>
          <w:sz w:val="18"/>
          <w:szCs w:val="18"/>
        </w:rPr>
        <w:t>Ik maak echter een uitzondering voor de auto’s met een CO</w:t>
      </w:r>
      <w:r w:rsidRPr="001B4212">
        <w:rPr>
          <w:sz w:val="18"/>
          <w:szCs w:val="18"/>
          <w:vertAlign w:val="subscript"/>
        </w:rPr>
        <w:t>2</w:t>
      </w:r>
      <w:r>
        <w:rPr>
          <w:sz w:val="18"/>
          <w:szCs w:val="18"/>
        </w:rPr>
        <w:t xml:space="preserve">-uitstoot van </w:t>
      </w:r>
      <w:r w:rsidR="00434B76">
        <w:rPr>
          <w:sz w:val="18"/>
          <w:szCs w:val="18"/>
        </w:rPr>
        <w:t xml:space="preserve">niet meer dan </w:t>
      </w:r>
      <w:r>
        <w:rPr>
          <w:sz w:val="18"/>
          <w:szCs w:val="18"/>
        </w:rPr>
        <w:t xml:space="preserve">50 gr/km. Zoals ik ook al in hoofdstuk 2 heb gememoreerd ben ik van mening </w:t>
      </w:r>
      <w:r>
        <w:rPr>
          <w:color w:val="000000"/>
          <w:sz w:val="18"/>
          <w:szCs w:val="18"/>
        </w:rPr>
        <w:t>dat ik (tijdelijk) dat gedrag wil belonen waarbij een fabrikant of importeur, maar ook een consument, zijn nek durft uit te steken om te investeren in doorbraaktechnologieën. Tijdelijke stimulering is hier gewenst om een dusdanig volume te realiseren waardoor het mogelijk wordt dat de prijs van het product kan dalen en daardoor een doorbraak van het product een kans krijgt.</w:t>
      </w:r>
      <w:r>
        <w:rPr>
          <w:sz w:val="18"/>
          <w:szCs w:val="18"/>
        </w:rPr>
        <w:t xml:space="preserve"> Om die reden zal ik voor genoemde categorie personenauto’s een tijdelijke vrijstelling van MRB introduceren</w:t>
      </w:r>
      <w:r w:rsidR="00177A69">
        <w:rPr>
          <w:sz w:val="18"/>
          <w:szCs w:val="18"/>
        </w:rPr>
        <w:t>. Deze vrijstelling gaat in op het moment dat de huidige vrijstelling wordt beëindigd en loopt door tot en met 2015.</w:t>
      </w:r>
    </w:p>
    <w:p w:rsidRPr="001B4212" w:rsidR="00177A69" w:rsidP="001B4212" w:rsidRDefault="00177A69">
      <w:pPr>
        <w:spacing w:after="0"/>
        <w:rPr>
          <w:i/>
          <w:sz w:val="18"/>
          <w:szCs w:val="18"/>
        </w:rPr>
      </w:pPr>
      <w:r>
        <w:rPr>
          <w:sz w:val="18"/>
          <w:szCs w:val="18"/>
        </w:rPr>
        <w:t>Daarnaast wil ik bezien op welke wijze ik tegemoet kan komen aan het feit dat elektrische en semi-elektrische auto’s een aanzienlijk hoger gewicht kennen als gevolg van bijvoorbeeld het accupakket en de elektromotor. Thans wordt forfaitair 125 kg op het gewicht van de auto in mindering gebracht voor de bepaling van de grondslag van de MRB. Ik ben voornemens dat forfaitaire gewicht aan te passen aan het gemiddelde extra gewicht van die categorie auto’s.</w:t>
      </w:r>
    </w:p>
    <w:p w:rsidRPr="001B4212" w:rsidR="002A30DC" w:rsidRDefault="002A30DC">
      <w:pPr>
        <w:spacing w:after="0"/>
        <w:rPr>
          <w:b/>
          <w:i/>
          <w:sz w:val="18"/>
          <w:szCs w:val="18"/>
        </w:rPr>
      </w:pPr>
    </w:p>
    <w:p w:rsidRPr="00E718A0" w:rsidR="002A30DC" w:rsidP="00E718A0" w:rsidRDefault="008D1BFF">
      <w:pPr>
        <w:pStyle w:val="Kop3"/>
        <w:rPr>
          <w:rFonts w:ascii="Verdana" w:hAnsi="Verdana"/>
          <w:b w:val="0"/>
          <w:i/>
          <w:color w:val="auto"/>
          <w:sz w:val="18"/>
          <w:szCs w:val="18"/>
        </w:rPr>
      </w:pPr>
      <w:bookmarkStart w:name="_Toc293998537" w:id="25"/>
      <w:r w:rsidRPr="00E718A0">
        <w:rPr>
          <w:rFonts w:ascii="Verdana" w:hAnsi="Verdana"/>
          <w:b w:val="0"/>
          <w:i/>
          <w:color w:val="auto"/>
          <w:sz w:val="18"/>
          <w:szCs w:val="18"/>
        </w:rPr>
        <w:t>3.6.4. Bijtelling</w:t>
      </w:r>
      <w:bookmarkEnd w:id="25"/>
    </w:p>
    <w:p w:rsidR="002A30DC" w:rsidRDefault="008D1BFF">
      <w:pPr>
        <w:spacing w:after="0"/>
        <w:rPr>
          <w:sz w:val="18"/>
          <w:szCs w:val="18"/>
        </w:rPr>
      </w:pPr>
      <w:r>
        <w:rPr>
          <w:sz w:val="18"/>
          <w:szCs w:val="18"/>
        </w:rPr>
        <w:t xml:space="preserve">De gedifferentieerde verlaagde bijtellingspercentages voor zeer zuinige en zuinige auto’s blijven onder het voorstel van Ecorys ongewijzigd: 14% respectievelijk 20%. Hierin kan ik meegaan. Indien er meer categorieën zouden worden toegevoegd, kan dit afbreuk doen aan het effect van de gedifferentieerde bijtelling. Door Ecorys wordt verder voorgesteld om de zuinigheidsgrenzen van de 14%- en de 20%-bijtellingscategorie stapsgewijs de komende jaren aan te scherpen en te komen tot gelijke zuinigheidsgrenzen voor benzine- en dieselauto’s. </w:t>
      </w:r>
      <w:r w:rsidRPr="00BA7DE8" w:rsidR="001A78DD">
        <w:rPr>
          <w:rFonts w:eastAsia="Calibri" w:cs="Times New Roman"/>
          <w:sz w:val="18"/>
          <w:szCs w:val="18"/>
        </w:rPr>
        <w:t>Hierbij merk ik op dat voor nieuwe bestelauto’s, net als voor personenauto’s, ook een lage bijtelling kan gelden indien de bestelauto kwalificeert als zuinig of zeer zuinig. Sinds 2010 is namelijk voor nieuwe bestelauto’s met een Europese typegoedkeuring in de meeste gevallen een CO</w:t>
      </w:r>
      <w:r w:rsidRPr="00BA7DE8" w:rsidR="001A78DD">
        <w:rPr>
          <w:rFonts w:eastAsia="Calibri" w:cs="Times New Roman"/>
          <w:sz w:val="18"/>
          <w:szCs w:val="18"/>
          <w:vertAlign w:val="subscript"/>
        </w:rPr>
        <w:t>2</w:t>
      </w:r>
      <w:r w:rsidRPr="00BA7DE8" w:rsidR="001A78DD">
        <w:rPr>
          <w:rFonts w:eastAsia="Calibri" w:cs="Times New Roman"/>
          <w:sz w:val="18"/>
          <w:szCs w:val="18"/>
        </w:rPr>
        <w:t>-uitstoot vastgesteld, waarop de bijtelling kan aansluiten.</w:t>
      </w:r>
    </w:p>
    <w:p w:rsidR="002A30DC" w:rsidRDefault="008D1BFF">
      <w:pPr>
        <w:spacing w:after="0"/>
        <w:rPr>
          <w:sz w:val="18"/>
          <w:szCs w:val="18"/>
        </w:rPr>
      </w:pPr>
      <w:r>
        <w:rPr>
          <w:sz w:val="18"/>
          <w:szCs w:val="18"/>
        </w:rPr>
        <w:t>Op dit moment is de 14%-bijtelling van toepassing voor zeer zuinige auto’s met een CO</w:t>
      </w:r>
      <w:r w:rsidRPr="00862E58">
        <w:rPr>
          <w:sz w:val="18"/>
          <w:szCs w:val="18"/>
          <w:vertAlign w:val="subscript"/>
        </w:rPr>
        <w:t>2</w:t>
      </w:r>
      <w:r>
        <w:rPr>
          <w:sz w:val="18"/>
          <w:szCs w:val="18"/>
        </w:rPr>
        <w:t>-uitstoot van niet meer dan 110 gr/km voor benzineauto’s en van niet meer dan 95 gr/km voor dieselauto’s. De 20%-bijtelling is van toepassing voor zuinige auto’s met een CO</w:t>
      </w:r>
      <w:r w:rsidRPr="00862E58">
        <w:rPr>
          <w:sz w:val="18"/>
          <w:szCs w:val="18"/>
          <w:vertAlign w:val="subscript"/>
        </w:rPr>
        <w:t>2</w:t>
      </w:r>
      <w:r>
        <w:rPr>
          <w:sz w:val="18"/>
          <w:szCs w:val="18"/>
        </w:rPr>
        <w:t>-uitstoot van meer dan 110</w:t>
      </w:r>
      <w:r w:rsidR="00242F9D">
        <w:rPr>
          <w:sz w:val="18"/>
          <w:szCs w:val="18"/>
        </w:rPr>
        <w:t> </w:t>
      </w:r>
      <w:r>
        <w:rPr>
          <w:sz w:val="18"/>
          <w:szCs w:val="18"/>
        </w:rPr>
        <w:t xml:space="preserve">gr/km maar niet meer dan 140 gr/km voor benzineauto’s en van meer dan 95 gr/km maar niet meer dan 116 gr/km voor dieselauto’s. Deze zuinigheidsgrenzen worden onder het voorstel van Ecorys tot </w:t>
      </w:r>
      <w:r w:rsidR="00177A69">
        <w:rPr>
          <w:sz w:val="18"/>
          <w:szCs w:val="18"/>
        </w:rPr>
        <w:t xml:space="preserve">en </w:t>
      </w:r>
      <w:r>
        <w:rPr>
          <w:sz w:val="18"/>
          <w:szCs w:val="18"/>
        </w:rPr>
        <w:t>met 2015 jaarlijks bijgesteld. In de eindsituatie 2015 geldt de 14%-bijtelling voor benzine- en dieselauto’s met een CO</w:t>
      </w:r>
      <w:r w:rsidRPr="009D57E6">
        <w:rPr>
          <w:sz w:val="18"/>
          <w:szCs w:val="18"/>
          <w:vertAlign w:val="subscript"/>
        </w:rPr>
        <w:t>2</w:t>
      </w:r>
      <w:r>
        <w:rPr>
          <w:sz w:val="18"/>
          <w:szCs w:val="18"/>
        </w:rPr>
        <w:t>-uitstoot van maximaal 82 gr/km. Vanaf 2015 geldt de 20%-bijtelling voor benzine- en dieselauto’s met een CO</w:t>
      </w:r>
      <w:r w:rsidRPr="009D57E6">
        <w:rPr>
          <w:sz w:val="18"/>
          <w:szCs w:val="18"/>
          <w:vertAlign w:val="subscript"/>
        </w:rPr>
        <w:t>2</w:t>
      </w:r>
      <w:r>
        <w:rPr>
          <w:sz w:val="18"/>
          <w:szCs w:val="18"/>
        </w:rPr>
        <w:t>-uitstoot van meer dan 82 gr/km maar niet meer dan 110 gr/km. Vanaf 2015 valt de 14%-bijtellingsgrens samen met de vrijstellingsgrens in de BPM en valt de 20%-bijtellingsgrens samen met de eerste schijf in de BPM.</w:t>
      </w:r>
    </w:p>
    <w:p w:rsidR="002A30DC" w:rsidRDefault="008D1BFF">
      <w:pPr>
        <w:spacing w:after="0"/>
        <w:rPr>
          <w:sz w:val="18"/>
          <w:szCs w:val="18"/>
        </w:rPr>
      </w:pPr>
      <w:r>
        <w:rPr>
          <w:sz w:val="18"/>
          <w:szCs w:val="18"/>
        </w:rPr>
        <w:t>Net zoals bij de herziene tariefstructuur in de BPM is ook bij de overeenkomstige herziene zuinigheidsgrenzen in de bijtelling sprake van een forse aanscherping ten opzichte van de huidige zuinigheidsgrenzen. Door de jaarlijkse bijstelling van de zuinigheidsgrenzen wordt toegewerkt naar zuinigheidsgrenzen waarbij in 2015 maximaal 12</w:t>
      </w:r>
      <w:r w:rsidR="001A78DD">
        <w:rPr>
          <w:sz w:val="18"/>
          <w:szCs w:val="18"/>
        </w:rPr>
        <w:t>%</w:t>
      </w:r>
      <w:r>
        <w:rPr>
          <w:sz w:val="18"/>
          <w:szCs w:val="18"/>
        </w:rPr>
        <w:t xml:space="preserve"> van de nieuwverkopen onder de noemer zeer zuinig valt waarvoor de vrijstelling van BPM en 14% bijtelling geldt. Zoals ik hiervoor al heb opgemerkt, acht ik dit percentage aanvaardbaar omdat op deze wijze meer recht wordt gedaan aan de wens om steeds de meest zuinige auto’s te stimuleren.</w:t>
      </w:r>
    </w:p>
    <w:p w:rsidR="006A616C" w:rsidP="00EA2C42" w:rsidRDefault="008D1BFF">
      <w:pPr>
        <w:spacing w:after="0"/>
        <w:rPr>
          <w:sz w:val="18"/>
          <w:szCs w:val="18"/>
        </w:rPr>
      </w:pPr>
      <w:r>
        <w:rPr>
          <w:sz w:val="18"/>
          <w:szCs w:val="18"/>
        </w:rPr>
        <w:lastRenderedPageBreak/>
        <w:t>Verder wil ik nog ingaan op de periode dat men nog een bepaald verlaagd bijtellingstarief kan toepassen nadat de zuinigheidsgrenzen zijn aangescherpt. Onder de huidige wetgeving geldt dat de aanscherpingen van de zuinigheidsgrenzen alleen zullen gelden voor auto’s die na de aanscherping voor het eerst op kenteken worden gesteld waardoor het voordeel behouden blijft voor bestaande auto’s. Teneinde steeds de meest zuinige auto’s te stimuleren en evenwel duidelijkheid en zekerheid te bieden voor belanghebbenden, wil ik de periode dat men nog een verlaagd bijtellingstarief kan toepassen na een aanscherping van de zuinigheidsgrenzen terugbrengen tot de gemiddelde duur van leasecontracten.</w:t>
      </w:r>
    </w:p>
    <w:p w:rsidR="006A616C" w:rsidP="006A616C" w:rsidRDefault="006A616C">
      <w:pPr>
        <w:spacing w:after="0"/>
        <w:rPr>
          <w:sz w:val="18"/>
          <w:szCs w:val="18"/>
        </w:rPr>
      </w:pPr>
      <w:r>
        <w:rPr>
          <w:sz w:val="18"/>
          <w:szCs w:val="18"/>
        </w:rPr>
        <w:t>Ook hier hecht ik er aan om voor de auto’s met een CO</w:t>
      </w:r>
      <w:r w:rsidRPr="001B4212">
        <w:rPr>
          <w:sz w:val="18"/>
          <w:szCs w:val="18"/>
          <w:vertAlign w:val="subscript"/>
        </w:rPr>
        <w:t>2</w:t>
      </w:r>
      <w:r>
        <w:rPr>
          <w:sz w:val="18"/>
          <w:szCs w:val="18"/>
        </w:rPr>
        <w:t xml:space="preserve">-uitstoot van </w:t>
      </w:r>
      <w:r w:rsidR="00434B76">
        <w:rPr>
          <w:sz w:val="18"/>
          <w:szCs w:val="18"/>
        </w:rPr>
        <w:t>niet meer dan</w:t>
      </w:r>
      <w:r>
        <w:rPr>
          <w:sz w:val="18"/>
          <w:szCs w:val="18"/>
        </w:rPr>
        <w:t xml:space="preserve"> 50 gr/km tijdelijk een bijzondere regeling te treffen. Op dit moment geldt v</w:t>
      </w:r>
      <w:r w:rsidRPr="006A616C">
        <w:rPr>
          <w:sz w:val="18"/>
          <w:szCs w:val="18"/>
        </w:rPr>
        <w:t xml:space="preserve">oor nulemissieauto’s (bijvoorbeeld volledig elektrische auto’s) een nihiltarief in de bijtelling. Deze is tijdelijk van aard en geldt tot en met 2014. </w:t>
      </w:r>
      <w:r>
        <w:rPr>
          <w:sz w:val="18"/>
          <w:szCs w:val="18"/>
        </w:rPr>
        <w:t>Om redenen die ik hiervoor ten aanzien van de MRB heb geschetst ben ik voornemens het bereik van de nihilbijtelling uit te breiden tot auto’s met een CO</w:t>
      </w:r>
      <w:r w:rsidRPr="001B4212">
        <w:rPr>
          <w:sz w:val="18"/>
          <w:szCs w:val="18"/>
          <w:vertAlign w:val="subscript"/>
        </w:rPr>
        <w:t>2</w:t>
      </w:r>
      <w:r>
        <w:rPr>
          <w:sz w:val="18"/>
          <w:szCs w:val="18"/>
        </w:rPr>
        <w:t xml:space="preserve">-uitstoot van </w:t>
      </w:r>
      <w:r w:rsidR="00434B76">
        <w:rPr>
          <w:sz w:val="18"/>
          <w:szCs w:val="18"/>
        </w:rPr>
        <w:t>niet meer dan 50 </w:t>
      </w:r>
      <w:r>
        <w:rPr>
          <w:sz w:val="18"/>
          <w:szCs w:val="18"/>
        </w:rPr>
        <w:t>gr/km</w:t>
      </w:r>
      <w:r w:rsidR="00091745">
        <w:rPr>
          <w:sz w:val="18"/>
          <w:szCs w:val="18"/>
        </w:rPr>
        <w:t xml:space="preserve"> </w:t>
      </w:r>
      <w:r w:rsidR="00F02473">
        <w:rPr>
          <w:sz w:val="18"/>
          <w:szCs w:val="18"/>
        </w:rPr>
        <w:t>en tegelijkertijd te verlengen</w:t>
      </w:r>
      <w:r>
        <w:rPr>
          <w:sz w:val="18"/>
          <w:szCs w:val="18"/>
        </w:rPr>
        <w:t xml:space="preserve">. Deze </w:t>
      </w:r>
      <w:r w:rsidR="00242F9D">
        <w:rPr>
          <w:sz w:val="18"/>
          <w:szCs w:val="18"/>
        </w:rPr>
        <w:t xml:space="preserve">uitgebreide </w:t>
      </w:r>
      <w:r>
        <w:rPr>
          <w:sz w:val="18"/>
          <w:szCs w:val="18"/>
        </w:rPr>
        <w:t xml:space="preserve">nihilbijtelling loopt </w:t>
      </w:r>
      <w:r w:rsidR="00F02473">
        <w:rPr>
          <w:sz w:val="18"/>
          <w:szCs w:val="18"/>
        </w:rPr>
        <w:t xml:space="preserve">dan </w:t>
      </w:r>
      <w:r>
        <w:rPr>
          <w:sz w:val="18"/>
          <w:szCs w:val="18"/>
        </w:rPr>
        <w:t>door tot en met 2015.</w:t>
      </w:r>
    </w:p>
    <w:p w:rsidR="006A616C" w:rsidP="00EA2C42" w:rsidRDefault="006A616C">
      <w:pPr>
        <w:spacing w:after="0"/>
        <w:rPr>
          <w:sz w:val="18"/>
          <w:szCs w:val="18"/>
        </w:rPr>
      </w:pPr>
    </w:p>
    <w:p w:rsidRPr="00E718A0" w:rsidR="005C4CAC" w:rsidP="00E718A0" w:rsidRDefault="008D1BFF">
      <w:pPr>
        <w:pStyle w:val="Kop3"/>
        <w:rPr>
          <w:rFonts w:ascii="Verdana" w:hAnsi="Verdana"/>
          <w:b w:val="0"/>
          <w:i/>
          <w:color w:val="auto"/>
          <w:sz w:val="18"/>
          <w:szCs w:val="18"/>
        </w:rPr>
      </w:pPr>
      <w:bookmarkStart w:name="_Toc293998538" w:id="26"/>
      <w:r w:rsidRPr="00E718A0">
        <w:rPr>
          <w:rFonts w:ascii="Verdana" w:hAnsi="Verdana"/>
          <w:b w:val="0"/>
          <w:i/>
          <w:color w:val="auto"/>
          <w:sz w:val="18"/>
          <w:szCs w:val="18"/>
        </w:rPr>
        <w:t>3.6.</w:t>
      </w:r>
      <w:r w:rsidRPr="00E718A0" w:rsidR="00F02473">
        <w:rPr>
          <w:rFonts w:ascii="Verdana" w:hAnsi="Verdana"/>
          <w:b w:val="0"/>
          <w:i/>
          <w:color w:val="auto"/>
          <w:sz w:val="18"/>
          <w:szCs w:val="18"/>
        </w:rPr>
        <w:t>5</w:t>
      </w:r>
      <w:r w:rsidRPr="00E718A0">
        <w:rPr>
          <w:rFonts w:ascii="Verdana" w:hAnsi="Verdana"/>
          <w:b w:val="0"/>
          <w:i/>
          <w:color w:val="auto"/>
          <w:sz w:val="18"/>
          <w:szCs w:val="18"/>
        </w:rPr>
        <w:t xml:space="preserve"> </w:t>
      </w:r>
      <w:bookmarkEnd w:id="14"/>
      <w:bookmarkEnd w:id="15"/>
      <w:r w:rsidRPr="00E718A0" w:rsidR="005C4CAC">
        <w:rPr>
          <w:rFonts w:ascii="Verdana" w:hAnsi="Verdana"/>
          <w:b w:val="0"/>
          <w:i/>
          <w:color w:val="auto"/>
          <w:sz w:val="18"/>
          <w:szCs w:val="18"/>
        </w:rPr>
        <w:t>Effecten voorgesteld scenario</w:t>
      </w:r>
      <w:bookmarkEnd w:id="26"/>
    </w:p>
    <w:p w:rsidR="005C4CAC" w:rsidP="005C4CAC" w:rsidRDefault="005C4CAC">
      <w:pPr>
        <w:spacing w:after="0"/>
        <w:rPr>
          <w:sz w:val="18"/>
          <w:szCs w:val="18"/>
        </w:rPr>
      </w:pPr>
      <w:r>
        <w:rPr>
          <w:sz w:val="18"/>
          <w:szCs w:val="18"/>
        </w:rPr>
        <w:t xml:space="preserve">De effecten van het door Ecorys voorgestelde scenario zijn uitgebreid in paragraaf 3.5 beschreven. </w:t>
      </w:r>
      <w:r w:rsidR="006C1E9E">
        <w:rPr>
          <w:sz w:val="18"/>
          <w:szCs w:val="18"/>
        </w:rPr>
        <w:t xml:space="preserve">In onderstaande </w:t>
      </w:r>
      <w:r w:rsidR="00E94975">
        <w:rPr>
          <w:sz w:val="18"/>
          <w:szCs w:val="18"/>
        </w:rPr>
        <w:t>tabel 11</w:t>
      </w:r>
      <w:r w:rsidR="00242F9D">
        <w:rPr>
          <w:sz w:val="18"/>
          <w:szCs w:val="18"/>
        </w:rPr>
        <w:t xml:space="preserve"> </w:t>
      </w:r>
      <w:r w:rsidR="006C1E9E">
        <w:rPr>
          <w:sz w:val="18"/>
          <w:szCs w:val="18"/>
        </w:rPr>
        <w:t>is</w:t>
      </w:r>
      <w:r w:rsidR="00B03460">
        <w:rPr>
          <w:sz w:val="18"/>
          <w:szCs w:val="18"/>
        </w:rPr>
        <w:t>, rekening houdend met de wijzigingen in de BPM, de MRB en de bijtelling,</w:t>
      </w:r>
      <w:r w:rsidR="00091745">
        <w:rPr>
          <w:sz w:val="18"/>
          <w:szCs w:val="18"/>
        </w:rPr>
        <w:t xml:space="preserve"> </w:t>
      </w:r>
      <w:r w:rsidR="006C1E9E">
        <w:rPr>
          <w:sz w:val="18"/>
          <w:szCs w:val="18"/>
        </w:rPr>
        <w:t xml:space="preserve">weergeven welke wijzigingen in samenstelling en omvang van de nieuw te verkopen auto’s zullen optreden als gevolg van het voorgestelde scenario. </w:t>
      </w:r>
      <w:r>
        <w:rPr>
          <w:sz w:val="18"/>
          <w:szCs w:val="18"/>
        </w:rPr>
        <w:t>Kort samengevat komt het erop neer dat de BPM-opbrengst de komende jaren zo’n € 1,9 mld</w:t>
      </w:r>
      <w:r w:rsidR="00242F9D">
        <w:rPr>
          <w:rStyle w:val="Voetnootmarkering"/>
          <w:sz w:val="18"/>
          <w:szCs w:val="18"/>
        </w:rPr>
        <w:footnoteReference w:id="12"/>
      </w:r>
      <w:r>
        <w:rPr>
          <w:sz w:val="18"/>
          <w:szCs w:val="18"/>
        </w:rPr>
        <w:t xml:space="preserve"> zal bedragen, het aandeel </w:t>
      </w:r>
      <w:r w:rsidR="00F02473">
        <w:rPr>
          <w:sz w:val="18"/>
          <w:szCs w:val="18"/>
        </w:rPr>
        <w:t xml:space="preserve">in de BPM </w:t>
      </w:r>
      <w:r>
        <w:rPr>
          <w:sz w:val="18"/>
          <w:szCs w:val="18"/>
        </w:rPr>
        <w:t>vrijgestelde auto’s daalt naar 12% in 2015 en het percentage auto’s dat in de 2</w:t>
      </w:r>
      <w:r w:rsidRPr="00543E4E">
        <w:rPr>
          <w:sz w:val="18"/>
          <w:szCs w:val="18"/>
          <w:vertAlign w:val="superscript"/>
        </w:rPr>
        <w:t>e</w:t>
      </w:r>
      <w:r>
        <w:rPr>
          <w:sz w:val="18"/>
          <w:szCs w:val="18"/>
        </w:rPr>
        <w:t xml:space="preserve"> en 3</w:t>
      </w:r>
      <w:r w:rsidRPr="00543E4E">
        <w:rPr>
          <w:sz w:val="18"/>
          <w:szCs w:val="18"/>
          <w:vertAlign w:val="superscript"/>
        </w:rPr>
        <w:t>e</w:t>
      </w:r>
      <w:r>
        <w:rPr>
          <w:sz w:val="18"/>
          <w:szCs w:val="18"/>
        </w:rPr>
        <w:t xml:space="preserve"> schijf valt stijgt naar respectievelijk 32% en 10% in 2015. Verder daalt het aantal nieuwverkopen </w:t>
      </w:r>
      <w:r w:rsidR="008869EA">
        <w:rPr>
          <w:sz w:val="18"/>
          <w:szCs w:val="18"/>
        </w:rPr>
        <w:t>met circa 50</w:t>
      </w:r>
      <w:r w:rsidR="00242F9D">
        <w:rPr>
          <w:sz w:val="18"/>
          <w:szCs w:val="18"/>
        </w:rPr>
        <w:t>.</w:t>
      </w:r>
      <w:r w:rsidR="008869EA">
        <w:rPr>
          <w:sz w:val="18"/>
          <w:szCs w:val="18"/>
        </w:rPr>
        <w:t xml:space="preserve">000 </w:t>
      </w:r>
      <w:r>
        <w:rPr>
          <w:sz w:val="18"/>
          <w:szCs w:val="18"/>
        </w:rPr>
        <w:t xml:space="preserve">en stijgt het aandeel diesels naar 22% in 2015. </w:t>
      </w:r>
      <w:r w:rsidR="006C1E9E">
        <w:rPr>
          <w:sz w:val="18"/>
          <w:szCs w:val="18"/>
        </w:rPr>
        <w:t>De gemiddelde CO</w:t>
      </w:r>
      <w:r w:rsidRPr="00B03460" w:rsidR="006C1E9E">
        <w:rPr>
          <w:sz w:val="18"/>
          <w:szCs w:val="18"/>
          <w:vertAlign w:val="subscript"/>
        </w:rPr>
        <w:t>2</w:t>
      </w:r>
      <w:r w:rsidR="006C1E9E">
        <w:rPr>
          <w:sz w:val="18"/>
          <w:szCs w:val="18"/>
        </w:rPr>
        <w:t xml:space="preserve">-uitstoot van de nieuwverkopen, die in 2010 136 gr/km bedroeg en 2015 bij ongewijzigd beleid naar verwacht zal afnemen tot 111 gr/km zal als gevolg van het voorgestelde scenario uitkomen op 114 gr/km. </w:t>
      </w:r>
    </w:p>
    <w:p w:rsidR="005C4CAC" w:rsidP="005C4CAC" w:rsidRDefault="005C4CAC">
      <w:pPr>
        <w:spacing w:after="0"/>
        <w:rPr>
          <w:sz w:val="18"/>
          <w:szCs w:val="18"/>
        </w:rPr>
      </w:pPr>
    </w:p>
    <w:p w:rsidRPr="007906C5" w:rsidR="005C4CAC" w:rsidP="005C4CAC" w:rsidRDefault="005C4CAC">
      <w:pPr>
        <w:spacing w:after="0"/>
        <w:rPr>
          <w:i/>
          <w:sz w:val="16"/>
          <w:szCs w:val="16"/>
        </w:rPr>
      </w:pPr>
      <w:r>
        <w:rPr>
          <w:b/>
          <w:i/>
          <w:sz w:val="16"/>
          <w:szCs w:val="16"/>
        </w:rPr>
        <w:t>Tabel 1</w:t>
      </w:r>
      <w:r w:rsidR="00E94975">
        <w:rPr>
          <w:b/>
          <w:i/>
          <w:sz w:val="16"/>
          <w:szCs w:val="16"/>
        </w:rPr>
        <w:t>1</w:t>
      </w:r>
      <w:r>
        <w:rPr>
          <w:b/>
          <w:i/>
          <w:sz w:val="16"/>
          <w:szCs w:val="16"/>
        </w:rPr>
        <w:t xml:space="preserve">: </w:t>
      </w:r>
      <w:r w:rsidRPr="007906C5">
        <w:rPr>
          <w:b/>
          <w:i/>
          <w:sz w:val="16"/>
          <w:szCs w:val="16"/>
        </w:rPr>
        <w:t>Effecten ongewijzigd beleid versus voorgesteld scenario</w:t>
      </w:r>
    </w:p>
    <w:tbl>
      <w:tblPr>
        <w:tblStyle w:val="Lichtearcering5"/>
        <w:tblW w:w="0" w:type="auto"/>
        <w:tblLook w:val="04A0"/>
      </w:tblPr>
      <w:tblGrid>
        <w:gridCol w:w="2660"/>
        <w:gridCol w:w="1701"/>
        <w:gridCol w:w="2268"/>
        <w:gridCol w:w="2583"/>
      </w:tblGrid>
      <w:tr w:rsidRPr="007906C5" w:rsidR="005C4CAC" w:rsidTr="005C4CAC">
        <w:trPr>
          <w:cnfStyle w:val="100000000000"/>
        </w:trPr>
        <w:tc>
          <w:tcPr>
            <w:cnfStyle w:val="001000000000"/>
            <w:tcW w:w="2660" w:type="dxa"/>
          </w:tcPr>
          <w:p w:rsidRPr="007906C5" w:rsidR="005C4CAC" w:rsidP="005C4CAC" w:rsidRDefault="005C4CAC">
            <w:pPr>
              <w:spacing w:after="0" w:line="240" w:lineRule="auto"/>
              <w:jc w:val="right"/>
              <w:rPr>
                <w:sz w:val="16"/>
                <w:szCs w:val="16"/>
              </w:rPr>
            </w:pPr>
          </w:p>
        </w:tc>
        <w:tc>
          <w:tcPr>
            <w:tcW w:w="1701" w:type="dxa"/>
          </w:tcPr>
          <w:p w:rsidRPr="007906C5" w:rsidR="005C4CAC" w:rsidP="005C4CAC" w:rsidRDefault="005C4CAC">
            <w:pPr>
              <w:spacing w:after="0" w:line="240" w:lineRule="auto"/>
              <w:jc w:val="right"/>
              <w:cnfStyle w:val="100000000000"/>
              <w:rPr>
                <w:sz w:val="16"/>
                <w:szCs w:val="16"/>
              </w:rPr>
            </w:pPr>
            <w:r w:rsidRPr="007906C5">
              <w:rPr>
                <w:sz w:val="16"/>
                <w:szCs w:val="16"/>
              </w:rPr>
              <w:t>2010</w:t>
            </w:r>
          </w:p>
        </w:tc>
        <w:tc>
          <w:tcPr>
            <w:tcW w:w="2268" w:type="dxa"/>
          </w:tcPr>
          <w:p w:rsidRPr="007906C5" w:rsidR="005C4CAC" w:rsidP="005C4CAC" w:rsidRDefault="005C4CAC">
            <w:pPr>
              <w:spacing w:after="0" w:line="240" w:lineRule="auto"/>
              <w:jc w:val="right"/>
              <w:cnfStyle w:val="100000000000"/>
              <w:rPr>
                <w:sz w:val="16"/>
                <w:szCs w:val="16"/>
              </w:rPr>
            </w:pPr>
            <w:r w:rsidRPr="007906C5">
              <w:rPr>
                <w:sz w:val="16"/>
                <w:szCs w:val="16"/>
              </w:rPr>
              <w:t>2015</w:t>
            </w:r>
          </w:p>
          <w:p w:rsidRPr="007906C5" w:rsidR="005C4CAC" w:rsidP="005C4CAC" w:rsidRDefault="005C4CAC">
            <w:pPr>
              <w:spacing w:after="0" w:line="240" w:lineRule="auto"/>
              <w:jc w:val="right"/>
              <w:cnfStyle w:val="100000000000"/>
              <w:rPr>
                <w:sz w:val="16"/>
                <w:szCs w:val="16"/>
              </w:rPr>
            </w:pPr>
            <w:r w:rsidRPr="007906C5">
              <w:rPr>
                <w:sz w:val="16"/>
                <w:szCs w:val="16"/>
              </w:rPr>
              <w:t>Ongewijzigd beleid</w:t>
            </w:r>
          </w:p>
        </w:tc>
        <w:tc>
          <w:tcPr>
            <w:tcW w:w="2583" w:type="dxa"/>
          </w:tcPr>
          <w:p w:rsidRPr="007906C5" w:rsidR="005C4CAC" w:rsidP="005C4CAC" w:rsidRDefault="005C4CAC">
            <w:pPr>
              <w:spacing w:after="0" w:line="240" w:lineRule="auto"/>
              <w:jc w:val="right"/>
              <w:cnfStyle w:val="100000000000"/>
              <w:rPr>
                <w:sz w:val="16"/>
                <w:szCs w:val="16"/>
              </w:rPr>
            </w:pPr>
            <w:r w:rsidRPr="007906C5">
              <w:rPr>
                <w:sz w:val="16"/>
                <w:szCs w:val="16"/>
              </w:rPr>
              <w:t>2015</w:t>
            </w:r>
          </w:p>
          <w:p w:rsidRPr="007906C5" w:rsidR="005C4CAC" w:rsidP="005C4CAC" w:rsidRDefault="005C4CAC">
            <w:pPr>
              <w:spacing w:after="0" w:line="240" w:lineRule="auto"/>
              <w:jc w:val="right"/>
              <w:cnfStyle w:val="100000000000"/>
              <w:rPr>
                <w:sz w:val="16"/>
                <w:szCs w:val="16"/>
              </w:rPr>
            </w:pPr>
            <w:r w:rsidRPr="007906C5">
              <w:rPr>
                <w:sz w:val="16"/>
                <w:szCs w:val="16"/>
              </w:rPr>
              <w:t>Voorgesteld scenario</w:t>
            </w:r>
          </w:p>
        </w:tc>
      </w:tr>
      <w:tr w:rsidRPr="007906C5" w:rsidR="005C4CAC" w:rsidTr="005C4CAC">
        <w:trPr>
          <w:cnfStyle w:val="000000100000"/>
        </w:trPr>
        <w:tc>
          <w:tcPr>
            <w:cnfStyle w:val="001000000000"/>
            <w:tcW w:w="2660" w:type="dxa"/>
            <w:vAlign w:val="bottom"/>
          </w:tcPr>
          <w:p w:rsidRPr="007906C5" w:rsidR="005C4CAC" w:rsidP="005C4CAC" w:rsidRDefault="005C4CAC">
            <w:pPr>
              <w:spacing w:after="0"/>
              <w:rPr>
                <w:b w:val="0"/>
                <w:sz w:val="16"/>
                <w:szCs w:val="16"/>
              </w:rPr>
            </w:pPr>
            <w:r w:rsidRPr="007906C5">
              <w:rPr>
                <w:b w:val="0"/>
                <w:sz w:val="16"/>
                <w:szCs w:val="16"/>
              </w:rPr>
              <w:t>Opbrengst in € mln</w:t>
            </w:r>
          </w:p>
        </w:tc>
        <w:tc>
          <w:tcPr>
            <w:tcW w:w="1701" w:type="dxa"/>
            <w:vAlign w:val="bottom"/>
          </w:tcPr>
          <w:p w:rsidRPr="007906C5" w:rsidR="005C4CAC" w:rsidP="005C4CAC" w:rsidRDefault="005C4CAC">
            <w:pPr>
              <w:spacing w:after="0"/>
              <w:jc w:val="right"/>
              <w:cnfStyle w:val="000000100000"/>
              <w:rPr>
                <w:sz w:val="16"/>
                <w:szCs w:val="16"/>
              </w:rPr>
            </w:pPr>
            <w:r w:rsidRPr="007906C5">
              <w:rPr>
                <w:sz w:val="16"/>
                <w:szCs w:val="16"/>
              </w:rPr>
              <w:t>2.012</w:t>
            </w:r>
          </w:p>
        </w:tc>
        <w:tc>
          <w:tcPr>
            <w:tcW w:w="2268" w:type="dxa"/>
            <w:vAlign w:val="bottom"/>
          </w:tcPr>
          <w:p w:rsidRPr="007906C5" w:rsidR="005C4CAC" w:rsidP="005C4CAC" w:rsidRDefault="005C4CAC">
            <w:pPr>
              <w:spacing w:after="0"/>
              <w:jc w:val="right"/>
              <w:cnfStyle w:val="000000100000"/>
              <w:rPr>
                <w:sz w:val="16"/>
                <w:szCs w:val="16"/>
              </w:rPr>
            </w:pPr>
            <w:r w:rsidRPr="007906C5">
              <w:rPr>
                <w:sz w:val="16"/>
                <w:szCs w:val="16"/>
              </w:rPr>
              <w:t>1.321</w:t>
            </w:r>
          </w:p>
        </w:tc>
        <w:tc>
          <w:tcPr>
            <w:tcW w:w="2583" w:type="dxa"/>
            <w:vAlign w:val="bottom"/>
          </w:tcPr>
          <w:p w:rsidRPr="007906C5" w:rsidR="005C4CAC" w:rsidP="005C4CAC" w:rsidRDefault="005C4CAC">
            <w:pPr>
              <w:spacing w:after="0"/>
              <w:jc w:val="right"/>
              <w:cnfStyle w:val="000000100000"/>
              <w:rPr>
                <w:sz w:val="16"/>
                <w:szCs w:val="16"/>
              </w:rPr>
            </w:pPr>
            <w:r w:rsidRPr="007906C5">
              <w:rPr>
                <w:sz w:val="16"/>
                <w:szCs w:val="16"/>
              </w:rPr>
              <w:t>1.902</w:t>
            </w:r>
          </w:p>
        </w:tc>
      </w:tr>
      <w:tr w:rsidRPr="007906C5" w:rsidR="005C4CAC" w:rsidTr="005C4CAC">
        <w:tc>
          <w:tcPr>
            <w:cnfStyle w:val="001000000000"/>
            <w:tcW w:w="2660" w:type="dxa"/>
            <w:vAlign w:val="bottom"/>
          </w:tcPr>
          <w:p w:rsidRPr="007906C5" w:rsidR="005C4CAC" w:rsidP="005C4CAC" w:rsidRDefault="005C4CAC">
            <w:pPr>
              <w:spacing w:after="0"/>
              <w:rPr>
                <w:b w:val="0"/>
                <w:sz w:val="16"/>
                <w:szCs w:val="16"/>
              </w:rPr>
            </w:pPr>
          </w:p>
          <w:p w:rsidRPr="007906C5" w:rsidR="005C4CAC" w:rsidP="005C4CAC" w:rsidRDefault="005C4CAC">
            <w:pPr>
              <w:spacing w:after="0"/>
              <w:rPr>
                <w:b w:val="0"/>
                <w:sz w:val="16"/>
                <w:szCs w:val="16"/>
              </w:rPr>
            </w:pPr>
            <w:r w:rsidRPr="007906C5">
              <w:rPr>
                <w:b w:val="0"/>
                <w:sz w:val="16"/>
                <w:szCs w:val="16"/>
              </w:rPr>
              <w:t>Gemiddelde CO</w:t>
            </w:r>
            <w:r w:rsidRPr="00D92670">
              <w:rPr>
                <w:b w:val="0"/>
                <w:sz w:val="16"/>
                <w:szCs w:val="16"/>
                <w:vertAlign w:val="subscript"/>
              </w:rPr>
              <w:t>2</w:t>
            </w:r>
            <w:r w:rsidRPr="007906C5">
              <w:rPr>
                <w:b w:val="0"/>
                <w:sz w:val="16"/>
                <w:szCs w:val="16"/>
              </w:rPr>
              <w:t>-uitstoot</w:t>
            </w:r>
          </w:p>
        </w:tc>
        <w:tc>
          <w:tcPr>
            <w:tcW w:w="1701" w:type="dxa"/>
            <w:vAlign w:val="bottom"/>
          </w:tcPr>
          <w:p w:rsidRPr="007906C5" w:rsidR="005C4CAC" w:rsidP="005C4CAC" w:rsidRDefault="005C4CAC">
            <w:pPr>
              <w:spacing w:after="0"/>
              <w:jc w:val="right"/>
              <w:cnfStyle w:val="000000000000"/>
              <w:rPr>
                <w:sz w:val="16"/>
                <w:szCs w:val="16"/>
              </w:rPr>
            </w:pPr>
            <w:r w:rsidRPr="007906C5">
              <w:rPr>
                <w:sz w:val="16"/>
                <w:szCs w:val="16"/>
              </w:rPr>
              <w:t>136</w:t>
            </w:r>
          </w:p>
        </w:tc>
        <w:tc>
          <w:tcPr>
            <w:tcW w:w="2268" w:type="dxa"/>
            <w:vAlign w:val="bottom"/>
          </w:tcPr>
          <w:p w:rsidRPr="007906C5" w:rsidR="005C4CAC" w:rsidP="005C4CAC" w:rsidRDefault="005C4CAC">
            <w:pPr>
              <w:spacing w:after="0"/>
              <w:jc w:val="right"/>
              <w:cnfStyle w:val="000000000000"/>
              <w:rPr>
                <w:sz w:val="16"/>
                <w:szCs w:val="16"/>
              </w:rPr>
            </w:pPr>
            <w:r w:rsidRPr="007906C5">
              <w:rPr>
                <w:sz w:val="16"/>
                <w:szCs w:val="16"/>
              </w:rPr>
              <w:t>111</w:t>
            </w:r>
          </w:p>
        </w:tc>
        <w:tc>
          <w:tcPr>
            <w:tcW w:w="2583" w:type="dxa"/>
            <w:vAlign w:val="bottom"/>
          </w:tcPr>
          <w:p w:rsidRPr="007906C5" w:rsidR="005C4CAC" w:rsidP="005C4CAC" w:rsidRDefault="005C4CAC">
            <w:pPr>
              <w:spacing w:after="0"/>
              <w:jc w:val="right"/>
              <w:cnfStyle w:val="000000000000"/>
              <w:rPr>
                <w:sz w:val="16"/>
                <w:szCs w:val="16"/>
              </w:rPr>
            </w:pPr>
            <w:r w:rsidRPr="007906C5">
              <w:rPr>
                <w:sz w:val="16"/>
                <w:szCs w:val="16"/>
              </w:rPr>
              <w:t>114</w:t>
            </w:r>
          </w:p>
        </w:tc>
      </w:tr>
      <w:tr w:rsidRPr="007906C5" w:rsidR="005C4CAC" w:rsidTr="005C4CAC">
        <w:trPr>
          <w:cnfStyle w:val="000000100000"/>
        </w:trPr>
        <w:tc>
          <w:tcPr>
            <w:cnfStyle w:val="001000000000"/>
            <w:tcW w:w="2660" w:type="dxa"/>
            <w:vAlign w:val="bottom"/>
          </w:tcPr>
          <w:p w:rsidRPr="007906C5" w:rsidR="005C4CAC" w:rsidP="005C4CAC" w:rsidRDefault="005C4CAC">
            <w:pPr>
              <w:spacing w:after="0"/>
              <w:rPr>
                <w:b w:val="0"/>
                <w:sz w:val="16"/>
                <w:szCs w:val="16"/>
              </w:rPr>
            </w:pPr>
          </w:p>
          <w:p w:rsidRPr="007906C5" w:rsidR="005C4CAC" w:rsidP="005C4CAC" w:rsidRDefault="005C4CAC">
            <w:pPr>
              <w:spacing w:after="0"/>
              <w:rPr>
                <w:b w:val="0"/>
                <w:sz w:val="16"/>
                <w:szCs w:val="16"/>
              </w:rPr>
            </w:pPr>
            <w:r w:rsidRPr="007906C5">
              <w:rPr>
                <w:b w:val="0"/>
                <w:sz w:val="16"/>
                <w:szCs w:val="16"/>
              </w:rPr>
              <w:t>Aantal nieuwverkopen</w:t>
            </w:r>
          </w:p>
        </w:tc>
        <w:tc>
          <w:tcPr>
            <w:tcW w:w="1701" w:type="dxa"/>
            <w:vAlign w:val="bottom"/>
          </w:tcPr>
          <w:p w:rsidRPr="007906C5" w:rsidR="005C4CAC" w:rsidP="005C4CAC" w:rsidRDefault="005C4CAC">
            <w:pPr>
              <w:spacing w:after="0"/>
              <w:jc w:val="right"/>
              <w:cnfStyle w:val="000000100000"/>
              <w:rPr>
                <w:sz w:val="16"/>
                <w:szCs w:val="16"/>
              </w:rPr>
            </w:pPr>
            <w:r w:rsidRPr="007906C5">
              <w:rPr>
                <w:sz w:val="16"/>
                <w:szCs w:val="16"/>
              </w:rPr>
              <w:t>479.000</w:t>
            </w:r>
          </w:p>
        </w:tc>
        <w:tc>
          <w:tcPr>
            <w:tcW w:w="2268" w:type="dxa"/>
            <w:vAlign w:val="bottom"/>
          </w:tcPr>
          <w:p w:rsidRPr="007906C5" w:rsidR="005C4CAC" w:rsidP="005C4CAC" w:rsidRDefault="005C4CAC">
            <w:pPr>
              <w:spacing w:after="0"/>
              <w:jc w:val="right"/>
              <w:cnfStyle w:val="000000100000"/>
              <w:rPr>
                <w:sz w:val="16"/>
                <w:szCs w:val="16"/>
              </w:rPr>
            </w:pPr>
            <w:r w:rsidRPr="007906C5">
              <w:rPr>
                <w:sz w:val="16"/>
                <w:szCs w:val="16"/>
              </w:rPr>
              <w:t>527.000</w:t>
            </w:r>
          </w:p>
        </w:tc>
        <w:tc>
          <w:tcPr>
            <w:tcW w:w="2583" w:type="dxa"/>
            <w:vAlign w:val="bottom"/>
          </w:tcPr>
          <w:p w:rsidRPr="007906C5" w:rsidR="005C4CAC" w:rsidP="005C4CAC" w:rsidRDefault="005C4CAC">
            <w:pPr>
              <w:spacing w:after="0"/>
              <w:jc w:val="right"/>
              <w:cnfStyle w:val="000000100000"/>
              <w:rPr>
                <w:sz w:val="16"/>
                <w:szCs w:val="16"/>
              </w:rPr>
            </w:pPr>
            <w:r w:rsidRPr="007906C5">
              <w:rPr>
                <w:sz w:val="16"/>
                <w:szCs w:val="16"/>
              </w:rPr>
              <w:t>475.000</w:t>
            </w:r>
          </w:p>
        </w:tc>
      </w:tr>
      <w:tr w:rsidRPr="007906C5" w:rsidR="005C4CAC" w:rsidTr="005C4CAC">
        <w:tc>
          <w:tcPr>
            <w:cnfStyle w:val="001000000000"/>
            <w:tcW w:w="2660" w:type="dxa"/>
            <w:vAlign w:val="bottom"/>
          </w:tcPr>
          <w:p w:rsidRPr="007906C5" w:rsidR="005C4CAC" w:rsidP="005C4CAC" w:rsidRDefault="005C4CAC">
            <w:pPr>
              <w:spacing w:after="0"/>
              <w:rPr>
                <w:b w:val="0"/>
                <w:sz w:val="16"/>
                <w:szCs w:val="16"/>
              </w:rPr>
            </w:pPr>
          </w:p>
          <w:p w:rsidRPr="007906C5" w:rsidR="005C4CAC" w:rsidP="005C4CAC" w:rsidRDefault="005C4CAC">
            <w:pPr>
              <w:spacing w:after="0"/>
              <w:rPr>
                <w:b w:val="0"/>
                <w:sz w:val="16"/>
                <w:szCs w:val="16"/>
              </w:rPr>
            </w:pPr>
            <w:r w:rsidRPr="007906C5">
              <w:rPr>
                <w:b w:val="0"/>
                <w:sz w:val="16"/>
                <w:szCs w:val="16"/>
              </w:rPr>
              <w:t>- waarvan vrijgesteld</w:t>
            </w:r>
          </w:p>
        </w:tc>
        <w:tc>
          <w:tcPr>
            <w:tcW w:w="1701" w:type="dxa"/>
            <w:vAlign w:val="bottom"/>
          </w:tcPr>
          <w:p w:rsidRPr="007906C5" w:rsidR="005C4CAC" w:rsidP="005C4CAC" w:rsidRDefault="005C4CAC">
            <w:pPr>
              <w:spacing w:after="0"/>
              <w:jc w:val="right"/>
              <w:cnfStyle w:val="000000000000"/>
              <w:rPr>
                <w:sz w:val="16"/>
                <w:szCs w:val="16"/>
              </w:rPr>
            </w:pPr>
            <w:r w:rsidRPr="007906C5">
              <w:rPr>
                <w:sz w:val="16"/>
                <w:szCs w:val="16"/>
              </w:rPr>
              <w:t>25%</w:t>
            </w:r>
          </w:p>
        </w:tc>
        <w:tc>
          <w:tcPr>
            <w:tcW w:w="2268" w:type="dxa"/>
            <w:vAlign w:val="bottom"/>
          </w:tcPr>
          <w:p w:rsidRPr="007906C5" w:rsidR="005C4CAC" w:rsidP="005C4CAC" w:rsidRDefault="005C4CAC">
            <w:pPr>
              <w:spacing w:after="0"/>
              <w:jc w:val="right"/>
              <w:cnfStyle w:val="000000000000"/>
              <w:rPr>
                <w:sz w:val="16"/>
                <w:szCs w:val="16"/>
              </w:rPr>
            </w:pPr>
            <w:r w:rsidRPr="007906C5">
              <w:rPr>
                <w:sz w:val="16"/>
                <w:szCs w:val="16"/>
              </w:rPr>
              <w:t>62%</w:t>
            </w:r>
          </w:p>
        </w:tc>
        <w:tc>
          <w:tcPr>
            <w:tcW w:w="2583" w:type="dxa"/>
            <w:vAlign w:val="bottom"/>
          </w:tcPr>
          <w:p w:rsidRPr="007906C5" w:rsidR="005C4CAC" w:rsidP="005C4CAC" w:rsidRDefault="005C4CAC">
            <w:pPr>
              <w:spacing w:after="0"/>
              <w:jc w:val="right"/>
              <w:cnfStyle w:val="000000000000"/>
              <w:rPr>
                <w:sz w:val="16"/>
                <w:szCs w:val="16"/>
              </w:rPr>
            </w:pPr>
            <w:r w:rsidRPr="007906C5">
              <w:rPr>
                <w:sz w:val="16"/>
                <w:szCs w:val="16"/>
              </w:rPr>
              <w:t>12%</w:t>
            </w:r>
          </w:p>
        </w:tc>
      </w:tr>
      <w:tr w:rsidRPr="007906C5" w:rsidR="005C4CAC" w:rsidTr="005C4CAC">
        <w:trPr>
          <w:cnfStyle w:val="000000100000"/>
        </w:trPr>
        <w:tc>
          <w:tcPr>
            <w:cnfStyle w:val="001000000000"/>
            <w:tcW w:w="2660" w:type="dxa"/>
            <w:vAlign w:val="bottom"/>
          </w:tcPr>
          <w:p w:rsidRPr="007906C5" w:rsidR="005C4CAC" w:rsidP="005C4CAC" w:rsidRDefault="005C4CAC">
            <w:pPr>
              <w:spacing w:after="0"/>
              <w:rPr>
                <w:b w:val="0"/>
                <w:sz w:val="16"/>
                <w:szCs w:val="16"/>
              </w:rPr>
            </w:pPr>
          </w:p>
          <w:p w:rsidRPr="007906C5" w:rsidR="005C4CAC" w:rsidP="005C4CAC" w:rsidRDefault="005C4CAC">
            <w:pPr>
              <w:spacing w:after="0"/>
              <w:rPr>
                <w:b w:val="0"/>
                <w:sz w:val="16"/>
                <w:szCs w:val="16"/>
              </w:rPr>
            </w:pPr>
            <w:r w:rsidRPr="007906C5">
              <w:rPr>
                <w:b w:val="0"/>
                <w:sz w:val="16"/>
                <w:szCs w:val="16"/>
              </w:rPr>
              <w:t>- waarvan 3</w:t>
            </w:r>
            <w:r w:rsidRPr="007906C5">
              <w:rPr>
                <w:b w:val="0"/>
                <w:sz w:val="16"/>
                <w:szCs w:val="16"/>
                <w:vertAlign w:val="superscript"/>
              </w:rPr>
              <w:t>de</w:t>
            </w:r>
            <w:r w:rsidRPr="007906C5">
              <w:rPr>
                <w:b w:val="0"/>
                <w:sz w:val="16"/>
                <w:szCs w:val="16"/>
              </w:rPr>
              <w:t xml:space="preserve"> schijf</w:t>
            </w:r>
          </w:p>
        </w:tc>
        <w:tc>
          <w:tcPr>
            <w:tcW w:w="1701" w:type="dxa"/>
            <w:vAlign w:val="bottom"/>
          </w:tcPr>
          <w:p w:rsidRPr="007906C5" w:rsidR="005C4CAC" w:rsidP="005C4CAC" w:rsidRDefault="005C4CAC">
            <w:pPr>
              <w:spacing w:after="0"/>
              <w:jc w:val="right"/>
              <w:cnfStyle w:val="000000100000"/>
              <w:rPr>
                <w:sz w:val="16"/>
                <w:szCs w:val="16"/>
              </w:rPr>
            </w:pPr>
            <w:r w:rsidRPr="007906C5">
              <w:rPr>
                <w:sz w:val="16"/>
                <w:szCs w:val="16"/>
              </w:rPr>
              <w:t>0%</w:t>
            </w:r>
          </w:p>
        </w:tc>
        <w:tc>
          <w:tcPr>
            <w:tcW w:w="2268" w:type="dxa"/>
            <w:vAlign w:val="bottom"/>
          </w:tcPr>
          <w:p w:rsidRPr="007906C5" w:rsidR="005C4CAC" w:rsidP="005C4CAC" w:rsidRDefault="005C4CAC">
            <w:pPr>
              <w:spacing w:after="0"/>
              <w:jc w:val="right"/>
              <w:cnfStyle w:val="000000100000"/>
              <w:rPr>
                <w:sz w:val="16"/>
                <w:szCs w:val="16"/>
              </w:rPr>
            </w:pPr>
            <w:r w:rsidRPr="007906C5">
              <w:rPr>
                <w:sz w:val="16"/>
                <w:szCs w:val="16"/>
              </w:rPr>
              <w:t>0%</w:t>
            </w:r>
          </w:p>
        </w:tc>
        <w:tc>
          <w:tcPr>
            <w:tcW w:w="2583" w:type="dxa"/>
            <w:vAlign w:val="bottom"/>
          </w:tcPr>
          <w:p w:rsidRPr="007906C5" w:rsidR="005C4CAC" w:rsidP="005C4CAC" w:rsidRDefault="005C4CAC">
            <w:pPr>
              <w:spacing w:after="0"/>
              <w:jc w:val="right"/>
              <w:cnfStyle w:val="000000100000"/>
              <w:rPr>
                <w:sz w:val="16"/>
                <w:szCs w:val="16"/>
              </w:rPr>
            </w:pPr>
            <w:r w:rsidRPr="007906C5">
              <w:rPr>
                <w:sz w:val="16"/>
                <w:szCs w:val="16"/>
              </w:rPr>
              <w:t>10%</w:t>
            </w:r>
          </w:p>
        </w:tc>
      </w:tr>
      <w:tr w:rsidRPr="007906C5" w:rsidR="005C4CAC" w:rsidTr="005C4CAC">
        <w:tc>
          <w:tcPr>
            <w:cnfStyle w:val="001000000000"/>
            <w:tcW w:w="2660" w:type="dxa"/>
            <w:vAlign w:val="bottom"/>
          </w:tcPr>
          <w:p w:rsidRPr="007906C5" w:rsidR="005C4CAC" w:rsidP="005C4CAC" w:rsidRDefault="005C4CAC">
            <w:pPr>
              <w:spacing w:after="0"/>
              <w:rPr>
                <w:b w:val="0"/>
                <w:sz w:val="16"/>
                <w:szCs w:val="16"/>
              </w:rPr>
            </w:pPr>
          </w:p>
          <w:p w:rsidRPr="007906C5" w:rsidR="005C4CAC" w:rsidP="005C4CAC" w:rsidRDefault="005C4CAC">
            <w:pPr>
              <w:spacing w:after="0"/>
              <w:rPr>
                <w:b w:val="0"/>
                <w:sz w:val="16"/>
                <w:szCs w:val="16"/>
              </w:rPr>
            </w:pPr>
            <w:r w:rsidRPr="007906C5">
              <w:rPr>
                <w:b w:val="0"/>
                <w:sz w:val="16"/>
                <w:szCs w:val="16"/>
              </w:rPr>
              <w:t>- waarvan A-segment</w:t>
            </w:r>
          </w:p>
        </w:tc>
        <w:tc>
          <w:tcPr>
            <w:tcW w:w="1701" w:type="dxa"/>
            <w:vAlign w:val="bottom"/>
          </w:tcPr>
          <w:p w:rsidRPr="007906C5" w:rsidR="005C4CAC" w:rsidP="005C4CAC" w:rsidRDefault="005C4CAC">
            <w:pPr>
              <w:spacing w:after="0"/>
              <w:jc w:val="right"/>
              <w:cnfStyle w:val="000000000000"/>
              <w:rPr>
                <w:sz w:val="16"/>
                <w:szCs w:val="16"/>
              </w:rPr>
            </w:pPr>
            <w:r w:rsidRPr="007906C5">
              <w:rPr>
                <w:sz w:val="16"/>
                <w:szCs w:val="16"/>
              </w:rPr>
              <w:t>23%</w:t>
            </w:r>
          </w:p>
        </w:tc>
        <w:tc>
          <w:tcPr>
            <w:tcW w:w="2268" w:type="dxa"/>
            <w:vAlign w:val="bottom"/>
          </w:tcPr>
          <w:p w:rsidRPr="007906C5" w:rsidR="005C4CAC" w:rsidP="005C4CAC" w:rsidRDefault="005C4CAC">
            <w:pPr>
              <w:spacing w:after="0"/>
              <w:jc w:val="right"/>
              <w:cnfStyle w:val="000000000000"/>
              <w:rPr>
                <w:sz w:val="16"/>
                <w:szCs w:val="16"/>
              </w:rPr>
            </w:pPr>
            <w:r w:rsidRPr="007906C5">
              <w:rPr>
                <w:sz w:val="16"/>
                <w:szCs w:val="16"/>
              </w:rPr>
              <w:t>21%</w:t>
            </w:r>
          </w:p>
        </w:tc>
        <w:tc>
          <w:tcPr>
            <w:tcW w:w="2583" w:type="dxa"/>
            <w:vAlign w:val="bottom"/>
          </w:tcPr>
          <w:p w:rsidRPr="007906C5" w:rsidR="005C4CAC" w:rsidP="005C4CAC" w:rsidRDefault="005C4CAC">
            <w:pPr>
              <w:spacing w:after="0"/>
              <w:jc w:val="right"/>
              <w:cnfStyle w:val="000000000000"/>
              <w:rPr>
                <w:sz w:val="16"/>
                <w:szCs w:val="16"/>
              </w:rPr>
            </w:pPr>
            <w:r w:rsidRPr="007906C5">
              <w:rPr>
                <w:sz w:val="16"/>
                <w:szCs w:val="16"/>
              </w:rPr>
              <w:t>21%</w:t>
            </w:r>
          </w:p>
        </w:tc>
      </w:tr>
      <w:tr w:rsidRPr="007906C5" w:rsidR="005C4CAC" w:rsidTr="005C4CAC">
        <w:trPr>
          <w:cnfStyle w:val="000000100000"/>
        </w:trPr>
        <w:tc>
          <w:tcPr>
            <w:cnfStyle w:val="001000000000"/>
            <w:tcW w:w="2660" w:type="dxa"/>
            <w:vAlign w:val="bottom"/>
          </w:tcPr>
          <w:p w:rsidRPr="007906C5" w:rsidR="005C4CAC" w:rsidP="005C4CAC" w:rsidRDefault="005C4CAC">
            <w:pPr>
              <w:spacing w:after="0"/>
              <w:rPr>
                <w:b w:val="0"/>
                <w:sz w:val="16"/>
                <w:szCs w:val="16"/>
              </w:rPr>
            </w:pPr>
          </w:p>
          <w:p w:rsidRPr="007906C5" w:rsidR="005C4CAC" w:rsidP="005C4CAC" w:rsidRDefault="005C4CAC">
            <w:pPr>
              <w:spacing w:after="0"/>
              <w:rPr>
                <w:b w:val="0"/>
                <w:sz w:val="16"/>
                <w:szCs w:val="16"/>
              </w:rPr>
            </w:pPr>
            <w:r w:rsidRPr="007906C5">
              <w:rPr>
                <w:b w:val="0"/>
                <w:sz w:val="16"/>
                <w:szCs w:val="16"/>
              </w:rPr>
              <w:t>- waarvan D+-segment</w:t>
            </w:r>
          </w:p>
        </w:tc>
        <w:tc>
          <w:tcPr>
            <w:tcW w:w="1701" w:type="dxa"/>
            <w:vAlign w:val="bottom"/>
          </w:tcPr>
          <w:p w:rsidRPr="007906C5" w:rsidR="005C4CAC" w:rsidP="005C4CAC" w:rsidRDefault="005C4CAC">
            <w:pPr>
              <w:spacing w:after="0"/>
              <w:jc w:val="right"/>
              <w:cnfStyle w:val="000000100000"/>
              <w:rPr>
                <w:sz w:val="16"/>
                <w:szCs w:val="16"/>
              </w:rPr>
            </w:pPr>
            <w:r w:rsidRPr="007906C5">
              <w:rPr>
                <w:sz w:val="16"/>
                <w:szCs w:val="16"/>
              </w:rPr>
              <w:t>20%</w:t>
            </w:r>
          </w:p>
        </w:tc>
        <w:tc>
          <w:tcPr>
            <w:tcW w:w="2268" w:type="dxa"/>
            <w:vAlign w:val="bottom"/>
          </w:tcPr>
          <w:p w:rsidRPr="007906C5" w:rsidR="005C4CAC" w:rsidP="005C4CAC" w:rsidRDefault="005C4CAC">
            <w:pPr>
              <w:spacing w:after="0"/>
              <w:jc w:val="right"/>
              <w:cnfStyle w:val="000000100000"/>
              <w:rPr>
                <w:sz w:val="16"/>
                <w:szCs w:val="16"/>
              </w:rPr>
            </w:pPr>
            <w:r w:rsidRPr="007906C5">
              <w:rPr>
                <w:sz w:val="16"/>
                <w:szCs w:val="16"/>
              </w:rPr>
              <w:t>18%</w:t>
            </w:r>
          </w:p>
        </w:tc>
        <w:tc>
          <w:tcPr>
            <w:tcW w:w="2583" w:type="dxa"/>
            <w:vAlign w:val="bottom"/>
          </w:tcPr>
          <w:p w:rsidRPr="007906C5" w:rsidR="005C4CAC" w:rsidP="005C4CAC" w:rsidRDefault="005C4CAC">
            <w:pPr>
              <w:spacing w:after="0"/>
              <w:jc w:val="right"/>
              <w:cnfStyle w:val="000000100000"/>
              <w:rPr>
                <w:sz w:val="16"/>
                <w:szCs w:val="16"/>
              </w:rPr>
            </w:pPr>
            <w:r w:rsidRPr="007906C5">
              <w:rPr>
                <w:sz w:val="16"/>
                <w:szCs w:val="16"/>
              </w:rPr>
              <w:t>20%</w:t>
            </w:r>
          </w:p>
        </w:tc>
      </w:tr>
      <w:tr w:rsidRPr="007906C5" w:rsidR="005C4CAC" w:rsidTr="005C4CAC">
        <w:tc>
          <w:tcPr>
            <w:cnfStyle w:val="001000000000"/>
            <w:tcW w:w="2660" w:type="dxa"/>
            <w:vAlign w:val="bottom"/>
          </w:tcPr>
          <w:p w:rsidRPr="007906C5" w:rsidR="005C4CAC" w:rsidP="005C4CAC" w:rsidRDefault="005C4CAC">
            <w:pPr>
              <w:spacing w:after="0"/>
              <w:rPr>
                <w:b w:val="0"/>
                <w:sz w:val="16"/>
                <w:szCs w:val="16"/>
              </w:rPr>
            </w:pPr>
          </w:p>
          <w:p w:rsidRPr="007906C5" w:rsidR="005C4CAC" w:rsidP="005C4CAC" w:rsidRDefault="005C4CAC">
            <w:pPr>
              <w:spacing w:after="0"/>
              <w:rPr>
                <w:b w:val="0"/>
                <w:sz w:val="16"/>
                <w:szCs w:val="16"/>
              </w:rPr>
            </w:pPr>
            <w:r w:rsidRPr="007906C5">
              <w:rPr>
                <w:b w:val="0"/>
                <w:sz w:val="16"/>
                <w:szCs w:val="16"/>
              </w:rPr>
              <w:t>Verhouding benzine / diesel</w:t>
            </w:r>
          </w:p>
        </w:tc>
        <w:tc>
          <w:tcPr>
            <w:tcW w:w="1701" w:type="dxa"/>
            <w:vAlign w:val="bottom"/>
          </w:tcPr>
          <w:p w:rsidRPr="007906C5" w:rsidR="005C4CAC" w:rsidP="005C4CAC" w:rsidRDefault="005C4CAC">
            <w:pPr>
              <w:spacing w:after="0"/>
              <w:jc w:val="right"/>
              <w:cnfStyle w:val="000000000000"/>
              <w:rPr>
                <w:sz w:val="16"/>
                <w:szCs w:val="16"/>
              </w:rPr>
            </w:pPr>
            <w:r w:rsidRPr="007906C5">
              <w:rPr>
                <w:sz w:val="16"/>
                <w:szCs w:val="16"/>
              </w:rPr>
              <w:t>80 / 20</w:t>
            </w:r>
          </w:p>
        </w:tc>
        <w:tc>
          <w:tcPr>
            <w:tcW w:w="2268" w:type="dxa"/>
            <w:vAlign w:val="bottom"/>
          </w:tcPr>
          <w:p w:rsidRPr="007906C5" w:rsidR="005C4CAC" w:rsidP="005C4CAC" w:rsidRDefault="005C4CAC">
            <w:pPr>
              <w:spacing w:after="0"/>
              <w:jc w:val="right"/>
              <w:cnfStyle w:val="000000000000"/>
              <w:rPr>
                <w:sz w:val="16"/>
                <w:szCs w:val="16"/>
              </w:rPr>
            </w:pPr>
            <w:r w:rsidRPr="007906C5">
              <w:rPr>
                <w:sz w:val="16"/>
                <w:szCs w:val="16"/>
              </w:rPr>
              <w:t>75 / 25</w:t>
            </w:r>
          </w:p>
        </w:tc>
        <w:tc>
          <w:tcPr>
            <w:tcW w:w="2583" w:type="dxa"/>
            <w:vAlign w:val="bottom"/>
          </w:tcPr>
          <w:p w:rsidRPr="007906C5" w:rsidR="005C4CAC" w:rsidP="005C4CAC" w:rsidRDefault="005C4CAC">
            <w:pPr>
              <w:spacing w:after="0"/>
              <w:jc w:val="right"/>
              <w:cnfStyle w:val="000000000000"/>
              <w:rPr>
                <w:sz w:val="16"/>
                <w:szCs w:val="16"/>
              </w:rPr>
            </w:pPr>
            <w:r w:rsidRPr="007906C5">
              <w:rPr>
                <w:sz w:val="16"/>
                <w:szCs w:val="16"/>
              </w:rPr>
              <w:t>78 / 22</w:t>
            </w:r>
          </w:p>
        </w:tc>
      </w:tr>
    </w:tbl>
    <w:p w:rsidRPr="008E71DA" w:rsidR="005C4CAC" w:rsidP="005C4CAC" w:rsidRDefault="005C4CAC">
      <w:pPr>
        <w:spacing w:after="0"/>
        <w:rPr>
          <w:sz w:val="16"/>
          <w:szCs w:val="16"/>
        </w:rPr>
      </w:pPr>
      <w:r w:rsidRPr="007906C5">
        <w:rPr>
          <w:sz w:val="16"/>
          <w:szCs w:val="16"/>
        </w:rPr>
        <w:t>Bron: Ecorys CARbonTAX model</w:t>
      </w:r>
    </w:p>
    <w:p w:rsidR="005C4CAC" w:rsidP="005C4CAC" w:rsidRDefault="005C4CAC">
      <w:pPr>
        <w:spacing w:after="0"/>
        <w:rPr>
          <w:sz w:val="18"/>
          <w:szCs w:val="18"/>
        </w:rPr>
      </w:pPr>
    </w:p>
    <w:p w:rsidR="00B15B54" w:rsidRDefault="00B15B54">
      <w:pPr>
        <w:spacing w:after="0" w:line="240" w:lineRule="auto"/>
        <w:rPr>
          <w:sz w:val="18"/>
          <w:szCs w:val="18"/>
        </w:rPr>
      </w:pPr>
      <w:r>
        <w:rPr>
          <w:sz w:val="18"/>
          <w:szCs w:val="18"/>
        </w:rPr>
        <w:br w:type="page"/>
      </w:r>
    </w:p>
    <w:p w:rsidR="006872B2" w:rsidP="005C4CAC" w:rsidRDefault="006872B2">
      <w:pPr>
        <w:spacing w:after="0" w:line="240" w:lineRule="auto"/>
        <w:rPr>
          <w:sz w:val="18"/>
          <w:szCs w:val="18"/>
        </w:rPr>
      </w:pPr>
    </w:p>
    <w:p w:rsidRPr="0062433D" w:rsidR="00EF6456" w:rsidP="00781CF8" w:rsidRDefault="00EF6456">
      <w:pPr>
        <w:pStyle w:val="Kop1"/>
        <w:spacing w:before="0"/>
        <w:rPr>
          <w:rFonts w:ascii="Verdana" w:hAnsi="Verdana"/>
          <w:color w:val="auto"/>
          <w:sz w:val="18"/>
          <w:szCs w:val="18"/>
        </w:rPr>
      </w:pPr>
      <w:bookmarkStart w:name="_Toc292977499" w:id="27"/>
      <w:bookmarkStart w:name="_Toc293998539" w:id="28"/>
      <w:r w:rsidRPr="0062433D">
        <w:rPr>
          <w:rFonts w:ascii="Verdana" w:hAnsi="Verdana"/>
          <w:color w:val="auto"/>
          <w:sz w:val="18"/>
          <w:szCs w:val="18"/>
        </w:rPr>
        <w:t>Hoofdstuk 4. Variabilisatie</w:t>
      </w:r>
      <w:bookmarkEnd w:id="27"/>
      <w:bookmarkEnd w:id="28"/>
      <w:r w:rsidRPr="0062433D">
        <w:rPr>
          <w:rFonts w:ascii="Verdana" w:hAnsi="Verdana"/>
          <w:color w:val="auto"/>
          <w:sz w:val="18"/>
          <w:szCs w:val="18"/>
        </w:rPr>
        <w:t xml:space="preserve"> </w:t>
      </w:r>
    </w:p>
    <w:p w:rsidRPr="0062433D" w:rsidR="00EF6456" w:rsidP="00781CF8" w:rsidRDefault="00EF6456">
      <w:pPr>
        <w:pStyle w:val="Lijstalinea"/>
        <w:spacing w:after="0" w:line="240" w:lineRule="atLeast"/>
        <w:ind w:left="0"/>
        <w:rPr>
          <w:b/>
          <w:sz w:val="18"/>
          <w:szCs w:val="18"/>
        </w:rPr>
      </w:pPr>
    </w:p>
    <w:p w:rsidRPr="0062433D" w:rsidR="00EF6456" w:rsidP="00781CF8" w:rsidRDefault="00EF6456">
      <w:pPr>
        <w:pStyle w:val="Kop2"/>
        <w:spacing w:before="0"/>
        <w:rPr>
          <w:rFonts w:ascii="Verdana" w:hAnsi="Verdana"/>
          <w:color w:val="auto"/>
          <w:sz w:val="18"/>
          <w:szCs w:val="18"/>
        </w:rPr>
      </w:pPr>
      <w:bookmarkStart w:name="_Toc292977500" w:id="29"/>
      <w:bookmarkStart w:name="_Toc293998540" w:id="30"/>
      <w:r w:rsidRPr="0062433D">
        <w:rPr>
          <w:rFonts w:ascii="Verdana" w:hAnsi="Verdana"/>
          <w:color w:val="auto"/>
          <w:sz w:val="18"/>
          <w:szCs w:val="18"/>
        </w:rPr>
        <w:t>4.0. Samenvatting</w:t>
      </w:r>
      <w:bookmarkEnd w:id="29"/>
      <w:bookmarkEnd w:id="30"/>
    </w:p>
    <w:p w:rsidRPr="00A0409C" w:rsidR="00EF6456" w:rsidP="00781CF8" w:rsidRDefault="00EF6456">
      <w:pPr>
        <w:pBdr>
          <w:top w:val="single" w:color="auto" w:sz="4" w:space="1"/>
          <w:left w:val="single" w:color="auto" w:sz="4" w:space="4"/>
          <w:bottom w:val="single" w:color="auto" w:sz="4" w:space="1"/>
          <w:right w:val="single" w:color="auto" w:sz="4" w:space="4"/>
        </w:pBdr>
        <w:shd w:val="clear" w:color="auto" w:fill="D9D9D9"/>
        <w:spacing w:after="0" w:line="240" w:lineRule="atLeast"/>
        <w:rPr>
          <w:i/>
          <w:sz w:val="18"/>
          <w:szCs w:val="18"/>
        </w:rPr>
      </w:pPr>
      <w:r w:rsidRPr="00A0409C">
        <w:rPr>
          <w:rFonts w:cs="Univers"/>
          <w:i/>
          <w:sz w:val="18"/>
          <w:szCs w:val="18"/>
        </w:rPr>
        <w:t xml:space="preserve">Het kabinet ziet voorlopig geen mogelijkheden om in het kader van de variabilisatie de accijnzen op benzine en diesel te verhogen en </w:t>
      </w:r>
      <w:r>
        <w:rPr>
          <w:rFonts w:cs="Univers"/>
          <w:i/>
          <w:sz w:val="18"/>
          <w:szCs w:val="18"/>
        </w:rPr>
        <w:t xml:space="preserve">ter compensatie hiervan </w:t>
      </w:r>
      <w:r w:rsidRPr="00A0409C">
        <w:rPr>
          <w:rFonts w:cs="Univers"/>
          <w:i/>
          <w:sz w:val="18"/>
          <w:szCs w:val="18"/>
        </w:rPr>
        <w:t xml:space="preserve">de vaste autolasten te verlagen. België en Duitsland hebben </w:t>
      </w:r>
      <w:r>
        <w:rPr>
          <w:rFonts w:cs="Univers"/>
          <w:i/>
          <w:sz w:val="18"/>
          <w:szCs w:val="18"/>
        </w:rPr>
        <w:t xml:space="preserve">op dit moment </w:t>
      </w:r>
      <w:r w:rsidRPr="00A0409C">
        <w:rPr>
          <w:rFonts w:cs="Univers"/>
          <w:i/>
          <w:sz w:val="18"/>
          <w:szCs w:val="18"/>
        </w:rPr>
        <w:t>geen voornemens om hun accijnzen op benzine en diesel te verhogen</w:t>
      </w:r>
      <w:r w:rsidRPr="00B15B54">
        <w:rPr>
          <w:rFonts w:cs="Univers"/>
          <w:i/>
          <w:sz w:val="18"/>
          <w:szCs w:val="18"/>
        </w:rPr>
        <w:t>. Het recente voorstel van de Europese Commissie tot herziening van de Richtlijn energiebelastingen</w:t>
      </w:r>
      <w:r w:rsidRPr="00B15B54">
        <w:rPr>
          <w:rStyle w:val="Voetnootmarkering"/>
          <w:rFonts w:cs="Univers"/>
          <w:i/>
          <w:sz w:val="18"/>
          <w:szCs w:val="18"/>
        </w:rPr>
        <w:footnoteReference w:id="13"/>
      </w:r>
      <w:r w:rsidRPr="00B15B54">
        <w:rPr>
          <w:rFonts w:cs="Univers"/>
          <w:i/>
          <w:sz w:val="18"/>
          <w:szCs w:val="18"/>
        </w:rPr>
        <w:t xml:space="preserve"> </w:t>
      </w:r>
      <w:r w:rsidR="00441A98">
        <w:rPr>
          <w:rFonts w:cs="Univers"/>
          <w:i/>
          <w:sz w:val="18"/>
          <w:szCs w:val="18"/>
        </w:rPr>
        <w:t>om de grondslag van de tarieven te baseren op energie-inhoud en CO</w:t>
      </w:r>
      <w:r w:rsidRPr="00441A98" w:rsidR="00441A98">
        <w:rPr>
          <w:rFonts w:cs="Univers"/>
          <w:i/>
          <w:sz w:val="18"/>
          <w:szCs w:val="18"/>
          <w:vertAlign w:val="subscript"/>
        </w:rPr>
        <w:t>2</w:t>
      </w:r>
      <w:r w:rsidR="00441A98">
        <w:rPr>
          <w:rFonts w:cs="Univers"/>
          <w:i/>
          <w:sz w:val="18"/>
          <w:szCs w:val="18"/>
        </w:rPr>
        <w:t xml:space="preserve">-uitstoot </w:t>
      </w:r>
      <w:r w:rsidRPr="00B15B54" w:rsidR="00B15B54">
        <w:rPr>
          <w:rFonts w:cs="Univers"/>
          <w:i/>
          <w:sz w:val="18"/>
          <w:szCs w:val="18"/>
        </w:rPr>
        <w:t xml:space="preserve">streeft </w:t>
      </w:r>
      <w:r w:rsidR="00441A98">
        <w:rPr>
          <w:rFonts w:cs="Univers"/>
          <w:i/>
          <w:sz w:val="18"/>
          <w:szCs w:val="18"/>
        </w:rPr>
        <w:t xml:space="preserve">weliswaar </w:t>
      </w:r>
      <w:r w:rsidRPr="00B15B54" w:rsidR="00B15B54">
        <w:rPr>
          <w:rFonts w:cs="Univers"/>
          <w:i/>
          <w:sz w:val="18"/>
          <w:szCs w:val="18"/>
        </w:rPr>
        <w:t>geen wijziging van de minimumtarieven na</w:t>
      </w:r>
      <w:r w:rsidR="00441A98">
        <w:rPr>
          <w:rFonts w:cs="Univers"/>
          <w:i/>
          <w:sz w:val="18"/>
          <w:szCs w:val="18"/>
        </w:rPr>
        <w:t xml:space="preserve">, </w:t>
      </w:r>
      <w:r w:rsidRPr="00441A98" w:rsidR="00441A98">
        <w:rPr>
          <w:rFonts w:cs="Univers"/>
          <w:i/>
          <w:sz w:val="18"/>
          <w:szCs w:val="18"/>
        </w:rPr>
        <w:t xml:space="preserve">maar de </w:t>
      </w:r>
      <w:r w:rsidR="00441A98">
        <w:rPr>
          <w:rFonts w:cs="Univers"/>
          <w:i/>
          <w:sz w:val="18"/>
          <w:szCs w:val="18"/>
        </w:rPr>
        <w:t xml:space="preserve">voorgestelde </w:t>
      </w:r>
      <w:r w:rsidRPr="00441A98" w:rsidR="00441A98">
        <w:rPr>
          <w:rFonts w:cs="Univers"/>
          <w:i/>
          <w:sz w:val="18"/>
          <w:szCs w:val="18"/>
        </w:rPr>
        <w:t xml:space="preserve">nieuwe systematiek </w:t>
      </w:r>
      <w:r w:rsidR="00441A98">
        <w:rPr>
          <w:rFonts w:cs="Univers"/>
          <w:i/>
          <w:sz w:val="18"/>
          <w:szCs w:val="18"/>
        </w:rPr>
        <w:t xml:space="preserve">zal </w:t>
      </w:r>
      <w:r w:rsidRPr="00441A98" w:rsidR="00441A98">
        <w:rPr>
          <w:rFonts w:cs="Univers"/>
          <w:i/>
          <w:sz w:val="18"/>
          <w:szCs w:val="18"/>
        </w:rPr>
        <w:t>ertoe leiden dat de huidige minimumtarieven, met uitzondering van benzine, aanzienlijk gewijzigd zullen worden</w:t>
      </w:r>
      <w:r w:rsidR="00441A98">
        <w:rPr>
          <w:rFonts w:cs="Univers"/>
          <w:i/>
          <w:sz w:val="18"/>
          <w:szCs w:val="18"/>
        </w:rPr>
        <w:t>.</w:t>
      </w:r>
      <w:r w:rsidR="002C667E">
        <w:rPr>
          <w:rFonts w:cs="Univers"/>
          <w:i/>
          <w:sz w:val="18"/>
          <w:szCs w:val="18"/>
        </w:rPr>
        <w:t xml:space="preserve"> </w:t>
      </w:r>
      <w:r w:rsidR="00441A98">
        <w:rPr>
          <w:rFonts w:cs="Univers"/>
          <w:i/>
          <w:sz w:val="18"/>
          <w:szCs w:val="18"/>
        </w:rPr>
        <w:t>Op korte</w:t>
      </w:r>
      <w:r>
        <w:rPr>
          <w:rFonts w:cs="Univers"/>
          <w:i/>
          <w:sz w:val="18"/>
          <w:szCs w:val="18"/>
        </w:rPr>
        <w:t xml:space="preserve"> </w:t>
      </w:r>
      <w:r w:rsidR="00441A98">
        <w:rPr>
          <w:rFonts w:cs="Univers"/>
          <w:i/>
          <w:sz w:val="18"/>
          <w:szCs w:val="18"/>
        </w:rPr>
        <w:t>termijn zal dit echter geen aanleiding geven tot aanpassing van de Nederlandse tarieven.</w:t>
      </w:r>
    </w:p>
    <w:p w:rsidR="00EF6456" w:rsidP="00781CF8" w:rsidRDefault="00EF6456">
      <w:pPr>
        <w:spacing w:after="0" w:line="240" w:lineRule="atLeast"/>
        <w:rPr>
          <w:sz w:val="18"/>
          <w:szCs w:val="18"/>
        </w:rPr>
      </w:pPr>
    </w:p>
    <w:p w:rsidR="00EF6456" w:rsidP="00781CF8" w:rsidRDefault="00EF6456">
      <w:pPr>
        <w:pStyle w:val="Kop2"/>
        <w:spacing w:before="0"/>
        <w:rPr>
          <w:rFonts w:ascii="Verdana" w:hAnsi="Verdana"/>
          <w:color w:val="auto"/>
          <w:sz w:val="18"/>
          <w:szCs w:val="18"/>
        </w:rPr>
      </w:pPr>
      <w:bookmarkStart w:name="_Toc292977501" w:id="31"/>
      <w:bookmarkStart w:name="_Toc293998541" w:id="32"/>
      <w:r w:rsidRPr="00051C01">
        <w:rPr>
          <w:rFonts w:ascii="Verdana" w:hAnsi="Verdana"/>
          <w:color w:val="auto"/>
          <w:sz w:val="18"/>
          <w:szCs w:val="18"/>
        </w:rPr>
        <w:t>4.1. Inleiding</w:t>
      </w:r>
      <w:bookmarkEnd w:id="31"/>
      <w:bookmarkEnd w:id="32"/>
      <w:r w:rsidRPr="00051C01">
        <w:rPr>
          <w:rFonts w:ascii="Verdana" w:hAnsi="Verdana"/>
          <w:color w:val="auto"/>
          <w:sz w:val="18"/>
          <w:szCs w:val="18"/>
        </w:rPr>
        <w:t xml:space="preserve"> </w:t>
      </w:r>
    </w:p>
    <w:p w:rsidR="00EF6456" w:rsidP="00781CF8" w:rsidRDefault="00D228C8">
      <w:pPr>
        <w:spacing w:after="0" w:line="240" w:lineRule="atLeast"/>
        <w:rPr>
          <w:rFonts w:cs="Univers"/>
          <w:sz w:val="18"/>
          <w:szCs w:val="18"/>
        </w:rPr>
      </w:pPr>
      <w:r>
        <w:rPr>
          <w:rFonts w:cs="Univers"/>
          <w:sz w:val="18"/>
          <w:szCs w:val="18"/>
        </w:rPr>
        <w:t xml:space="preserve">In het Regeerakkoord wordt </w:t>
      </w:r>
      <w:r w:rsidR="00335584">
        <w:rPr>
          <w:rFonts w:cs="Univers"/>
          <w:sz w:val="18"/>
          <w:szCs w:val="18"/>
        </w:rPr>
        <w:t xml:space="preserve">het belang van een goede doorstroming op het weggennet benadrukt. Files worden aangepakt en de mobiliteit wordt verbeterd ter versterking van de economische groei en een schoner milieu. In Hoofdstuk 7 van het Regeerakkoord is een pakket aan maatregelen opgenomen die alle aan die doelstelling kunnen bijdragen. In dat kader wordt ook </w:t>
      </w:r>
      <w:r>
        <w:rPr>
          <w:rFonts w:cs="Univers"/>
          <w:sz w:val="18"/>
          <w:szCs w:val="18"/>
        </w:rPr>
        <w:t xml:space="preserve">de mogelijkheid geschetst van een verschuiving van vaste lasten naar variabele lasten door </w:t>
      </w:r>
      <w:r w:rsidRPr="009433A7" w:rsidR="00EF6456">
        <w:rPr>
          <w:rFonts w:cs="Univers"/>
          <w:sz w:val="18"/>
          <w:szCs w:val="18"/>
        </w:rPr>
        <w:t xml:space="preserve">verhoging van de brandstofaccijnzen </w:t>
      </w:r>
      <w:r>
        <w:rPr>
          <w:rFonts w:cs="Univers"/>
          <w:sz w:val="18"/>
          <w:szCs w:val="18"/>
        </w:rPr>
        <w:t xml:space="preserve">en </w:t>
      </w:r>
      <w:r w:rsidRPr="009433A7" w:rsidR="00EF6456">
        <w:rPr>
          <w:rFonts w:cs="Univers"/>
          <w:sz w:val="18"/>
          <w:szCs w:val="18"/>
        </w:rPr>
        <w:t xml:space="preserve">gelijktijdige </w:t>
      </w:r>
      <w:r>
        <w:rPr>
          <w:rFonts w:cs="Univers"/>
          <w:sz w:val="18"/>
          <w:szCs w:val="18"/>
        </w:rPr>
        <w:t xml:space="preserve">en evenredige </w:t>
      </w:r>
      <w:r w:rsidRPr="009433A7" w:rsidR="00EF6456">
        <w:rPr>
          <w:rFonts w:cs="Univers"/>
          <w:sz w:val="18"/>
          <w:szCs w:val="18"/>
        </w:rPr>
        <w:t xml:space="preserve">verlaging van de vaste lasten. </w:t>
      </w:r>
      <w:r>
        <w:rPr>
          <w:rFonts w:cs="Univers"/>
          <w:sz w:val="18"/>
          <w:szCs w:val="18"/>
        </w:rPr>
        <w:t>Het kabinet zet hierop in</w:t>
      </w:r>
      <w:r w:rsidRPr="009433A7" w:rsidR="00EF6456">
        <w:rPr>
          <w:rFonts w:cs="Univers"/>
          <w:sz w:val="18"/>
          <w:szCs w:val="18"/>
        </w:rPr>
        <w:t xml:space="preserve">, maar dan wel in overleg met de buurlanden en binnen de EU. </w:t>
      </w:r>
    </w:p>
    <w:p w:rsidRPr="009433A7" w:rsidR="00D228C8" w:rsidP="00781CF8" w:rsidRDefault="00D228C8">
      <w:pPr>
        <w:spacing w:after="0" w:line="240" w:lineRule="atLeast"/>
        <w:rPr>
          <w:rFonts w:cs="Univers"/>
          <w:sz w:val="18"/>
          <w:szCs w:val="18"/>
        </w:rPr>
      </w:pPr>
      <w:r>
        <w:rPr>
          <w:rFonts w:cs="Univers"/>
          <w:sz w:val="18"/>
          <w:szCs w:val="18"/>
        </w:rPr>
        <w:t xml:space="preserve">Dat overleg met de buurlanden en binnen de EU is noodzakelijk om ervoor te zorgen dat onze accijnstarieven en de daarmee verband houdende pompprijzen niet te veel uit te pas lopen met in het bijzonder onze buurlanden. Bij voorkeur zou zelfs binnen de EU zoveel mogelijk overeenstemming moeten bestaan tussen de accijnstarieven en de pompprijzen. Hierna </w:t>
      </w:r>
      <w:r w:rsidR="00F21E23">
        <w:rPr>
          <w:rFonts w:cs="Univers"/>
          <w:sz w:val="18"/>
          <w:szCs w:val="18"/>
        </w:rPr>
        <w:t>worden de huidige verschillen tussen de accijnstarieven en de pompprijzen met onze buurlanden in kaart gebracht. Vervolgens worden de van toepassing zijnde accijnstarieven van de landen in de EU weergegeven. Dit hoofdstuk wordt afgesloten met de resultaten van de gesprekken die op dit punt (voornamelijk op ambtelijk niveau) met onze buurlanden zijn gevoerd.</w:t>
      </w:r>
    </w:p>
    <w:p w:rsidRPr="009433A7" w:rsidR="00EF6456" w:rsidP="00781CF8" w:rsidRDefault="00EF6456">
      <w:pPr>
        <w:spacing w:after="0" w:line="240" w:lineRule="atLeast"/>
        <w:rPr>
          <w:rFonts w:cs="Univers"/>
          <w:sz w:val="18"/>
          <w:szCs w:val="18"/>
        </w:rPr>
      </w:pPr>
    </w:p>
    <w:p w:rsidRPr="00FB22B0" w:rsidR="00EF6456" w:rsidP="00781CF8" w:rsidRDefault="00EF6456">
      <w:pPr>
        <w:pStyle w:val="Kop2"/>
        <w:spacing w:before="0"/>
        <w:rPr>
          <w:rFonts w:ascii="Verdana" w:hAnsi="Verdana"/>
          <w:color w:val="auto"/>
          <w:sz w:val="18"/>
          <w:szCs w:val="18"/>
        </w:rPr>
      </w:pPr>
      <w:bookmarkStart w:name="_Toc292977502" w:id="33"/>
      <w:bookmarkStart w:name="_Toc293998542" w:id="34"/>
      <w:r w:rsidRPr="00FB22B0">
        <w:rPr>
          <w:rFonts w:ascii="Verdana" w:hAnsi="Verdana"/>
          <w:color w:val="auto"/>
          <w:sz w:val="18"/>
          <w:szCs w:val="18"/>
        </w:rPr>
        <w:t>4.2. Benzine- en dieseltarieven</w:t>
      </w:r>
      <w:bookmarkEnd w:id="33"/>
      <w:bookmarkEnd w:id="34"/>
    </w:p>
    <w:p w:rsidR="00EF6456" w:rsidP="00781CF8" w:rsidRDefault="00EF6456">
      <w:pPr>
        <w:spacing w:after="0"/>
        <w:rPr>
          <w:sz w:val="18"/>
          <w:szCs w:val="18"/>
        </w:rPr>
      </w:pPr>
      <w:r w:rsidRPr="00AD1DAA">
        <w:rPr>
          <w:sz w:val="18"/>
          <w:szCs w:val="18"/>
        </w:rPr>
        <w:t>In tabel 1</w:t>
      </w:r>
      <w:r w:rsidRPr="00AD1DAA" w:rsidR="00E94975">
        <w:rPr>
          <w:sz w:val="18"/>
          <w:szCs w:val="18"/>
        </w:rPr>
        <w:t>2</w:t>
      </w:r>
      <w:r w:rsidRPr="00AD1DAA">
        <w:rPr>
          <w:sz w:val="18"/>
          <w:szCs w:val="18"/>
        </w:rPr>
        <w:t xml:space="preserve"> zijn de Nederlandse accijnstarieven van benzine (Euro 95) en diesel (zwavelvrij)</w:t>
      </w:r>
      <w:r w:rsidRPr="00F850F7">
        <w:rPr>
          <w:sz w:val="18"/>
          <w:szCs w:val="18"/>
        </w:rPr>
        <w:t xml:space="preserve"> vergeleken met de tarieven in Duitsland, België</w:t>
      </w:r>
      <w:r>
        <w:rPr>
          <w:sz w:val="18"/>
          <w:szCs w:val="18"/>
        </w:rPr>
        <w:t>, Frankrijk</w:t>
      </w:r>
      <w:r w:rsidRPr="00F850F7">
        <w:rPr>
          <w:sz w:val="18"/>
          <w:szCs w:val="18"/>
        </w:rPr>
        <w:t xml:space="preserve"> en Luxemburg</w:t>
      </w:r>
      <w:r w:rsidR="00C61C11">
        <w:rPr>
          <w:sz w:val="18"/>
          <w:szCs w:val="18"/>
        </w:rPr>
        <w:t>.</w:t>
      </w:r>
      <w:r>
        <w:rPr>
          <w:rStyle w:val="Voetnootmarkering"/>
          <w:sz w:val="18"/>
          <w:szCs w:val="18"/>
        </w:rPr>
        <w:footnoteReference w:id="14"/>
      </w:r>
      <w:r>
        <w:rPr>
          <w:sz w:val="18"/>
          <w:szCs w:val="18"/>
        </w:rPr>
        <w:t xml:space="preserve"> </w:t>
      </w:r>
      <w:r w:rsidRPr="00F850F7">
        <w:rPr>
          <w:sz w:val="18"/>
          <w:szCs w:val="18"/>
        </w:rPr>
        <w:t>Ook is een indicatie gegeven van de pompprijzen</w:t>
      </w:r>
      <w:r>
        <w:rPr>
          <w:sz w:val="18"/>
          <w:szCs w:val="18"/>
        </w:rPr>
        <w:t xml:space="preserve"> per </w:t>
      </w:r>
      <w:r w:rsidR="00F21E23">
        <w:rPr>
          <w:sz w:val="18"/>
          <w:szCs w:val="18"/>
        </w:rPr>
        <w:t>21 mei</w:t>
      </w:r>
      <w:r>
        <w:rPr>
          <w:sz w:val="18"/>
          <w:szCs w:val="18"/>
        </w:rPr>
        <w:t xml:space="preserve"> 2011</w:t>
      </w:r>
      <w:r w:rsidR="00C61C11">
        <w:rPr>
          <w:sz w:val="18"/>
          <w:szCs w:val="18"/>
        </w:rPr>
        <w:t>.</w:t>
      </w:r>
      <w:r>
        <w:rPr>
          <w:rStyle w:val="Voetnootmarkering"/>
          <w:sz w:val="18"/>
          <w:szCs w:val="18"/>
        </w:rPr>
        <w:footnoteReference w:id="15"/>
      </w:r>
      <w:r w:rsidRPr="00F850F7">
        <w:rPr>
          <w:sz w:val="18"/>
          <w:szCs w:val="18"/>
        </w:rPr>
        <w:t xml:space="preserve"> Deze kunnen verschillen, onder meer afhankelijk van de locatie van het tankstation.</w:t>
      </w:r>
    </w:p>
    <w:p w:rsidR="00F21E23" w:rsidP="00781CF8" w:rsidRDefault="00F21E23">
      <w:pPr>
        <w:spacing w:after="0"/>
        <w:rPr>
          <w:sz w:val="18"/>
          <w:szCs w:val="18"/>
        </w:rPr>
      </w:pPr>
    </w:p>
    <w:p w:rsidRPr="00E70BEC" w:rsidR="00EF6456" w:rsidP="00781CF8" w:rsidRDefault="004364A3">
      <w:pPr>
        <w:spacing w:after="0"/>
        <w:rPr>
          <w:b/>
          <w:i/>
          <w:sz w:val="16"/>
          <w:szCs w:val="16"/>
        </w:rPr>
      </w:pPr>
      <w:r>
        <w:rPr>
          <w:b/>
          <w:i/>
          <w:sz w:val="16"/>
          <w:szCs w:val="16"/>
        </w:rPr>
        <w:t>Tabel 1</w:t>
      </w:r>
      <w:r w:rsidR="00E94975">
        <w:rPr>
          <w:b/>
          <w:i/>
          <w:sz w:val="16"/>
          <w:szCs w:val="16"/>
        </w:rPr>
        <w:t>2</w:t>
      </w:r>
      <w:r>
        <w:rPr>
          <w:b/>
          <w:i/>
          <w:sz w:val="16"/>
          <w:szCs w:val="16"/>
        </w:rPr>
        <w:t xml:space="preserve">: </w:t>
      </w:r>
      <w:r w:rsidRPr="00E70BEC" w:rsidR="00E70BEC">
        <w:rPr>
          <w:b/>
          <w:i/>
          <w:sz w:val="16"/>
          <w:szCs w:val="16"/>
        </w:rPr>
        <w:t>Overzicht accijnstarieven en pompprijzen</w:t>
      </w:r>
      <w:r w:rsidR="00091745">
        <w:rPr>
          <w:b/>
          <w:i/>
          <w:sz w:val="16"/>
          <w:szCs w:val="16"/>
        </w:rPr>
        <w:t xml:space="preserve"> </w:t>
      </w:r>
      <w:r w:rsidRPr="00E70BEC" w:rsidR="00E70BEC">
        <w:rPr>
          <w:b/>
          <w:i/>
          <w:sz w:val="16"/>
          <w:szCs w:val="16"/>
        </w:rPr>
        <w:t>met de buurlanden</w:t>
      </w:r>
    </w:p>
    <w:tbl>
      <w:tblPr>
        <w:tblStyle w:val="Lichtearcering5"/>
        <w:tblW w:w="0" w:type="auto"/>
        <w:tblLook w:val="04A0"/>
      </w:tblPr>
      <w:tblGrid>
        <w:gridCol w:w="2235"/>
        <w:gridCol w:w="1322"/>
        <w:gridCol w:w="1365"/>
        <w:gridCol w:w="1513"/>
        <w:gridCol w:w="1201"/>
        <w:gridCol w:w="1651"/>
      </w:tblGrid>
      <w:tr w:rsidRPr="00E70BEC" w:rsidR="00EF6456" w:rsidTr="00E70BEC">
        <w:trPr>
          <w:cnfStyle w:val="100000000000"/>
        </w:trPr>
        <w:tc>
          <w:tcPr>
            <w:cnfStyle w:val="001000000000"/>
            <w:tcW w:w="2235" w:type="dxa"/>
          </w:tcPr>
          <w:p w:rsidRPr="00E70BEC" w:rsidR="00EF6456" w:rsidP="00781CF8" w:rsidRDefault="00EF6456">
            <w:pPr>
              <w:spacing w:after="0"/>
              <w:rPr>
                <w:bCs w:val="0"/>
                <w:color w:val="auto"/>
                <w:sz w:val="16"/>
                <w:szCs w:val="16"/>
              </w:rPr>
            </w:pPr>
          </w:p>
        </w:tc>
        <w:tc>
          <w:tcPr>
            <w:tcW w:w="1322" w:type="dxa"/>
          </w:tcPr>
          <w:p w:rsidRPr="00E70BEC" w:rsidR="00EF6456" w:rsidP="00781CF8" w:rsidRDefault="00EF6456">
            <w:pPr>
              <w:spacing w:after="0"/>
              <w:jc w:val="center"/>
              <w:cnfStyle w:val="100000000000"/>
              <w:rPr>
                <w:bCs w:val="0"/>
                <w:color w:val="auto"/>
                <w:sz w:val="16"/>
                <w:szCs w:val="16"/>
              </w:rPr>
            </w:pPr>
            <w:r w:rsidRPr="00E70BEC">
              <w:rPr>
                <w:bCs w:val="0"/>
                <w:color w:val="auto"/>
                <w:sz w:val="16"/>
                <w:szCs w:val="16"/>
              </w:rPr>
              <w:t>Nederland</w:t>
            </w:r>
          </w:p>
        </w:tc>
        <w:tc>
          <w:tcPr>
            <w:tcW w:w="1365" w:type="dxa"/>
          </w:tcPr>
          <w:p w:rsidRPr="00E70BEC" w:rsidR="00EF6456" w:rsidP="00781CF8" w:rsidRDefault="00EF6456">
            <w:pPr>
              <w:spacing w:after="0"/>
              <w:jc w:val="center"/>
              <w:cnfStyle w:val="100000000000"/>
              <w:rPr>
                <w:bCs w:val="0"/>
                <w:color w:val="auto"/>
                <w:sz w:val="16"/>
                <w:szCs w:val="16"/>
              </w:rPr>
            </w:pPr>
            <w:r w:rsidRPr="00E70BEC">
              <w:rPr>
                <w:bCs w:val="0"/>
                <w:color w:val="auto"/>
                <w:sz w:val="16"/>
                <w:szCs w:val="16"/>
              </w:rPr>
              <w:t>België</w:t>
            </w:r>
          </w:p>
        </w:tc>
        <w:tc>
          <w:tcPr>
            <w:tcW w:w="1513" w:type="dxa"/>
          </w:tcPr>
          <w:p w:rsidRPr="00E70BEC" w:rsidR="00EF6456" w:rsidP="00781CF8" w:rsidRDefault="00EF6456">
            <w:pPr>
              <w:spacing w:after="0"/>
              <w:jc w:val="center"/>
              <w:cnfStyle w:val="100000000000"/>
              <w:rPr>
                <w:bCs w:val="0"/>
                <w:color w:val="auto"/>
                <w:sz w:val="16"/>
                <w:szCs w:val="16"/>
              </w:rPr>
            </w:pPr>
            <w:r w:rsidRPr="00E70BEC">
              <w:rPr>
                <w:bCs w:val="0"/>
                <w:color w:val="auto"/>
                <w:sz w:val="16"/>
                <w:szCs w:val="16"/>
              </w:rPr>
              <w:t>Duitsland</w:t>
            </w:r>
          </w:p>
        </w:tc>
        <w:tc>
          <w:tcPr>
            <w:tcW w:w="1201" w:type="dxa"/>
          </w:tcPr>
          <w:p w:rsidRPr="00E70BEC" w:rsidR="00EF6456" w:rsidP="00781CF8" w:rsidRDefault="00EF6456">
            <w:pPr>
              <w:spacing w:after="0"/>
              <w:jc w:val="center"/>
              <w:cnfStyle w:val="100000000000"/>
              <w:rPr>
                <w:bCs w:val="0"/>
                <w:color w:val="auto"/>
                <w:sz w:val="16"/>
                <w:szCs w:val="16"/>
              </w:rPr>
            </w:pPr>
            <w:r w:rsidRPr="00E70BEC">
              <w:rPr>
                <w:bCs w:val="0"/>
                <w:color w:val="auto"/>
                <w:sz w:val="16"/>
                <w:szCs w:val="16"/>
              </w:rPr>
              <w:t>Frankrijk</w:t>
            </w:r>
          </w:p>
        </w:tc>
        <w:tc>
          <w:tcPr>
            <w:tcW w:w="1651" w:type="dxa"/>
          </w:tcPr>
          <w:p w:rsidRPr="00E70BEC" w:rsidR="00EF6456" w:rsidP="00781CF8" w:rsidRDefault="00EF6456">
            <w:pPr>
              <w:spacing w:after="0"/>
              <w:jc w:val="center"/>
              <w:cnfStyle w:val="100000000000"/>
              <w:rPr>
                <w:bCs w:val="0"/>
                <w:color w:val="auto"/>
                <w:sz w:val="16"/>
                <w:szCs w:val="16"/>
              </w:rPr>
            </w:pPr>
            <w:r w:rsidRPr="00E70BEC">
              <w:rPr>
                <w:bCs w:val="0"/>
                <w:color w:val="auto"/>
                <w:sz w:val="16"/>
                <w:szCs w:val="16"/>
              </w:rPr>
              <w:t>Luxemburg</w:t>
            </w:r>
          </w:p>
        </w:tc>
      </w:tr>
      <w:tr w:rsidRPr="00E70BEC" w:rsidR="00EF6456" w:rsidTr="00E70BEC">
        <w:trPr>
          <w:cnfStyle w:val="000000100000"/>
        </w:trPr>
        <w:tc>
          <w:tcPr>
            <w:cnfStyle w:val="001000000000"/>
            <w:tcW w:w="2235" w:type="dxa"/>
          </w:tcPr>
          <w:p w:rsidRPr="00E70BEC" w:rsidR="00EF6456" w:rsidP="00781CF8" w:rsidRDefault="00EF6456">
            <w:pPr>
              <w:spacing w:after="0"/>
              <w:rPr>
                <w:b w:val="0"/>
                <w:bCs w:val="0"/>
                <w:color w:val="auto"/>
                <w:sz w:val="16"/>
                <w:szCs w:val="16"/>
              </w:rPr>
            </w:pPr>
            <w:r w:rsidRPr="00E70BEC">
              <w:rPr>
                <w:b w:val="0"/>
                <w:bCs w:val="0"/>
                <w:color w:val="auto"/>
                <w:sz w:val="16"/>
                <w:szCs w:val="16"/>
              </w:rPr>
              <w:t>Benzineaccijns</w:t>
            </w:r>
            <w:r w:rsidRPr="00E70BEC">
              <w:rPr>
                <w:b w:val="0"/>
                <w:bCs w:val="0"/>
                <w:color w:val="auto"/>
                <w:sz w:val="16"/>
                <w:szCs w:val="16"/>
              </w:rPr>
              <w:br/>
              <w:t>per 1000 liter</w:t>
            </w:r>
          </w:p>
        </w:tc>
        <w:tc>
          <w:tcPr>
            <w:tcW w:w="1322" w:type="dxa"/>
          </w:tcPr>
          <w:p w:rsidRPr="00E70BEC" w:rsidR="00EF6456" w:rsidP="00242F9D" w:rsidRDefault="00EF6456">
            <w:pPr>
              <w:spacing w:after="0"/>
              <w:cnfStyle w:val="000000100000"/>
              <w:rPr>
                <w:color w:val="auto"/>
                <w:sz w:val="16"/>
                <w:szCs w:val="16"/>
              </w:rPr>
            </w:pPr>
            <w:r w:rsidRPr="00E70BEC">
              <w:rPr>
                <w:color w:val="auto"/>
                <w:sz w:val="16"/>
                <w:szCs w:val="16"/>
              </w:rPr>
              <w:t>€ 718,27</w:t>
            </w:r>
          </w:p>
        </w:tc>
        <w:tc>
          <w:tcPr>
            <w:tcW w:w="1365" w:type="dxa"/>
          </w:tcPr>
          <w:p w:rsidRPr="00E70BEC" w:rsidR="00EF6456" w:rsidP="00242F9D" w:rsidRDefault="00EF6456">
            <w:pPr>
              <w:spacing w:after="0"/>
              <w:cnfStyle w:val="000000100000"/>
              <w:rPr>
                <w:color w:val="auto"/>
                <w:sz w:val="16"/>
                <w:szCs w:val="16"/>
              </w:rPr>
            </w:pPr>
            <w:r w:rsidRPr="00E70BEC">
              <w:rPr>
                <w:color w:val="auto"/>
                <w:sz w:val="16"/>
                <w:szCs w:val="16"/>
              </w:rPr>
              <w:t>€ 613,57</w:t>
            </w:r>
          </w:p>
        </w:tc>
        <w:tc>
          <w:tcPr>
            <w:tcW w:w="1513" w:type="dxa"/>
          </w:tcPr>
          <w:p w:rsidRPr="00E70BEC" w:rsidR="00EF6456" w:rsidP="00242F9D" w:rsidRDefault="00EF6456">
            <w:pPr>
              <w:spacing w:after="0"/>
              <w:cnfStyle w:val="000000100000"/>
              <w:rPr>
                <w:color w:val="auto"/>
                <w:sz w:val="16"/>
                <w:szCs w:val="16"/>
              </w:rPr>
            </w:pPr>
            <w:r w:rsidRPr="00E70BEC">
              <w:rPr>
                <w:color w:val="auto"/>
                <w:sz w:val="16"/>
                <w:szCs w:val="16"/>
              </w:rPr>
              <w:t>€ 654,50</w:t>
            </w:r>
          </w:p>
        </w:tc>
        <w:tc>
          <w:tcPr>
            <w:tcW w:w="1201" w:type="dxa"/>
          </w:tcPr>
          <w:p w:rsidRPr="00E70BEC" w:rsidR="00EF6456" w:rsidP="00242F9D" w:rsidRDefault="00EF6456">
            <w:pPr>
              <w:spacing w:after="0"/>
              <w:cnfStyle w:val="000000100000"/>
              <w:rPr>
                <w:color w:val="auto"/>
                <w:sz w:val="16"/>
                <w:szCs w:val="16"/>
              </w:rPr>
            </w:pPr>
            <w:r w:rsidRPr="00E70BEC">
              <w:rPr>
                <w:color w:val="auto"/>
                <w:sz w:val="16"/>
                <w:szCs w:val="16"/>
              </w:rPr>
              <w:t>€ 639,60</w:t>
            </w:r>
          </w:p>
        </w:tc>
        <w:tc>
          <w:tcPr>
            <w:tcW w:w="1651" w:type="dxa"/>
          </w:tcPr>
          <w:p w:rsidRPr="00E70BEC" w:rsidR="00EF6456" w:rsidP="00242F9D" w:rsidRDefault="00EF6456">
            <w:pPr>
              <w:spacing w:after="0"/>
              <w:cnfStyle w:val="000000100000"/>
              <w:rPr>
                <w:color w:val="auto"/>
                <w:sz w:val="16"/>
                <w:szCs w:val="16"/>
              </w:rPr>
            </w:pPr>
            <w:r w:rsidRPr="00E70BEC">
              <w:rPr>
                <w:color w:val="auto"/>
                <w:sz w:val="16"/>
                <w:szCs w:val="16"/>
              </w:rPr>
              <w:t>€ 462,09</w:t>
            </w:r>
          </w:p>
        </w:tc>
      </w:tr>
      <w:tr w:rsidRPr="00E70BEC" w:rsidR="00EF6456" w:rsidTr="00E70BEC">
        <w:tc>
          <w:tcPr>
            <w:cnfStyle w:val="001000000000"/>
            <w:tcW w:w="2235" w:type="dxa"/>
          </w:tcPr>
          <w:p w:rsidRPr="00E70BEC" w:rsidR="00EF6456" w:rsidP="00781CF8" w:rsidRDefault="00EF6456">
            <w:pPr>
              <w:spacing w:after="0"/>
              <w:rPr>
                <w:b w:val="0"/>
                <w:bCs w:val="0"/>
                <w:color w:val="auto"/>
                <w:sz w:val="16"/>
                <w:szCs w:val="16"/>
              </w:rPr>
            </w:pPr>
            <w:r w:rsidRPr="00E70BEC">
              <w:rPr>
                <w:b w:val="0"/>
                <w:bCs w:val="0"/>
                <w:color w:val="auto"/>
                <w:sz w:val="16"/>
                <w:szCs w:val="16"/>
              </w:rPr>
              <w:t>Benzine pompprijs</w:t>
            </w:r>
            <w:r w:rsidRPr="00E70BEC">
              <w:rPr>
                <w:b w:val="0"/>
                <w:bCs w:val="0"/>
                <w:color w:val="auto"/>
                <w:sz w:val="16"/>
                <w:szCs w:val="16"/>
              </w:rPr>
              <w:br/>
              <w:t>per liter</w:t>
            </w:r>
          </w:p>
        </w:tc>
        <w:tc>
          <w:tcPr>
            <w:tcW w:w="1322" w:type="dxa"/>
          </w:tcPr>
          <w:p w:rsidRPr="00E70BEC" w:rsidR="00EF6456" w:rsidP="00242F9D" w:rsidRDefault="00EF6456">
            <w:pPr>
              <w:spacing w:after="0"/>
              <w:cnfStyle w:val="000000000000"/>
              <w:rPr>
                <w:color w:val="auto"/>
                <w:sz w:val="16"/>
                <w:szCs w:val="16"/>
              </w:rPr>
            </w:pPr>
            <w:r w:rsidRPr="00E70BEC">
              <w:rPr>
                <w:color w:val="auto"/>
                <w:sz w:val="16"/>
                <w:szCs w:val="16"/>
              </w:rPr>
              <w:t>€ 1,7</w:t>
            </w:r>
            <w:r w:rsidRPr="00E70BEC" w:rsidR="00F21E23">
              <w:rPr>
                <w:color w:val="auto"/>
                <w:sz w:val="16"/>
                <w:szCs w:val="16"/>
              </w:rPr>
              <w:t>3</w:t>
            </w:r>
          </w:p>
        </w:tc>
        <w:tc>
          <w:tcPr>
            <w:tcW w:w="1365" w:type="dxa"/>
          </w:tcPr>
          <w:p w:rsidRPr="00E70BEC" w:rsidR="00EF6456" w:rsidP="00242F9D" w:rsidRDefault="00EF6456">
            <w:pPr>
              <w:spacing w:after="0"/>
              <w:cnfStyle w:val="000000000000"/>
              <w:rPr>
                <w:color w:val="auto"/>
                <w:sz w:val="16"/>
                <w:szCs w:val="16"/>
              </w:rPr>
            </w:pPr>
            <w:r w:rsidRPr="00E70BEC">
              <w:rPr>
                <w:color w:val="auto"/>
                <w:sz w:val="16"/>
                <w:szCs w:val="16"/>
              </w:rPr>
              <w:t>€ 1,6</w:t>
            </w:r>
            <w:r w:rsidRPr="00E70BEC" w:rsidR="00F21E23">
              <w:rPr>
                <w:color w:val="auto"/>
                <w:sz w:val="16"/>
                <w:szCs w:val="16"/>
              </w:rPr>
              <w:t>2</w:t>
            </w:r>
          </w:p>
        </w:tc>
        <w:tc>
          <w:tcPr>
            <w:tcW w:w="1513" w:type="dxa"/>
          </w:tcPr>
          <w:p w:rsidRPr="00E70BEC" w:rsidR="00EF6456" w:rsidP="00242F9D" w:rsidRDefault="00EF6456">
            <w:pPr>
              <w:spacing w:after="0"/>
              <w:cnfStyle w:val="000000000000"/>
              <w:rPr>
                <w:color w:val="auto"/>
                <w:sz w:val="16"/>
                <w:szCs w:val="16"/>
              </w:rPr>
            </w:pPr>
            <w:r w:rsidRPr="00E70BEC">
              <w:rPr>
                <w:color w:val="auto"/>
                <w:sz w:val="16"/>
                <w:szCs w:val="16"/>
              </w:rPr>
              <w:t>€ 1,5</w:t>
            </w:r>
            <w:r w:rsidRPr="00E70BEC" w:rsidR="00F21E23">
              <w:rPr>
                <w:color w:val="auto"/>
                <w:sz w:val="16"/>
                <w:szCs w:val="16"/>
              </w:rPr>
              <w:t>9</w:t>
            </w:r>
          </w:p>
        </w:tc>
        <w:tc>
          <w:tcPr>
            <w:tcW w:w="1201" w:type="dxa"/>
          </w:tcPr>
          <w:p w:rsidRPr="00E70BEC" w:rsidR="00EF6456" w:rsidP="00242F9D" w:rsidRDefault="00EF6456">
            <w:pPr>
              <w:spacing w:after="0"/>
              <w:cnfStyle w:val="000000000000"/>
              <w:rPr>
                <w:color w:val="auto"/>
                <w:sz w:val="16"/>
                <w:szCs w:val="16"/>
              </w:rPr>
            </w:pPr>
            <w:r w:rsidRPr="00E70BEC">
              <w:rPr>
                <w:color w:val="auto"/>
                <w:sz w:val="16"/>
                <w:szCs w:val="16"/>
              </w:rPr>
              <w:t>€ 1,5</w:t>
            </w:r>
            <w:r w:rsidRPr="00E70BEC" w:rsidR="00F21E23">
              <w:rPr>
                <w:color w:val="auto"/>
                <w:sz w:val="16"/>
                <w:szCs w:val="16"/>
              </w:rPr>
              <w:t>9</w:t>
            </w:r>
          </w:p>
        </w:tc>
        <w:tc>
          <w:tcPr>
            <w:tcW w:w="1651" w:type="dxa"/>
          </w:tcPr>
          <w:p w:rsidRPr="00E70BEC" w:rsidR="00EF6456" w:rsidP="00242F9D" w:rsidRDefault="00EF6456">
            <w:pPr>
              <w:spacing w:after="0"/>
              <w:cnfStyle w:val="000000000000"/>
              <w:rPr>
                <w:color w:val="auto"/>
                <w:sz w:val="16"/>
                <w:szCs w:val="16"/>
              </w:rPr>
            </w:pPr>
            <w:r w:rsidRPr="00E70BEC">
              <w:rPr>
                <w:color w:val="auto"/>
                <w:sz w:val="16"/>
                <w:szCs w:val="16"/>
              </w:rPr>
              <w:t>€ 1,3</w:t>
            </w:r>
            <w:r w:rsidRPr="00E70BEC" w:rsidR="00F21E23">
              <w:rPr>
                <w:color w:val="auto"/>
                <w:sz w:val="16"/>
                <w:szCs w:val="16"/>
              </w:rPr>
              <w:t>3</w:t>
            </w:r>
          </w:p>
        </w:tc>
      </w:tr>
      <w:tr w:rsidRPr="00E70BEC" w:rsidR="00EF6456" w:rsidTr="00E70BEC">
        <w:trPr>
          <w:cnfStyle w:val="000000100000"/>
        </w:trPr>
        <w:tc>
          <w:tcPr>
            <w:cnfStyle w:val="001000000000"/>
            <w:tcW w:w="2235" w:type="dxa"/>
          </w:tcPr>
          <w:p w:rsidRPr="00E70BEC" w:rsidR="00EF6456" w:rsidP="00781CF8" w:rsidRDefault="00EF6456">
            <w:pPr>
              <w:spacing w:after="0"/>
              <w:rPr>
                <w:b w:val="0"/>
                <w:bCs w:val="0"/>
                <w:color w:val="auto"/>
                <w:sz w:val="16"/>
                <w:szCs w:val="16"/>
              </w:rPr>
            </w:pPr>
            <w:r w:rsidRPr="00E70BEC">
              <w:rPr>
                <w:b w:val="0"/>
                <w:bCs w:val="0"/>
                <w:color w:val="auto"/>
                <w:sz w:val="16"/>
                <w:szCs w:val="16"/>
              </w:rPr>
              <w:t xml:space="preserve">Dieselaccijns </w:t>
            </w:r>
            <w:r w:rsidRPr="00E70BEC">
              <w:rPr>
                <w:b w:val="0"/>
                <w:bCs w:val="0"/>
                <w:color w:val="auto"/>
                <w:sz w:val="16"/>
                <w:szCs w:val="16"/>
              </w:rPr>
              <w:br/>
              <w:t>per 1000 liter</w:t>
            </w:r>
          </w:p>
        </w:tc>
        <w:tc>
          <w:tcPr>
            <w:tcW w:w="1322" w:type="dxa"/>
          </w:tcPr>
          <w:p w:rsidRPr="00E70BEC" w:rsidR="00EF6456" w:rsidP="00242F9D" w:rsidRDefault="00EF6456">
            <w:pPr>
              <w:spacing w:after="0"/>
              <w:cnfStyle w:val="000000100000"/>
              <w:rPr>
                <w:color w:val="auto"/>
                <w:sz w:val="16"/>
                <w:szCs w:val="16"/>
              </w:rPr>
            </w:pPr>
            <w:r w:rsidRPr="00E70BEC">
              <w:rPr>
                <w:color w:val="auto"/>
                <w:sz w:val="16"/>
                <w:szCs w:val="16"/>
              </w:rPr>
              <w:t>€ 423,60</w:t>
            </w:r>
          </w:p>
        </w:tc>
        <w:tc>
          <w:tcPr>
            <w:tcW w:w="1365" w:type="dxa"/>
          </w:tcPr>
          <w:p w:rsidRPr="00E70BEC" w:rsidR="00EF6456" w:rsidP="00242F9D" w:rsidRDefault="00EF6456">
            <w:pPr>
              <w:spacing w:after="0"/>
              <w:cnfStyle w:val="000000100000"/>
              <w:rPr>
                <w:color w:val="auto"/>
                <w:sz w:val="16"/>
                <w:szCs w:val="16"/>
              </w:rPr>
            </w:pPr>
            <w:r w:rsidRPr="00E70BEC">
              <w:rPr>
                <w:color w:val="auto"/>
                <w:sz w:val="16"/>
                <w:szCs w:val="16"/>
              </w:rPr>
              <w:t>€ 392,89</w:t>
            </w:r>
          </w:p>
        </w:tc>
        <w:tc>
          <w:tcPr>
            <w:tcW w:w="1513" w:type="dxa"/>
          </w:tcPr>
          <w:p w:rsidRPr="00E70BEC" w:rsidR="00EF6456" w:rsidP="00242F9D" w:rsidRDefault="00EF6456">
            <w:pPr>
              <w:spacing w:after="0"/>
              <w:cnfStyle w:val="000000100000"/>
              <w:rPr>
                <w:color w:val="auto"/>
                <w:sz w:val="16"/>
                <w:szCs w:val="16"/>
              </w:rPr>
            </w:pPr>
            <w:r w:rsidRPr="00E70BEC">
              <w:rPr>
                <w:color w:val="auto"/>
                <w:sz w:val="16"/>
                <w:szCs w:val="16"/>
              </w:rPr>
              <w:t>€ 470,40</w:t>
            </w:r>
          </w:p>
        </w:tc>
        <w:tc>
          <w:tcPr>
            <w:tcW w:w="1201" w:type="dxa"/>
          </w:tcPr>
          <w:p w:rsidRPr="00E70BEC" w:rsidR="00EF6456" w:rsidP="00242F9D" w:rsidRDefault="00EF6456">
            <w:pPr>
              <w:spacing w:after="0"/>
              <w:cnfStyle w:val="000000100000"/>
              <w:rPr>
                <w:color w:val="auto"/>
                <w:sz w:val="16"/>
                <w:szCs w:val="16"/>
              </w:rPr>
            </w:pPr>
            <w:r w:rsidRPr="00E70BEC">
              <w:rPr>
                <w:color w:val="auto"/>
                <w:sz w:val="16"/>
                <w:szCs w:val="16"/>
              </w:rPr>
              <w:t>€ 428,40</w:t>
            </w:r>
          </w:p>
        </w:tc>
        <w:tc>
          <w:tcPr>
            <w:tcW w:w="1651" w:type="dxa"/>
          </w:tcPr>
          <w:p w:rsidRPr="00E70BEC" w:rsidR="00EF6456" w:rsidP="00242F9D" w:rsidRDefault="00EF6456">
            <w:pPr>
              <w:spacing w:after="0"/>
              <w:cnfStyle w:val="000000100000"/>
              <w:rPr>
                <w:color w:val="auto"/>
                <w:sz w:val="16"/>
                <w:szCs w:val="16"/>
              </w:rPr>
            </w:pPr>
            <w:r w:rsidRPr="00E70BEC">
              <w:rPr>
                <w:color w:val="auto"/>
                <w:sz w:val="16"/>
                <w:szCs w:val="16"/>
              </w:rPr>
              <w:t>€ 320,00</w:t>
            </w:r>
          </w:p>
        </w:tc>
      </w:tr>
      <w:tr w:rsidRPr="00E70BEC" w:rsidR="00EF6456" w:rsidTr="00E70BEC">
        <w:tc>
          <w:tcPr>
            <w:cnfStyle w:val="001000000000"/>
            <w:tcW w:w="2235" w:type="dxa"/>
          </w:tcPr>
          <w:p w:rsidRPr="00E70BEC" w:rsidR="00EF6456" w:rsidP="00781CF8" w:rsidRDefault="00EF6456">
            <w:pPr>
              <w:spacing w:after="0"/>
              <w:rPr>
                <w:b w:val="0"/>
                <w:bCs w:val="0"/>
                <w:color w:val="auto"/>
                <w:sz w:val="16"/>
                <w:szCs w:val="16"/>
              </w:rPr>
            </w:pPr>
            <w:r w:rsidRPr="00E70BEC">
              <w:rPr>
                <w:b w:val="0"/>
                <w:bCs w:val="0"/>
                <w:color w:val="auto"/>
                <w:sz w:val="16"/>
                <w:szCs w:val="16"/>
              </w:rPr>
              <w:t>Diesel pompprijs</w:t>
            </w:r>
            <w:r w:rsidRPr="00E70BEC">
              <w:rPr>
                <w:b w:val="0"/>
                <w:bCs w:val="0"/>
                <w:color w:val="auto"/>
                <w:sz w:val="16"/>
                <w:szCs w:val="16"/>
              </w:rPr>
              <w:br/>
              <w:t>per liter</w:t>
            </w:r>
          </w:p>
        </w:tc>
        <w:tc>
          <w:tcPr>
            <w:tcW w:w="1322" w:type="dxa"/>
          </w:tcPr>
          <w:p w:rsidRPr="00E70BEC" w:rsidR="00EF6456" w:rsidP="00242F9D" w:rsidRDefault="00EF6456">
            <w:pPr>
              <w:spacing w:after="0"/>
              <w:cnfStyle w:val="000000000000"/>
              <w:rPr>
                <w:color w:val="auto"/>
                <w:sz w:val="16"/>
                <w:szCs w:val="16"/>
              </w:rPr>
            </w:pPr>
            <w:r w:rsidRPr="00E70BEC">
              <w:rPr>
                <w:color w:val="auto"/>
                <w:sz w:val="16"/>
                <w:szCs w:val="16"/>
              </w:rPr>
              <w:t>€ 1,</w:t>
            </w:r>
            <w:r w:rsidRPr="00E70BEC" w:rsidR="00F21E23">
              <w:rPr>
                <w:color w:val="auto"/>
                <w:sz w:val="16"/>
                <w:szCs w:val="16"/>
              </w:rPr>
              <w:t>37</w:t>
            </w:r>
          </w:p>
        </w:tc>
        <w:tc>
          <w:tcPr>
            <w:tcW w:w="1365" w:type="dxa"/>
          </w:tcPr>
          <w:p w:rsidRPr="00E70BEC" w:rsidR="00EF6456" w:rsidP="00242F9D" w:rsidRDefault="00EF6456">
            <w:pPr>
              <w:spacing w:after="0"/>
              <w:cnfStyle w:val="000000000000"/>
              <w:rPr>
                <w:color w:val="auto"/>
                <w:sz w:val="16"/>
                <w:szCs w:val="16"/>
              </w:rPr>
            </w:pPr>
            <w:r w:rsidRPr="00E70BEC">
              <w:rPr>
                <w:color w:val="auto"/>
                <w:sz w:val="16"/>
                <w:szCs w:val="16"/>
              </w:rPr>
              <w:t>€ 1,4</w:t>
            </w:r>
            <w:r w:rsidRPr="00E70BEC" w:rsidR="00F21E23">
              <w:rPr>
                <w:color w:val="auto"/>
                <w:sz w:val="16"/>
                <w:szCs w:val="16"/>
              </w:rPr>
              <w:t>2</w:t>
            </w:r>
          </w:p>
        </w:tc>
        <w:tc>
          <w:tcPr>
            <w:tcW w:w="1513" w:type="dxa"/>
          </w:tcPr>
          <w:p w:rsidRPr="00E70BEC" w:rsidR="00EF6456" w:rsidP="00242F9D" w:rsidRDefault="00EF6456">
            <w:pPr>
              <w:spacing w:after="0"/>
              <w:cnfStyle w:val="000000000000"/>
              <w:rPr>
                <w:color w:val="auto"/>
                <w:sz w:val="16"/>
                <w:szCs w:val="16"/>
              </w:rPr>
            </w:pPr>
            <w:r w:rsidRPr="00E70BEC">
              <w:rPr>
                <w:color w:val="auto"/>
                <w:sz w:val="16"/>
                <w:szCs w:val="16"/>
              </w:rPr>
              <w:t>€ 1,4</w:t>
            </w:r>
            <w:r w:rsidRPr="00E70BEC" w:rsidR="00F21E23">
              <w:rPr>
                <w:color w:val="auto"/>
                <w:sz w:val="16"/>
                <w:szCs w:val="16"/>
              </w:rPr>
              <w:t>2</w:t>
            </w:r>
          </w:p>
        </w:tc>
        <w:tc>
          <w:tcPr>
            <w:tcW w:w="1201" w:type="dxa"/>
          </w:tcPr>
          <w:p w:rsidRPr="00E70BEC" w:rsidR="00EF6456" w:rsidP="00242F9D" w:rsidRDefault="00EF6456">
            <w:pPr>
              <w:spacing w:after="0"/>
              <w:cnfStyle w:val="000000000000"/>
              <w:rPr>
                <w:color w:val="auto"/>
                <w:sz w:val="16"/>
                <w:szCs w:val="16"/>
              </w:rPr>
            </w:pPr>
            <w:r w:rsidRPr="00E70BEC">
              <w:rPr>
                <w:color w:val="auto"/>
                <w:sz w:val="16"/>
                <w:szCs w:val="16"/>
              </w:rPr>
              <w:t>€ 1,3</w:t>
            </w:r>
            <w:r w:rsidRPr="00E70BEC" w:rsidR="00F21E23">
              <w:rPr>
                <w:color w:val="auto"/>
                <w:sz w:val="16"/>
                <w:szCs w:val="16"/>
              </w:rPr>
              <w:t>9</w:t>
            </w:r>
          </w:p>
        </w:tc>
        <w:tc>
          <w:tcPr>
            <w:tcW w:w="1651" w:type="dxa"/>
          </w:tcPr>
          <w:p w:rsidRPr="00E70BEC" w:rsidR="00EF6456" w:rsidP="00242F9D" w:rsidRDefault="00EF6456">
            <w:pPr>
              <w:spacing w:after="0"/>
              <w:cnfStyle w:val="000000000000"/>
              <w:rPr>
                <w:color w:val="auto"/>
                <w:sz w:val="16"/>
                <w:szCs w:val="16"/>
              </w:rPr>
            </w:pPr>
            <w:r w:rsidRPr="00E70BEC">
              <w:rPr>
                <w:color w:val="auto"/>
                <w:sz w:val="16"/>
                <w:szCs w:val="16"/>
              </w:rPr>
              <w:t>€ 1,1</w:t>
            </w:r>
            <w:r w:rsidRPr="00E70BEC" w:rsidR="00F21E23">
              <w:rPr>
                <w:color w:val="auto"/>
                <w:sz w:val="16"/>
                <w:szCs w:val="16"/>
              </w:rPr>
              <w:t>5</w:t>
            </w:r>
          </w:p>
        </w:tc>
      </w:tr>
    </w:tbl>
    <w:p w:rsidRPr="00E70BEC" w:rsidR="00EF6456" w:rsidP="00781CF8" w:rsidRDefault="00EF6456">
      <w:pPr>
        <w:spacing w:after="0"/>
        <w:rPr>
          <w:sz w:val="16"/>
          <w:szCs w:val="16"/>
        </w:rPr>
      </w:pPr>
    </w:p>
    <w:p w:rsidRPr="009433A7" w:rsidR="00EF6456" w:rsidP="00781CF8" w:rsidRDefault="00EF6456">
      <w:pPr>
        <w:spacing w:after="0" w:line="240" w:lineRule="atLeast"/>
        <w:rPr>
          <w:rFonts w:cs="Univers"/>
          <w:sz w:val="18"/>
          <w:szCs w:val="18"/>
        </w:rPr>
      </w:pPr>
      <w:r w:rsidRPr="009433A7">
        <w:rPr>
          <w:rFonts w:cs="Univers"/>
          <w:sz w:val="18"/>
          <w:szCs w:val="18"/>
        </w:rPr>
        <w:t>De Nederlandse benzineprij</w:t>
      </w:r>
      <w:r>
        <w:rPr>
          <w:rFonts w:cs="Univers"/>
          <w:sz w:val="18"/>
          <w:szCs w:val="18"/>
        </w:rPr>
        <w:t>s</w:t>
      </w:r>
      <w:r w:rsidRPr="009433A7">
        <w:rPr>
          <w:rFonts w:cs="Univers"/>
          <w:sz w:val="18"/>
          <w:szCs w:val="18"/>
        </w:rPr>
        <w:t xml:space="preserve"> </w:t>
      </w:r>
      <w:r>
        <w:rPr>
          <w:rFonts w:cs="Univers"/>
          <w:sz w:val="18"/>
          <w:szCs w:val="18"/>
        </w:rPr>
        <w:t>is</w:t>
      </w:r>
      <w:r w:rsidRPr="009433A7">
        <w:rPr>
          <w:rFonts w:cs="Univers"/>
          <w:sz w:val="18"/>
          <w:szCs w:val="18"/>
        </w:rPr>
        <w:t xml:space="preserve"> hoger dan die in onze </w:t>
      </w:r>
      <w:r>
        <w:rPr>
          <w:rFonts w:cs="Univers"/>
          <w:sz w:val="18"/>
          <w:szCs w:val="18"/>
        </w:rPr>
        <w:t xml:space="preserve">directe </w:t>
      </w:r>
      <w:r w:rsidRPr="009433A7">
        <w:rPr>
          <w:rFonts w:cs="Univers"/>
          <w:sz w:val="18"/>
          <w:szCs w:val="18"/>
        </w:rPr>
        <w:t>buurlanden</w:t>
      </w:r>
      <w:r>
        <w:rPr>
          <w:rFonts w:cs="Univers"/>
          <w:sz w:val="18"/>
          <w:szCs w:val="18"/>
        </w:rPr>
        <w:t xml:space="preserve"> België en Duitsland </w:t>
      </w:r>
      <w:r w:rsidR="00257F9F">
        <w:rPr>
          <w:rFonts w:cs="Univers"/>
          <w:sz w:val="18"/>
          <w:szCs w:val="18"/>
        </w:rPr>
        <w:t xml:space="preserve">terwijl </w:t>
      </w:r>
      <w:r>
        <w:rPr>
          <w:rFonts w:cs="Univers"/>
          <w:sz w:val="18"/>
          <w:szCs w:val="18"/>
        </w:rPr>
        <w:t>de dieselprij</w:t>
      </w:r>
      <w:r w:rsidR="00257F9F">
        <w:rPr>
          <w:rFonts w:cs="Univers"/>
          <w:sz w:val="18"/>
          <w:szCs w:val="18"/>
        </w:rPr>
        <w:t>s in Nederland wat lager is</w:t>
      </w:r>
      <w:r>
        <w:rPr>
          <w:rFonts w:cs="Univers"/>
          <w:sz w:val="18"/>
          <w:szCs w:val="18"/>
        </w:rPr>
        <w:t xml:space="preserve">. De pompprijzen in Luxemburg zijn </w:t>
      </w:r>
      <w:r w:rsidR="00242F9D">
        <w:rPr>
          <w:rFonts w:cs="Univers"/>
          <w:sz w:val="18"/>
          <w:szCs w:val="18"/>
        </w:rPr>
        <w:t xml:space="preserve">voor zowel benzine als diesel </w:t>
      </w:r>
      <w:r>
        <w:rPr>
          <w:rFonts w:cs="Univers"/>
          <w:sz w:val="18"/>
          <w:szCs w:val="18"/>
        </w:rPr>
        <w:t>aanzienlijk lager</w:t>
      </w:r>
      <w:r w:rsidR="00242F9D">
        <w:rPr>
          <w:rFonts w:cs="Univers"/>
          <w:sz w:val="18"/>
          <w:szCs w:val="18"/>
        </w:rPr>
        <w:t xml:space="preserve"> dan in Nederland</w:t>
      </w:r>
      <w:r>
        <w:rPr>
          <w:rFonts w:cs="Univers"/>
          <w:sz w:val="18"/>
          <w:szCs w:val="18"/>
        </w:rPr>
        <w:t xml:space="preserve">. </w:t>
      </w:r>
    </w:p>
    <w:p w:rsidRPr="009433A7" w:rsidR="00EF6456" w:rsidP="00781CF8" w:rsidRDefault="00EF6456">
      <w:pPr>
        <w:spacing w:after="0" w:line="240" w:lineRule="atLeast"/>
        <w:rPr>
          <w:rFonts w:cs="Univers"/>
          <w:sz w:val="18"/>
          <w:szCs w:val="18"/>
        </w:rPr>
      </w:pPr>
    </w:p>
    <w:p w:rsidR="00EF6456" w:rsidP="00781CF8" w:rsidRDefault="00EF6456">
      <w:pPr>
        <w:spacing w:after="0" w:line="240" w:lineRule="atLeast"/>
        <w:rPr>
          <w:rFonts w:cs="Univers"/>
          <w:sz w:val="18"/>
          <w:szCs w:val="18"/>
        </w:rPr>
      </w:pPr>
      <w:r w:rsidRPr="009433A7">
        <w:rPr>
          <w:rFonts w:cs="Univers"/>
          <w:sz w:val="18"/>
          <w:szCs w:val="18"/>
        </w:rPr>
        <w:t>Het vorenstaande houdt in dat</w:t>
      </w:r>
      <w:r>
        <w:rPr>
          <w:rFonts w:cs="Univers"/>
          <w:sz w:val="18"/>
          <w:szCs w:val="18"/>
        </w:rPr>
        <w:t xml:space="preserve"> </w:t>
      </w:r>
      <w:r w:rsidRPr="009433A7">
        <w:rPr>
          <w:rFonts w:cs="Univers"/>
          <w:sz w:val="18"/>
          <w:szCs w:val="18"/>
        </w:rPr>
        <w:t xml:space="preserve">– indien we naar onze directe buurlanden kijken en uitgaande van het gegeven dat de grenseffecten als gevolg van het tanken over de grens niet mogen toenemen – </w:t>
      </w:r>
      <w:r w:rsidRPr="009433A7">
        <w:rPr>
          <w:rFonts w:cs="Univers"/>
          <w:sz w:val="18"/>
          <w:szCs w:val="18"/>
        </w:rPr>
        <w:lastRenderedPageBreak/>
        <w:t xml:space="preserve">er </w:t>
      </w:r>
      <w:r>
        <w:rPr>
          <w:rFonts w:cs="Univers"/>
          <w:sz w:val="18"/>
          <w:szCs w:val="18"/>
        </w:rPr>
        <w:t xml:space="preserve">op dit moment </w:t>
      </w:r>
      <w:r w:rsidR="00F21E23">
        <w:rPr>
          <w:rFonts w:cs="Univers"/>
          <w:sz w:val="18"/>
          <w:szCs w:val="18"/>
        </w:rPr>
        <w:t>slechts beperkt</w:t>
      </w:r>
      <w:r w:rsidRPr="009433A7" w:rsidR="00F21E23">
        <w:rPr>
          <w:rFonts w:cs="Univers"/>
          <w:sz w:val="18"/>
          <w:szCs w:val="18"/>
        </w:rPr>
        <w:t xml:space="preserve"> </w:t>
      </w:r>
      <w:r w:rsidRPr="009433A7">
        <w:rPr>
          <w:rFonts w:cs="Univers"/>
          <w:sz w:val="18"/>
          <w:szCs w:val="18"/>
        </w:rPr>
        <w:t>ruimte is voor een verhoging van de accijns op diesel. Gelet op het feit dat Nederland al hogere benzineprijzen kent dan onze buurlanden, is er feitelijk geen ruimte voor een verhoging van de benzineaccijns.</w:t>
      </w:r>
      <w:r>
        <w:rPr>
          <w:rFonts w:cs="Univers"/>
          <w:sz w:val="18"/>
          <w:szCs w:val="18"/>
        </w:rPr>
        <w:t xml:space="preserve"> </w:t>
      </w:r>
      <w:r w:rsidRPr="009433A7">
        <w:rPr>
          <w:rFonts w:cs="Univers"/>
          <w:sz w:val="18"/>
          <w:szCs w:val="18"/>
        </w:rPr>
        <w:t>Een verhoging van alleen de accijns op diesel die bovendien nog slechts beperkt in omvang zou kunnen zijn, draagt weinig bij aan de in het regeerakkoord ten grondslag liggende gedachte achter</w:t>
      </w:r>
      <w:r>
        <w:rPr>
          <w:rFonts w:cs="Univers"/>
          <w:sz w:val="18"/>
          <w:szCs w:val="18"/>
        </w:rPr>
        <w:t xml:space="preserve"> </w:t>
      </w:r>
      <w:r w:rsidRPr="009433A7">
        <w:rPr>
          <w:rFonts w:cs="Univers"/>
          <w:sz w:val="18"/>
          <w:szCs w:val="18"/>
        </w:rPr>
        <w:t>variabilisatie. Daarvoor zijn substantiëlere verhogingen van de brandstofaccijns noodzakelijk</w:t>
      </w:r>
      <w:r>
        <w:rPr>
          <w:rFonts w:cs="Univers"/>
          <w:sz w:val="18"/>
          <w:szCs w:val="18"/>
        </w:rPr>
        <w:t>.</w:t>
      </w:r>
      <w:r w:rsidRPr="009433A7">
        <w:rPr>
          <w:rFonts w:cs="Univers"/>
          <w:sz w:val="18"/>
          <w:szCs w:val="18"/>
        </w:rPr>
        <w:t xml:space="preserve"> </w:t>
      </w:r>
      <w:r>
        <w:rPr>
          <w:rFonts w:cs="Univers"/>
          <w:sz w:val="18"/>
          <w:szCs w:val="18"/>
        </w:rPr>
        <w:t>D</w:t>
      </w:r>
      <w:r w:rsidRPr="009433A7">
        <w:rPr>
          <w:rFonts w:cs="Univers"/>
          <w:sz w:val="18"/>
          <w:szCs w:val="18"/>
        </w:rPr>
        <w:t>ergelijke verhogingen zijn slechts mogelijk als ook onze directe buurlanden België en Duitsland hun accijnzen op benzine en diesel verhogen</w:t>
      </w:r>
      <w:r>
        <w:rPr>
          <w:rFonts w:cs="Univers"/>
          <w:sz w:val="18"/>
          <w:szCs w:val="18"/>
        </w:rPr>
        <w:t>.</w:t>
      </w:r>
    </w:p>
    <w:p w:rsidR="00EF6456" w:rsidP="00781CF8" w:rsidRDefault="00EF6456">
      <w:pPr>
        <w:spacing w:after="0" w:line="240" w:lineRule="atLeast"/>
        <w:rPr>
          <w:sz w:val="18"/>
          <w:szCs w:val="18"/>
        </w:rPr>
      </w:pPr>
    </w:p>
    <w:p w:rsidR="00EF6456" w:rsidP="00781CF8" w:rsidRDefault="00EF6456">
      <w:pPr>
        <w:spacing w:after="0"/>
        <w:rPr>
          <w:sz w:val="18"/>
          <w:szCs w:val="18"/>
        </w:rPr>
      </w:pPr>
      <w:r w:rsidRPr="00F850F7">
        <w:rPr>
          <w:sz w:val="18"/>
          <w:szCs w:val="18"/>
        </w:rPr>
        <w:t>Ter info</w:t>
      </w:r>
      <w:r>
        <w:rPr>
          <w:sz w:val="18"/>
          <w:szCs w:val="18"/>
        </w:rPr>
        <w:t>rmatie</w:t>
      </w:r>
      <w:r w:rsidRPr="00F850F7">
        <w:rPr>
          <w:sz w:val="18"/>
          <w:szCs w:val="18"/>
        </w:rPr>
        <w:t xml:space="preserve"> zijn in </w:t>
      </w:r>
      <w:r w:rsidR="00995684">
        <w:rPr>
          <w:sz w:val="18"/>
          <w:szCs w:val="18"/>
        </w:rPr>
        <w:t xml:space="preserve">de hierna opgenomen grafieken </w:t>
      </w:r>
      <w:r w:rsidR="00242F9D">
        <w:rPr>
          <w:sz w:val="18"/>
          <w:szCs w:val="18"/>
        </w:rPr>
        <w:t xml:space="preserve">5 en 6 </w:t>
      </w:r>
      <w:r w:rsidRPr="00F850F7">
        <w:rPr>
          <w:sz w:val="18"/>
          <w:szCs w:val="18"/>
        </w:rPr>
        <w:t>ook overzichten opgenomen van de accijnstarieven van alle EU-lidstaten</w:t>
      </w:r>
      <w:r w:rsidR="00C61C11">
        <w:rPr>
          <w:sz w:val="18"/>
          <w:szCs w:val="18"/>
        </w:rPr>
        <w:t>.</w:t>
      </w:r>
      <w:r>
        <w:rPr>
          <w:rStyle w:val="Voetnootmarkering"/>
          <w:sz w:val="18"/>
          <w:szCs w:val="18"/>
        </w:rPr>
        <w:footnoteReference w:id="16"/>
      </w:r>
      <w:r w:rsidR="00091745">
        <w:rPr>
          <w:sz w:val="18"/>
          <w:szCs w:val="18"/>
        </w:rPr>
        <w:t xml:space="preserve"> </w:t>
      </w:r>
      <w:r w:rsidRPr="00F850F7">
        <w:rPr>
          <w:sz w:val="18"/>
          <w:szCs w:val="18"/>
        </w:rPr>
        <w:t xml:space="preserve">Hieruit blijkt dat het Nederlandse benzinetarief het hoogste is van alle lidstaten. Ook wat betreft diesel is het Nederlandse tarief hoog in vergelijking met de tarieven van de meeste andere lidstaten. </w:t>
      </w:r>
    </w:p>
    <w:p w:rsidR="00EF6456" w:rsidP="00781CF8" w:rsidRDefault="00EF6456">
      <w:pPr>
        <w:spacing w:after="0" w:line="240" w:lineRule="auto"/>
        <w:rPr>
          <w:b/>
          <w:sz w:val="18"/>
          <w:szCs w:val="18"/>
        </w:rPr>
      </w:pPr>
    </w:p>
    <w:p w:rsidR="00EF6456" w:rsidP="00781CF8" w:rsidRDefault="00EF6456">
      <w:pPr>
        <w:spacing w:after="0"/>
        <w:rPr>
          <w:b/>
          <w:sz w:val="18"/>
          <w:szCs w:val="18"/>
        </w:rPr>
      </w:pPr>
    </w:p>
    <w:p w:rsidRPr="00E70BEC" w:rsidR="00EF6456" w:rsidP="00781CF8" w:rsidRDefault="004364A3">
      <w:pPr>
        <w:spacing w:after="0"/>
        <w:rPr>
          <w:i/>
          <w:sz w:val="16"/>
          <w:szCs w:val="16"/>
        </w:rPr>
      </w:pPr>
      <w:r>
        <w:rPr>
          <w:b/>
          <w:i/>
          <w:sz w:val="16"/>
          <w:szCs w:val="16"/>
        </w:rPr>
        <w:t xml:space="preserve">Grafiek </w:t>
      </w:r>
      <w:r w:rsidR="00EA4FC4">
        <w:rPr>
          <w:b/>
          <w:i/>
          <w:sz w:val="16"/>
          <w:szCs w:val="16"/>
        </w:rPr>
        <w:t>5</w:t>
      </w:r>
      <w:r>
        <w:rPr>
          <w:b/>
          <w:i/>
          <w:sz w:val="16"/>
          <w:szCs w:val="16"/>
        </w:rPr>
        <w:t xml:space="preserve">: </w:t>
      </w:r>
      <w:r w:rsidR="00AD0D4E">
        <w:rPr>
          <w:b/>
          <w:i/>
          <w:sz w:val="16"/>
          <w:szCs w:val="16"/>
        </w:rPr>
        <w:t>Accijnstarieven b</w:t>
      </w:r>
      <w:r w:rsidRPr="00E70BEC" w:rsidR="00EF6456">
        <w:rPr>
          <w:b/>
          <w:i/>
          <w:sz w:val="16"/>
          <w:szCs w:val="16"/>
        </w:rPr>
        <w:t>enzine (Euro95)</w:t>
      </w:r>
      <w:r w:rsidRPr="00E70BEC" w:rsidR="00E70BEC">
        <w:rPr>
          <w:b/>
          <w:i/>
          <w:sz w:val="16"/>
          <w:szCs w:val="16"/>
        </w:rPr>
        <w:t xml:space="preserve"> </w:t>
      </w:r>
      <w:r w:rsidRPr="00BE5CE0" w:rsidR="00BE5CE0">
        <w:rPr>
          <w:i/>
          <w:sz w:val="16"/>
          <w:szCs w:val="16"/>
        </w:rPr>
        <w:t>Tarieven in Euro’s per 1-1-2011</w:t>
      </w:r>
      <w:r w:rsidRPr="00BE5CE0" w:rsidR="00BE5CE0">
        <w:rPr>
          <w:i/>
          <w:sz w:val="16"/>
          <w:szCs w:val="16"/>
        </w:rPr>
        <w:tab/>
      </w:r>
      <w:r w:rsidRPr="00BE5CE0" w:rsidR="00BE5CE0">
        <w:rPr>
          <w:i/>
          <w:sz w:val="16"/>
          <w:szCs w:val="16"/>
        </w:rPr>
        <w:tab/>
      </w:r>
      <w:r w:rsidRPr="00BE5CE0" w:rsidR="00BE5CE0">
        <w:rPr>
          <w:i/>
          <w:sz w:val="16"/>
          <w:szCs w:val="16"/>
        </w:rPr>
        <w:tab/>
      </w:r>
      <w:r w:rsidRPr="00BE5CE0" w:rsidR="00BE5CE0">
        <w:rPr>
          <w:i/>
          <w:sz w:val="16"/>
          <w:szCs w:val="16"/>
        </w:rPr>
        <w:tab/>
      </w:r>
      <w:r w:rsidRPr="00BE5CE0" w:rsidR="00BE5CE0">
        <w:rPr>
          <w:i/>
          <w:sz w:val="16"/>
          <w:szCs w:val="16"/>
        </w:rPr>
        <w:tab/>
      </w:r>
    </w:p>
    <w:p w:rsidR="00EF6456" w:rsidP="00781CF8" w:rsidRDefault="00EF6456">
      <w:pPr>
        <w:spacing w:after="0"/>
        <w:rPr>
          <w:b/>
          <w:sz w:val="18"/>
          <w:szCs w:val="18"/>
        </w:rPr>
      </w:pPr>
      <w:r>
        <w:rPr>
          <w:b/>
          <w:noProof/>
          <w:sz w:val="18"/>
          <w:szCs w:val="18"/>
          <w:lang w:eastAsia="nl-NL"/>
        </w:rPr>
        <w:drawing>
          <wp:inline distT="0" distB="0" distL="0" distR="0">
            <wp:extent cx="5685155" cy="2233295"/>
            <wp:effectExtent l="19050" t="0" r="0" b="0"/>
            <wp:docPr id="1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685155" cy="2233295"/>
                    </a:xfrm>
                    <a:prstGeom prst="rect">
                      <a:avLst/>
                    </a:prstGeom>
                    <a:noFill/>
                    <a:ln w="9525">
                      <a:noFill/>
                      <a:miter lim="800000"/>
                      <a:headEnd/>
                      <a:tailEnd/>
                    </a:ln>
                  </pic:spPr>
                </pic:pic>
              </a:graphicData>
            </a:graphic>
          </wp:inline>
        </w:drawing>
      </w:r>
    </w:p>
    <w:p w:rsidRPr="00E70BEC" w:rsidR="009B0ACD" w:rsidP="00781CF8" w:rsidRDefault="00BE5CE0">
      <w:pPr>
        <w:spacing w:after="0"/>
        <w:rPr>
          <w:b/>
          <w:i/>
          <w:sz w:val="16"/>
          <w:szCs w:val="16"/>
        </w:rPr>
      </w:pPr>
      <w:r w:rsidRPr="00BE5CE0">
        <w:rPr>
          <w:i/>
          <w:sz w:val="16"/>
          <w:szCs w:val="16"/>
        </w:rPr>
        <w:t xml:space="preserve">Europees minimumtarief: € 359 per 1000 liter </w:t>
      </w:r>
      <w:r w:rsidRPr="00BE5CE0">
        <w:rPr>
          <w:i/>
          <w:sz w:val="16"/>
          <w:szCs w:val="16"/>
        </w:rPr>
        <w:br/>
      </w:r>
    </w:p>
    <w:p w:rsidRPr="00E70BEC" w:rsidR="00EF6456" w:rsidP="00781CF8" w:rsidRDefault="00EF6456">
      <w:pPr>
        <w:spacing w:after="0"/>
        <w:rPr>
          <w:i/>
          <w:sz w:val="16"/>
          <w:szCs w:val="16"/>
        </w:rPr>
      </w:pPr>
      <w:r w:rsidRPr="00F850F7">
        <w:rPr>
          <w:b/>
          <w:sz w:val="18"/>
          <w:szCs w:val="18"/>
        </w:rPr>
        <w:br/>
      </w:r>
      <w:r w:rsidR="00AD0D4E">
        <w:rPr>
          <w:b/>
          <w:i/>
          <w:sz w:val="16"/>
          <w:szCs w:val="16"/>
        </w:rPr>
        <w:t xml:space="preserve">Grafiek </w:t>
      </w:r>
      <w:r w:rsidR="00EA4FC4">
        <w:rPr>
          <w:b/>
          <w:i/>
          <w:sz w:val="16"/>
          <w:szCs w:val="16"/>
        </w:rPr>
        <w:t>6</w:t>
      </w:r>
      <w:r w:rsidR="00AD0D4E">
        <w:rPr>
          <w:b/>
          <w:i/>
          <w:sz w:val="16"/>
          <w:szCs w:val="16"/>
        </w:rPr>
        <w:t>: Accijnstarieven d</w:t>
      </w:r>
      <w:r w:rsidRPr="00E70BEC">
        <w:rPr>
          <w:b/>
          <w:i/>
          <w:sz w:val="16"/>
          <w:szCs w:val="16"/>
        </w:rPr>
        <w:t>iesel (zwavelvrij)</w:t>
      </w:r>
      <w:r w:rsidRPr="00E70BEC" w:rsidR="00E70BEC">
        <w:rPr>
          <w:b/>
          <w:i/>
          <w:sz w:val="16"/>
          <w:szCs w:val="16"/>
        </w:rPr>
        <w:t xml:space="preserve"> </w:t>
      </w:r>
      <w:r w:rsidRPr="00BE5CE0" w:rsidR="00BE5CE0">
        <w:rPr>
          <w:i/>
          <w:sz w:val="16"/>
          <w:szCs w:val="16"/>
        </w:rPr>
        <w:t>Tarieven in Euro’s per 1-1-2011</w:t>
      </w:r>
    </w:p>
    <w:p w:rsidR="00EF6456" w:rsidP="00781CF8" w:rsidRDefault="00EF6456">
      <w:pPr>
        <w:spacing w:after="0"/>
        <w:rPr>
          <w:sz w:val="18"/>
          <w:szCs w:val="18"/>
        </w:rPr>
      </w:pPr>
      <w:r>
        <w:rPr>
          <w:noProof/>
          <w:sz w:val="18"/>
          <w:szCs w:val="18"/>
          <w:lang w:eastAsia="nl-NL"/>
        </w:rPr>
        <w:drawing>
          <wp:inline distT="0" distB="0" distL="0" distR="0">
            <wp:extent cx="5741670" cy="2363470"/>
            <wp:effectExtent l="19050" t="0" r="0" b="0"/>
            <wp:docPr id="1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741670" cy="2363470"/>
                    </a:xfrm>
                    <a:prstGeom prst="rect">
                      <a:avLst/>
                    </a:prstGeom>
                    <a:noFill/>
                    <a:ln w="9525">
                      <a:noFill/>
                      <a:miter lim="800000"/>
                      <a:headEnd/>
                      <a:tailEnd/>
                    </a:ln>
                  </pic:spPr>
                </pic:pic>
              </a:graphicData>
            </a:graphic>
          </wp:inline>
        </w:drawing>
      </w:r>
    </w:p>
    <w:p w:rsidRPr="00E70BEC" w:rsidR="00EF6456" w:rsidP="00781CF8" w:rsidRDefault="00BE5CE0">
      <w:pPr>
        <w:spacing w:after="0"/>
        <w:rPr>
          <w:i/>
          <w:sz w:val="16"/>
          <w:szCs w:val="16"/>
        </w:rPr>
      </w:pPr>
      <w:r w:rsidRPr="00BE5CE0">
        <w:rPr>
          <w:i/>
          <w:sz w:val="16"/>
          <w:szCs w:val="16"/>
        </w:rPr>
        <w:t>Europees minimumtarief: € 330 per 1000 liter (enkele lidstaten mogen nog tijdelijk een lager minimumtarief toepassen)</w:t>
      </w:r>
    </w:p>
    <w:p w:rsidRPr="00A73257" w:rsidR="00EF6456" w:rsidP="00781CF8" w:rsidRDefault="00EF6456">
      <w:pPr>
        <w:spacing w:after="0" w:line="240" w:lineRule="atLeast"/>
        <w:rPr>
          <w:sz w:val="18"/>
          <w:szCs w:val="18"/>
        </w:rPr>
      </w:pPr>
    </w:p>
    <w:p w:rsidRPr="00C74AA9" w:rsidR="00EF6456" w:rsidP="00C74AA9" w:rsidRDefault="00EF6456">
      <w:pPr>
        <w:pStyle w:val="Kop2"/>
        <w:rPr>
          <w:rFonts w:ascii="Verdana" w:hAnsi="Verdana"/>
          <w:color w:val="auto"/>
          <w:sz w:val="18"/>
          <w:szCs w:val="18"/>
        </w:rPr>
      </w:pPr>
      <w:bookmarkStart w:name="_Toc293998543" w:id="35"/>
      <w:r w:rsidRPr="00C74AA9">
        <w:rPr>
          <w:rFonts w:ascii="Verdana" w:hAnsi="Verdana"/>
          <w:color w:val="auto"/>
          <w:sz w:val="18"/>
          <w:szCs w:val="18"/>
        </w:rPr>
        <w:lastRenderedPageBreak/>
        <w:t>4.</w:t>
      </w:r>
      <w:r w:rsidRPr="00C74AA9" w:rsidR="000732C7">
        <w:rPr>
          <w:rFonts w:ascii="Verdana" w:hAnsi="Verdana"/>
          <w:color w:val="auto"/>
          <w:sz w:val="18"/>
          <w:szCs w:val="18"/>
        </w:rPr>
        <w:t>3.</w:t>
      </w:r>
      <w:r w:rsidRPr="00C74AA9">
        <w:rPr>
          <w:rFonts w:ascii="Verdana" w:hAnsi="Verdana"/>
          <w:color w:val="auto"/>
          <w:sz w:val="18"/>
          <w:szCs w:val="18"/>
        </w:rPr>
        <w:t xml:space="preserve"> Overleg buurlanden</w:t>
      </w:r>
      <w:bookmarkEnd w:id="35"/>
      <w:r w:rsidRPr="00C74AA9">
        <w:rPr>
          <w:rFonts w:ascii="Verdana" w:hAnsi="Verdana"/>
          <w:color w:val="auto"/>
          <w:sz w:val="18"/>
          <w:szCs w:val="18"/>
        </w:rPr>
        <w:t xml:space="preserve"> </w:t>
      </w:r>
    </w:p>
    <w:p w:rsidR="00EF6456" w:rsidP="00781CF8" w:rsidRDefault="00EF6456">
      <w:pPr>
        <w:spacing w:after="0" w:line="240" w:lineRule="atLeast"/>
        <w:rPr>
          <w:rFonts w:cs="Univers"/>
          <w:sz w:val="18"/>
          <w:szCs w:val="18"/>
        </w:rPr>
      </w:pPr>
      <w:r>
        <w:rPr>
          <w:rFonts w:cs="Univers"/>
          <w:sz w:val="18"/>
          <w:szCs w:val="18"/>
        </w:rPr>
        <w:t>Uit</w:t>
      </w:r>
      <w:r w:rsidRPr="009433A7">
        <w:rPr>
          <w:rFonts w:cs="Univers"/>
          <w:sz w:val="18"/>
          <w:szCs w:val="18"/>
        </w:rPr>
        <w:t xml:space="preserve"> overleg met België en Duitsland blijkt dat beide landen </w:t>
      </w:r>
      <w:r>
        <w:rPr>
          <w:rFonts w:cs="Univers"/>
          <w:sz w:val="18"/>
          <w:szCs w:val="18"/>
        </w:rPr>
        <w:t xml:space="preserve">op dit moment </w:t>
      </w:r>
      <w:r w:rsidRPr="009433A7">
        <w:rPr>
          <w:rFonts w:cs="Univers"/>
          <w:sz w:val="18"/>
          <w:szCs w:val="18"/>
        </w:rPr>
        <w:t xml:space="preserve">geen voornemens hebben tot verhoging van de brandstofaccijnzen. </w:t>
      </w:r>
      <w:r>
        <w:rPr>
          <w:rFonts w:cs="Univers"/>
          <w:sz w:val="18"/>
          <w:szCs w:val="18"/>
        </w:rPr>
        <w:t xml:space="preserve">Wat betreft België </w:t>
      </w:r>
      <w:r w:rsidRPr="004F5C50">
        <w:rPr>
          <w:rFonts w:cs="Univers"/>
          <w:sz w:val="18"/>
          <w:szCs w:val="18"/>
        </w:rPr>
        <w:t xml:space="preserve">is </w:t>
      </w:r>
      <w:r>
        <w:rPr>
          <w:rFonts w:cs="Univers"/>
          <w:sz w:val="18"/>
          <w:szCs w:val="18"/>
        </w:rPr>
        <w:t xml:space="preserve">dit </w:t>
      </w:r>
      <w:r w:rsidR="00242F9D">
        <w:rPr>
          <w:rFonts w:cs="Univers"/>
          <w:sz w:val="18"/>
          <w:szCs w:val="18"/>
        </w:rPr>
        <w:t>mogelijk (</w:t>
      </w:r>
      <w:r w:rsidRPr="004F5C50">
        <w:rPr>
          <w:rFonts w:cs="Univers"/>
          <w:sz w:val="18"/>
          <w:szCs w:val="18"/>
        </w:rPr>
        <w:t>deels</w:t>
      </w:r>
      <w:r w:rsidR="00242F9D">
        <w:rPr>
          <w:rFonts w:cs="Univers"/>
          <w:sz w:val="18"/>
          <w:szCs w:val="18"/>
        </w:rPr>
        <w:t>)</w:t>
      </w:r>
      <w:r w:rsidRPr="004F5C50">
        <w:rPr>
          <w:rFonts w:cs="Univers"/>
          <w:sz w:val="18"/>
          <w:szCs w:val="18"/>
        </w:rPr>
        <w:t xml:space="preserve"> een gevolg van het feit dat België een “ontslagnemende regering” heeft. Maar ook ingeval er sprake zou zijn van een missionaire regering zou het onwaarschijnlijk zijn dat de brandstofaccijnzen zouden worden verhoogd. Van belang hierbij zijn de </w:t>
      </w:r>
      <w:r>
        <w:rPr>
          <w:rFonts w:cs="Univers"/>
          <w:sz w:val="18"/>
          <w:szCs w:val="18"/>
        </w:rPr>
        <w:t xml:space="preserve">huidige </w:t>
      </w:r>
      <w:r w:rsidRPr="004F5C50">
        <w:rPr>
          <w:rFonts w:cs="Univers"/>
          <w:sz w:val="18"/>
          <w:szCs w:val="18"/>
        </w:rPr>
        <w:t>hoge brandstofprijzen en de grenseffecten waar ook België rekening mee moet houden.</w:t>
      </w:r>
    </w:p>
    <w:p w:rsidRPr="009433A7" w:rsidR="00EF6456" w:rsidP="00781CF8" w:rsidRDefault="00EF6456">
      <w:pPr>
        <w:spacing w:after="0" w:line="240" w:lineRule="atLeast"/>
        <w:rPr>
          <w:rFonts w:cs="Univers"/>
          <w:sz w:val="18"/>
          <w:szCs w:val="18"/>
        </w:rPr>
      </w:pPr>
      <w:r>
        <w:rPr>
          <w:rFonts w:cs="Univers"/>
          <w:sz w:val="18"/>
          <w:szCs w:val="18"/>
        </w:rPr>
        <w:t>Ook d</w:t>
      </w:r>
      <w:r w:rsidRPr="004F5C50">
        <w:rPr>
          <w:rFonts w:cs="Univers"/>
          <w:sz w:val="18"/>
          <w:szCs w:val="18"/>
        </w:rPr>
        <w:t>e Duitse federale overheid heeft</w:t>
      </w:r>
      <w:r>
        <w:rPr>
          <w:rFonts w:cs="Univers"/>
          <w:sz w:val="18"/>
          <w:szCs w:val="18"/>
        </w:rPr>
        <w:t>, in elk geval op korte termijn,</w:t>
      </w:r>
      <w:r w:rsidRPr="004F5C50">
        <w:rPr>
          <w:rFonts w:cs="Univers"/>
          <w:sz w:val="18"/>
          <w:szCs w:val="18"/>
        </w:rPr>
        <w:t xml:space="preserve"> geen plannen om de accijnzen op motorbrandstoffen te verhogen</w:t>
      </w:r>
      <w:r>
        <w:rPr>
          <w:rFonts w:cs="Univers"/>
          <w:sz w:val="18"/>
          <w:szCs w:val="18"/>
        </w:rPr>
        <w:t xml:space="preserve">, onder meer vanwege </w:t>
      </w:r>
      <w:r w:rsidRPr="004F5C50">
        <w:rPr>
          <w:rFonts w:cs="Univers"/>
          <w:sz w:val="18"/>
          <w:szCs w:val="18"/>
        </w:rPr>
        <w:t xml:space="preserve">de </w:t>
      </w:r>
      <w:r>
        <w:rPr>
          <w:rFonts w:cs="Univers"/>
          <w:sz w:val="18"/>
          <w:szCs w:val="18"/>
        </w:rPr>
        <w:t xml:space="preserve">huidige </w:t>
      </w:r>
      <w:r w:rsidRPr="004F5C50">
        <w:rPr>
          <w:rFonts w:cs="Univers"/>
          <w:sz w:val="18"/>
          <w:szCs w:val="18"/>
        </w:rPr>
        <w:t>hoge brandstofprijzen</w:t>
      </w:r>
      <w:r>
        <w:rPr>
          <w:rFonts w:cs="Univers"/>
          <w:sz w:val="18"/>
          <w:szCs w:val="18"/>
        </w:rPr>
        <w:t xml:space="preserve"> </w:t>
      </w:r>
      <w:r w:rsidRPr="004F5C50">
        <w:rPr>
          <w:rFonts w:cs="Univers"/>
          <w:sz w:val="18"/>
          <w:szCs w:val="18"/>
        </w:rPr>
        <w:t>en het feit dat Duitsland al hoge accijnzen kent. Duitsland behoort, samen met Nederland, tot de top als het gaat om de hoogte van de accijnzen.</w:t>
      </w:r>
    </w:p>
    <w:p w:rsidRPr="00242F9D" w:rsidR="00EF6456" w:rsidP="00781CF8" w:rsidRDefault="00EF6456">
      <w:pPr>
        <w:spacing w:after="0" w:line="240" w:lineRule="atLeast"/>
        <w:rPr>
          <w:rFonts w:cs="Univers"/>
          <w:sz w:val="18"/>
          <w:szCs w:val="18"/>
        </w:rPr>
      </w:pPr>
      <w:r w:rsidRPr="009433A7">
        <w:rPr>
          <w:rFonts w:cs="Univers"/>
          <w:sz w:val="18"/>
          <w:szCs w:val="18"/>
        </w:rPr>
        <w:t>Wat betreft Europese initiatieven op dit punt kan ik wijzen op het recent</w:t>
      </w:r>
      <w:r>
        <w:rPr>
          <w:rFonts w:cs="Univers"/>
          <w:sz w:val="18"/>
          <w:szCs w:val="18"/>
        </w:rPr>
        <w:t>e voorstel van</w:t>
      </w:r>
      <w:r w:rsidRPr="009433A7">
        <w:rPr>
          <w:rFonts w:cs="Univers"/>
          <w:sz w:val="18"/>
          <w:szCs w:val="18"/>
        </w:rPr>
        <w:t xml:space="preserve"> de Europese Commissie tot herziening van de </w:t>
      </w:r>
      <w:r>
        <w:rPr>
          <w:rFonts w:cs="Univers"/>
          <w:sz w:val="18"/>
          <w:szCs w:val="18"/>
        </w:rPr>
        <w:t>Richtlijn energiebelastingen</w:t>
      </w:r>
      <w:r w:rsidRPr="009433A7">
        <w:rPr>
          <w:rFonts w:cs="Univers"/>
          <w:sz w:val="18"/>
          <w:szCs w:val="18"/>
        </w:rPr>
        <w:t xml:space="preserve">. </w:t>
      </w:r>
      <w:r w:rsidR="00242F9D">
        <w:rPr>
          <w:rFonts w:cs="Univers"/>
          <w:sz w:val="18"/>
          <w:szCs w:val="18"/>
        </w:rPr>
        <w:t xml:space="preserve">Dat </w:t>
      </w:r>
      <w:r w:rsidRPr="00242F9D" w:rsidR="00242F9D">
        <w:rPr>
          <w:rFonts w:cs="Univers"/>
          <w:sz w:val="18"/>
          <w:szCs w:val="18"/>
        </w:rPr>
        <w:t>voorstel om de grondslag van de tarieven te baseren op energie-inhoud en CO</w:t>
      </w:r>
      <w:r w:rsidRPr="00242F9D" w:rsidR="00242F9D">
        <w:rPr>
          <w:rFonts w:cs="Univers"/>
          <w:sz w:val="18"/>
          <w:szCs w:val="18"/>
          <w:vertAlign w:val="subscript"/>
        </w:rPr>
        <w:t>2</w:t>
      </w:r>
      <w:r w:rsidRPr="00242F9D" w:rsidR="00242F9D">
        <w:rPr>
          <w:rFonts w:cs="Univers"/>
          <w:sz w:val="18"/>
          <w:szCs w:val="18"/>
        </w:rPr>
        <w:t>-uitstoot streeft weliswaar geen wijziging van de minimumtarieven na, maar de voorgestelde nieuwe systematiek zal ertoe leiden dat de huidige minimumtarieven, met uitzondering van benzine, aanzienlijk gewijzigd zullen worden. Op korte termijn zal dit echter geen aanleiding geven tot aanpassing van de Nederlandse tarieven.</w:t>
      </w:r>
      <w:r w:rsidRPr="00242F9D">
        <w:rPr>
          <w:rFonts w:cs="Univers"/>
          <w:sz w:val="18"/>
          <w:szCs w:val="18"/>
        </w:rPr>
        <w:t xml:space="preserve"> </w:t>
      </w:r>
    </w:p>
    <w:p w:rsidRPr="009433A7" w:rsidR="00EF6456" w:rsidP="00781CF8" w:rsidRDefault="00EF6456">
      <w:pPr>
        <w:spacing w:after="0" w:line="240" w:lineRule="atLeast"/>
        <w:rPr>
          <w:rFonts w:cs="Univers"/>
          <w:sz w:val="18"/>
          <w:szCs w:val="18"/>
        </w:rPr>
      </w:pPr>
    </w:p>
    <w:p w:rsidR="00EF6456" w:rsidP="00781CF8" w:rsidRDefault="00EF6456">
      <w:pPr>
        <w:autoSpaceDE w:val="0"/>
        <w:autoSpaceDN w:val="0"/>
        <w:adjustRightInd w:val="0"/>
        <w:spacing w:after="0" w:line="240" w:lineRule="atLeast"/>
        <w:rPr>
          <w:rFonts w:cs="Univers"/>
          <w:sz w:val="18"/>
          <w:szCs w:val="18"/>
        </w:rPr>
      </w:pPr>
      <w:r w:rsidRPr="009433A7">
        <w:rPr>
          <w:rFonts w:cs="Univers"/>
          <w:sz w:val="18"/>
          <w:szCs w:val="18"/>
        </w:rPr>
        <w:t xml:space="preserve">Uit het vorenstaande </w:t>
      </w:r>
      <w:r w:rsidR="00FD4649">
        <w:rPr>
          <w:rFonts w:cs="Univers"/>
          <w:sz w:val="18"/>
          <w:szCs w:val="18"/>
        </w:rPr>
        <w:t>moge</w:t>
      </w:r>
      <w:r w:rsidRPr="009433A7" w:rsidR="00FD4649">
        <w:rPr>
          <w:rFonts w:cs="Univers"/>
          <w:sz w:val="18"/>
          <w:szCs w:val="18"/>
        </w:rPr>
        <w:t xml:space="preserve"> </w:t>
      </w:r>
      <w:r w:rsidRPr="009433A7">
        <w:rPr>
          <w:rFonts w:cs="Univers"/>
          <w:sz w:val="18"/>
          <w:szCs w:val="18"/>
        </w:rPr>
        <w:t>blijken dat er – zeker op de korte termijn – geen zicht is op een verhoging van de accijnstarieven in onze buurlanden of in de overige lidstaten van de Europese Unie.</w:t>
      </w:r>
      <w:r>
        <w:rPr>
          <w:rFonts w:cs="Univers"/>
          <w:sz w:val="18"/>
          <w:szCs w:val="18"/>
        </w:rPr>
        <w:t xml:space="preserve"> </w:t>
      </w:r>
      <w:r w:rsidRPr="009433A7">
        <w:rPr>
          <w:rFonts w:cs="Univers"/>
          <w:sz w:val="18"/>
          <w:szCs w:val="18"/>
        </w:rPr>
        <w:t>Zoals ik al bij verschillende gelegenheden heb gememoreerd, laatstelijk in een Algemeen Overleg met de Tweede Kamer over (onder andere) de benzinemarkt,</w:t>
      </w:r>
      <w:r w:rsidRPr="009433A7">
        <w:rPr>
          <w:rFonts w:cs="Univers"/>
          <w:sz w:val="18"/>
          <w:szCs w:val="18"/>
          <w:vertAlign w:val="superscript"/>
        </w:rPr>
        <w:footnoteReference w:id="17"/>
      </w:r>
      <w:r w:rsidRPr="009433A7">
        <w:rPr>
          <w:rFonts w:cs="Univers"/>
          <w:sz w:val="18"/>
          <w:szCs w:val="18"/>
        </w:rPr>
        <w:t xml:space="preserve"> is er naar mijn mening pas ruimte voor een accijnsverhoging in Nederland als </w:t>
      </w:r>
      <w:r>
        <w:rPr>
          <w:rFonts w:cs="Univers"/>
          <w:sz w:val="18"/>
          <w:szCs w:val="18"/>
        </w:rPr>
        <w:t xml:space="preserve">ook </w:t>
      </w:r>
      <w:r w:rsidRPr="009433A7">
        <w:rPr>
          <w:rFonts w:cs="Univers"/>
          <w:sz w:val="18"/>
          <w:szCs w:val="18"/>
        </w:rPr>
        <w:t xml:space="preserve">onze buurlanden België en Duitsland hun accijnstarieven </w:t>
      </w:r>
      <w:r>
        <w:rPr>
          <w:rFonts w:cs="Univers"/>
          <w:sz w:val="18"/>
          <w:szCs w:val="18"/>
        </w:rPr>
        <w:t>verhogen</w:t>
      </w:r>
      <w:r w:rsidRPr="009433A7">
        <w:rPr>
          <w:rFonts w:cs="Univers"/>
          <w:sz w:val="18"/>
          <w:szCs w:val="18"/>
        </w:rPr>
        <w:t>. Voorlopig zal dat niet het geval zijn</w:t>
      </w:r>
      <w:r>
        <w:rPr>
          <w:rFonts w:cs="Univers"/>
          <w:sz w:val="18"/>
          <w:szCs w:val="18"/>
        </w:rPr>
        <w:t>.</w:t>
      </w:r>
      <w:r w:rsidRPr="009433A7">
        <w:rPr>
          <w:rFonts w:cs="Univers"/>
          <w:sz w:val="18"/>
          <w:szCs w:val="18"/>
        </w:rPr>
        <w:t xml:space="preserve"> </w:t>
      </w:r>
      <w:r>
        <w:rPr>
          <w:rFonts w:cs="Univers"/>
          <w:sz w:val="18"/>
          <w:szCs w:val="18"/>
        </w:rPr>
        <w:t>Ik zie</w:t>
      </w:r>
      <w:r w:rsidRPr="009433A7">
        <w:rPr>
          <w:rFonts w:cs="Univers"/>
          <w:sz w:val="18"/>
          <w:szCs w:val="18"/>
        </w:rPr>
        <w:t xml:space="preserve"> dan ook geen mogelijkheden om de Nederlandse accijnzen </w:t>
      </w:r>
      <w:r>
        <w:rPr>
          <w:rFonts w:cs="Univers"/>
          <w:sz w:val="18"/>
          <w:szCs w:val="18"/>
        </w:rPr>
        <w:t xml:space="preserve">op benzine en diesel </w:t>
      </w:r>
      <w:r w:rsidRPr="009433A7">
        <w:rPr>
          <w:rFonts w:cs="Univers"/>
          <w:sz w:val="18"/>
          <w:szCs w:val="18"/>
        </w:rPr>
        <w:t>te verhogen.</w:t>
      </w:r>
    </w:p>
    <w:p w:rsidR="00EF6456" w:rsidP="00781CF8" w:rsidRDefault="00EF6456">
      <w:pPr>
        <w:autoSpaceDE w:val="0"/>
        <w:autoSpaceDN w:val="0"/>
        <w:adjustRightInd w:val="0"/>
        <w:spacing w:after="0" w:line="240" w:lineRule="atLeast"/>
        <w:rPr>
          <w:sz w:val="18"/>
          <w:szCs w:val="18"/>
        </w:rPr>
      </w:pPr>
    </w:p>
    <w:p w:rsidR="00EF6456" w:rsidP="00781CF8" w:rsidRDefault="00EF6456">
      <w:pPr>
        <w:spacing w:after="0" w:line="240" w:lineRule="auto"/>
        <w:rPr>
          <w:sz w:val="18"/>
          <w:szCs w:val="18"/>
        </w:rPr>
      </w:pPr>
      <w:r>
        <w:rPr>
          <w:sz w:val="18"/>
          <w:szCs w:val="18"/>
        </w:rPr>
        <w:br w:type="page"/>
      </w:r>
    </w:p>
    <w:p w:rsidR="00EF6456" w:rsidP="00781CF8" w:rsidRDefault="00EF6456">
      <w:pPr>
        <w:spacing w:after="0" w:line="240" w:lineRule="auto"/>
        <w:rPr>
          <w:sz w:val="18"/>
          <w:szCs w:val="18"/>
        </w:rPr>
      </w:pPr>
    </w:p>
    <w:p w:rsidR="00EF6456" w:rsidP="00C74AA9" w:rsidRDefault="00EF6456">
      <w:pPr>
        <w:pStyle w:val="Kop1"/>
        <w:spacing w:before="0"/>
        <w:rPr>
          <w:rFonts w:ascii="Verdana" w:hAnsi="Verdana"/>
          <w:color w:val="auto"/>
          <w:sz w:val="18"/>
          <w:szCs w:val="18"/>
        </w:rPr>
      </w:pPr>
      <w:bookmarkStart w:name="_Toc292977504" w:id="36"/>
      <w:bookmarkStart w:name="_Toc293998544" w:id="37"/>
      <w:r w:rsidRPr="00C74AA9">
        <w:rPr>
          <w:rFonts w:ascii="Verdana" w:hAnsi="Verdana"/>
          <w:color w:val="auto"/>
          <w:sz w:val="18"/>
          <w:szCs w:val="18"/>
        </w:rPr>
        <w:t>Hoofdstuk 5. Gasvormige brandstoffen</w:t>
      </w:r>
      <w:bookmarkEnd w:id="36"/>
      <w:bookmarkEnd w:id="37"/>
      <w:r w:rsidRPr="00C74AA9">
        <w:rPr>
          <w:rFonts w:ascii="Verdana" w:hAnsi="Verdana"/>
          <w:color w:val="auto"/>
          <w:sz w:val="18"/>
          <w:szCs w:val="18"/>
        </w:rPr>
        <w:t xml:space="preserve"> </w:t>
      </w:r>
      <w:bookmarkStart w:name="_Toc292977505" w:id="38"/>
    </w:p>
    <w:p w:rsidRPr="00C74AA9" w:rsidR="00C74AA9" w:rsidP="00C74AA9" w:rsidRDefault="00C74AA9">
      <w:pPr>
        <w:spacing w:after="0"/>
        <w:rPr>
          <w:sz w:val="18"/>
          <w:szCs w:val="18"/>
        </w:rPr>
      </w:pPr>
    </w:p>
    <w:p w:rsidRPr="0062433D" w:rsidR="00EF6456" w:rsidP="00781CF8" w:rsidRDefault="00EF6456">
      <w:pPr>
        <w:pStyle w:val="Kop2"/>
        <w:spacing w:before="0"/>
        <w:rPr>
          <w:rFonts w:ascii="Verdana" w:hAnsi="Verdana"/>
          <w:color w:val="auto"/>
          <w:sz w:val="18"/>
          <w:szCs w:val="18"/>
        </w:rPr>
      </w:pPr>
      <w:bookmarkStart w:name="_Toc293998545" w:id="39"/>
      <w:r>
        <w:rPr>
          <w:rFonts w:ascii="Verdana" w:hAnsi="Verdana"/>
          <w:color w:val="auto"/>
          <w:sz w:val="18"/>
          <w:szCs w:val="18"/>
        </w:rPr>
        <w:t>5</w:t>
      </w:r>
      <w:r w:rsidRPr="0062433D">
        <w:rPr>
          <w:rFonts w:ascii="Verdana" w:hAnsi="Verdana"/>
          <w:color w:val="auto"/>
          <w:sz w:val="18"/>
          <w:szCs w:val="18"/>
        </w:rPr>
        <w:t>.0. Samenvatting</w:t>
      </w:r>
      <w:bookmarkEnd w:id="38"/>
      <w:bookmarkEnd w:id="39"/>
    </w:p>
    <w:p w:rsidRPr="00DA7EE6" w:rsidR="00EF6456" w:rsidP="00781CF8" w:rsidRDefault="00EF6456">
      <w:pPr>
        <w:pBdr>
          <w:top w:val="single" w:color="auto" w:sz="4" w:space="1"/>
          <w:left w:val="single" w:color="auto" w:sz="4" w:space="4"/>
          <w:bottom w:val="single" w:color="auto" w:sz="4" w:space="1"/>
          <w:right w:val="single" w:color="auto" w:sz="4" w:space="4"/>
        </w:pBdr>
        <w:shd w:val="clear" w:color="auto" w:fill="D9D9D9"/>
        <w:spacing w:after="0" w:line="240" w:lineRule="atLeast"/>
        <w:rPr>
          <w:i/>
          <w:sz w:val="18"/>
          <w:szCs w:val="18"/>
        </w:rPr>
      </w:pPr>
      <w:r w:rsidRPr="006458AB">
        <w:rPr>
          <w:i/>
          <w:sz w:val="18"/>
          <w:szCs w:val="18"/>
        </w:rPr>
        <w:t xml:space="preserve">Gasvormige motorbrandstoffen zoals LPG en CNG worden </w:t>
      </w:r>
      <w:r w:rsidR="00FF1539">
        <w:rPr>
          <w:i/>
          <w:sz w:val="18"/>
          <w:szCs w:val="18"/>
        </w:rPr>
        <w:t>in</w:t>
      </w:r>
      <w:r w:rsidRPr="006458AB" w:rsidR="00FF1539">
        <w:rPr>
          <w:i/>
          <w:sz w:val="18"/>
          <w:szCs w:val="18"/>
        </w:rPr>
        <w:t xml:space="preserve"> </w:t>
      </w:r>
      <w:r w:rsidRPr="006458AB">
        <w:rPr>
          <w:i/>
          <w:sz w:val="18"/>
          <w:szCs w:val="18"/>
        </w:rPr>
        <w:t>de accijns of energiebelasting zeer laag belast ten opzichte van producten als benzine en diesel</w:t>
      </w:r>
      <w:r w:rsidR="009D05CB">
        <w:rPr>
          <w:i/>
          <w:sz w:val="18"/>
          <w:szCs w:val="18"/>
        </w:rPr>
        <w:t>,</w:t>
      </w:r>
      <w:r w:rsidRPr="006458AB">
        <w:rPr>
          <w:i/>
          <w:sz w:val="18"/>
          <w:szCs w:val="18"/>
        </w:rPr>
        <w:t xml:space="preserve"> terwijl hier vanuit milieuoogpunt steeds minder rechtvaardiging voor is. Een verhoging van de tarieven ligt dan ook in de rede. Hierdoor wordt tevens de fiscale behandeling van de diverse gasvormige motorbrandstoffen zo veel mogelijk gelijkgeschakeld om marktverstoringen te voorkomen. </w:t>
      </w:r>
      <w:r w:rsidR="009D05CB">
        <w:rPr>
          <w:i/>
          <w:sz w:val="18"/>
          <w:szCs w:val="18"/>
        </w:rPr>
        <w:t>Groen gas dat wordt ingezet in het wegverkeer blijft gestimuleerd worden via de SDE (+) maar telt dan niet mee voor de zogenoemde verplichtingenregeling.</w:t>
      </w:r>
    </w:p>
    <w:p w:rsidR="00EF6456" w:rsidP="00781CF8" w:rsidRDefault="00EF6456">
      <w:pPr>
        <w:pStyle w:val="Kop2"/>
        <w:spacing w:before="0"/>
        <w:rPr>
          <w:rFonts w:ascii="Verdana" w:hAnsi="Verdana"/>
          <w:color w:val="auto"/>
          <w:sz w:val="18"/>
          <w:szCs w:val="18"/>
        </w:rPr>
      </w:pPr>
      <w:bookmarkStart w:name="_Toc292977506" w:id="40"/>
    </w:p>
    <w:p w:rsidRPr="00051C01" w:rsidR="00EF6456" w:rsidP="00781CF8" w:rsidRDefault="00EF6456">
      <w:pPr>
        <w:pStyle w:val="Kop2"/>
        <w:spacing w:before="0"/>
        <w:rPr>
          <w:rFonts w:ascii="Verdana" w:hAnsi="Verdana"/>
          <w:color w:val="auto"/>
          <w:sz w:val="18"/>
          <w:szCs w:val="18"/>
        </w:rPr>
      </w:pPr>
      <w:bookmarkStart w:name="_Toc293998546" w:id="41"/>
      <w:r>
        <w:rPr>
          <w:rFonts w:ascii="Verdana" w:hAnsi="Verdana"/>
          <w:color w:val="auto"/>
          <w:sz w:val="18"/>
          <w:szCs w:val="18"/>
        </w:rPr>
        <w:t>5</w:t>
      </w:r>
      <w:r w:rsidRPr="00051C01">
        <w:rPr>
          <w:rFonts w:ascii="Verdana" w:hAnsi="Verdana"/>
          <w:color w:val="auto"/>
          <w:sz w:val="18"/>
          <w:szCs w:val="18"/>
        </w:rPr>
        <w:t>.1. Inleiding</w:t>
      </w:r>
      <w:bookmarkEnd w:id="40"/>
      <w:bookmarkEnd w:id="41"/>
      <w:r w:rsidRPr="00051C01">
        <w:rPr>
          <w:rFonts w:ascii="Verdana" w:hAnsi="Verdana"/>
          <w:color w:val="auto"/>
          <w:sz w:val="18"/>
          <w:szCs w:val="18"/>
        </w:rPr>
        <w:t xml:space="preserve"> </w:t>
      </w:r>
    </w:p>
    <w:p w:rsidRPr="00892E75" w:rsidR="00EF6456" w:rsidP="00781CF8" w:rsidRDefault="00EF6456">
      <w:pPr>
        <w:spacing w:after="0" w:line="240" w:lineRule="auto"/>
        <w:rPr>
          <w:sz w:val="18"/>
          <w:szCs w:val="18"/>
        </w:rPr>
      </w:pPr>
      <w:r w:rsidRPr="00892E75">
        <w:rPr>
          <w:sz w:val="18"/>
          <w:szCs w:val="18"/>
        </w:rPr>
        <w:t>Naast LPG komen er in toenemende mate andere al dan niet vloeibaar gemaakte gasvormige brandstoffen (hierna ook ‘gassen’ genoemd) op de markt, meestal bestemd om te worden gebruikt als motorbrandstof. Hoewel de diverse gassen in hun aard vergelijkbaar zijn, is niet altijd dezelfde belasting verschuldigd en evenmin geldt altijd een vergelijkbaar tarief. Sommige gassen zijn onderworpen aan de heffing van accijns, andere aan die van energiebelasting (EB).</w:t>
      </w:r>
    </w:p>
    <w:p w:rsidR="00337116" w:rsidP="00781CF8" w:rsidRDefault="00EF6456">
      <w:pPr>
        <w:spacing w:after="0" w:line="240" w:lineRule="atLeast"/>
        <w:rPr>
          <w:sz w:val="18"/>
          <w:szCs w:val="18"/>
        </w:rPr>
      </w:pPr>
      <w:r w:rsidRPr="00892E75">
        <w:rPr>
          <w:sz w:val="18"/>
          <w:szCs w:val="18"/>
        </w:rPr>
        <w:t>Het gaat zowel om fossiele gassen als om biogassen.</w:t>
      </w:r>
      <w:r>
        <w:rPr>
          <w:sz w:val="18"/>
          <w:szCs w:val="18"/>
        </w:rPr>
        <w:t xml:space="preserve"> </w:t>
      </w:r>
      <w:r w:rsidRPr="00892E75">
        <w:rPr>
          <w:sz w:val="18"/>
          <w:szCs w:val="18"/>
        </w:rPr>
        <w:t>Wat betreft fossiele gassen betreft het de volgende producten:</w:t>
      </w:r>
      <w:r w:rsidRPr="00892E75">
        <w:rPr>
          <w:sz w:val="18"/>
          <w:szCs w:val="18"/>
        </w:rPr>
        <w:br/>
        <w:t>- Vloeibaar gemaakt petroleumgas</w:t>
      </w:r>
      <w:r w:rsidRPr="00892E75">
        <w:rPr>
          <w:sz w:val="18"/>
          <w:szCs w:val="18"/>
        </w:rPr>
        <w:tab/>
        <w:t>: vooral als autogas meestal LPG genoemd</w:t>
      </w:r>
    </w:p>
    <w:p w:rsidR="00337116" w:rsidP="00781CF8" w:rsidRDefault="00EF6456">
      <w:pPr>
        <w:spacing w:after="0" w:line="240" w:lineRule="atLeast"/>
        <w:rPr>
          <w:sz w:val="18"/>
          <w:szCs w:val="18"/>
        </w:rPr>
      </w:pPr>
      <w:r w:rsidRPr="00892E75">
        <w:rPr>
          <w:sz w:val="18"/>
          <w:szCs w:val="18"/>
        </w:rPr>
        <w:t>- CNG</w:t>
      </w:r>
      <w:r w:rsidRPr="00892E75">
        <w:rPr>
          <w:sz w:val="18"/>
          <w:szCs w:val="18"/>
        </w:rPr>
        <w:tab/>
      </w:r>
      <w:r w:rsidRPr="00892E75">
        <w:rPr>
          <w:sz w:val="18"/>
          <w:szCs w:val="18"/>
        </w:rPr>
        <w:tab/>
      </w:r>
      <w:r w:rsidRPr="00892E75">
        <w:rPr>
          <w:sz w:val="18"/>
          <w:szCs w:val="18"/>
        </w:rPr>
        <w:tab/>
      </w:r>
      <w:r w:rsidRPr="00892E75">
        <w:rPr>
          <w:sz w:val="18"/>
          <w:szCs w:val="18"/>
        </w:rPr>
        <w:tab/>
      </w:r>
      <w:r w:rsidRPr="00892E75">
        <w:rPr>
          <w:sz w:val="18"/>
          <w:szCs w:val="18"/>
        </w:rPr>
        <w:tab/>
        <w:t>: gecomprimeerd gasvormig aardgas</w:t>
      </w:r>
    </w:p>
    <w:p w:rsidR="00337116" w:rsidP="00781CF8" w:rsidRDefault="00EF6456">
      <w:pPr>
        <w:spacing w:after="0" w:line="240" w:lineRule="atLeast"/>
        <w:rPr>
          <w:sz w:val="18"/>
          <w:szCs w:val="18"/>
        </w:rPr>
      </w:pPr>
      <w:r w:rsidRPr="00892E75">
        <w:rPr>
          <w:sz w:val="18"/>
          <w:szCs w:val="18"/>
        </w:rPr>
        <w:t>- LNG</w:t>
      </w:r>
      <w:r w:rsidRPr="00892E75">
        <w:rPr>
          <w:sz w:val="18"/>
          <w:szCs w:val="18"/>
        </w:rPr>
        <w:tab/>
      </w:r>
      <w:r w:rsidRPr="00892E75">
        <w:rPr>
          <w:sz w:val="18"/>
          <w:szCs w:val="18"/>
        </w:rPr>
        <w:tab/>
      </w:r>
      <w:r w:rsidRPr="00892E75">
        <w:rPr>
          <w:sz w:val="18"/>
          <w:szCs w:val="18"/>
        </w:rPr>
        <w:tab/>
      </w:r>
      <w:r w:rsidRPr="00892E75">
        <w:rPr>
          <w:sz w:val="18"/>
          <w:szCs w:val="18"/>
        </w:rPr>
        <w:tab/>
      </w:r>
      <w:r w:rsidRPr="00892E75">
        <w:rPr>
          <w:sz w:val="18"/>
          <w:szCs w:val="18"/>
        </w:rPr>
        <w:tab/>
        <w:t>: vloeibaar gemaakt aardgas</w:t>
      </w:r>
    </w:p>
    <w:p w:rsidR="00A25291" w:rsidP="00781CF8" w:rsidRDefault="00EF6456">
      <w:pPr>
        <w:spacing w:after="0" w:line="240" w:lineRule="atLeast"/>
        <w:rPr>
          <w:sz w:val="18"/>
          <w:szCs w:val="18"/>
        </w:rPr>
      </w:pPr>
      <w:r w:rsidRPr="00892E75">
        <w:rPr>
          <w:sz w:val="18"/>
          <w:szCs w:val="18"/>
        </w:rPr>
        <w:t>- Vloeibaar gemaakt methaan</w:t>
      </w:r>
      <w:r w:rsidRPr="00892E75">
        <w:rPr>
          <w:sz w:val="18"/>
          <w:szCs w:val="18"/>
        </w:rPr>
        <w:tab/>
      </w:r>
      <w:r w:rsidRPr="00892E75">
        <w:rPr>
          <w:sz w:val="18"/>
          <w:szCs w:val="18"/>
        </w:rPr>
        <w:tab/>
        <w:t>: vergelijkbaar met LNG</w:t>
      </w:r>
    </w:p>
    <w:p w:rsidR="00EF6456" w:rsidP="00781CF8" w:rsidRDefault="00EF6456">
      <w:pPr>
        <w:spacing w:after="0" w:line="240" w:lineRule="atLeast"/>
        <w:rPr>
          <w:sz w:val="18"/>
          <w:szCs w:val="18"/>
        </w:rPr>
      </w:pPr>
      <w:r w:rsidRPr="00892E75">
        <w:rPr>
          <w:sz w:val="18"/>
          <w:szCs w:val="18"/>
        </w:rPr>
        <w:br/>
        <w:t xml:space="preserve">CNG wordt tot nu toe rechtstreeks vanuit het distributienet van aardgas via een CNG-vulstation afgeleverd als motorbrandstof. Hiervoor geldt </w:t>
      </w:r>
      <w:r w:rsidR="009D05CB">
        <w:rPr>
          <w:sz w:val="18"/>
          <w:szCs w:val="18"/>
        </w:rPr>
        <w:t xml:space="preserve">het </w:t>
      </w:r>
      <w:r w:rsidRPr="00892E75">
        <w:rPr>
          <w:sz w:val="18"/>
          <w:szCs w:val="18"/>
        </w:rPr>
        <w:t xml:space="preserve">EB-tarief </w:t>
      </w:r>
      <w:r w:rsidR="009D05CB">
        <w:rPr>
          <w:sz w:val="18"/>
          <w:szCs w:val="18"/>
        </w:rPr>
        <w:t xml:space="preserve">dat </w:t>
      </w:r>
      <w:r w:rsidRPr="00892E75">
        <w:rPr>
          <w:sz w:val="18"/>
          <w:szCs w:val="18"/>
        </w:rPr>
        <w:t>voor aardgas</w:t>
      </w:r>
      <w:r w:rsidR="009D05CB">
        <w:rPr>
          <w:sz w:val="18"/>
          <w:szCs w:val="18"/>
        </w:rPr>
        <w:t xml:space="preserve"> is vastgesteld</w:t>
      </w:r>
      <w:r w:rsidRPr="00892E75">
        <w:rPr>
          <w:sz w:val="18"/>
          <w:szCs w:val="18"/>
        </w:rPr>
        <w:t xml:space="preserve">. Een nieuwe ontwikkeling is dat CNG ook kan worden afgeleverd vanuit modules, feitelijk een serie grote gasflessen. In dat geval is niet het speciale EB-tarief maar het </w:t>
      </w:r>
      <w:r>
        <w:rPr>
          <w:sz w:val="18"/>
          <w:szCs w:val="18"/>
        </w:rPr>
        <w:t>EB-</w:t>
      </w:r>
      <w:r w:rsidRPr="00892E75">
        <w:rPr>
          <w:sz w:val="18"/>
          <w:szCs w:val="18"/>
        </w:rPr>
        <w:t>schijventarief van aardgas van toepassing.</w:t>
      </w:r>
      <w:r>
        <w:rPr>
          <w:sz w:val="18"/>
          <w:szCs w:val="18"/>
        </w:rPr>
        <w:t xml:space="preserve"> </w:t>
      </w:r>
      <w:r w:rsidRPr="00892E75">
        <w:rPr>
          <w:sz w:val="18"/>
          <w:szCs w:val="18"/>
        </w:rPr>
        <w:t>CNG wordt voornamelijk gebruikt als motorbrandstof voor personenauto’s. Daarnaast rijden er in Nederland enkele honderden autobussen op CNG</w:t>
      </w:r>
      <w:r w:rsidRPr="007F678E">
        <w:rPr>
          <w:sz w:val="18"/>
          <w:szCs w:val="18"/>
        </w:rPr>
        <w:t xml:space="preserve"> </w:t>
      </w:r>
      <w:r>
        <w:rPr>
          <w:sz w:val="18"/>
          <w:szCs w:val="18"/>
        </w:rPr>
        <w:t xml:space="preserve">en wordt CNG ook in toenemende mate toegepast als brandstof voor dual fuel vrachtauto’s, die zowel op aardgas als op diesel kunnen rijden. </w:t>
      </w:r>
      <w:r w:rsidRPr="00892E75">
        <w:rPr>
          <w:sz w:val="18"/>
          <w:szCs w:val="18"/>
        </w:rPr>
        <w:t xml:space="preserve">Vanwege de lage energie-inhoud en </w:t>
      </w:r>
      <w:r w:rsidR="00FF1539">
        <w:rPr>
          <w:sz w:val="18"/>
          <w:szCs w:val="18"/>
        </w:rPr>
        <w:t xml:space="preserve">de daardoor </w:t>
      </w:r>
      <w:r w:rsidRPr="00892E75">
        <w:rPr>
          <w:sz w:val="18"/>
          <w:szCs w:val="18"/>
        </w:rPr>
        <w:t xml:space="preserve">beperkte actieradius is CNG nauwelijks interessant als motorbrandstof voor zware </w:t>
      </w:r>
      <w:r>
        <w:rPr>
          <w:sz w:val="18"/>
          <w:szCs w:val="18"/>
        </w:rPr>
        <w:t xml:space="preserve">mono fuel </w:t>
      </w:r>
      <w:r w:rsidRPr="00892E75">
        <w:rPr>
          <w:sz w:val="18"/>
          <w:szCs w:val="18"/>
        </w:rPr>
        <w:t xml:space="preserve">vrachtauto’s. Wegens hun hogere energie-inhoud zijn LNG en vloeibaar gemaakt methaan hiervoor wel geschikt. </w:t>
      </w:r>
    </w:p>
    <w:p w:rsidRPr="00892E75" w:rsidR="00EF6456" w:rsidP="00781CF8" w:rsidRDefault="00EF6456">
      <w:pPr>
        <w:spacing w:after="0" w:line="240" w:lineRule="atLeast"/>
        <w:rPr>
          <w:sz w:val="18"/>
          <w:szCs w:val="18"/>
        </w:rPr>
      </w:pPr>
    </w:p>
    <w:p w:rsidR="00A25291" w:rsidP="00781CF8" w:rsidRDefault="00EF6456">
      <w:pPr>
        <w:spacing w:after="0" w:line="240" w:lineRule="atLeast"/>
        <w:rPr>
          <w:sz w:val="18"/>
          <w:szCs w:val="18"/>
        </w:rPr>
      </w:pPr>
      <w:r w:rsidRPr="00AD1DAA">
        <w:rPr>
          <w:sz w:val="18"/>
          <w:szCs w:val="18"/>
        </w:rPr>
        <w:t>Uit tabel 1</w:t>
      </w:r>
      <w:r w:rsidRPr="00AD1DAA" w:rsidR="00E94975">
        <w:rPr>
          <w:sz w:val="18"/>
          <w:szCs w:val="18"/>
        </w:rPr>
        <w:t>3</w:t>
      </w:r>
      <w:r w:rsidRPr="00AD1DAA">
        <w:rPr>
          <w:sz w:val="18"/>
          <w:szCs w:val="18"/>
        </w:rPr>
        <w:t xml:space="preserve"> blijkt de verschillende behandeling van de diverse gassen. Aangegeven is welk middel</w:t>
      </w:r>
      <w:r w:rsidRPr="00892E75">
        <w:rPr>
          <w:sz w:val="18"/>
          <w:szCs w:val="18"/>
        </w:rPr>
        <w:t xml:space="preserve"> (accijns of EB) van toepassing is. Wat betreft het tarief (basis 1-1-2011) is dit omgerekend naar een tarief per liter, rekening houdend met het verschil in soortelijke massa van de producten waarvoor een accijnstarief geldt per 1000 kg</w:t>
      </w:r>
      <w:r>
        <w:rPr>
          <w:sz w:val="18"/>
          <w:szCs w:val="18"/>
        </w:rPr>
        <w:t xml:space="preserve"> en wat betreft CNG uitgaand van een compressie bij 200 bar</w:t>
      </w:r>
      <w:r w:rsidRPr="00892E75">
        <w:rPr>
          <w:sz w:val="18"/>
          <w:szCs w:val="18"/>
        </w:rPr>
        <w:t>. Omdat de energie-inhoud van de diverse producten verschilt - op 1 liter LPG kan verder worden gereden dan op 1 liter CNG - is in de laatste kolom het tarief uitgedrukt in een tarief per megajoule, de eenheid voor de energie-inhoud van een product.</w:t>
      </w:r>
    </w:p>
    <w:p w:rsidR="00A25291" w:rsidP="00781CF8" w:rsidRDefault="00A25291">
      <w:pPr>
        <w:spacing w:after="0" w:line="240" w:lineRule="atLeast"/>
        <w:rPr>
          <w:sz w:val="18"/>
          <w:szCs w:val="18"/>
        </w:rPr>
      </w:pPr>
    </w:p>
    <w:p w:rsidRPr="00E70BEC" w:rsidR="00EF6456" w:rsidP="00781CF8" w:rsidRDefault="00AD0D4E">
      <w:pPr>
        <w:spacing w:after="0" w:line="240" w:lineRule="atLeast"/>
        <w:rPr>
          <w:b/>
          <w:i/>
          <w:sz w:val="16"/>
          <w:szCs w:val="16"/>
        </w:rPr>
      </w:pPr>
      <w:r>
        <w:rPr>
          <w:b/>
          <w:i/>
          <w:sz w:val="16"/>
          <w:szCs w:val="16"/>
        </w:rPr>
        <w:t>Tabel 1</w:t>
      </w:r>
      <w:r w:rsidR="00E94975">
        <w:rPr>
          <w:b/>
          <w:i/>
          <w:sz w:val="16"/>
          <w:szCs w:val="16"/>
        </w:rPr>
        <w:t>3</w:t>
      </w:r>
      <w:r>
        <w:rPr>
          <w:b/>
          <w:i/>
          <w:sz w:val="16"/>
          <w:szCs w:val="16"/>
        </w:rPr>
        <w:t xml:space="preserve">: </w:t>
      </w:r>
      <w:r w:rsidRPr="00E70BEC" w:rsidR="00E70BEC">
        <w:rPr>
          <w:b/>
          <w:i/>
          <w:sz w:val="16"/>
          <w:szCs w:val="16"/>
        </w:rPr>
        <w:t>Overzicht tarieven gasvormige brandstoffen</w:t>
      </w:r>
    </w:p>
    <w:tbl>
      <w:tblPr>
        <w:tblStyle w:val="Lichtearcering1"/>
        <w:tblW w:w="0" w:type="auto"/>
        <w:tblLook w:val="04A0"/>
      </w:tblPr>
      <w:tblGrid>
        <w:gridCol w:w="2375"/>
        <w:gridCol w:w="1701"/>
        <w:gridCol w:w="1701"/>
        <w:gridCol w:w="1560"/>
        <w:gridCol w:w="1950"/>
      </w:tblGrid>
      <w:tr w:rsidRPr="00E70BEC" w:rsidR="00EF6456" w:rsidTr="00E70BEC">
        <w:trPr>
          <w:cnfStyle w:val="100000000000"/>
        </w:trPr>
        <w:tc>
          <w:tcPr>
            <w:cnfStyle w:val="001000000000"/>
            <w:tcW w:w="2376" w:type="dxa"/>
          </w:tcPr>
          <w:p w:rsidRPr="00E70BEC" w:rsidR="00EF6456" w:rsidP="00781CF8" w:rsidRDefault="00EF6456">
            <w:pPr>
              <w:spacing w:after="0" w:line="240" w:lineRule="atLeast"/>
              <w:rPr>
                <w:sz w:val="16"/>
                <w:szCs w:val="16"/>
              </w:rPr>
            </w:pPr>
            <w:r w:rsidRPr="00E70BEC">
              <w:rPr>
                <w:sz w:val="16"/>
                <w:szCs w:val="16"/>
              </w:rPr>
              <w:t>Product</w:t>
            </w:r>
          </w:p>
        </w:tc>
        <w:tc>
          <w:tcPr>
            <w:tcW w:w="1701" w:type="dxa"/>
          </w:tcPr>
          <w:p w:rsidRPr="00E70BEC" w:rsidR="00EF6456" w:rsidP="00781CF8" w:rsidRDefault="00EF6456">
            <w:pPr>
              <w:spacing w:after="0" w:line="240" w:lineRule="atLeast"/>
              <w:cnfStyle w:val="100000000000"/>
              <w:rPr>
                <w:sz w:val="16"/>
                <w:szCs w:val="16"/>
              </w:rPr>
            </w:pPr>
            <w:r w:rsidRPr="00E70BEC">
              <w:rPr>
                <w:sz w:val="16"/>
                <w:szCs w:val="16"/>
              </w:rPr>
              <w:t>Accijns</w:t>
            </w:r>
          </w:p>
        </w:tc>
        <w:tc>
          <w:tcPr>
            <w:tcW w:w="1701" w:type="dxa"/>
          </w:tcPr>
          <w:p w:rsidRPr="00E70BEC" w:rsidR="00EF6456" w:rsidP="00781CF8" w:rsidRDefault="00EF6456">
            <w:pPr>
              <w:spacing w:after="0" w:line="240" w:lineRule="atLeast"/>
              <w:cnfStyle w:val="100000000000"/>
              <w:rPr>
                <w:sz w:val="16"/>
                <w:szCs w:val="16"/>
              </w:rPr>
            </w:pPr>
            <w:r w:rsidRPr="00E70BEC">
              <w:rPr>
                <w:sz w:val="16"/>
                <w:szCs w:val="16"/>
              </w:rPr>
              <w:t>EB</w:t>
            </w:r>
          </w:p>
        </w:tc>
        <w:tc>
          <w:tcPr>
            <w:tcW w:w="1560" w:type="dxa"/>
          </w:tcPr>
          <w:p w:rsidRPr="00E70BEC" w:rsidR="00EF6456" w:rsidP="00781CF8" w:rsidRDefault="00EF6456">
            <w:pPr>
              <w:spacing w:after="0" w:line="240" w:lineRule="atLeast"/>
              <w:cnfStyle w:val="100000000000"/>
              <w:rPr>
                <w:sz w:val="16"/>
                <w:szCs w:val="16"/>
              </w:rPr>
            </w:pPr>
            <w:r w:rsidRPr="00E70BEC">
              <w:rPr>
                <w:sz w:val="16"/>
                <w:szCs w:val="16"/>
              </w:rPr>
              <w:t>Tarief per liter</w:t>
            </w:r>
          </w:p>
        </w:tc>
        <w:tc>
          <w:tcPr>
            <w:tcW w:w="1950" w:type="dxa"/>
          </w:tcPr>
          <w:p w:rsidRPr="00E70BEC" w:rsidR="00EF6456" w:rsidP="00781CF8" w:rsidRDefault="00EF6456">
            <w:pPr>
              <w:spacing w:after="0" w:line="240" w:lineRule="atLeast"/>
              <w:cnfStyle w:val="100000000000"/>
              <w:rPr>
                <w:sz w:val="16"/>
                <w:szCs w:val="16"/>
              </w:rPr>
            </w:pPr>
            <w:r w:rsidRPr="00E70BEC">
              <w:rPr>
                <w:sz w:val="16"/>
                <w:szCs w:val="16"/>
              </w:rPr>
              <w:t>Tarief per megajoule</w:t>
            </w:r>
          </w:p>
        </w:tc>
      </w:tr>
      <w:tr w:rsidRPr="00E70BEC" w:rsidR="00EF6456" w:rsidTr="00E70BEC">
        <w:trPr>
          <w:cnfStyle w:val="000000100000"/>
        </w:trPr>
        <w:tc>
          <w:tcPr>
            <w:cnfStyle w:val="001000000000"/>
            <w:tcW w:w="2376" w:type="dxa"/>
          </w:tcPr>
          <w:p w:rsidRPr="00E70BEC" w:rsidR="00EF6456" w:rsidP="00781CF8" w:rsidRDefault="00EF6456">
            <w:pPr>
              <w:spacing w:after="0" w:line="240" w:lineRule="atLeast"/>
              <w:rPr>
                <w:b w:val="0"/>
                <w:sz w:val="16"/>
                <w:szCs w:val="16"/>
              </w:rPr>
            </w:pPr>
            <w:r w:rsidRPr="00E70BEC">
              <w:rPr>
                <w:b w:val="0"/>
                <w:sz w:val="16"/>
                <w:szCs w:val="16"/>
              </w:rPr>
              <w:t>LPG</w:t>
            </w:r>
          </w:p>
        </w:tc>
        <w:tc>
          <w:tcPr>
            <w:tcW w:w="1701" w:type="dxa"/>
          </w:tcPr>
          <w:p w:rsidRPr="00E70BEC" w:rsidR="00EF6456" w:rsidP="00781CF8" w:rsidRDefault="00EF6456">
            <w:pPr>
              <w:spacing w:after="0" w:line="240" w:lineRule="atLeast"/>
              <w:cnfStyle w:val="000000100000"/>
              <w:rPr>
                <w:sz w:val="16"/>
                <w:szCs w:val="16"/>
              </w:rPr>
            </w:pPr>
            <w:r w:rsidRPr="00E70BEC">
              <w:rPr>
                <w:sz w:val="16"/>
                <w:szCs w:val="16"/>
              </w:rPr>
              <w:t>€ 155,04</w:t>
            </w:r>
            <w:r w:rsidRPr="00E70BEC">
              <w:rPr>
                <w:sz w:val="16"/>
                <w:szCs w:val="16"/>
              </w:rPr>
              <w:br/>
              <w:t>per 1000 kg</w:t>
            </w:r>
          </w:p>
        </w:tc>
        <w:tc>
          <w:tcPr>
            <w:tcW w:w="1701" w:type="dxa"/>
          </w:tcPr>
          <w:p w:rsidRPr="00E70BEC" w:rsidR="00EF6456" w:rsidP="00781CF8" w:rsidRDefault="00EF6456">
            <w:pPr>
              <w:spacing w:after="0" w:line="240" w:lineRule="atLeast"/>
              <w:cnfStyle w:val="000000100000"/>
              <w:rPr>
                <w:sz w:val="16"/>
                <w:szCs w:val="16"/>
              </w:rPr>
            </w:pPr>
          </w:p>
        </w:tc>
        <w:tc>
          <w:tcPr>
            <w:tcW w:w="1560" w:type="dxa"/>
          </w:tcPr>
          <w:p w:rsidRPr="00E70BEC" w:rsidR="00EF6456" w:rsidP="00781CF8" w:rsidRDefault="00EF6456">
            <w:pPr>
              <w:spacing w:after="0" w:line="240" w:lineRule="atLeast"/>
              <w:cnfStyle w:val="000000100000"/>
              <w:rPr>
                <w:sz w:val="16"/>
                <w:szCs w:val="16"/>
              </w:rPr>
            </w:pPr>
            <w:r w:rsidRPr="00E70BEC">
              <w:rPr>
                <w:sz w:val="16"/>
                <w:szCs w:val="16"/>
              </w:rPr>
              <w:t>€ 0,084</w:t>
            </w:r>
          </w:p>
        </w:tc>
        <w:tc>
          <w:tcPr>
            <w:tcW w:w="1950" w:type="dxa"/>
          </w:tcPr>
          <w:p w:rsidRPr="00E70BEC" w:rsidR="00EF6456" w:rsidP="00781CF8" w:rsidRDefault="00EF6456">
            <w:pPr>
              <w:spacing w:after="0" w:line="240" w:lineRule="atLeast"/>
              <w:cnfStyle w:val="000000100000"/>
              <w:rPr>
                <w:sz w:val="16"/>
                <w:szCs w:val="16"/>
              </w:rPr>
            </w:pPr>
            <w:r w:rsidRPr="00E70BEC">
              <w:rPr>
                <w:sz w:val="16"/>
                <w:szCs w:val="16"/>
              </w:rPr>
              <w:t>€ 0,0031</w:t>
            </w:r>
          </w:p>
        </w:tc>
      </w:tr>
      <w:tr w:rsidRPr="00E70BEC" w:rsidR="00EF6456" w:rsidTr="00E70BEC">
        <w:tc>
          <w:tcPr>
            <w:cnfStyle w:val="001000000000"/>
            <w:tcW w:w="2376" w:type="dxa"/>
          </w:tcPr>
          <w:p w:rsidRPr="00E70BEC" w:rsidR="00EF6456" w:rsidP="00781CF8" w:rsidRDefault="00EF6456">
            <w:pPr>
              <w:spacing w:after="0" w:line="240" w:lineRule="atLeast"/>
              <w:rPr>
                <w:b w:val="0"/>
                <w:sz w:val="16"/>
                <w:szCs w:val="16"/>
              </w:rPr>
            </w:pPr>
            <w:r w:rsidRPr="00E70BEC">
              <w:rPr>
                <w:b w:val="0"/>
                <w:sz w:val="16"/>
                <w:szCs w:val="16"/>
              </w:rPr>
              <w:t>CNG, afgeleverd via CNG-vulstation</w:t>
            </w:r>
          </w:p>
        </w:tc>
        <w:tc>
          <w:tcPr>
            <w:tcW w:w="1701" w:type="dxa"/>
          </w:tcPr>
          <w:p w:rsidRPr="00E70BEC" w:rsidR="00EF6456" w:rsidP="00781CF8" w:rsidRDefault="00EF6456">
            <w:pPr>
              <w:spacing w:after="0" w:line="240" w:lineRule="atLeast"/>
              <w:cnfStyle w:val="000000000000"/>
              <w:rPr>
                <w:sz w:val="16"/>
                <w:szCs w:val="16"/>
              </w:rPr>
            </w:pPr>
          </w:p>
        </w:tc>
        <w:tc>
          <w:tcPr>
            <w:tcW w:w="1701" w:type="dxa"/>
          </w:tcPr>
          <w:p w:rsidRPr="00E70BEC" w:rsidR="00EF6456" w:rsidP="00781CF8" w:rsidRDefault="00EF6456">
            <w:pPr>
              <w:spacing w:after="0" w:line="240" w:lineRule="atLeast"/>
              <w:cnfStyle w:val="000000000000"/>
              <w:rPr>
                <w:sz w:val="16"/>
                <w:szCs w:val="16"/>
              </w:rPr>
            </w:pPr>
            <w:r w:rsidRPr="00E70BEC">
              <w:rPr>
                <w:sz w:val="16"/>
                <w:szCs w:val="16"/>
              </w:rPr>
              <w:t xml:space="preserve">€ 0,0318 </w:t>
            </w:r>
            <w:r w:rsidRPr="00E70BEC">
              <w:rPr>
                <w:sz w:val="16"/>
                <w:szCs w:val="16"/>
              </w:rPr>
              <w:br/>
              <w:t>per m</w:t>
            </w:r>
            <w:r w:rsidRPr="00E70BEC">
              <w:rPr>
                <w:sz w:val="16"/>
                <w:szCs w:val="16"/>
                <w:vertAlign w:val="superscript"/>
              </w:rPr>
              <w:t>3</w:t>
            </w:r>
            <w:r w:rsidRPr="00E70BEC">
              <w:rPr>
                <w:sz w:val="16"/>
                <w:szCs w:val="16"/>
              </w:rPr>
              <w:t xml:space="preserve"> aardgas</w:t>
            </w:r>
          </w:p>
        </w:tc>
        <w:tc>
          <w:tcPr>
            <w:tcW w:w="1560" w:type="dxa"/>
          </w:tcPr>
          <w:p w:rsidRPr="00E70BEC" w:rsidR="00EF6456" w:rsidP="00781CF8" w:rsidRDefault="00EF6456">
            <w:pPr>
              <w:spacing w:after="0" w:line="240" w:lineRule="atLeast"/>
              <w:cnfStyle w:val="000000000000"/>
              <w:rPr>
                <w:sz w:val="16"/>
                <w:szCs w:val="16"/>
              </w:rPr>
            </w:pPr>
            <w:r w:rsidRPr="00E70BEC">
              <w:rPr>
                <w:sz w:val="16"/>
                <w:szCs w:val="16"/>
              </w:rPr>
              <w:t>€ 0,006</w:t>
            </w:r>
          </w:p>
        </w:tc>
        <w:tc>
          <w:tcPr>
            <w:tcW w:w="1950" w:type="dxa"/>
          </w:tcPr>
          <w:p w:rsidRPr="00E70BEC" w:rsidR="00EF6456" w:rsidP="00781CF8" w:rsidRDefault="00EF6456">
            <w:pPr>
              <w:spacing w:after="0" w:line="240" w:lineRule="atLeast"/>
              <w:cnfStyle w:val="000000000000"/>
              <w:rPr>
                <w:sz w:val="16"/>
                <w:szCs w:val="16"/>
              </w:rPr>
            </w:pPr>
            <w:r w:rsidRPr="00E70BEC">
              <w:rPr>
                <w:sz w:val="16"/>
                <w:szCs w:val="16"/>
              </w:rPr>
              <w:t>€ 0,0009</w:t>
            </w:r>
          </w:p>
        </w:tc>
      </w:tr>
      <w:tr w:rsidRPr="00E70BEC" w:rsidR="00EF6456" w:rsidTr="00E70BEC">
        <w:trPr>
          <w:cnfStyle w:val="000000100000"/>
        </w:trPr>
        <w:tc>
          <w:tcPr>
            <w:cnfStyle w:val="001000000000"/>
            <w:tcW w:w="2376" w:type="dxa"/>
          </w:tcPr>
          <w:p w:rsidRPr="00E70BEC" w:rsidR="00EF6456" w:rsidP="00781CF8" w:rsidRDefault="00EF6456">
            <w:pPr>
              <w:spacing w:after="0" w:line="240" w:lineRule="atLeast"/>
              <w:rPr>
                <w:b w:val="0"/>
                <w:sz w:val="16"/>
                <w:szCs w:val="16"/>
              </w:rPr>
            </w:pPr>
            <w:r w:rsidRPr="00E70BEC">
              <w:rPr>
                <w:b w:val="0"/>
                <w:sz w:val="16"/>
                <w:szCs w:val="16"/>
              </w:rPr>
              <w:t>CNG, afgeleverd vanuit modules</w:t>
            </w:r>
          </w:p>
        </w:tc>
        <w:tc>
          <w:tcPr>
            <w:tcW w:w="1701" w:type="dxa"/>
          </w:tcPr>
          <w:p w:rsidRPr="00E70BEC" w:rsidR="00EF6456" w:rsidP="00781CF8" w:rsidRDefault="00EF6456">
            <w:pPr>
              <w:spacing w:after="0" w:line="240" w:lineRule="atLeast"/>
              <w:cnfStyle w:val="000000100000"/>
              <w:rPr>
                <w:sz w:val="16"/>
                <w:szCs w:val="16"/>
              </w:rPr>
            </w:pPr>
          </w:p>
        </w:tc>
        <w:tc>
          <w:tcPr>
            <w:tcW w:w="1701" w:type="dxa"/>
          </w:tcPr>
          <w:p w:rsidRPr="00E70BEC" w:rsidR="00EF6456" w:rsidP="00781CF8" w:rsidRDefault="00EF6456">
            <w:pPr>
              <w:spacing w:after="0" w:line="240" w:lineRule="atLeast"/>
              <w:cnfStyle w:val="000000100000"/>
              <w:rPr>
                <w:sz w:val="16"/>
                <w:szCs w:val="16"/>
              </w:rPr>
            </w:pPr>
            <w:r w:rsidRPr="00E70BEC">
              <w:rPr>
                <w:sz w:val="16"/>
                <w:szCs w:val="16"/>
              </w:rPr>
              <w:t xml:space="preserve">€ 0,1639 </w:t>
            </w:r>
            <w:r w:rsidRPr="00E70BEC">
              <w:rPr>
                <w:sz w:val="16"/>
                <w:szCs w:val="16"/>
              </w:rPr>
              <w:br/>
              <w:t>per m</w:t>
            </w:r>
            <w:r w:rsidRPr="00E70BEC">
              <w:rPr>
                <w:sz w:val="16"/>
                <w:szCs w:val="16"/>
                <w:vertAlign w:val="superscript"/>
              </w:rPr>
              <w:t>3</w:t>
            </w:r>
            <w:r w:rsidRPr="00E70BEC">
              <w:rPr>
                <w:sz w:val="16"/>
                <w:szCs w:val="16"/>
              </w:rPr>
              <w:t xml:space="preserve"> aardgas (eerste schijf)</w:t>
            </w:r>
          </w:p>
        </w:tc>
        <w:tc>
          <w:tcPr>
            <w:tcW w:w="1560" w:type="dxa"/>
          </w:tcPr>
          <w:p w:rsidRPr="00E70BEC" w:rsidR="00EF6456" w:rsidP="00781CF8" w:rsidRDefault="00EF6456">
            <w:pPr>
              <w:spacing w:after="0" w:line="240" w:lineRule="atLeast"/>
              <w:cnfStyle w:val="000000100000"/>
              <w:rPr>
                <w:sz w:val="16"/>
                <w:szCs w:val="16"/>
              </w:rPr>
            </w:pPr>
            <w:r w:rsidRPr="00E70BEC">
              <w:rPr>
                <w:sz w:val="16"/>
                <w:szCs w:val="16"/>
              </w:rPr>
              <w:t>€ 0,033</w:t>
            </w:r>
          </w:p>
        </w:tc>
        <w:tc>
          <w:tcPr>
            <w:tcW w:w="1950" w:type="dxa"/>
          </w:tcPr>
          <w:p w:rsidRPr="00E70BEC" w:rsidR="00EF6456" w:rsidP="00781CF8" w:rsidRDefault="00EF6456">
            <w:pPr>
              <w:spacing w:after="0" w:line="240" w:lineRule="atLeast"/>
              <w:cnfStyle w:val="000000100000"/>
              <w:rPr>
                <w:sz w:val="16"/>
                <w:szCs w:val="16"/>
              </w:rPr>
            </w:pPr>
            <w:r w:rsidRPr="00E70BEC">
              <w:rPr>
                <w:sz w:val="16"/>
                <w:szCs w:val="16"/>
              </w:rPr>
              <w:t>€ 0,0047</w:t>
            </w:r>
          </w:p>
        </w:tc>
      </w:tr>
      <w:tr w:rsidRPr="00E70BEC" w:rsidR="00EF6456" w:rsidTr="00E70BEC">
        <w:tc>
          <w:tcPr>
            <w:cnfStyle w:val="001000000000"/>
            <w:tcW w:w="2376" w:type="dxa"/>
          </w:tcPr>
          <w:p w:rsidRPr="00E70BEC" w:rsidR="00EF6456" w:rsidP="00781CF8" w:rsidRDefault="00EF6456">
            <w:pPr>
              <w:spacing w:after="0" w:line="240" w:lineRule="atLeast"/>
              <w:rPr>
                <w:b w:val="0"/>
                <w:sz w:val="16"/>
                <w:szCs w:val="16"/>
              </w:rPr>
            </w:pPr>
            <w:r w:rsidRPr="00E70BEC">
              <w:rPr>
                <w:b w:val="0"/>
                <w:sz w:val="16"/>
                <w:szCs w:val="16"/>
              </w:rPr>
              <w:t>LNG</w:t>
            </w:r>
          </w:p>
        </w:tc>
        <w:tc>
          <w:tcPr>
            <w:tcW w:w="1701" w:type="dxa"/>
          </w:tcPr>
          <w:p w:rsidRPr="00E70BEC" w:rsidR="00EF6456" w:rsidP="00781CF8" w:rsidRDefault="00EF6456">
            <w:pPr>
              <w:spacing w:after="0" w:line="240" w:lineRule="atLeast"/>
              <w:cnfStyle w:val="000000000000"/>
              <w:rPr>
                <w:sz w:val="16"/>
                <w:szCs w:val="16"/>
              </w:rPr>
            </w:pPr>
            <w:r w:rsidRPr="00E70BEC">
              <w:rPr>
                <w:sz w:val="16"/>
                <w:szCs w:val="16"/>
              </w:rPr>
              <w:t>€ 155,04</w:t>
            </w:r>
            <w:r w:rsidRPr="00E70BEC">
              <w:rPr>
                <w:sz w:val="16"/>
                <w:szCs w:val="16"/>
              </w:rPr>
              <w:br/>
              <w:t>per 1000 kg</w:t>
            </w:r>
          </w:p>
        </w:tc>
        <w:tc>
          <w:tcPr>
            <w:tcW w:w="1701" w:type="dxa"/>
          </w:tcPr>
          <w:p w:rsidRPr="00E70BEC" w:rsidR="00EF6456" w:rsidP="00781CF8" w:rsidRDefault="00EF6456">
            <w:pPr>
              <w:spacing w:after="0" w:line="240" w:lineRule="atLeast"/>
              <w:cnfStyle w:val="000000000000"/>
              <w:rPr>
                <w:sz w:val="16"/>
                <w:szCs w:val="16"/>
              </w:rPr>
            </w:pPr>
          </w:p>
        </w:tc>
        <w:tc>
          <w:tcPr>
            <w:tcW w:w="1560" w:type="dxa"/>
          </w:tcPr>
          <w:p w:rsidRPr="00E70BEC" w:rsidR="00EF6456" w:rsidP="00781CF8" w:rsidRDefault="00EF6456">
            <w:pPr>
              <w:spacing w:after="0" w:line="240" w:lineRule="atLeast"/>
              <w:cnfStyle w:val="000000000000"/>
              <w:rPr>
                <w:sz w:val="16"/>
                <w:szCs w:val="16"/>
              </w:rPr>
            </w:pPr>
            <w:r w:rsidRPr="00E70BEC">
              <w:rPr>
                <w:sz w:val="16"/>
                <w:szCs w:val="16"/>
              </w:rPr>
              <w:t>€ 0,065</w:t>
            </w:r>
          </w:p>
        </w:tc>
        <w:tc>
          <w:tcPr>
            <w:tcW w:w="1950" w:type="dxa"/>
          </w:tcPr>
          <w:p w:rsidRPr="00E70BEC" w:rsidR="00EF6456" w:rsidP="00781CF8" w:rsidRDefault="00EF6456">
            <w:pPr>
              <w:spacing w:after="0" w:line="240" w:lineRule="atLeast"/>
              <w:cnfStyle w:val="000000000000"/>
              <w:rPr>
                <w:sz w:val="16"/>
                <w:szCs w:val="16"/>
              </w:rPr>
            </w:pPr>
            <w:r w:rsidRPr="00E70BEC">
              <w:rPr>
                <w:sz w:val="16"/>
                <w:szCs w:val="16"/>
              </w:rPr>
              <w:t>€ 0,0026</w:t>
            </w:r>
          </w:p>
        </w:tc>
      </w:tr>
      <w:tr w:rsidRPr="00E70BEC" w:rsidR="00EF6456" w:rsidTr="00E70BEC">
        <w:trPr>
          <w:cnfStyle w:val="000000100000"/>
        </w:trPr>
        <w:tc>
          <w:tcPr>
            <w:cnfStyle w:val="001000000000"/>
            <w:tcW w:w="2376" w:type="dxa"/>
          </w:tcPr>
          <w:p w:rsidRPr="00E70BEC" w:rsidR="00EF6456" w:rsidP="00781CF8" w:rsidRDefault="00EF6456">
            <w:pPr>
              <w:spacing w:after="0" w:line="240" w:lineRule="atLeast"/>
              <w:rPr>
                <w:b w:val="0"/>
                <w:sz w:val="16"/>
                <w:szCs w:val="16"/>
              </w:rPr>
            </w:pPr>
            <w:r w:rsidRPr="00E70BEC">
              <w:rPr>
                <w:b w:val="0"/>
                <w:sz w:val="16"/>
                <w:szCs w:val="16"/>
              </w:rPr>
              <w:t>Vloeibaar gemaakt methaan</w:t>
            </w:r>
          </w:p>
        </w:tc>
        <w:tc>
          <w:tcPr>
            <w:tcW w:w="1701" w:type="dxa"/>
          </w:tcPr>
          <w:p w:rsidRPr="00E70BEC" w:rsidR="00EF6456" w:rsidP="00781CF8" w:rsidRDefault="00EF6456">
            <w:pPr>
              <w:spacing w:after="0" w:line="240" w:lineRule="atLeast"/>
              <w:cnfStyle w:val="000000100000"/>
              <w:rPr>
                <w:sz w:val="16"/>
                <w:szCs w:val="16"/>
              </w:rPr>
            </w:pPr>
            <w:r w:rsidRPr="00E70BEC">
              <w:rPr>
                <w:sz w:val="16"/>
                <w:szCs w:val="16"/>
              </w:rPr>
              <w:t>€ 155,04</w:t>
            </w:r>
            <w:r w:rsidRPr="00E70BEC">
              <w:rPr>
                <w:sz w:val="16"/>
                <w:szCs w:val="16"/>
              </w:rPr>
              <w:br/>
              <w:t>per 1000 kg</w:t>
            </w:r>
          </w:p>
        </w:tc>
        <w:tc>
          <w:tcPr>
            <w:tcW w:w="1701" w:type="dxa"/>
          </w:tcPr>
          <w:p w:rsidRPr="00E70BEC" w:rsidR="00EF6456" w:rsidP="00781CF8" w:rsidRDefault="00EF6456">
            <w:pPr>
              <w:spacing w:after="0" w:line="240" w:lineRule="atLeast"/>
              <w:cnfStyle w:val="000000100000"/>
              <w:rPr>
                <w:sz w:val="16"/>
                <w:szCs w:val="16"/>
              </w:rPr>
            </w:pPr>
          </w:p>
        </w:tc>
        <w:tc>
          <w:tcPr>
            <w:tcW w:w="1560" w:type="dxa"/>
          </w:tcPr>
          <w:p w:rsidRPr="00E70BEC" w:rsidR="00EF6456" w:rsidP="00781CF8" w:rsidRDefault="00EF6456">
            <w:pPr>
              <w:spacing w:after="0" w:line="240" w:lineRule="atLeast"/>
              <w:cnfStyle w:val="000000100000"/>
              <w:rPr>
                <w:sz w:val="16"/>
                <w:szCs w:val="16"/>
              </w:rPr>
            </w:pPr>
            <w:r w:rsidRPr="00E70BEC">
              <w:rPr>
                <w:sz w:val="16"/>
                <w:szCs w:val="16"/>
              </w:rPr>
              <w:t>€ 0,065</w:t>
            </w:r>
          </w:p>
        </w:tc>
        <w:tc>
          <w:tcPr>
            <w:tcW w:w="1950" w:type="dxa"/>
          </w:tcPr>
          <w:p w:rsidRPr="00E70BEC" w:rsidR="00EF6456" w:rsidP="00781CF8" w:rsidRDefault="00EF6456">
            <w:pPr>
              <w:spacing w:after="0" w:line="240" w:lineRule="atLeast"/>
              <w:cnfStyle w:val="000000100000"/>
              <w:rPr>
                <w:sz w:val="16"/>
                <w:szCs w:val="16"/>
              </w:rPr>
            </w:pPr>
            <w:r w:rsidRPr="00E70BEC">
              <w:rPr>
                <w:sz w:val="16"/>
                <w:szCs w:val="16"/>
              </w:rPr>
              <w:t>€ 0,0027</w:t>
            </w:r>
          </w:p>
        </w:tc>
      </w:tr>
    </w:tbl>
    <w:p w:rsidRPr="00892E75" w:rsidR="00EF6456" w:rsidP="00781CF8" w:rsidRDefault="00EF6456">
      <w:pPr>
        <w:spacing w:after="0" w:line="240" w:lineRule="atLeast"/>
        <w:rPr>
          <w:sz w:val="18"/>
          <w:szCs w:val="18"/>
        </w:rPr>
      </w:pPr>
      <w:r w:rsidRPr="00892E75">
        <w:rPr>
          <w:sz w:val="18"/>
          <w:szCs w:val="18"/>
        </w:rPr>
        <w:lastRenderedPageBreak/>
        <w:br/>
        <w:t>LNG en vloeibaar gemaakt methaan worden belast naar het tarief van LPG.</w:t>
      </w:r>
      <w:r w:rsidR="00FF1539">
        <w:rPr>
          <w:rStyle w:val="Voetnootmarkering"/>
          <w:sz w:val="18"/>
          <w:szCs w:val="18"/>
        </w:rPr>
        <w:footnoteReference w:id="18"/>
      </w:r>
      <w:r w:rsidRPr="00892E75">
        <w:rPr>
          <w:sz w:val="18"/>
          <w:szCs w:val="18"/>
        </w:rPr>
        <w:t xml:space="preserve"> </w:t>
      </w:r>
    </w:p>
    <w:p w:rsidRPr="00892E75" w:rsidR="00EF6456" w:rsidP="00781CF8" w:rsidRDefault="00EF6456">
      <w:pPr>
        <w:spacing w:after="0" w:line="240" w:lineRule="atLeast"/>
        <w:rPr>
          <w:i/>
          <w:sz w:val="18"/>
          <w:szCs w:val="18"/>
        </w:rPr>
      </w:pPr>
    </w:p>
    <w:p w:rsidRPr="00FB22B0" w:rsidR="00EF6456" w:rsidP="00781CF8" w:rsidRDefault="00EF6456">
      <w:pPr>
        <w:pStyle w:val="Kop2"/>
        <w:spacing w:before="0"/>
        <w:rPr>
          <w:rFonts w:ascii="Verdana" w:hAnsi="Verdana"/>
          <w:color w:val="auto"/>
          <w:sz w:val="18"/>
          <w:szCs w:val="18"/>
        </w:rPr>
      </w:pPr>
      <w:bookmarkStart w:name="_Toc292977507" w:id="42"/>
      <w:bookmarkStart w:name="_Toc293998547" w:id="43"/>
      <w:r>
        <w:rPr>
          <w:rFonts w:ascii="Verdana" w:hAnsi="Verdana"/>
          <w:color w:val="auto"/>
          <w:sz w:val="18"/>
          <w:szCs w:val="18"/>
        </w:rPr>
        <w:t>5</w:t>
      </w:r>
      <w:r w:rsidRPr="00FB22B0">
        <w:rPr>
          <w:rFonts w:ascii="Verdana" w:hAnsi="Verdana"/>
          <w:color w:val="auto"/>
          <w:sz w:val="18"/>
          <w:szCs w:val="18"/>
        </w:rPr>
        <w:t>.</w:t>
      </w:r>
      <w:r>
        <w:rPr>
          <w:rFonts w:ascii="Verdana" w:hAnsi="Verdana"/>
          <w:color w:val="auto"/>
          <w:sz w:val="18"/>
          <w:szCs w:val="18"/>
        </w:rPr>
        <w:t>2</w:t>
      </w:r>
      <w:r w:rsidRPr="00FB22B0">
        <w:rPr>
          <w:rFonts w:ascii="Verdana" w:hAnsi="Verdana"/>
          <w:color w:val="auto"/>
          <w:sz w:val="18"/>
          <w:szCs w:val="18"/>
        </w:rPr>
        <w:t xml:space="preserve"> Vergelijking brandstoffen</w:t>
      </w:r>
      <w:bookmarkEnd w:id="42"/>
      <w:bookmarkEnd w:id="43"/>
    </w:p>
    <w:p w:rsidR="00A25291" w:rsidP="00BD5FCA" w:rsidRDefault="00EF6456">
      <w:pPr>
        <w:spacing w:after="0" w:line="240" w:lineRule="atLeast"/>
        <w:rPr>
          <w:sz w:val="18"/>
          <w:szCs w:val="18"/>
        </w:rPr>
      </w:pPr>
      <w:r w:rsidRPr="00892E75">
        <w:rPr>
          <w:sz w:val="18"/>
          <w:szCs w:val="18"/>
        </w:rPr>
        <w:t>Ten opzichte van benzine en diesel zijn gassen zeer la</w:t>
      </w:r>
      <w:r w:rsidRPr="00AD1DAA">
        <w:rPr>
          <w:sz w:val="18"/>
          <w:szCs w:val="18"/>
        </w:rPr>
        <w:t xml:space="preserve">ag belast </w:t>
      </w:r>
      <w:r w:rsidRPr="00AD1DAA" w:rsidR="00FF1539">
        <w:rPr>
          <w:sz w:val="18"/>
          <w:szCs w:val="18"/>
        </w:rPr>
        <w:t xml:space="preserve">in </w:t>
      </w:r>
      <w:r w:rsidRPr="00AD1DAA">
        <w:rPr>
          <w:sz w:val="18"/>
          <w:szCs w:val="18"/>
        </w:rPr>
        <w:t xml:space="preserve">de accijns of EB. In tabel </w:t>
      </w:r>
      <w:r w:rsidRPr="00AD1DAA" w:rsidR="00995684">
        <w:rPr>
          <w:sz w:val="18"/>
          <w:szCs w:val="18"/>
        </w:rPr>
        <w:t>1</w:t>
      </w:r>
      <w:r w:rsidRPr="00AD1DAA" w:rsidR="00E94975">
        <w:rPr>
          <w:sz w:val="18"/>
          <w:szCs w:val="18"/>
        </w:rPr>
        <w:t>4</w:t>
      </w:r>
      <w:r w:rsidRPr="00892E75">
        <w:rPr>
          <w:sz w:val="18"/>
          <w:szCs w:val="18"/>
        </w:rPr>
        <w:t xml:space="preserve"> worden de diverse brandstoffen vergeleken, waarbij de tarieven (basis 1-1-2011) zijn omgerekend naar een tarief per liter en tevens is aangegeven wat het tarief bedraagt per megajoule.</w:t>
      </w:r>
    </w:p>
    <w:p w:rsidR="00BD5FCA" w:rsidP="00BD5FCA" w:rsidRDefault="00BD5FCA">
      <w:pPr>
        <w:spacing w:after="0" w:line="240" w:lineRule="atLeast"/>
        <w:rPr>
          <w:sz w:val="18"/>
          <w:szCs w:val="18"/>
        </w:rPr>
      </w:pPr>
    </w:p>
    <w:p w:rsidR="00BD5FCA" w:rsidP="00BD5FCA" w:rsidRDefault="00AD0D4E">
      <w:pPr>
        <w:spacing w:after="0"/>
        <w:rPr>
          <w:sz w:val="18"/>
          <w:szCs w:val="18"/>
        </w:rPr>
      </w:pPr>
      <w:r>
        <w:rPr>
          <w:b/>
          <w:i/>
          <w:sz w:val="16"/>
          <w:szCs w:val="16"/>
        </w:rPr>
        <w:t>Tabel 1</w:t>
      </w:r>
      <w:r w:rsidR="00E94975">
        <w:rPr>
          <w:b/>
          <w:i/>
          <w:sz w:val="16"/>
          <w:szCs w:val="16"/>
        </w:rPr>
        <w:t>4</w:t>
      </w:r>
      <w:r>
        <w:rPr>
          <w:b/>
          <w:i/>
          <w:sz w:val="16"/>
          <w:szCs w:val="16"/>
        </w:rPr>
        <w:t xml:space="preserve">: </w:t>
      </w:r>
      <w:r w:rsidRPr="00E70BEC" w:rsidR="00BD5FCA">
        <w:rPr>
          <w:b/>
          <w:i/>
          <w:sz w:val="16"/>
          <w:szCs w:val="16"/>
        </w:rPr>
        <w:t>Overzicht tarieven gasvormige brandstoffen</w:t>
      </w:r>
      <w:r w:rsidR="00BD5FCA">
        <w:rPr>
          <w:b/>
          <w:i/>
          <w:sz w:val="16"/>
          <w:szCs w:val="16"/>
        </w:rPr>
        <w:t xml:space="preserve"> per megajoule</w:t>
      </w:r>
    </w:p>
    <w:tbl>
      <w:tblPr>
        <w:tblStyle w:val="Lichtearcering5"/>
        <w:tblW w:w="0" w:type="auto"/>
        <w:tblLook w:val="04A0"/>
      </w:tblPr>
      <w:tblGrid>
        <w:gridCol w:w="2802"/>
        <w:gridCol w:w="1804"/>
        <w:gridCol w:w="2303"/>
        <w:gridCol w:w="2303"/>
      </w:tblGrid>
      <w:tr w:rsidRPr="00157A57" w:rsidR="00BD5FCA" w:rsidTr="00BD5FCA">
        <w:trPr>
          <w:cnfStyle w:val="100000000000"/>
        </w:trPr>
        <w:tc>
          <w:tcPr>
            <w:cnfStyle w:val="001000000000"/>
            <w:tcW w:w="2802" w:type="dxa"/>
          </w:tcPr>
          <w:p w:rsidRPr="00157A57" w:rsidR="00BD5FCA" w:rsidP="00BD5FCA" w:rsidRDefault="00BD5FCA">
            <w:pPr>
              <w:spacing w:after="0" w:line="240" w:lineRule="atLeast"/>
              <w:rPr>
                <w:sz w:val="18"/>
                <w:szCs w:val="18"/>
              </w:rPr>
            </w:pPr>
            <w:r w:rsidRPr="00157A57">
              <w:rPr>
                <w:sz w:val="18"/>
                <w:szCs w:val="18"/>
              </w:rPr>
              <w:t>Product</w:t>
            </w:r>
          </w:p>
        </w:tc>
        <w:tc>
          <w:tcPr>
            <w:tcW w:w="1804" w:type="dxa"/>
          </w:tcPr>
          <w:p w:rsidRPr="00157A57" w:rsidR="00BD5FCA" w:rsidP="00BD5FCA" w:rsidRDefault="00BD5FCA">
            <w:pPr>
              <w:spacing w:after="0" w:line="240" w:lineRule="atLeast"/>
              <w:cnfStyle w:val="100000000000"/>
              <w:rPr>
                <w:sz w:val="18"/>
                <w:szCs w:val="18"/>
              </w:rPr>
            </w:pPr>
            <w:r w:rsidRPr="00157A57">
              <w:rPr>
                <w:sz w:val="18"/>
                <w:szCs w:val="18"/>
              </w:rPr>
              <w:t>Accijns of EB per liter</w:t>
            </w:r>
          </w:p>
        </w:tc>
        <w:tc>
          <w:tcPr>
            <w:tcW w:w="2303" w:type="dxa"/>
          </w:tcPr>
          <w:p w:rsidRPr="00157A57" w:rsidR="00BD5FCA" w:rsidP="00BD5FCA" w:rsidRDefault="00BD5FCA">
            <w:pPr>
              <w:spacing w:after="0" w:line="240" w:lineRule="atLeast"/>
              <w:cnfStyle w:val="100000000000"/>
              <w:rPr>
                <w:sz w:val="18"/>
                <w:szCs w:val="18"/>
              </w:rPr>
            </w:pPr>
            <w:r w:rsidRPr="00157A57">
              <w:rPr>
                <w:sz w:val="18"/>
                <w:szCs w:val="18"/>
              </w:rPr>
              <w:t>Tarief</w:t>
            </w:r>
            <w:r w:rsidR="00CD72C3">
              <w:rPr>
                <w:sz w:val="18"/>
                <w:szCs w:val="18"/>
              </w:rPr>
              <w:t xml:space="preserve"> </w:t>
            </w:r>
            <w:r w:rsidRPr="00157A57">
              <w:rPr>
                <w:sz w:val="18"/>
                <w:szCs w:val="18"/>
              </w:rPr>
              <w:t>per megajoule</w:t>
            </w:r>
          </w:p>
        </w:tc>
        <w:tc>
          <w:tcPr>
            <w:tcW w:w="2303" w:type="dxa"/>
          </w:tcPr>
          <w:p w:rsidRPr="00157A57" w:rsidR="00BD5FCA" w:rsidP="00BD5FCA" w:rsidRDefault="00BD5FCA">
            <w:pPr>
              <w:spacing w:after="0" w:line="240" w:lineRule="atLeast"/>
              <w:cnfStyle w:val="100000000000"/>
              <w:rPr>
                <w:sz w:val="18"/>
                <w:szCs w:val="18"/>
              </w:rPr>
            </w:pPr>
            <w:r w:rsidRPr="00157A57">
              <w:rPr>
                <w:sz w:val="18"/>
                <w:szCs w:val="18"/>
              </w:rPr>
              <w:t>Verhouding t.o.v. benzine</w:t>
            </w:r>
          </w:p>
        </w:tc>
      </w:tr>
      <w:tr w:rsidRPr="00157A57" w:rsidR="00BD5FCA" w:rsidTr="00BD5FCA">
        <w:trPr>
          <w:cnfStyle w:val="000000100000"/>
        </w:trPr>
        <w:tc>
          <w:tcPr>
            <w:cnfStyle w:val="001000000000"/>
            <w:tcW w:w="2802" w:type="dxa"/>
            <w:vAlign w:val="bottom"/>
          </w:tcPr>
          <w:p w:rsidRPr="00157A57" w:rsidR="00BD5FCA" w:rsidP="00BD5FCA" w:rsidRDefault="00BD5FCA">
            <w:pPr>
              <w:spacing w:after="0" w:line="240" w:lineRule="atLeast"/>
              <w:rPr>
                <w:b w:val="0"/>
                <w:sz w:val="18"/>
                <w:szCs w:val="18"/>
              </w:rPr>
            </w:pPr>
            <w:r w:rsidRPr="00157A57">
              <w:rPr>
                <w:b w:val="0"/>
                <w:sz w:val="18"/>
                <w:szCs w:val="18"/>
              </w:rPr>
              <w:t>Benzine (ongelood)</w:t>
            </w:r>
          </w:p>
        </w:tc>
        <w:tc>
          <w:tcPr>
            <w:tcW w:w="1804" w:type="dxa"/>
            <w:vAlign w:val="bottom"/>
          </w:tcPr>
          <w:p w:rsidR="00BD5FCA" w:rsidP="00BD5FCA" w:rsidRDefault="00BD5FCA">
            <w:pPr>
              <w:spacing w:after="0" w:line="240" w:lineRule="atLeast"/>
              <w:cnfStyle w:val="000000100000"/>
              <w:rPr>
                <w:sz w:val="18"/>
                <w:szCs w:val="18"/>
              </w:rPr>
            </w:pPr>
            <w:r w:rsidRPr="00892E75">
              <w:rPr>
                <w:sz w:val="18"/>
                <w:szCs w:val="18"/>
              </w:rPr>
              <w:t>€ 0,718</w:t>
            </w:r>
          </w:p>
        </w:tc>
        <w:tc>
          <w:tcPr>
            <w:tcW w:w="2303" w:type="dxa"/>
            <w:vAlign w:val="bottom"/>
          </w:tcPr>
          <w:p w:rsidR="00BD5FCA" w:rsidP="00BD5FCA" w:rsidRDefault="00BD5FCA">
            <w:pPr>
              <w:spacing w:after="0" w:line="240" w:lineRule="atLeast"/>
              <w:cnfStyle w:val="000000100000"/>
              <w:rPr>
                <w:sz w:val="18"/>
                <w:szCs w:val="18"/>
              </w:rPr>
            </w:pPr>
            <w:r w:rsidRPr="00892E75">
              <w:rPr>
                <w:sz w:val="18"/>
                <w:szCs w:val="18"/>
              </w:rPr>
              <w:t>€ 0,0224</w:t>
            </w:r>
          </w:p>
        </w:tc>
        <w:tc>
          <w:tcPr>
            <w:tcW w:w="2303" w:type="dxa"/>
            <w:vAlign w:val="bottom"/>
          </w:tcPr>
          <w:p w:rsidR="00BD5FCA" w:rsidP="00BD5FCA" w:rsidRDefault="00BD5FCA">
            <w:pPr>
              <w:spacing w:after="0" w:line="240" w:lineRule="atLeast"/>
              <w:cnfStyle w:val="000000100000"/>
              <w:rPr>
                <w:sz w:val="18"/>
                <w:szCs w:val="18"/>
              </w:rPr>
            </w:pPr>
            <w:r w:rsidRPr="00892E75">
              <w:rPr>
                <w:sz w:val="18"/>
                <w:szCs w:val="18"/>
              </w:rPr>
              <w:t>100%</w:t>
            </w:r>
          </w:p>
        </w:tc>
      </w:tr>
      <w:tr w:rsidRPr="00157A57" w:rsidR="00BD5FCA" w:rsidTr="00BD5FCA">
        <w:tc>
          <w:tcPr>
            <w:cnfStyle w:val="001000000000"/>
            <w:tcW w:w="2802" w:type="dxa"/>
            <w:vAlign w:val="bottom"/>
          </w:tcPr>
          <w:p w:rsidRPr="00157A57" w:rsidR="00BD5FCA" w:rsidP="00BD5FCA" w:rsidRDefault="00BD5FCA">
            <w:pPr>
              <w:spacing w:after="0" w:line="240" w:lineRule="atLeast"/>
              <w:rPr>
                <w:b w:val="0"/>
                <w:sz w:val="18"/>
                <w:szCs w:val="18"/>
              </w:rPr>
            </w:pPr>
            <w:r w:rsidRPr="00157A57">
              <w:rPr>
                <w:b w:val="0"/>
                <w:sz w:val="18"/>
                <w:szCs w:val="18"/>
              </w:rPr>
              <w:t>Diesel (zwavelvrij)</w:t>
            </w:r>
          </w:p>
        </w:tc>
        <w:tc>
          <w:tcPr>
            <w:tcW w:w="1804" w:type="dxa"/>
            <w:vAlign w:val="bottom"/>
          </w:tcPr>
          <w:p w:rsidR="00BD5FCA" w:rsidP="00BD5FCA" w:rsidRDefault="00BD5FCA">
            <w:pPr>
              <w:spacing w:after="0" w:line="240" w:lineRule="atLeast"/>
              <w:cnfStyle w:val="000000000000"/>
              <w:rPr>
                <w:sz w:val="18"/>
                <w:szCs w:val="18"/>
              </w:rPr>
            </w:pPr>
            <w:r w:rsidRPr="00892E75">
              <w:rPr>
                <w:sz w:val="18"/>
                <w:szCs w:val="18"/>
              </w:rPr>
              <w:t>€ 0,424</w:t>
            </w:r>
          </w:p>
        </w:tc>
        <w:tc>
          <w:tcPr>
            <w:tcW w:w="2303" w:type="dxa"/>
            <w:vAlign w:val="bottom"/>
          </w:tcPr>
          <w:p w:rsidR="00BD5FCA" w:rsidP="00BD5FCA" w:rsidRDefault="00BD5FCA">
            <w:pPr>
              <w:spacing w:after="0" w:line="240" w:lineRule="atLeast"/>
              <w:cnfStyle w:val="000000000000"/>
              <w:rPr>
                <w:sz w:val="18"/>
                <w:szCs w:val="18"/>
              </w:rPr>
            </w:pPr>
            <w:r w:rsidRPr="00892E75">
              <w:rPr>
                <w:sz w:val="18"/>
                <w:szCs w:val="18"/>
              </w:rPr>
              <w:t>€ 0,0118</w:t>
            </w:r>
          </w:p>
        </w:tc>
        <w:tc>
          <w:tcPr>
            <w:tcW w:w="2303" w:type="dxa"/>
            <w:vAlign w:val="bottom"/>
          </w:tcPr>
          <w:p w:rsidR="00BD5FCA" w:rsidP="00BD5FCA" w:rsidRDefault="00BD5FCA">
            <w:pPr>
              <w:spacing w:after="0" w:line="240" w:lineRule="atLeast"/>
              <w:cnfStyle w:val="000000000000"/>
              <w:rPr>
                <w:sz w:val="18"/>
                <w:szCs w:val="18"/>
              </w:rPr>
            </w:pPr>
            <w:r w:rsidRPr="00892E75">
              <w:rPr>
                <w:sz w:val="18"/>
                <w:szCs w:val="18"/>
              </w:rPr>
              <w:t>53%</w:t>
            </w:r>
          </w:p>
        </w:tc>
      </w:tr>
      <w:tr w:rsidRPr="00157A57" w:rsidR="00BD5FCA" w:rsidTr="00BD5FCA">
        <w:trPr>
          <w:cnfStyle w:val="000000100000"/>
        </w:trPr>
        <w:tc>
          <w:tcPr>
            <w:cnfStyle w:val="001000000000"/>
            <w:tcW w:w="2802" w:type="dxa"/>
            <w:vAlign w:val="bottom"/>
          </w:tcPr>
          <w:p w:rsidRPr="00157A57" w:rsidR="00BD5FCA" w:rsidP="00BD5FCA" w:rsidRDefault="00BD5FCA">
            <w:pPr>
              <w:spacing w:after="0" w:line="240" w:lineRule="atLeast"/>
              <w:rPr>
                <w:b w:val="0"/>
                <w:sz w:val="18"/>
                <w:szCs w:val="18"/>
              </w:rPr>
            </w:pPr>
            <w:r w:rsidRPr="00157A57">
              <w:rPr>
                <w:b w:val="0"/>
                <w:sz w:val="18"/>
                <w:szCs w:val="18"/>
              </w:rPr>
              <w:t>LPG</w:t>
            </w:r>
          </w:p>
        </w:tc>
        <w:tc>
          <w:tcPr>
            <w:tcW w:w="1804" w:type="dxa"/>
            <w:vAlign w:val="bottom"/>
          </w:tcPr>
          <w:p w:rsidR="00BD5FCA" w:rsidP="00BD5FCA" w:rsidRDefault="00BD5FCA">
            <w:pPr>
              <w:spacing w:after="0" w:line="240" w:lineRule="atLeast"/>
              <w:cnfStyle w:val="000000100000"/>
              <w:rPr>
                <w:sz w:val="18"/>
                <w:szCs w:val="18"/>
              </w:rPr>
            </w:pPr>
            <w:r w:rsidRPr="00892E75">
              <w:rPr>
                <w:sz w:val="18"/>
                <w:szCs w:val="18"/>
              </w:rPr>
              <w:t>€ 0,084</w:t>
            </w:r>
          </w:p>
        </w:tc>
        <w:tc>
          <w:tcPr>
            <w:tcW w:w="2303" w:type="dxa"/>
            <w:vAlign w:val="bottom"/>
          </w:tcPr>
          <w:p w:rsidR="00BD5FCA" w:rsidP="00BD5FCA" w:rsidRDefault="00BD5FCA">
            <w:pPr>
              <w:spacing w:after="0" w:line="240" w:lineRule="atLeast"/>
              <w:cnfStyle w:val="000000100000"/>
              <w:rPr>
                <w:sz w:val="18"/>
                <w:szCs w:val="18"/>
              </w:rPr>
            </w:pPr>
            <w:r w:rsidRPr="00892E75">
              <w:rPr>
                <w:sz w:val="18"/>
                <w:szCs w:val="18"/>
              </w:rPr>
              <w:t>€ 0,0031</w:t>
            </w:r>
          </w:p>
        </w:tc>
        <w:tc>
          <w:tcPr>
            <w:tcW w:w="2303" w:type="dxa"/>
            <w:vAlign w:val="bottom"/>
          </w:tcPr>
          <w:p w:rsidR="00BD5FCA" w:rsidP="00BD5FCA" w:rsidRDefault="00BD5FCA">
            <w:pPr>
              <w:spacing w:after="0" w:line="240" w:lineRule="atLeast"/>
              <w:cnfStyle w:val="000000100000"/>
              <w:rPr>
                <w:sz w:val="18"/>
                <w:szCs w:val="18"/>
              </w:rPr>
            </w:pPr>
            <w:r w:rsidRPr="00892E75">
              <w:rPr>
                <w:sz w:val="18"/>
                <w:szCs w:val="18"/>
              </w:rPr>
              <w:t>14%</w:t>
            </w:r>
          </w:p>
        </w:tc>
      </w:tr>
      <w:tr w:rsidRPr="00157A57" w:rsidR="00BD5FCA" w:rsidTr="00BD5FCA">
        <w:tc>
          <w:tcPr>
            <w:cnfStyle w:val="001000000000"/>
            <w:tcW w:w="2802" w:type="dxa"/>
            <w:vAlign w:val="bottom"/>
          </w:tcPr>
          <w:p w:rsidRPr="00157A57" w:rsidR="00BD5FCA" w:rsidP="00BD5FCA" w:rsidRDefault="00BD5FCA">
            <w:pPr>
              <w:spacing w:after="0" w:line="240" w:lineRule="atLeast"/>
              <w:rPr>
                <w:b w:val="0"/>
                <w:sz w:val="18"/>
                <w:szCs w:val="18"/>
              </w:rPr>
            </w:pPr>
            <w:r w:rsidRPr="00157A57">
              <w:rPr>
                <w:b w:val="0"/>
                <w:sz w:val="18"/>
                <w:szCs w:val="18"/>
              </w:rPr>
              <w:t>Aardgas (als CNG afgeleverd via CNG-vulstation)</w:t>
            </w:r>
          </w:p>
        </w:tc>
        <w:tc>
          <w:tcPr>
            <w:tcW w:w="1804" w:type="dxa"/>
            <w:vAlign w:val="bottom"/>
          </w:tcPr>
          <w:p w:rsidR="00BD5FCA" w:rsidP="00BD5FCA" w:rsidRDefault="00BD5FCA">
            <w:pPr>
              <w:spacing w:after="0" w:line="240" w:lineRule="atLeast"/>
              <w:cnfStyle w:val="000000000000"/>
              <w:rPr>
                <w:sz w:val="18"/>
                <w:szCs w:val="18"/>
              </w:rPr>
            </w:pPr>
            <w:r w:rsidRPr="00892E75">
              <w:rPr>
                <w:sz w:val="18"/>
                <w:szCs w:val="18"/>
              </w:rPr>
              <w:t>€ 0,006</w:t>
            </w:r>
          </w:p>
        </w:tc>
        <w:tc>
          <w:tcPr>
            <w:tcW w:w="2303" w:type="dxa"/>
            <w:vAlign w:val="bottom"/>
          </w:tcPr>
          <w:p w:rsidR="00BD5FCA" w:rsidP="00BD5FCA" w:rsidRDefault="00BD5FCA">
            <w:pPr>
              <w:spacing w:after="0" w:line="240" w:lineRule="atLeast"/>
              <w:cnfStyle w:val="000000000000"/>
              <w:rPr>
                <w:sz w:val="18"/>
                <w:szCs w:val="18"/>
              </w:rPr>
            </w:pPr>
            <w:r w:rsidRPr="00892E75">
              <w:rPr>
                <w:sz w:val="18"/>
                <w:szCs w:val="18"/>
              </w:rPr>
              <w:t>€ 0,0009</w:t>
            </w:r>
          </w:p>
        </w:tc>
        <w:tc>
          <w:tcPr>
            <w:tcW w:w="2303" w:type="dxa"/>
            <w:vAlign w:val="bottom"/>
          </w:tcPr>
          <w:p w:rsidR="00BD5FCA" w:rsidP="00BD5FCA" w:rsidRDefault="00BD5FCA">
            <w:pPr>
              <w:spacing w:after="0" w:line="240" w:lineRule="atLeast"/>
              <w:cnfStyle w:val="000000000000"/>
              <w:rPr>
                <w:sz w:val="18"/>
                <w:szCs w:val="18"/>
              </w:rPr>
            </w:pPr>
            <w:r w:rsidRPr="00892E75">
              <w:rPr>
                <w:sz w:val="18"/>
                <w:szCs w:val="18"/>
              </w:rPr>
              <w:t>4%</w:t>
            </w:r>
          </w:p>
        </w:tc>
      </w:tr>
      <w:tr w:rsidRPr="00157A57" w:rsidR="00BD5FCA" w:rsidTr="00BD5FCA">
        <w:trPr>
          <w:cnfStyle w:val="000000100000"/>
        </w:trPr>
        <w:tc>
          <w:tcPr>
            <w:cnfStyle w:val="001000000000"/>
            <w:tcW w:w="2802" w:type="dxa"/>
            <w:vAlign w:val="bottom"/>
          </w:tcPr>
          <w:p w:rsidRPr="00157A57" w:rsidR="00BD5FCA" w:rsidP="00BD5FCA" w:rsidRDefault="00BD5FCA">
            <w:pPr>
              <w:spacing w:after="0" w:line="240" w:lineRule="atLeast"/>
              <w:rPr>
                <w:b w:val="0"/>
                <w:sz w:val="18"/>
                <w:szCs w:val="18"/>
              </w:rPr>
            </w:pPr>
            <w:r w:rsidRPr="00157A57">
              <w:rPr>
                <w:b w:val="0"/>
                <w:sz w:val="18"/>
                <w:szCs w:val="18"/>
              </w:rPr>
              <w:t>Aardgas (als CNG afgeleverd via modules)</w:t>
            </w:r>
          </w:p>
        </w:tc>
        <w:tc>
          <w:tcPr>
            <w:tcW w:w="1804" w:type="dxa"/>
            <w:vAlign w:val="bottom"/>
          </w:tcPr>
          <w:p w:rsidR="00BD5FCA" w:rsidP="00BD5FCA" w:rsidRDefault="00BD5FCA">
            <w:pPr>
              <w:spacing w:after="0" w:line="240" w:lineRule="atLeast"/>
              <w:cnfStyle w:val="000000100000"/>
              <w:rPr>
                <w:sz w:val="18"/>
                <w:szCs w:val="18"/>
              </w:rPr>
            </w:pPr>
            <w:r w:rsidRPr="00892E75">
              <w:rPr>
                <w:sz w:val="18"/>
                <w:szCs w:val="18"/>
              </w:rPr>
              <w:t>€ 0,033</w:t>
            </w:r>
          </w:p>
        </w:tc>
        <w:tc>
          <w:tcPr>
            <w:tcW w:w="2303" w:type="dxa"/>
            <w:vAlign w:val="bottom"/>
          </w:tcPr>
          <w:p w:rsidR="00BD5FCA" w:rsidP="00BD5FCA" w:rsidRDefault="00BD5FCA">
            <w:pPr>
              <w:spacing w:after="0" w:line="240" w:lineRule="atLeast"/>
              <w:cnfStyle w:val="000000100000"/>
              <w:rPr>
                <w:sz w:val="18"/>
                <w:szCs w:val="18"/>
              </w:rPr>
            </w:pPr>
            <w:r w:rsidRPr="00892E75">
              <w:rPr>
                <w:sz w:val="18"/>
                <w:szCs w:val="18"/>
              </w:rPr>
              <w:t>€ 0,0047</w:t>
            </w:r>
          </w:p>
        </w:tc>
        <w:tc>
          <w:tcPr>
            <w:tcW w:w="2303" w:type="dxa"/>
            <w:vAlign w:val="bottom"/>
          </w:tcPr>
          <w:p w:rsidR="00BD5FCA" w:rsidP="00BD5FCA" w:rsidRDefault="00BD5FCA">
            <w:pPr>
              <w:spacing w:after="0" w:line="240" w:lineRule="atLeast"/>
              <w:cnfStyle w:val="000000100000"/>
              <w:rPr>
                <w:sz w:val="18"/>
                <w:szCs w:val="18"/>
              </w:rPr>
            </w:pPr>
            <w:r w:rsidRPr="00892E75">
              <w:rPr>
                <w:sz w:val="18"/>
                <w:szCs w:val="18"/>
              </w:rPr>
              <w:t>21%</w:t>
            </w:r>
          </w:p>
        </w:tc>
      </w:tr>
      <w:tr w:rsidRPr="00157A57" w:rsidR="00BD5FCA" w:rsidTr="00BD5FCA">
        <w:tc>
          <w:tcPr>
            <w:cnfStyle w:val="001000000000"/>
            <w:tcW w:w="2802" w:type="dxa"/>
            <w:vAlign w:val="bottom"/>
          </w:tcPr>
          <w:p w:rsidRPr="00157A57" w:rsidR="00BD5FCA" w:rsidP="00BD5FCA" w:rsidRDefault="00BD5FCA">
            <w:pPr>
              <w:spacing w:after="0" w:line="240" w:lineRule="atLeast"/>
              <w:rPr>
                <w:b w:val="0"/>
                <w:sz w:val="18"/>
                <w:szCs w:val="18"/>
              </w:rPr>
            </w:pPr>
            <w:r w:rsidRPr="00157A57">
              <w:rPr>
                <w:b w:val="0"/>
                <w:sz w:val="18"/>
                <w:szCs w:val="18"/>
              </w:rPr>
              <w:t>LNG</w:t>
            </w:r>
          </w:p>
        </w:tc>
        <w:tc>
          <w:tcPr>
            <w:tcW w:w="1804" w:type="dxa"/>
            <w:vAlign w:val="bottom"/>
          </w:tcPr>
          <w:p w:rsidR="00BD5FCA" w:rsidP="00BD5FCA" w:rsidRDefault="00BD5FCA">
            <w:pPr>
              <w:spacing w:after="0" w:line="240" w:lineRule="atLeast"/>
              <w:cnfStyle w:val="000000000000"/>
              <w:rPr>
                <w:sz w:val="18"/>
                <w:szCs w:val="18"/>
              </w:rPr>
            </w:pPr>
            <w:r w:rsidRPr="00892E75">
              <w:rPr>
                <w:sz w:val="18"/>
                <w:szCs w:val="18"/>
              </w:rPr>
              <w:t>€ 0,065</w:t>
            </w:r>
          </w:p>
        </w:tc>
        <w:tc>
          <w:tcPr>
            <w:tcW w:w="2303" w:type="dxa"/>
            <w:vAlign w:val="bottom"/>
          </w:tcPr>
          <w:p w:rsidR="00BD5FCA" w:rsidP="00BD5FCA" w:rsidRDefault="00BD5FCA">
            <w:pPr>
              <w:spacing w:after="0" w:line="240" w:lineRule="atLeast"/>
              <w:cnfStyle w:val="000000000000"/>
              <w:rPr>
                <w:sz w:val="18"/>
                <w:szCs w:val="18"/>
              </w:rPr>
            </w:pPr>
            <w:r w:rsidRPr="00892E75">
              <w:rPr>
                <w:sz w:val="18"/>
                <w:szCs w:val="18"/>
              </w:rPr>
              <w:t>€ 0,0026</w:t>
            </w:r>
          </w:p>
        </w:tc>
        <w:tc>
          <w:tcPr>
            <w:tcW w:w="2303" w:type="dxa"/>
            <w:vAlign w:val="bottom"/>
          </w:tcPr>
          <w:p w:rsidR="00BD5FCA" w:rsidP="00BD5FCA" w:rsidRDefault="00BD5FCA">
            <w:pPr>
              <w:spacing w:after="0" w:line="240" w:lineRule="atLeast"/>
              <w:cnfStyle w:val="000000000000"/>
              <w:rPr>
                <w:sz w:val="18"/>
                <w:szCs w:val="18"/>
              </w:rPr>
            </w:pPr>
            <w:r w:rsidRPr="00892E75">
              <w:rPr>
                <w:sz w:val="18"/>
                <w:szCs w:val="18"/>
              </w:rPr>
              <w:t>12%</w:t>
            </w:r>
          </w:p>
        </w:tc>
      </w:tr>
      <w:tr w:rsidRPr="00157A57" w:rsidR="00BD5FCA" w:rsidTr="00BD5FCA">
        <w:trPr>
          <w:cnfStyle w:val="000000100000"/>
        </w:trPr>
        <w:tc>
          <w:tcPr>
            <w:cnfStyle w:val="001000000000"/>
            <w:tcW w:w="2802" w:type="dxa"/>
            <w:vAlign w:val="bottom"/>
          </w:tcPr>
          <w:p w:rsidRPr="00157A57" w:rsidR="00BD5FCA" w:rsidP="00BD5FCA" w:rsidRDefault="00BD5FCA">
            <w:pPr>
              <w:spacing w:after="0" w:line="240" w:lineRule="atLeast"/>
              <w:rPr>
                <w:b w:val="0"/>
                <w:sz w:val="18"/>
                <w:szCs w:val="18"/>
              </w:rPr>
            </w:pPr>
            <w:r w:rsidRPr="00157A57">
              <w:rPr>
                <w:b w:val="0"/>
                <w:sz w:val="18"/>
                <w:szCs w:val="18"/>
              </w:rPr>
              <w:t>Vloeibaar gemaakt methaan</w:t>
            </w:r>
          </w:p>
        </w:tc>
        <w:tc>
          <w:tcPr>
            <w:tcW w:w="1804" w:type="dxa"/>
            <w:vAlign w:val="bottom"/>
          </w:tcPr>
          <w:p w:rsidR="00BD5FCA" w:rsidP="00BD5FCA" w:rsidRDefault="00BD5FCA">
            <w:pPr>
              <w:spacing w:after="0" w:line="240" w:lineRule="atLeast"/>
              <w:cnfStyle w:val="000000100000"/>
              <w:rPr>
                <w:sz w:val="18"/>
                <w:szCs w:val="18"/>
              </w:rPr>
            </w:pPr>
            <w:r w:rsidRPr="00892E75">
              <w:rPr>
                <w:sz w:val="18"/>
                <w:szCs w:val="18"/>
              </w:rPr>
              <w:t>€ 0,065</w:t>
            </w:r>
          </w:p>
        </w:tc>
        <w:tc>
          <w:tcPr>
            <w:tcW w:w="2303" w:type="dxa"/>
            <w:vAlign w:val="bottom"/>
          </w:tcPr>
          <w:p w:rsidR="00BD5FCA" w:rsidP="00BD5FCA" w:rsidRDefault="00BD5FCA">
            <w:pPr>
              <w:spacing w:after="0" w:line="240" w:lineRule="atLeast"/>
              <w:cnfStyle w:val="000000100000"/>
              <w:rPr>
                <w:sz w:val="18"/>
                <w:szCs w:val="18"/>
              </w:rPr>
            </w:pPr>
            <w:r w:rsidRPr="00892E75">
              <w:rPr>
                <w:sz w:val="18"/>
                <w:szCs w:val="18"/>
              </w:rPr>
              <w:t>€ 0,0027</w:t>
            </w:r>
          </w:p>
        </w:tc>
        <w:tc>
          <w:tcPr>
            <w:tcW w:w="2303" w:type="dxa"/>
            <w:vAlign w:val="bottom"/>
          </w:tcPr>
          <w:p w:rsidR="00BD5FCA" w:rsidP="00BD5FCA" w:rsidRDefault="00BD5FCA">
            <w:pPr>
              <w:spacing w:after="0" w:line="240" w:lineRule="atLeast"/>
              <w:cnfStyle w:val="000000100000"/>
              <w:rPr>
                <w:sz w:val="18"/>
                <w:szCs w:val="18"/>
              </w:rPr>
            </w:pPr>
            <w:r w:rsidRPr="00892E75">
              <w:rPr>
                <w:sz w:val="18"/>
                <w:szCs w:val="18"/>
              </w:rPr>
              <w:t>12%</w:t>
            </w:r>
          </w:p>
        </w:tc>
      </w:tr>
    </w:tbl>
    <w:p w:rsidRPr="008E71DA" w:rsidR="00BD5FCA" w:rsidP="00BD5FCA" w:rsidRDefault="00BD5FCA">
      <w:pPr>
        <w:spacing w:after="0"/>
        <w:rPr>
          <w:sz w:val="18"/>
          <w:szCs w:val="18"/>
        </w:rPr>
      </w:pPr>
    </w:p>
    <w:p w:rsidRPr="00892E75" w:rsidR="00EF6456" w:rsidP="00781CF8" w:rsidRDefault="00EF6456">
      <w:pPr>
        <w:spacing w:after="0" w:line="240" w:lineRule="atLeast"/>
        <w:rPr>
          <w:sz w:val="18"/>
          <w:szCs w:val="18"/>
        </w:rPr>
      </w:pPr>
      <w:r w:rsidRPr="00892E75">
        <w:rPr>
          <w:sz w:val="18"/>
          <w:szCs w:val="18"/>
        </w:rPr>
        <w:t xml:space="preserve">Uit het overzicht blijkt dat LNG en LPG, rekening houdend met de energie-inhoud, ongeveer drie keer zo zwaar </w:t>
      </w:r>
      <w:r>
        <w:rPr>
          <w:sz w:val="18"/>
          <w:szCs w:val="18"/>
        </w:rPr>
        <w:t>worden</w:t>
      </w:r>
      <w:r w:rsidRPr="00892E75">
        <w:rPr>
          <w:sz w:val="18"/>
          <w:szCs w:val="18"/>
        </w:rPr>
        <w:t xml:space="preserve"> belast als CNG vanuit het aardgasnet</w:t>
      </w:r>
      <w:r w:rsidR="009D05CB">
        <w:rPr>
          <w:sz w:val="18"/>
          <w:szCs w:val="18"/>
        </w:rPr>
        <w:t>,</w:t>
      </w:r>
      <w:r w:rsidRPr="00892E75">
        <w:rPr>
          <w:sz w:val="18"/>
          <w:szCs w:val="18"/>
        </w:rPr>
        <w:t xml:space="preserve"> maar ongeveer vier keer lichter worden belast dan diesel.</w:t>
      </w:r>
    </w:p>
    <w:p w:rsidR="00EF6456" w:rsidP="00781CF8" w:rsidRDefault="00EF6456">
      <w:pPr>
        <w:spacing w:after="0" w:line="240" w:lineRule="atLeast"/>
        <w:rPr>
          <w:sz w:val="18"/>
          <w:szCs w:val="18"/>
        </w:rPr>
      </w:pPr>
    </w:p>
    <w:p w:rsidRPr="00025143" w:rsidR="00EF6456" w:rsidDel="00D22F27" w:rsidP="00781CF8" w:rsidRDefault="00EF6456">
      <w:pPr>
        <w:spacing w:after="0" w:line="240" w:lineRule="atLeast"/>
        <w:rPr>
          <w:sz w:val="18"/>
          <w:szCs w:val="18"/>
        </w:rPr>
      </w:pPr>
      <w:r w:rsidRPr="00892E75">
        <w:rPr>
          <w:sz w:val="18"/>
          <w:szCs w:val="18"/>
        </w:rPr>
        <w:t>Het lager belasten van gasvormige brandstoffen wordt veelal gemotiveerd vanuit milieuoverwegingen. Omdat er steeds schonere benzine- en dieselmotoren komen, is dit deels achterhaald. LPG heeft een iets lagere CO</w:t>
      </w:r>
      <w:r w:rsidRPr="00892E75">
        <w:rPr>
          <w:sz w:val="18"/>
          <w:szCs w:val="18"/>
          <w:vertAlign w:val="subscript"/>
        </w:rPr>
        <w:t>2</w:t>
      </w:r>
      <w:r w:rsidRPr="00892E75">
        <w:rPr>
          <w:sz w:val="18"/>
          <w:szCs w:val="18"/>
        </w:rPr>
        <w:t xml:space="preserve">-uitstoot dan benzine maar een wat hogere dan diesel. Daarnaast is de uitstoot van NOx </w:t>
      </w:r>
      <w:r>
        <w:rPr>
          <w:sz w:val="18"/>
          <w:szCs w:val="18"/>
        </w:rPr>
        <w:t>hoger dan die van benzine maar lager dan die van diesel. De uitstoot van</w:t>
      </w:r>
      <w:r w:rsidRPr="00892E75">
        <w:rPr>
          <w:sz w:val="18"/>
          <w:szCs w:val="18"/>
        </w:rPr>
        <w:t xml:space="preserve"> fijnstof </w:t>
      </w:r>
      <w:r>
        <w:rPr>
          <w:sz w:val="18"/>
          <w:szCs w:val="18"/>
        </w:rPr>
        <w:t>is vergelijkbaar met</w:t>
      </w:r>
      <w:r w:rsidRPr="00892E75">
        <w:rPr>
          <w:sz w:val="18"/>
          <w:szCs w:val="18"/>
        </w:rPr>
        <w:t xml:space="preserve"> die van </w:t>
      </w:r>
      <w:r>
        <w:rPr>
          <w:sz w:val="18"/>
          <w:szCs w:val="18"/>
        </w:rPr>
        <w:t xml:space="preserve">moderne </w:t>
      </w:r>
      <w:r w:rsidRPr="00892E75">
        <w:rPr>
          <w:sz w:val="18"/>
          <w:szCs w:val="18"/>
        </w:rPr>
        <w:t>benzine</w:t>
      </w:r>
      <w:r>
        <w:rPr>
          <w:sz w:val="18"/>
          <w:szCs w:val="18"/>
        </w:rPr>
        <w:t>-</w:t>
      </w:r>
      <w:r w:rsidRPr="00892E75">
        <w:rPr>
          <w:sz w:val="18"/>
          <w:szCs w:val="18"/>
        </w:rPr>
        <w:t xml:space="preserve"> en diesel</w:t>
      </w:r>
      <w:r>
        <w:rPr>
          <w:sz w:val="18"/>
          <w:szCs w:val="18"/>
        </w:rPr>
        <w:t>auto’s</w:t>
      </w:r>
      <w:r w:rsidRPr="00892E75">
        <w:rPr>
          <w:sz w:val="18"/>
          <w:szCs w:val="18"/>
        </w:rPr>
        <w:t>. Ook aardgas (CNG en LNG) heeft maar een beperkt lagere CO</w:t>
      </w:r>
      <w:r w:rsidRPr="00892E75">
        <w:rPr>
          <w:sz w:val="18"/>
          <w:szCs w:val="18"/>
          <w:vertAlign w:val="subscript"/>
        </w:rPr>
        <w:t>2</w:t>
      </w:r>
      <w:r w:rsidRPr="00892E75">
        <w:rPr>
          <w:sz w:val="18"/>
          <w:szCs w:val="18"/>
        </w:rPr>
        <w:t xml:space="preserve">-uitstoot dan benzine of diesel </w:t>
      </w:r>
      <w:r>
        <w:rPr>
          <w:sz w:val="18"/>
          <w:szCs w:val="18"/>
        </w:rPr>
        <w:t xml:space="preserve">en een </w:t>
      </w:r>
      <w:r w:rsidRPr="00892E75">
        <w:rPr>
          <w:sz w:val="18"/>
          <w:szCs w:val="18"/>
        </w:rPr>
        <w:t>uitstoot van NOx en fijnstof</w:t>
      </w:r>
      <w:r>
        <w:rPr>
          <w:sz w:val="18"/>
          <w:szCs w:val="18"/>
        </w:rPr>
        <w:t xml:space="preserve"> vergelijkbaar met die van benzine</w:t>
      </w:r>
      <w:r w:rsidRPr="00892E75">
        <w:rPr>
          <w:sz w:val="18"/>
          <w:szCs w:val="18"/>
        </w:rPr>
        <w:t xml:space="preserve">. </w:t>
      </w:r>
      <w:r w:rsidRPr="00025143">
        <w:rPr>
          <w:sz w:val="18"/>
          <w:szCs w:val="18"/>
        </w:rPr>
        <w:t xml:space="preserve">Vanuit milieuoverwegingen is er dan ook steeds minder reden om de zeer lage accijns- en EB-tarieven op gassen te handhaven. </w:t>
      </w:r>
    </w:p>
    <w:p w:rsidR="00EF6456" w:rsidP="00781CF8" w:rsidRDefault="00EF6456">
      <w:pPr>
        <w:spacing w:after="0" w:line="240" w:lineRule="atLeast"/>
        <w:rPr>
          <w:sz w:val="18"/>
          <w:szCs w:val="18"/>
        </w:rPr>
      </w:pPr>
      <w:r w:rsidRPr="00025143">
        <w:rPr>
          <w:sz w:val="18"/>
          <w:szCs w:val="18"/>
        </w:rPr>
        <w:t xml:space="preserve">Regelmatig hebben marktpartijen verzocht om de gassen wat betreft hoogte van het tarief op vergelijkbare wijze te belasten. Door de huidige ongelijkheid worden ontwikkelingen zoals het gebruik van LNG, vloeibaar gemaakt methaan en CNG vanuit modules tegengehouden gezien het zeer lage tarief van CNG dat wordt afgeleverd vanuit het aardgasnet. Daarbij speelt mee dat </w:t>
      </w:r>
      <w:r>
        <w:rPr>
          <w:sz w:val="18"/>
          <w:szCs w:val="18"/>
        </w:rPr>
        <w:t>voor</w:t>
      </w:r>
      <w:r w:rsidRPr="00025143">
        <w:rPr>
          <w:sz w:val="18"/>
          <w:szCs w:val="18"/>
        </w:rPr>
        <w:t xml:space="preserve"> brandstoffen die met accijns zijn belast naast accijns </w:t>
      </w:r>
      <w:r>
        <w:rPr>
          <w:sz w:val="18"/>
          <w:szCs w:val="18"/>
        </w:rPr>
        <w:t>ook</w:t>
      </w:r>
      <w:r w:rsidR="00C147C7">
        <w:rPr>
          <w:sz w:val="18"/>
          <w:szCs w:val="18"/>
        </w:rPr>
        <w:t xml:space="preserve"> </w:t>
      </w:r>
      <w:r w:rsidR="00FF1539">
        <w:rPr>
          <w:sz w:val="18"/>
          <w:szCs w:val="18"/>
        </w:rPr>
        <w:t>een bedrag van</w:t>
      </w:r>
      <w:r>
        <w:rPr>
          <w:sz w:val="18"/>
          <w:szCs w:val="18"/>
        </w:rPr>
        <w:t xml:space="preserve"> </w:t>
      </w:r>
      <w:r w:rsidRPr="00025143">
        <w:rPr>
          <w:sz w:val="18"/>
          <w:szCs w:val="18"/>
        </w:rPr>
        <w:t xml:space="preserve">€ 5,90 per 1000 liter of kg verschuldigd </w:t>
      </w:r>
      <w:r>
        <w:rPr>
          <w:sz w:val="18"/>
          <w:szCs w:val="18"/>
        </w:rPr>
        <w:t xml:space="preserve">is </w:t>
      </w:r>
      <w:r w:rsidRPr="00025143">
        <w:rPr>
          <w:sz w:val="18"/>
          <w:szCs w:val="18"/>
        </w:rPr>
        <w:t>op grond van de Wet voorraadvorming aardolieproducten. Deze heffing is niet verschuldigd voor CNG</w:t>
      </w:r>
      <w:r>
        <w:rPr>
          <w:sz w:val="18"/>
          <w:szCs w:val="18"/>
        </w:rPr>
        <w:t xml:space="preserve"> dat wordt afgeleverd vanuit het aardgasnet</w:t>
      </w:r>
      <w:r w:rsidRPr="00025143">
        <w:rPr>
          <w:sz w:val="18"/>
          <w:szCs w:val="18"/>
        </w:rPr>
        <w:t xml:space="preserve">. Hierdoor wordt het onderlinge verschil </w:t>
      </w:r>
      <w:r>
        <w:rPr>
          <w:sz w:val="18"/>
          <w:szCs w:val="18"/>
        </w:rPr>
        <w:t>verder vergroot</w:t>
      </w:r>
      <w:r w:rsidRPr="00025143">
        <w:rPr>
          <w:sz w:val="18"/>
          <w:szCs w:val="18"/>
        </w:rPr>
        <w:t>.</w:t>
      </w:r>
    </w:p>
    <w:p w:rsidR="00781CF8" w:rsidP="00781CF8" w:rsidRDefault="00781CF8">
      <w:pPr>
        <w:pStyle w:val="Kop3"/>
        <w:spacing w:before="0"/>
        <w:rPr>
          <w:rFonts w:ascii="Verdana" w:hAnsi="Verdana"/>
          <w:b w:val="0"/>
          <w:i/>
          <w:color w:val="auto"/>
          <w:sz w:val="18"/>
          <w:szCs w:val="18"/>
        </w:rPr>
      </w:pPr>
      <w:bookmarkStart w:name="_Toc292977508" w:id="44"/>
    </w:p>
    <w:p w:rsidRPr="00D52F35" w:rsidR="00EF6456" w:rsidP="00781CF8" w:rsidRDefault="00EF6456">
      <w:pPr>
        <w:pStyle w:val="Kop3"/>
        <w:spacing w:before="0"/>
        <w:rPr>
          <w:rFonts w:ascii="Verdana" w:hAnsi="Verdana"/>
          <w:b w:val="0"/>
          <w:i/>
          <w:color w:val="auto"/>
          <w:sz w:val="18"/>
          <w:szCs w:val="18"/>
        </w:rPr>
      </w:pPr>
      <w:bookmarkStart w:name="_Toc293998548" w:id="45"/>
      <w:r w:rsidRPr="00D52F35">
        <w:rPr>
          <w:rFonts w:ascii="Verdana" w:hAnsi="Verdana"/>
          <w:b w:val="0"/>
          <w:i/>
          <w:color w:val="auto"/>
          <w:sz w:val="18"/>
          <w:szCs w:val="18"/>
        </w:rPr>
        <w:t>5.2.1.</w:t>
      </w:r>
      <w:r w:rsidRPr="00D52F35">
        <w:rPr>
          <w:rFonts w:ascii="Verdana" w:hAnsi="Verdana" w:eastAsia="Calibri" w:cs="Times New Roman"/>
          <w:b w:val="0"/>
          <w:i/>
          <w:color w:val="auto"/>
          <w:sz w:val="18"/>
          <w:szCs w:val="18"/>
        </w:rPr>
        <w:t xml:space="preserve"> </w:t>
      </w:r>
      <w:r>
        <w:rPr>
          <w:rFonts w:ascii="Verdana" w:hAnsi="Verdana"/>
          <w:b w:val="0"/>
          <w:i/>
          <w:color w:val="auto"/>
          <w:sz w:val="18"/>
          <w:szCs w:val="18"/>
        </w:rPr>
        <w:t>Aanpassing</w:t>
      </w:r>
      <w:r w:rsidRPr="00D52F35">
        <w:rPr>
          <w:rFonts w:ascii="Verdana" w:hAnsi="Verdana"/>
          <w:b w:val="0"/>
          <w:i/>
          <w:color w:val="auto"/>
          <w:sz w:val="18"/>
          <w:szCs w:val="18"/>
        </w:rPr>
        <w:t xml:space="preserve"> tarieven</w:t>
      </w:r>
      <w:bookmarkEnd w:id="44"/>
      <w:bookmarkEnd w:id="45"/>
    </w:p>
    <w:p w:rsidR="00EF6456" w:rsidP="00781CF8" w:rsidRDefault="00EF6456">
      <w:pPr>
        <w:spacing w:after="0" w:line="240" w:lineRule="atLeast"/>
        <w:rPr>
          <w:sz w:val="18"/>
          <w:szCs w:val="18"/>
        </w:rPr>
      </w:pPr>
      <w:r w:rsidRPr="00892E75">
        <w:rPr>
          <w:sz w:val="18"/>
          <w:szCs w:val="18"/>
        </w:rPr>
        <w:t>Om de ongelijke behandeling van de gassen op het gebied van accijns en EB</w:t>
      </w:r>
      <w:r>
        <w:rPr>
          <w:sz w:val="18"/>
          <w:szCs w:val="18"/>
        </w:rPr>
        <w:t xml:space="preserve"> te beperken</w:t>
      </w:r>
      <w:r w:rsidRPr="00892E75">
        <w:rPr>
          <w:sz w:val="18"/>
          <w:szCs w:val="18"/>
        </w:rPr>
        <w:t xml:space="preserve"> en marktpartijen de mogelijkheid te bieden om </w:t>
      </w:r>
      <w:r>
        <w:rPr>
          <w:sz w:val="18"/>
          <w:szCs w:val="18"/>
        </w:rPr>
        <w:t xml:space="preserve">op verschillende wijzen op de markt gebrachte </w:t>
      </w:r>
      <w:r w:rsidRPr="00892E75">
        <w:rPr>
          <w:sz w:val="18"/>
          <w:szCs w:val="18"/>
        </w:rPr>
        <w:t xml:space="preserve">gassen concurrerend te kunnen aanbieden, ben ik voornemens om de tarieven </w:t>
      </w:r>
      <w:r>
        <w:rPr>
          <w:sz w:val="18"/>
          <w:szCs w:val="18"/>
        </w:rPr>
        <w:t xml:space="preserve">voor gasvormige autobrandstoffen </w:t>
      </w:r>
      <w:r w:rsidR="00FF1539">
        <w:rPr>
          <w:sz w:val="18"/>
          <w:szCs w:val="18"/>
        </w:rPr>
        <w:t>in twee stappen, te beginnen per 1 januari 201</w:t>
      </w:r>
      <w:r w:rsidR="008F1DBE">
        <w:rPr>
          <w:sz w:val="18"/>
          <w:szCs w:val="18"/>
        </w:rPr>
        <w:t>2</w:t>
      </w:r>
      <w:r w:rsidR="00FF1539">
        <w:rPr>
          <w:sz w:val="18"/>
          <w:szCs w:val="18"/>
        </w:rPr>
        <w:t xml:space="preserve">, </w:t>
      </w:r>
      <w:r>
        <w:rPr>
          <w:sz w:val="18"/>
          <w:szCs w:val="18"/>
        </w:rPr>
        <w:t>ongeveer gelijk te trekken tot het niveau voor CNG afgeleverd in modules</w:t>
      </w:r>
      <w:r w:rsidRPr="00892E75">
        <w:rPr>
          <w:sz w:val="18"/>
          <w:szCs w:val="18"/>
        </w:rPr>
        <w:t>. In de eerste plaats betreft dit het speciale EB-tarief voor CNG dat wordt afgeleverd vanuit het aardgasnet. Mede gezien het advies van de Studiecommissie belastingstelsel</w:t>
      </w:r>
      <w:r>
        <w:rPr>
          <w:rStyle w:val="Voetnootmarkering"/>
          <w:sz w:val="18"/>
          <w:szCs w:val="18"/>
        </w:rPr>
        <w:footnoteReference w:id="19"/>
      </w:r>
      <w:r w:rsidRPr="00892E75">
        <w:rPr>
          <w:sz w:val="18"/>
          <w:szCs w:val="18"/>
        </w:rPr>
        <w:t xml:space="preserve"> ben ik </w:t>
      </w:r>
      <w:r>
        <w:rPr>
          <w:sz w:val="18"/>
          <w:szCs w:val="18"/>
        </w:rPr>
        <w:t xml:space="preserve">echter </w:t>
      </w:r>
      <w:r w:rsidRPr="00892E75">
        <w:rPr>
          <w:sz w:val="18"/>
          <w:szCs w:val="18"/>
        </w:rPr>
        <w:t xml:space="preserve">ook voornemens het tarief voor LPG en daarmee </w:t>
      </w:r>
      <w:r w:rsidRPr="00892E75">
        <w:rPr>
          <w:sz w:val="18"/>
          <w:szCs w:val="18"/>
        </w:rPr>
        <w:lastRenderedPageBreak/>
        <w:t xml:space="preserve">direct of indirect de tarieven voor LNG en vloeibaar gemaakt methaan </w:t>
      </w:r>
      <w:r>
        <w:rPr>
          <w:sz w:val="18"/>
          <w:szCs w:val="18"/>
        </w:rPr>
        <w:t>ongeveer op het niveau te brengen van CNG afgeleverd in modules</w:t>
      </w:r>
      <w:r w:rsidRPr="00892E75">
        <w:rPr>
          <w:sz w:val="18"/>
          <w:szCs w:val="18"/>
        </w:rPr>
        <w:t>. Zoals aangegeven zijn de tarieven voor de diverse gassen zeer laag ten opzichte van die van benzine en diesel zonder dat daarvoor zwaarwegende argumenten zijn.</w:t>
      </w:r>
    </w:p>
    <w:p w:rsidRPr="00892E75" w:rsidR="00EF6456" w:rsidP="00781CF8" w:rsidRDefault="00EF6456">
      <w:pPr>
        <w:spacing w:after="0" w:line="240" w:lineRule="atLeast"/>
        <w:rPr>
          <w:sz w:val="18"/>
          <w:szCs w:val="18"/>
        </w:rPr>
      </w:pPr>
    </w:p>
    <w:p w:rsidR="00EF6456" w:rsidP="00781CF8" w:rsidRDefault="00EF6456">
      <w:pPr>
        <w:spacing w:after="0" w:line="240" w:lineRule="atLeast"/>
        <w:rPr>
          <w:sz w:val="18"/>
          <w:szCs w:val="18"/>
        </w:rPr>
      </w:pPr>
      <w:r w:rsidRPr="00892E75">
        <w:rPr>
          <w:sz w:val="18"/>
          <w:szCs w:val="18"/>
        </w:rPr>
        <w:t xml:space="preserve">Wat betreft </w:t>
      </w:r>
      <w:r>
        <w:rPr>
          <w:sz w:val="18"/>
          <w:szCs w:val="18"/>
        </w:rPr>
        <w:t>het aanpassen</w:t>
      </w:r>
      <w:r w:rsidRPr="00892E75">
        <w:rPr>
          <w:sz w:val="18"/>
          <w:szCs w:val="18"/>
        </w:rPr>
        <w:t xml:space="preserve"> van de tarieven sta ik het volgende voor. Tot 1 januari 2010 was voor LPG gebruikt als motorbrandstof accijns verschuldigd terwijl voor ander gebruik </w:t>
      </w:r>
      <w:r>
        <w:rPr>
          <w:sz w:val="18"/>
          <w:szCs w:val="18"/>
        </w:rPr>
        <w:t>EB verschuldigd was. Dit andere gebruik betrof onder meer</w:t>
      </w:r>
      <w:r w:rsidRPr="00892E75">
        <w:rPr>
          <w:sz w:val="18"/>
          <w:szCs w:val="18"/>
        </w:rPr>
        <w:t xml:space="preserve"> verwarming - bijvoorbeeld </w:t>
      </w:r>
      <w:r>
        <w:rPr>
          <w:sz w:val="18"/>
          <w:szCs w:val="18"/>
        </w:rPr>
        <w:t xml:space="preserve">voor </w:t>
      </w:r>
      <w:r w:rsidRPr="00892E75">
        <w:rPr>
          <w:sz w:val="18"/>
          <w:szCs w:val="18"/>
        </w:rPr>
        <w:t xml:space="preserve">huishoudens zonder aansluiting op het aardgasnet </w:t>
      </w:r>
      <w:r>
        <w:rPr>
          <w:sz w:val="18"/>
          <w:szCs w:val="18"/>
        </w:rPr>
        <w:t>– en gebruik van producten als campinggas</w:t>
      </w:r>
      <w:r w:rsidRPr="00892E75">
        <w:rPr>
          <w:sz w:val="18"/>
          <w:szCs w:val="18"/>
        </w:rPr>
        <w:t>. Omdat het EB-tarief in de loop van de jaren boven het accijnstarief uitkwam, werd in toenemende mate misbruik geconstateerd.</w:t>
      </w:r>
      <w:r>
        <w:rPr>
          <w:sz w:val="18"/>
          <w:szCs w:val="18"/>
        </w:rPr>
        <w:t xml:space="preserve"> </w:t>
      </w:r>
      <w:r w:rsidRPr="00892E75">
        <w:rPr>
          <w:sz w:val="18"/>
          <w:szCs w:val="18"/>
        </w:rPr>
        <w:t>In 2009 bedroeg het accijnstarief € 126,07/1000 kg, terwijl het EB-tarief €</w:t>
      </w:r>
      <w:r>
        <w:rPr>
          <w:sz w:val="18"/>
          <w:szCs w:val="18"/>
        </w:rPr>
        <w:t> </w:t>
      </w:r>
      <w:r w:rsidRPr="00892E75">
        <w:rPr>
          <w:sz w:val="18"/>
          <w:szCs w:val="18"/>
        </w:rPr>
        <w:t>201,78/1000 kg was. Wegens het geconstateerde misbruik is gekozen voor een uniform tarief, ongeacht het gebruik. Met ingang van 1 januari 2010 is voor alle LPG alleen nog accijns verschuldigd tegen een uniform tarief van € 155,04 (basis 1-1-2011) per 1000 kg.</w:t>
      </w:r>
    </w:p>
    <w:p w:rsidR="00EF6456" w:rsidP="00781CF8" w:rsidRDefault="00EF6456">
      <w:pPr>
        <w:spacing w:after="0" w:line="240" w:lineRule="atLeast"/>
        <w:rPr>
          <w:sz w:val="18"/>
          <w:szCs w:val="18"/>
        </w:rPr>
      </w:pPr>
    </w:p>
    <w:p w:rsidR="00EF6456" w:rsidP="00781CF8" w:rsidRDefault="00EF6456">
      <w:pPr>
        <w:spacing w:after="0" w:line="240" w:lineRule="atLeast"/>
        <w:rPr>
          <w:sz w:val="18"/>
          <w:szCs w:val="18"/>
        </w:rPr>
      </w:pPr>
      <w:r>
        <w:rPr>
          <w:sz w:val="18"/>
          <w:szCs w:val="18"/>
        </w:rPr>
        <w:t>Aanpassing</w:t>
      </w:r>
      <w:r w:rsidRPr="00892E75">
        <w:rPr>
          <w:sz w:val="18"/>
          <w:szCs w:val="18"/>
        </w:rPr>
        <w:t xml:space="preserve"> van het huidige accijnstarief </w:t>
      </w:r>
      <w:r>
        <w:rPr>
          <w:sz w:val="18"/>
          <w:szCs w:val="18"/>
        </w:rPr>
        <w:t xml:space="preserve">betreft </w:t>
      </w:r>
      <w:r w:rsidRPr="00892E75">
        <w:rPr>
          <w:sz w:val="18"/>
          <w:szCs w:val="18"/>
        </w:rPr>
        <w:t xml:space="preserve">dus niet alleen het gebruik van LPG als autogas maar ook </w:t>
      </w:r>
      <w:r>
        <w:rPr>
          <w:sz w:val="18"/>
          <w:szCs w:val="18"/>
        </w:rPr>
        <w:t xml:space="preserve">dat </w:t>
      </w:r>
      <w:r w:rsidRPr="00892E75">
        <w:rPr>
          <w:sz w:val="18"/>
          <w:szCs w:val="18"/>
        </w:rPr>
        <w:t xml:space="preserve">voor alle andere doeleinden. Ik ben voornemens om het accijnstarief voor LPG </w:t>
      </w:r>
      <w:r w:rsidR="007F2348">
        <w:rPr>
          <w:sz w:val="18"/>
          <w:szCs w:val="18"/>
        </w:rPr>
        <w:t xml:space="preserve">stapsgewijs </w:t>
      </w:r>
      <w:r w:rsidRPr="00892E75">
        <w:rPr>
          <w:sz w:val="18"/>
          <w:szCs w:val="18"/>
        </w:rPr>
        <w:t xml:space="preserve">te verhogen met </w:t>
      </w:r>
      <w:r w:rsidR="007F2348">
        <w:rPr>
          <w:sz w:val="18"/>
          <w:szCs w:val="18"/>
        </w:rPr>
        <w:t xml:space="preserve">in totaal </w:t>
      </w:r>
      <w:r w:rsidRPr="00892E75">
        <w:rPr>
          <w:sz w:val="18"/>
          <w:szCs w:val="18"/>
        </w:rPr>
        <w:t xml:space="preserve">€ 50/1000 kg, waardoor het tarief ongeveer op het niveau komt van voorheen het EB-tarief op LPG voor onder meer verwarming, rekening houdend met inflatiecorrectie. In feite wordt zo voor dat gebruik de belastingverlaging per 1 januari 2010 weer teruggedraaid. Wat betreft het speciale EB-tarief voor CNG dat wordt afgeleverd vanuit het aardgasnet, ben ik voornemens om dit </w:t>
      </w:r>
      <w:r w:rsidR="007F2348">
        <w:rPr>
          <w:sz w:val="18"/>
          <w:szCs w:val="18"/>
        </w:rPr>
        <w:t xml:space="preserve">stapsgewijs </w:t>
      </w:r>
      <w:r w:rsidRPr="00892E75">
        <w:rPr>
          <w:sz w:val="18"/>
          <w:szCs w:val="18"/>
        </w:rPr>
        <w:t>te verhogen naar € 0,16 per Nm</w:t>
      </w:r>
      <w:r w:rsidRPr="00892E75">
        <w:rPr>
          <w:sz w:val="18"/>
          <w:szCs w:val="18"/>
          <w:vertAlign w:val="superscript"/>
        </w:rPr>
        <w:t>3</w:t>
      </w:r>
      <w:r w:rsidRPr="00892E75">
        <w:rPr>
          <w:sz w:val="18"/>
          <w:szCs w:val="18"/>
        </w:rPr>
        <w:t xml:space="preserve"> aardgas. Door deze verhoging kan CNG dat wordt afgeleverd vanuit modules concurreren met CNG dat wordt afgeleverd vanuit het aardgasnet, omdat het tarief van € 0,16 per Nm</w:t>
      </w:r>
      <w:r w:rsidRPr="00892E75">
        <w:rPr>
          <w:sz w:val="18"/>
          <w:szCs w:val="18"/>
          <w:vertAlign w:val="superscript"/>
        </w:rPr>
        <w:t>3</w:t>
      </w:r>
      <w:r w:rsidRPr="00892E75">
        <w:rPr>
          <w:sz w:val="18"/>
          <w:szCs w:val="18"/>
        </w:rPr>
        <w:t xml:space="preserve"> aardgas vrijwel overeenkomt met het tarief van de eerste schijf voor aardgas.</w:t>
      </w:r>
      <w:r>
        <w:rPr>
          <w:sz w:val="18"/>
          <w:szCs w:val="18"/>
        </w:rPr>
        <w:t xml:space="preserve"> </w:t>
      </w:r>
    </w:p>
    <w:p w:rsidRPr="00892E75" w:rsidR="00EF6456" w:rsidP="00781CF8" w:rsidRDefault="00EF6456">
      <w:pPr>
        <w:spacing w:after="0" w:line="240" w:lineRule="atLeast"/>
        <w:rPr>
          <w:sz w:val="18"/>
          <w:szCs w:val="18"/>
        </w:rPr>
      </w:pPr>
    </w:p>
    <w:p w:rsidR="00EF6456" w:rsidP="00781CF8" w:rsidRDefault="00EF6456">
      <w:pPr>
        <w:spacing w:after="0" w:line="240" w:lineRule="atLeast"/>
        <w:rPr>
          <w:sz w:val="18"/>
          <w:szCs w:val="18"/>
        </w:rPr>
      </w:pPr>
      <w:r w:rsidRPr="00892E75">
        <w:rPr>
          <w:sz w:val="18"/>
          <w:szCs w:val="18"/>
        </w:rPr>
        <w:t xml:space="preserve">Ook na </w:t>
      </w:r>
      <w:r w:rsidR="007F2348">
        <w:rPr>
          <w:sz w:val="18"/>
          <w:szCs w:val="18"/>
        </w:rPr>
        <w:t xml:space="preserve">de </w:t>
      </w:r>
      <w:r w:rsidR="00257F9F">
        <w:rPr>
          <w:sz w:val="18"/>
          <w:szCs w:val="18"/>
        </w:rPr>
        <w:t xml:space="preserve">tweede </w:t>
      </w:r>
      <w:r w:rsidR="007F2348">
        <w:rPr>
          <w:sz w:val="18"/>
          <w:szCs w:val="18"/>
        </w:rPr>
        <w:t xml:space="preserve">stapsgewijze </w:t>
      </w:r>
      <w:r>
        <w:rPr>
          <w:sz w:val="18"/>
          <w:szCs w:val="18"/>
        </w:rPr>
        <w:t>aanpassing van de tarieven</w:t>
      </w:r>
      <w:r w:rsidRPr="00892E75">
        <w:rPr>
          <w:sz w:val="18"/>
          <w:szCs w:val="18"/>
        </w:rPr>
        <w:t xml:space="preserve"> blijven gassen aanzienlijk lager belast dan benzine en diesel. </w:t>
      </w:r>
      <w:r w:rsidRPr="00AD1DAA">
        <w:rPr>
          <w:sz w:val="18"/>
          <w:szCs w:val="18"/>
        </w:rPr>
        <w:t xml:space="preserve">In tabel </w:t>
      </w:r>
      <w:r w:rsidRPr="00AD1DAA" w:rsidR="00995684">
        <w:rPr>
          <w:sz w:val="18"/>
          <w:szCs w:val="18"/>
        </w:rPr>
        <w:t>1</w:t>
      </w:r>
      <w:r w:rsidRPr="00AD1DAA" w:rsidR="00E94975">
        <w:rPr>
          <w:sz w:val="18"/>
          <w:szCs w:val="18"/>
        </w:rPr>
        <w:t>5</w:t>
      </w:r>
      <w:r w:rsidRPr="00AD1DAA">
        <w:rPr>
          <w:sz w:val="18"/>
          <w:szCs w:val="18"/>
        </w:rPr>
        <w:t xml:space="preserve"> is een en ander weergegeven, opnieuw uitgedrukt in een tarief</w:t>
      </w:r>
      <w:r w:rsidRPr="00892E75">
        <w:rPr>
          <w:sz w:val="18"/>
          <w:szCs w:val="18"/>
        </w:rPr>
        <w:t xml:space="preserve"> per megajoule voor een juiste vergelijking. In de accijnstarieven is daarbij rekening gehouden met de heffing op grond van de Wet voorraadvorming aardolieproducten (tarieven per 1-1-2011).</w:t>
      </w:r>
      <w:r w:rsidRPr="00892E75">
        <w:rPr>
          <w:sz w:val="18"/>
          <w:szCs w:val="18"/>
        </w:rPr>
        <w:br/>
      </w:r>
    </w:p>
    <w:p w:rsidRPr="00AD0D4E" w:rsidR="00BD5FCA" w:rsidP="00BD5FCA" w:rsidRDefault="00AD0D4E">
      <w:pPr>
        <w:spacing w:after="0"/>
        <w:rPr>
          <w:b/>
          <w:i/>
          <w:sz w:val="16"/>
          <w:szCs w:val="16"/>
        </w:rPr>
      </w:pPr>
      <w:r w:rsidRPr="00AD0D4E">
        <w:rPr>
          <w:b/>
          <w:i/>
          <w:sz w:val="16"/>
          <w:szCs w:val="16"/>
        </w:rPr>
        <w:t>Tabel 1</w:t>
      </w:r>
      <w:r w:rsidR="00E94975">
        <w:rPr>
          <w:b/>
          <w:i/>
          <w:sz w:val="16"/>
          <w:szCs w:val="16"/>
        </w:rPr>
        <w:t>5</w:t>
      </w:r>
      <w:r w:rsidRPr="00AD0D4E">
        <w:rPr>
          <w:b/>
          <w:i/>
          <w:sz w:val="16"/>
          <w:szCs w:val="16"/>
        </w:rPr>
        <w:t xml:space="preserve">: </w:t>
      </w:r>
      <w:r w:rsidRPr="00AD0D4E" w:rsidR="00BD5FCA">
        <w:rPr>
          <w:b/>
          <w:i/>
          <w:sz w:val="16"/>
          <w:szCs w:val="16"/>
        </w:rPr>
        <w:t xml:space="preserve">Tarieven na stapsgewijze aanpassing </w:t>
      </w:r>
    </w:p>
    <w:tbl>
      <w:tblPr>
        <w:tblStyle w:val="Lichtearcering5"/>
        <w:tblW w:w="0" w:type="auto"/>
        <w:tblLook w:val="04A0"/>
      </w:tblPr>
      <w:tblGrid>
        <w:gridCol w:w="2518"/>
        <w:gridCol w:w="2088"/>
        <w:gridCol w:w="2303"/>
        <w:gridCol w:w="2303"/>
      </w:tblGrid>
      <w:tr w:rsidRPr="00BC29E1" w:rsidR="00BD5FCA" w:rsidTr="00BD5FCA">
        <w:trPr>
          <w:cnfStyle w:val="100000000000"/>
        </w:trPr>
        <w:tc>
          <w:tcPr>
            <w:cnfStyle w:val="001000000000"/>
            <w:tcW w:w="2518" w:type="dxa"/>
          </w:tcPr>
          <w:p w:rsidRPr="00BC29E1" w:rsidR="00BD5FCA" w:rsidP="00BD5FCA" w:rsidRDefault="00BD5FCA">
            <w:pPr>
              <w:spacing w:after="0" w:line="240" w:lineRule="atLeast"/>
              <w:rPr>
                <w:sz w:val="16"/>
                <w:szCs w:val="16"/>
              </w:rPr>
            </w:pPr>
            <w:r w:rsidRPr="00BC29E1">
              <w:rPr>
                <w:sz w:val="16"/>
                <w:szCs w:val="16"/>
              </w:rPr>
              <w:t>Product</w:t>
            </w:r>
          </w:p>
        </w:tc>
        <w:tc>
          <w:tcPr>
            <w:tcW w:w="2088" w:type="dxa"/>
          </w:tcPr>
          <w:p w:rsidRPr="00BC29E1" w:rsidR="00BD5FCA" w:rsidP="00BD5FCA" w:rsidRDefault="00BD5FCA">
            <w:pPr>
              <w:spacing w:after="0" w:line="240" w:lineRule="atLeast"/>
              <w:cnfStyle w:val="100000000000"/>
              <w:rPr>
                <w:sz w:val="16"/>
                <w:szCs w:val="16"/>
              </w:rPr>
            </w:pPr>
            <w:r w:rsidRPr="00BC29E1">
              <w:rPr>
                <w:sz w:val="16"/>
                <w:szCs w:val="16"/>
              </w:rPr>
              <w:t>Accijns of EB per liter</w:t>
            </w:r>
          </w:p>
        </w:tc>
        <w:tc>
          <w:tcPr>
            <w:tcW w:w="2303" w:type="dxa"/>
          </w:tcPr>
          <w:p w:rsidRPr="00BC29E1" w:rsidR="00BD5FCA" w:rsidP="00BD5FCA" w:rsidRDefault="00BD5FCA">
            <w:pPr>
              <w:spacing w:after="0" w:line="240" w:lineRule="atLeast"/>
              <w:cnfStyle w:val="100000000000"/>
              <w:rPr>
                <w:sz w:val="16"/>
                <w:szCs w:val="16"/>
              </w:rPr>
            </w:pPr>
            <w:r w:rsidRPr="00BC29E1">
              <w:rPr>
                <w:sz w:val="16"/>
                <w:szCs w:val="16"/>
              </w:rPr>
              <w:t>Tarief per megajoule</w:t>
            </w:r>
          </w:p>
        </w:tc>
        <w:tc>
          <w:tcPr>
            <w:tcW w:w="2303" w:type="dxa"/>
          </w:tcPr>
          <w:p w:rsidRPr="00BC29E1" w:rsidR="00BD5FCA" w:rsidP="00BD5FCA" w:rsidRDefault="00BD5FCA">
            <w:pPr>
              <w:spacing w:after="0" w:line="240" w:lineRule="atLeast"/>
              <w:cnfStyle w:val="100000000000"/>
              <w:rPr>
                <w:sz w:val="16"/>
                <w:szCs w:val="16"/>
              </w:rPr>
            </w:pPr>
            <w:r w:rsidRPr="00BC29E1">
              <w:rPr>
                <w:sz w:val="16"/>
                <w:szCs w:val="16"/>
              </w:rPr>
              <w:t>Verhouding t.o.v. benzine</w:t>
            </w:r>
          </w:p>
        </w:tc>
      </w:tr>
      <w:tr w:rsidRPr="00BC29E1" w:rsidR="00BD5FCA" w:rsidTr="00BD5FCA">
        <w:trPr>
          <w:cnfStyle w:val="000000100000"/>
        </w:trPr>
        <w:tc>
          <w:tcPr>
            <w:cnfStyle w:val="001000000000"/>
            <w:tcW w:w="2518" w:type="dxa"/>
            <w:vAlign w:val="bottom"/>
          </w:tcPr>
          <w:p w:rsidRPr="00BC29E1" w:rsidR="00BD5FCA" w:rsidP="00BD5FCA" w:rsidRDefault="00BD5FCA">
            <w:pPr>
              <w:spacing w:after="0" w:line="240" w:lineRule="atLeast"/>
              <w:rPr>
                <w:b w:val="0"/>
                <w:sz w:val="16"/>
                <w:szCs w:val="16"/>
              </w:rPr>
            </w:pPr>
            <w:r w:rsidRPr="00BC29E1">
              <w:rPr>
                <w:b w:val="0"/>
                <w:sz w:val="16"/>
                <w:szCs w:val="16"/>
              </w:rPr>
              <w:t>Benzine (ongelood)</w:t>
            </w:r>
          </w:p>
        </w:tc>
        <w:tc>
          <w:tcPr>
            <w:tcW w:w="2088" w:type="dxa"/>
            <w:vAlign w:val="bottom"/>
          </w:tcPr>
          <w:p w:rsidRPr="00BC29E1" w:rsidR="00BD5FCA" w:rsidP="00BD5FCA" w:rsidRDefault="00BD5FCA">
            <w:pPr>
              <w:spacing w:after="0" w:line="240" w:lineRule="atLeast"/>
              <w:cnfStyle w:val="000000100000"/>
              <w:rPr>
                <w:sz w:val="16"/>
                <w:szCs w:val="16"/>
              </w:rPr>
            </w:pPr>
            <w:r w:rsidRPr="00BC29E1">
              <w:rPr>
                <w:sz w:val="16"/>
                <w:szCs w:val="16"/>
              </w:rPr>
              <w:t>€ 0,724</w:t>
            </w:r>
          </w:p>
        </w:tc>
        <w:tc>
          <w:tcPr>
            <w:tcW w:w="2303" w:type="dxa"/>
            <w:vAlign w:val="bottom"/>
          </w:tcPr>
          <w:p w:rsidRPr="00BC29E1" w:rsidR="00BD5FCA" w:rsidP="00BD5FCA" w:rsidRDefault="00BD5FCA">
            <w:pPr>
              <w:spacing w:after="0" w:line="240" w:lineRule="atLeast"/>
              <w:cnfStyle w:val="000000100000"/>
              <w:rPr>
                <w:sz w:val="16"/>
                <w:szCs w:val="16"/>
              </w:rPr>
            </w:pPr>
            <w:r w:rsidRPr="00BC29E1">
              <w:rPr>
                <w:sz w:val="16"/>
                <w:szCs w:val="16"/>
              </w:rPr>
              <w:t>€ 0,0226</w:t>
            </w:r>
          </w:p>
        </w:tc>
        <w:tc>
          <w:tcPr>
            <w:tcW w:w="2303" w:type="dxa"/>
            <w:vAlign w:val="bottom"/>
          </w:tcPr>
          <w:p w:rsidRPr="00BC29E1" w:rsidR="00BD5FCA" w:rsidP="00BD5FCA" w:rsidRDefault="00BD5FCA">
            <w:pPr>
              <w:spacing w:after="0" w:line="240" w:lineRule="atLeast"/>
              <w:cnfStyle w:val="000000100000"/>
              <w:rPr>
                <w:sz w:val="16"/>
                <w:szCs w:val="16"/>
              </w:rPr>
            </w:pPr>
            <w:r w:rsidRPr="00BC29E1">
              <w:rPr>
                <w:sz w:val="16"/>
                <w:szCs w:val="16"/>
              </w:rPr>
              <w:t>100%</w:t>
            </w:r>
          </w:p>
        </w:tc>
      </w:tr>
      <w:tr w:rsidRPr="00BC29E1" w:rsidR="00BD5FCA" w:rsidTr="00BD5FCA">
        <w:tc>
          <w:tcPr>
            <w:cnfStyle w:val="001000000000"/>
            <w:tcW w:w="2518" w:type="dxa"/>
            <w:vAlign w:val="bottom"/>
          </w:tcPr>
          <w:p w:rsidRPr="00BC29E1" w:rsidR="00BD5FCA" w:rsidP="00BD5FCA" w:rsidRDefault="00BD5FCA">
            <w:pPr>
              <w:spacing w:after="0" w:line="240" w:lineRule="atLeast"/>
              <w:rPr>
                <w:b w:val="0"/>
                <w:sz w:val="16"/>
                <w:szCs w:val="16"/>
              </w:rPr>
            </w:pPr>
            <w:r w:rsidRPr="00BC29E1">
              <w:rPr>
                <w:b w:val="0"/>
                <w:sz w:val="16"/>
                <w:szCs w:val="16"/>
              </w:rPr>
              <w:t>Diesel (zwavelvrij)</w:t>
            </w:r>
          </w:p>
        </w:tc>
        <w:tc>
          <w:tcPr>
            <w:tcW w:w="2088" w:type="dxa"/>
            <w:vAlign w:val="bottom"/>
          </w:tcPr>
          <w:p w:rsidRPr="00BC29E1" w:rsidR="00BD5FCA" w:rsidP="00BD5FCA" w:rsidRDefault="00BD5FCA">
            <w:pPr>
              <w:spacing w:after="0" w:line="240" w:lineRule="atLeast"/>
              <w:cnfStyle w:val="000000000000"/>
              <w:rPr>
                <w:sz w:val="16"/>
                <w:szCs w:val="16"/>
              </w:rPr>
            </w:pPr>
            <w:r w:rsidRPr="00BC29E1">
              <w:rPr>
                <w:sz w:val="16"/>
                <w:szCs w:val="16"/>
              </w:rPr>
              <w:t>€ 0,430</w:t>
            </w:r>
          </w:p>
        </w:tc>
        <w:tc>
          <w:tcPr>
            <w:tcW w:w="2303" w:type="dxa"/>
            <w:vAlign w:val="bottom"/>
          </w:tcPr>
          <w:p w:rsidRPr="00BC29E1" w:rsidR="00BD5FCA" w:rsidP="00BD5FCA" w:rsidRDefault="00BD5FCA">
            <w:pPr>
              <w:spacing w:after="0" w:line="240" w:lineRule="atLeast"/>
              <w:cnfStyle w:val="000000000000"/>
              <w:rPr>
                <w:sz w:val="16"/>
                <w:szCs w:val="16"/>
              </w:rPr>
            </w:pPr>
            <w:r w:rsidRPr="00BC29E1">
              <w:rPr>
                <w:sz w:val="16"/>
                <w:szCs w:val="16"/>
              </w:rPr>
              <w:t>€ 0,0119</w:t>
            </w:r>
          </w:p>
        </w:tc>
        <w:tc>
          <w:tcPr>
            <w:tcW w:w="2303" w:type="dxa"/>
            <w:vAlign w:val="bottom"/>
          </w:tcPr>
          <w:p w:rsidRPr="00BC29E1" w:rsidR="00BD5FCA" w:rsidP="00BD5FCA" w:rsidRDefault="00BD5FCA">
            <w:pPr>
              <w:spacing w:after="0" w:line="240" w:lineRule="atLeast"/>
              <w:cnfStyle w:val="000000000000"/>
              <w:rPr>
                <w:sz w:val="16"/>
                <w:szCs w:val="16"/>
              </w:rPr>
            </w:pPr>
            <w:r w:rsidRPr="00BC29E1">
              <w:rPr>
                <w:sz w:val="16"/>
                <w:szCs w:val="16"/>
              </w:rPr>
              <w:t>53%</w:t>
            </w:r>
          </w:p>
        </w:tc>
      </w:tr>
      <w:tr w:rsidRPr="00BC29E1" w:rsidR="00BD5FCA" w:rsidTr="00BD5FCA">
        <w:trPr>
          <w:cnfStyle w:val="000000100000"/>
        </w:trPr>
        <w:tc>
          <w:tcPr>
            <w:cnfStyle w:val="001000000000"/>
            <w:tcW w:w="2518" w:type="dxa"/>
            <w:vAlign w:val="bottom"/>
          </w:tcPr>
          <w:p w:rsidRPr="00BC29E1" w:rsidR="00BD5FCA" w:rsidP="00BD5FCA" w:rsidRDefault="00BD5FCA">
            <w:pPr>
              <w:spacing w:after="0" w:line="240" w:lineRule="atLeast"/>
              <w:rPr>
                <w:b w:val="0"/>
                <w:sz w:val="16"/>
                <w:szCs w:val="16"/>
              </w:rPr>
            </w:pPr>
            <w:r w:rsidRPr="00BC29E1">
              <w:rPr>
                <w:b w:val="0"/>
                <w:sz w:val="16"/>
                <w:szCs w:val="16"/>
              </w:rPr>
              <w:t>LPG</w:t>
            </w:r>
          </w:p>
        </w:tc>
        <w:tc>
          <w:tcPr>
            <w:tcW w:w="2088" w:type="dxa"/>
            <w:vAlign w:val="bottom"/>
          </w:tcPr>
          <w:p w:rsidRPr="00BC29E1" w:rsidR="00BD5FCA" w:rsidP="00BD5FCA" w:rsidRDefault="00BD5FCA">
            <w:pPr>
              <w:spacing w:after="0" w:line="240" w:lineRule="atLeast"/>
              <w:cnfStyle w:val="000000100000"/>
              <w:rPr>
                <w:sz w:val="16"/>
                <w:szCs w:val="16"/>
              </w:rPr>
            </w:pPr>
            <w:r w:rsidRPr="00BC29E1">
              <w:rPr>
                <w:sz w:val="16"/>
                <w:szCs w:val="16"/>
              </w:rPr>
              <w:t>€ 0,113</w:t>
            </w:r>
          </w:p>
        </w:tc>
        <w:tc>
          <w:tcPr>
            <w:tcW w:w="2303" w:type="dxa"/>
            <w:vAlign w:val="bottom"/>
          </w:tcPr>
          <w:p w:rsidRPr="00BC29E1" w:rsidR="00BD5FCA" w:rsidP="00BD5FCA" w:rsidRDefault="00BD5FCA">
            <w:pPr>
              <w:spacing w:after="0" w:line="240" w:lineRule="atLeast"/>
              <w:cnfStyle w:val="000000100000"/>
              <w:rPr>
                <w:sz w:val="16"/>
                <w:szCs w:val="16"/>
              </w:rPr>
            </w:pPr>
            <w:r w:rsidRPr="00BC29E1">
              <w:rPr>
                <w:sz w:val="16"/>
                <w:szCs w:val="16"/>
              </w:rPr>
              <w:t>€ 0,0042</w:t>
            </w:r>
          </w:p>
        </w:tc>
        <w:tc>
          <w:tcPr>
            <w:tcW w:w="2303" w:type="dxa"/>
            <w:vAlign w:val="bottom"/>
          </w:tcPr>
          <w:p w:rsidRPr="00BC29E1" w:rsidR="00BD5FCA" w:rsidP="00BD5FCA" w:rsidRDefault="00BD5FCA">
            <w:pPr>
              <w:spacing w:after="0" w:line="240" w:lineRule="atLeast"/>
              <w:cnfStyle w:val="000000100000"/>
              <w:rPr>
                <w:sz w:val="16"/>
                <w:szCs w:val="16"/>
              </w:rPr>
            </w:pPr>
            <w:r w:rsidRPr="00BC29E1">
              <w:rPr>
                <w:sz w:val="16"/>
                <w:szCs w:val="16"/>
              </w:rPr>
              <w:t>19%</w:t>
            </w:r>
          </w:p>
        </w:tc>
      </w:tr>
      <w:tr w:rsidRPr="00BC29E1" w:rsidR="00BD5FCA" w:rsidTr="00BD5FCA">
        <w:tc>
          <w:tcPr>
            <w:cnfStyle w:val="001000000000"/>
            <w:tcW w:w="2518" w:type="dxa"/>
            <w:vAlign w:val="bottom"/>
          </w:tcPr>
          <w:p w:rsidRPr="00BC29E1" w:rsidR="00BD5FCA" w:rsidP="00BD5FCA" w:rsidRDefault="00BD5FCA">
            <w:pPr>
              <w:spacing w:after="0" w:line="240" w:lineRule="atLeast"/>
              <w:rPr>
                <w:b w:val="0"/>
                <w:sz w:val="16"/>
                <w:szCs w:val="16"/>
              </w:rPr>
            </w:pPr>
            <w:r w:rsidRPr="00BC29E1">
              <w:rPr>
                <w:b w:val="0"/>
                <w:sz w:val="16"/>
                <w:szCs w:val="16"/>
              </w:rPr>
              <w:t>Aardgas (als CNG afgeleverd via CNG-vulstation)</w:t>
            </w:r>
          </w:p>
        </w:tc>
        <w:tc>
          <w:tcPr>
            <w:tcW w:w="2088" w:type="dxa"/>
            <w:vAlign w:val="bottom"/>
          </w:tcPr>
          <w:p w:rsidRPr="00BC29E1" w:rsidR="00BD5FCA" w:rsidP="00BD5FCA" w:rsidRDefault="00BD5FCA">
            <w:pPr>
              <w:spacing w:after="0" w:line="240" w:lineRule="atLeast"/>
              <w:cnfStyle w:val="000000000000"/>
              <w:rPr>
                <w:sz w:val="16"/>
                <w:szCs w:val="16"/>
              </w:rPr>
            </w:pPr>
            <w:r w:rsidRPr="00BC29E1">
              <w:rPr>
                <w:sz w:val="16"/>
                <w:szCs w:val="16"/>
              </w:rPr>
              <w:t>€ 0,032</w:t>
            </w:r>
          </w:p>
        </w:tc>
        <w:tc>
          <w:tcPr>
            <w:tcW w:w="2303" w:type="dxa"/>
            <w:vAlign w:val="bottom"/>
          </w:tcPr>
          <w:p w:rsidRPr="00BC29E1" w:rsidR="00BD5FCA" w:rsidP="00BD5FCA" w:rsidRDefault="00BD5FCA">
            <w:pPr>
              <w:spacing w:after="0" w:line="240" w:lineRule="atLeast"/>
              <w:cnfStyle w:val="000000000000"/>
              <w:rPr>
                <w:sz w:val="16"/>
                <w:szCs w:val="16"/>
              </w:rPr>
            </w:pPr>
            <w:r w:rsidRPr="00BC29E1">
              <w:rPr>
                <w:sz w:val="16"/>
                <w:szCs w:val="16"/>
              </w:rPr>
              <w:t>€ 0,0046</w:t>
            </w:r>
          </w:p>
        </w:tc>
        <w:tc>
          <w:tcPr>
            <w:tcW w:w="2303" w:type="dxa"/>
            <w:vAlign w:val="bottom"/>
          </w:tcPr>
          <w:p w:rsidRPr="00BC29E1" w:rsidR="00BD5FCA" w:rsidP="00BD5FCA" w:rsidRDefault="00BD5FCA">
            <w:pPr>
              <w:spacing w:after="0" w:line="240" w:lineRule="atLeast"/>
              <w:cnfStyle w:val="000000000000"/>
              <w:rPr>
                <w:sz w:val="16"/>
                <w:szCs w:val="16"/>
              </w:rPr>
            </w:pPr>
            <w:r w:rsidRPr="00BC29E1">
              <w:rPr>
                <w:sz w:val="16"/>
                <w:szCs w:val="16"/>
              </w:rPr>
              <w:t>20%</w:t>
            </w:r>
          </w:p>
        </w:tc>
      </w:tr>
      <w:tr w:rsidRPr="00BC29E1" w:rsidR="00BD5FCA" w:rsidTr="00BD5FCA">
        <w:trPr>
          <w:cnfStyle w:val="000000100000"/>
        </w:trPr>
        <w:tc>
          <w:tcPr>
            <w:cnfStyle w:val="001000000000"/>
            <w:tcW w:w="2518" w:type="dxa"/>
            <w:vAlign w:val="bottom"/>
          </w:tcPr>
          <w:p w:rsidRPr="00BC29E1" w:rsidR="00BD5FCA" w:rsidP="00BD5FCA" w:rsidRDefault="00BD5FCA">
            <w:pPr>
              <w:spacing w:after="0" w:line="240" w:lineRule="atLeast"/>
              <w:rPr>
                <w:b w:val="0"/>
                <w:sz w:val="16"/>
                <w:szCs w:val="16"/>
              </w:rPr>
            </w:pPr>
            <w:r w:rsidRPr="00BC29E1">
              <w:rPr>
                <w:b w:val="0"/>
                <w:sz w:val="16"/>
                <w:szCs w:val="16"/>
              </w:rPr>
              <w:t>Aardgas (als CNG afgeleverd via modules)</w:t>
            </w:r>
          </w:p>
        </w:tc>
        <w:tc>
          <w:tcPr>
            <w:tcW w:w="2088" w:type="dxa"/>
            <w:vAlign w:val="bottom"/>
          </w:tcPr>
          <w:p w:rsidRPr="00BC29E1" w:rsidR="00BD5FCA" w:rsidP="00BD5FCA" w:rsidRDefault="00BD5FCA">
            <w:pPr>
              <w:spacing w:after="0" w:line="240" w:lineRule="atLeast"/>
              <w:cnfStyle w:val="000000100000"/>
              <w:rPr>
                <w:sz w:val="16"/>
                <w:szCs w:val="16"/>
              </w:rPr>
            </w:pPr>
            <w:r w:rsidRPr="00BC29E1">
              <w:rPr>
                <w:sz w:val="16"/>
                <w:szCs w:val="16"/>
              </w:rPr>
              <w:t>€ 0,033</w:t>
            </w:r>
          </w:p>
        </w:tc>
        <w:tc>
          <w:tcPr>
            <w:tcW w:w="2303" w:type="dxa"/>
            <w:vAlign w:val="bottom"/>
          </w:tcPr>
          <w:p w:rsidRPr="00BC29E1" w:rsidR="00BD5FCA" w:rsidP="00BD5FCA" w:rsidRDefault="00BD5FCA">
            <w:pPr>
              <w:spacing w:after="0" w:line="240" w:lineRule="atLeast"/>
              <w:cnfStyle w:val="000000100000"/>
              <w:rPr>
                <w:sz w:val="16"/>
                <w:szCs w:val="16"/>
              </w:rPr>
            </w:pPr>
            <w:r w:rsidRPr="00BC29E1">
              <w:rPr>
                <w:sz w:val="16"/>
                <w:szCs w:val="16"/>
              </w:rPr>
              <w:t>€ 0,0047</w:t>
            </w:r>
          </w:p>
        </w:tc>
        <w:tc>
          <w:tcPr>
            <w:tcW w:w="2303" w:type="dxa"/>
            <w:vAlign w:val="bottom"/>
          </w:tcPr>
          <w:p w:rsidRPr="00BC29E1" w:rsidR="00BD5FCA" w:rsidP="00BD5FCA" w:rsidRDefault="00BD5FCA">
            <w:pPr>
              <w:spacing w:after="0" w:line="240" w:lineRule="atLeast"/>
              <w:cnfStyle w:val="000000100000"/>
              <w:rPr>
                <w:sz w:val="16"/>
                <w:szCs w:val="16"/>
              </w:rPr>
            </w:pPr>
            <w:r w:rsidRPr="00BC29E1">
              <w:rPr>
                <w:sz w:val="16"/>
                <w:szCs w:val="16"/>
              </w:rPr>
              <w:t>21%</w:t>
            </w:r>
          </w:p>
        </w:tc>
      </w:tr>
      <w:tr w:rsidRPr="00BC29E1" w:rsidR="00BD5FCA" w:rsidTr="00BD5FCA">
        <w:tc>
          <w:tcPr>
            <w:cnfStyle w:val="001000000000"/>
            <w:tcW w:w="2518" w:type="dxa"/>
            <w:vAlign w:val="bottom"/>
          </w:tcPr>
          <w:p w:rsidRPr="00BC29E1" w:rsidR="00BD5FCA" w:rsidP="00BD5FCA" w:rsidRDefault="00BD5FCA">
            <w:pPr>
              <w:spacing w:after="0" w:line="240" w:lineRule="atLeast"/>
              <w:rPr>
                <w:b w:val="0"/>
                <w:sz w:val="16"/>
                <w:szCs w:val="16"/>
              </w:rPr>
            </w:pPr>
            <w:r w:rsidRPr="00BC29E1">
              <w:rPr>
                <w:b w:val="0"/>
                <w:sz w:val="16"/>
                <w:szCs w:val="16"/>
              </w:rPr>
              <w:t>LNG</w:t>
            </w:r>
          </w:p>
        </w:tc>
        <w:tc>
          <w:tcPr>
            <w:tcW w:w="2088" w:type="dxa"/>
            <w:vAlign w:val="bottom"/>
          </w:tcPr>
          <w:p w:rsidRPr="00BC29E1" w:rsidR="00BD5FCA" w:rsidP="00BD5FCA" w:rsidRDefault="00BD5FCA">
            <w:pPr>
              <w:spacing w:after="0" w:line="240" w:lineRule="atLeast"/>
              <w:cnfStyle w:val="000000000000"/>
              <w:rPr>
                <w:sz w:val="16"/>
                <w:szCs w:val="16"/>
              </w:rPr>
            </w:pPr>
            <w:r w:rsidRPr="00BC29E1">
              <w:rPr>
                <w:sz w:val="16"/>
                <w:szCs w:val="16"/>
              </w:rPr>
              <w:t>€ 0,089</w:t>
            </w:r>
          </w:p>
        </w:tc>
        <w:tc>
          <w:tcPr>
            <w:tcW w:w="2303" w:type="dxa"/>
            <w:vAlign w:val="bottom"/>
          </w:tcPr>
          <w:p w:rsidRPr="00BC29E1" w:rsidR="00BD5FCA" w:rsidP="00BD5FCA" w:rsidRDefault="00BD5FCA">
            <w:pPr>
              <w:spacing w:after="0" w:line="240" w:lineRule="atLeast"/>
              <w:cnfStyle w:val="000000000000"/>
              <w:rPr>
                <w:sz w:val="16"/>
                <w:szCs w:val="16"/>
              </w:rPr>
            </w:pPr>
            <w:r w:rsidRPr="00BC29E1">
              <w:rPr>
                <w:sz w:val="16"/>
                <w:szCs w:val="16"/>
              </w:rPr>
              <w:t>€ 0,0035</w:t>
            </w:r>
          </w:p>
        </w:tc>
        <w:tc>
          <w:tcPr>
            <w:tcW w:w="2303" w:type="dxa"/>
            <w:vAlign w:val="bottom"/>
          </w:tcPr>
          <w:p w:rsidRPr="00BC29E1" w:rsidR="00BD5FCA" w:rsidP="00BD5FCA" w:rsidRDefault="00BD5FCA">
            <w:pPr>
              <w:spacing w:after="0" w:line="240" w:lineRule="atLeast"/>
              <w:cnfStyle w:val="000000000000"/>
              <w:rPr>
                <w:sz w:val="16"/>
                <w:szCs w:val="16"/>
              </w:rPr>
            </w:pPr>
            <w:r w:rsidRPr="00BC29E1">
              <w:rPr>
                <w:sz w:val="16"/>
                <w:szCs w:val="16"/>
              </w:rPr>
              <w:t>15%</w:t>
            </w:r>
          </w:p>
        </w:tc>
      </w:tr>
      <w:tr w:rsidRPr="00BC29E1" w:rsidR="00BD5FCA" w:rsidTr="00BD5FCA">
        <w:trPr>
          <w:cnfStyle w:val="000000100000"/>
        </w:trPr>
        <w:tc>
          <w:tcPr>
            <w:cnfStyle w:val="001000000000"/>
            <w:tcW w:w="2518" w:type="dxa"/>
            <w:vAlign w:val="bottom"/>
          </w:tcPr>
          <w:p w:rsidRPr="00BC29E1" w:rsidR="00BD5FCA" w:rsidP="00BD5FCA" w:rsidRDefault="00BD5FCA">
            <w:pPr>
              <w:spacing w:after="0" w:line="240" w:lineRule="atLeast"/>
              <w:rPr>
                <w:b w:val="0"/>
                <w:sz w:val="16"/>
                <w:szCs w:val="16"/>
              </w:rPr>
            </w:pPr>
            <w:r w:rsidRPr="00BC29E1">
              <w:rPr>
                <w:b w:val="0"/>
                <w:sz w:val="16"/>
                <w:szCs w:val="16"/>
              </w:rPr>
              <w:t>Vloeibaar gemaakt methaan</w:t>
            </w:r>
          </w:p>
        </w:tc>
        <w:tc>
          <w:tcPr>
            <w:tcW w:w="2088" w:type="dxa"/>
            <w:vAlign w:val="bottom"/>
          </w:tcPr>
          <w:p w:rsidRPr="00BC29E1" w:rsidR="00BD5FCA" w:rsidP="00BD5FCA" w:rsidRDefault="00BD5FCA">
            <w:pPr>
              <w:spacing w:after="0" w:line="240" w:lineRule="atLeast"/>
              <w:cnfStyle w:val="000000100000"/>
              <w:rPr>
                <w:sz w:val="16"/>
                <w:szCs w:val="16"/>
              </w:rPr>
            </w:pPr>
            <w:r w:rsidRPr="00BC29E1">
              <w:rPr>
                <w:sz w:val="16"/>
                <w:szCs w:val="16"/>
              </w:rPr>
              <w:t>€ 0,089</w:t>
            </w:r>
          </w:p>
        </w:tc>
        <w:tc>
          <w:tcPr>
            <w:tcW w:w="2303" w:type="dxa"/>
            <w:vAlign w:val="bottom"/>
          </w:tcPr>
          <w:p w:rsidRPr="00BC29E1" w:rsidR="00BD5FCA" w:rsidP="00BD5FCA" w:rsidRDefault="00BD5FCA">
            <w:pPr>
              <w:spacing w:after="0" w:line="240" w:lineRule="atLeast"/>
              <w:cnfStyle w:val="000000100000"/>
              <w:rPr>
                <w:sz w:val="16"/>
                <w:szCs w:val="16"/>
              </w:rPr>
            </w:pPr>
            <w:r w:rsidRPr="00BC29E1">
              <w:rPr>
                <w:sz w:val="16"/>
                <w:szCs w:val="16"/>
              </w:rPr>
              <w:t>€ 0,0037</w:t>
            </w:r>
          </w:p>
        </w:tc>
        <w:tc>
          <w:tcPr>
            <w:tcW w:w="2303" w:type="dxa"/>
            <w:vAlign w:val="bottom"/>
          </w:tcPr>
          <w:p w:rsidRPr="00BC29E1" w:rsidR="00BD5FCA" w:rsidP="00BD5FCA" w:rsidRDefault="00BD5FCA">
            <w:pPr>
              <w:spacing w:after="0" w:line="240" w:lineRule="atLeast"/>
              <w:cnfStyle w:val="000000100000"/>
              <w:rPr>
                <w:sz w:val="16"/>
                <w:szCs w:val="16"/>
              </w:rPr>
            </w:pPr>
            <w:r w:rsidRPr="00BC29E1">
              <w:rPr>
                <w:sz w:val="16"/>
                <w:szCs w:val="16"/>
              </w:rPr>
              <w:t>16%</w:t>
            </w:r>
          </w:p>
        </w:tc>
      </w:tr>
    </w:tbl>
    <w:p w:rsidRPr="008E71DA" w:rsidR="00BD5FCA" w:rsidP="00BD5FCA" w:rsidRDefault="00BD5FCA">
      <w:pPr>
        <w:spacing w:after="0"/>
        <w:rPr>
          <w:sz w:val="16"/>
          <w:szCs w:val="16"/>
        </w:rPr>
      </w:pPr>
    </w:p>
    <w:p w:rsidRPr="00892E75" w:rsidR="00BD5FCA" w:rsidP="00781CF8" w:rsidRDefault="00BD5FCA">
      <w:pPr>
        <w:spacing w:after="0" w:line="240" w:lineRule="atLeast"/>
        <w:rPr>
          <w:sz w:val="18"/>
          <w:szCs w:val="18"/>
        </w:rPr>
      </w:pPr>
    </w:p>
    <w:p w:rsidRPr="00D52F35" w:rsidR="00EF6456" w:rsidP="00781CF8" w:rsidRDefault="00EF6456">
      <w:pPr>
        <w:pStyle w:val="Kop3"/>
        <w:spacing w:before="0"/>
        <w:rPr>
          <w:rFonts w:ascii="Verdana" w:hAnsi="Verdana"/>
          <w:b w:val="0"/>
          <w:i/>
          <w:color w:val="auto"/>
          <w:sz w:val="18"/>
          <w:szCs w:val="18"/>
        </w:rPr>
      </w:pPr>
      <w:bookmarkStart w:name="_Toc292977509" w:id="46"/>
      <w:bookmarkStart w:name="_Toc293998549" w:id="47"/>
      <w:r w:rsidRPr="00D52F35">
        <w:rPr>
          <w:rFonts w:ascii="Verdana" w:hAnsi="Verdana"/>
          <w:b w:val="0"/>
          <w:i/>
          <w:color w:val="auto"/>
          <w:sz w:val="18"/>
          <w:szCs w:val="18"/>
        </w:rPr>
        <w:t>5.2.</w:t>
      </w:r>
      <w:r>
        <w:rPr>
          <w:rFonts w:ascii="Verdana" w:hAnsi="Verdana"/>
          <w:b w:val="0"/>
          <w:i/>
          <w:color w:val="auto"/>
          <w:sz w:val="18"/>
          <w:szCs w:val="18"/>
        </w:rPr>
        <w:t>2</w:t>
      </w:r>
      <w:r w:rsidRPr="00D52F35">
        <w:rPr>
          <w:rFonts w:ascii="Verdana" w:hAnsi="Verdana"/>
          <w:b w:val="0"/>
          <w:i/>
          <w:color w:val="auto"/>
          <w:sz w:val="18"/>
          <w:szCs w:val="18"/>
        </w:rPr>
        <w:t>. Terugsluis</w:t>
      </w:r>
      <w:bookmarkEnd w:id="46"/>
      <w:bookmarkEnd w:id="47"/>
    </w:p>
    <w:p w:rsidRPr="00892E75" w:rsidR="00EF6456" w:rsidP="0027721A" w:rsidRDefault="00EF6456">
      <w:pPr>
        <w:spacing w:after="0" w:line="240" w:lineRule="atLeast"/>
        <w:rPr>
          <w:sz w:val="18"/>
          <w:szCs w:val="18"/>
        </w:rPr>
      </w:pPr>
      <w:r>
        <w:rPr>
          <w:sz w:val="18"/>
          <w:szCs w:val="18"/>
        </w:rPr>
        <w:t>Aanpassing</w:t>
      </w:r>
      <w:r w:rsidRPr="00892E75">
        <w:rPr>
          <w:sz w:val="18"/>
          <w:szCs w:val="18"/>
        </w:rPr>
        <w:t xml:space="preserve"> van de tarieven zoals hiervoor aangegeven leidt </w:t>
      </w:r>
      <w:r w:rsidR="007F2348">
        <w:rPr>
          <w:sz w:val="18"/>
          <w:szCs w:val="18"/>
        </w:rPr>
        <w:t xml:space="preserve">na de </w:t>
      </w:r>
      <w:r w:rsidR="00257F9F">
        <w:rPr>
          <w:sz w:val="18"/>
          <w:szCs w:val="18"/>
        </w:rPr>
        <w:t xml:space="preserve">tweede </w:t>
      </w:r>
      <w:r w:rsidR="007F2348">
        <w:rPr>
          <w:sz w:val="18"/>
          <w:szCs w:val="18"/>
        </w:rPr>
        <w:t xml:space="preserve">stap </w:t>
      </w:r>
      <w:r w:rsidRPr="00892E75">
        <w:rPr>
          <w:sz w:val="18"/>
          <w:szCs w:val="18"/>
        </w:rPr>
        <w:t xml:space="preserve">tot een opbrengst van ongeveer </w:t>
      </w:r>
      <w:r>
        <w:rPr>
          <w:sz w:val="18"/>
          <w:szCs w:val="18"/>
        </w:rPr>
        <w:t>€ </w:t>
      </w:r>
      <w:r w:rsidRPr="00892E75">
        <w:rPr>
          <w:sz w:val="18"/>
          <w:szCs w:val="18"/>
        </w:rPr>
        <w:t xml:space="preserve">13 </w:t>
      </w:r>
      <w:r w:rsidR="000420B5">
        <w:rPr>
          <w:sz w:val="18"/>
          <w:szCs w:val="18"/>
        </w:rPr>
        <w:t>mln</w:t>
      </w:r>
      <w:r w:rsidRPr="00892E75">
        <w:rPr>
          <w:sz w:val="18"/>
          <w:szCs w:val="18"/>
        </w:rPr>
        <w:t xml:space="preserve">. </w:t>
      </w:r>
      <w:r w:rsidR="00257F9F">
        <w:rPr>
          <w:sz w:val="18"/>
          <w:szCs w:val="18"/>
        </w:rPr>
        <w:t xml:space="preserve">In 2012 </w:t>
      </w:r>
      <w:r w:rsidR="00F84E4E">
        <w:rPr>
          <w:sz w:val="18"/>
          <w:szCs w:val="18"/>
        </w:rPr>
        <w:t>zal de opbrengst dus lager zijn, afhankelijk van de aanpassingen van de tarieven</w:t>
      </w:r>
      <w:r w:rsidR="00257F9F">
        <w:rPr>
          <w:sz w:val="18"/>
          <w:szCs w:val="18"/>
        </w:rPr>
        <w:t xml:space="preserve"> voor dat jaar</w:t>
      </w:r>
      <w:r w:rsidR="00820E21">
        <w:rPr>
          <w:sz w:val="18"/>
          <w:szCs w:val="18"/>
        </w:rPr>
        <w:t xml:space="preserve">. </w:t>
      </w:r>
      <w:r w:rsidR="0027721A">
        <w:rPr>
          <w:sz w:val="18"/>
          <w:szCs w:val="18"/>
        </w:rPr>
        <w:t>Ook in de BPM en in de MRB dienen aanpassingen te worden gemaakt als gevolg van het meer op elkaar afstemmen van de gasvormige brandstoffen. Bij die aanpassingen zal worden voorzien in een terugsluis van de hiervoor genoemde € 13 mln.</w:t>
      </w:r>
      <w:r w:rsidR="00D40E64">
        <w:rPr>
          <w:sz w:val="18"/>
          <w:szCs w:val="18"/>
        </w:rPr>
        <w:t xml:space="preserve"> </w:t>
      </w:r>
    </w:p>
    <w:p w:rsidR="00EF6456" w:rsidP="00781CF8" w:rsidRDefault="00EF6456">
      <w:pPr>
        <w:pStyle w:val="Kop2"/>
        <w:spacing w:before="0"/>
        <w:rPr>
          <w:rFonts w:ascii="Verdana" w:hAnsi="Verdana"/>
          <w:color w:val="auto"/>
          <w:sz w:val="18"/>
          <w:szCs w:val="18"/>
        </w:rPr>
      </w:pPr>
      <w:bookmarkStart w:name="_Toc292977510" w:id="48"/>
    </w:p>
    <w:p w:rsidRPr="00FB22B0" w:rsidR="00EF6456" w:rsidP="00781CF8" w:rsidRDefault="00EF6456">
      <w:pPr>
        <w:pStyle w:val="Kop2"/>
        <w:spacing w:before="0"/>
        <w:rPr>
          <w:rFonts w:ascii="Verdana" w:hAnsi="Verdana"/>
          <w:color w:val="auto"/>
          <w:sz w:val="18"/>
          <w:szCs w:val="18"/>
        </w:rPr>
      </w:pPr>
      <w:bookmarkStart w:name="_Toc293998550" w:id="49"/>
      <w:r>
        <w:rPr>
          <w:rFonts w:ascii="Verdana" w:hAnsi="Verdana"/>
          <w:color w:val="auto"/>
          <w:sz w:val="18"/>
          <w:szCs w:val="18"/>
        </w:rPr>
        <w:t>5</w:t>
      </w:r>
      <w:r w:rsidRPr="00FB22B0">
        <w:rPr>
          <w:rFonts w:ascii="Verdana" w:hAnsi="Verdana"/>
          <w:color w:val="auto"/>
          <w:sz w:val="18"/>
          <w:szCs w:val="18"/>
        </w:rPr>
        <w:t>.</w:t>
      </w:r>
      <w:r>
        <w:rPr>
          <w:rFonts w:ascii="Verdana" w:hAnsi="Verdana"/>
          <w:color w:val="auto"/>
          <w:sz w:val="18"/>
          <w:szCs w:val="18"/>
        </w:rPr>
        <w:t>3</w:t>
      </w:r>
      <w:r w:rsidRPr="00FB22B0">
        <w:rPr>
          <w:rFonts w:ascii="Verdana" w:hAnsi="Verdana"/>
          <w:color w:val="auto"/>
          <w:sz w:val="18"/>
          <w:szCs w:val="18"/>
        </w:rPr>
        <w:t xml:space="preserve">. </w:t>
      </w:r>
      <w:r>
        <w:rPr>
          <w:rFonts w:ascii="Verdana" w:hAnsi="Verdana"/>
          <w:color w:val="auto"/>
          <w:sz w:val="18"/>
          <w:szCs w:val="18"/>
        </w:rPr>
        <w:t>Biogassen/</w:t>
      </w:r>
      <w:r w:rsidRPr="00FB22B0">
        <w:rPr>
          <w:rFonts w:ascii="Verdana" w:hAnsi="Verdana"/>
          <w:color w:val="auto"/>
          <w:sz w:val="18"/>
          <w:szCs w:val="18"/>
        </w:rPr>
        <w:t>groen gas</w:t>
      </w:r>
      <w:bookmarkEnd w:id="48"/>
      <w:bookmarkEnd w:id="49"/>
    </w:p>
    <w:p w:rsidR="00EF6456" w:rsidP="00781CF8" w:rsidRDefault="00EF6456">
      <w:pPr>
        <w:spacing w:after="0" w:line="240" w:lineRule="atLeast"/>
        <w:rPr>
          <w:sz w:val="18"/>
          <w:szCs w:val="18"/>
        </w:rPr>
      </w:pPr>
      <w:r w:rsidRPr="00892E75">
        <w:rPr>
          <w:sz w:val="18"/>
          <w:szCs w:val="18"/>
        </w:rPr>
        <w:t xml:space="preserve">LPG, LNG en CNG zijn fossiele gassen. LNG en CNG kennen ook </w:t>
      </w:r>
      <w:r>
        <w:rPr>
          <w:sz w:val="18"/>
          <w:szCs w:val="18"/>
        </w:rPr>
        <w:t xml:space="preserve">hernieuwbare </w:t>
      </w:r>
      <w:r w:rsidRPr="00892E75">
        <w:rPr>
          <w:sz w:val="18"/>
          <w:szCs w:val="18"/>
        </w:rPr>
        <w:t xml:space="preserve">varianten </w:t>
      </w:r>
      <w:r>
        <w:rPr>
          <w:sz w:val="18"/>
          <w:szCs w:val="18"/>
        </w:rPr>
        <w:t>met wat betreft de well-to-wheel CO</w:t>
      </w:r>
      <w:r w:rsidRPr="00C62A55">
        <w:rPr>
          <w:sz w:val="18"/>
          <w:szCs w:val="18"/>
          <w:vertAlign w:val="subscript"/>
        </w:rPr>
        <w:t>2</w:t>
      </w:r>
      <w:r>
        <w:rPr>
          <w:sz w:val="18"/>
          <w:szCs w:val="18"/>
        </w:rPr>
        <w:t>-uitstoot betere milieuprestaties</w:t>
      </w:r>
      <w:r w:rsidR="00FF1539">
        <w:rPr>
          <w:sz w:val="18"/>
          <w:szCs w:val="18"/>
        </w:rPr>
        <w:t xml:space="preserve">. Deze hernieuwbare varianten kennen we als </w:t>
      </w:r>
      <w:r w:rsidRPr="00892E75">
        <w:rPr>
          <w:sz w:val="18"/>
          <w:szCs w:val="18"/>
        </w:rPr>
        <w:t xml:space="preserve">vloeibaar gemaakt biomethaan (LBG) en bio-CNG. In de Richtlijn energiebelastingen wordt </w:t>
      </w:r>
      <w:r w:rsidRPr="00892E75">
        <w:rPr>
          <w:sz w:val="18"/>
          <w:szCs w:val="18"/>
        </w:rPr>
        <w:lastRenderedPageBreak/>
        <w:t xml:space="preserve">geen onderscheid gemaakt naar ‘grijze’ of ‘groene’ gassen. Wat betreft accijns of EB worden </w:t>
      </w:r>
      <w:r w:rsidR="00FF1539">
        <w:rPr>
          <w:sz w:val="18"/>
          <w:szCs w:val="18"/>
        </w:rPr>
        <w:t xml:space="preserve">de hernieuwbare varianten </w:t>
      </w:r>
      <w:r w:rsidRPr="00892E75">
        <w:rPr>
          <w:sz w:val="18"/>
          <w:szCs w:val="18"/>
        </w:rPr>
        <w:t>daarom op dezelfde wijze belast als de fossiele varianten.</w:t>
      </w:r>
    </w:p>
    <w:p w:rsidRPr="00892E75" w:rsidR="00EF6456" w:rsidP="00781CF8" w:rsidRDefault="00EF6456">
      <w:pPr>
        <w:spacing w:after="0" w:line="240" w:lineRule="atLeast"/>
        <w:rPr>
          <w:sz w:val="18"/>
          <w:szCs w:val="18"/>
        </w:rPr>
      </w:pPr>
    </w:p>
    <w:p w:rsidR="00EF6456" w:rsidP="00781CF8" w:rsidRDefault="00EF6456">
      <w:pPr>
        <w:spacing w:after="0" w:line="240" w:lineRule="atLeast"/>
        <w:rPr>
          <w:sz w:val="18"/>
          <w:szCs w:val="18"/>
        </w:rPr>
      </w:pPr>
      <w:r w:rsidRPr="00892E75">
        <w:rPr>
          <w:sz w:val="18"/>
          <w:szCs w:val="18"/>
        </w:rPr>
        <w:t xml:space="preserve">Regelmatig komt zogenoemd groen gas ter sprake. Dit is biogas, opgewerkt tot aardgaskwaliteit. Biogas bevat (veel) minder methaan dan aardgas, gemiddeld circa 60%, terwijl het Nederlandse aardgas ongeveer 81% methaan bevat. Om biogas in te brengen in het aardgasnet zal </w:t>
      </w:r>
      <w:r>
        <w:rPr>
          <w:sz w:val="18"/>
          <w:szCs w:val="18"/>
        </w:rPr>
        <w:t>het gas</w:t>
      </w:r>
      <w:r w:rsidRPr="00892E75">
        <w:rPr>
          <w:sz w:val="18"/>
          <w:szCs w:val="18"/>
        </w:rPr>
        <w:t xml:space="preserve"> eerst moeten worden opgewerkt.</w:t>
      </w:r>
      <w:r>
        <w:rPr>
          <w:sz w:val="18"/>
          <w:szCs w:val="18"/>
        </w:rPr>
        <w:t xml:space="preserve"> Het resultaat is </w:t>
      </w:r>
      <w:r w:rsidRPr="00892E75">
        <w:rPr>
          <w:sz w:val="18"/>
          <w:szCs w:val="18"/>
        </w:rPr>
        <w:t>‘</w:t>
      </w:r>
      <w:r>
        <w:rPr>
          <w:sz w:val="18"/>
          <w:szCs w:val="18"/>
        </w:rPr>
        <w:t>groen</w:t>
      </w:r>
      <w:r w:rsidRPr="00892E75">
        <w:rPr>
          <w:sz w:val="18"/>
          <w:szCs w:val="18"/>
        </w:rPr>
        <w:t>’</w:t>
      </w:r>
      <w:r>
        <w:rPr>
          <w:sz w:val="18"/>
          <w:szCs w:val="18"/>
        </w:rPr>
        <w:t xml:space="preserve"> gas. De vraag is of g</w:t>
      </w:r>
      <w:r w:rsidRPr="00892E75">
        <w:rPr>
          <w:sz w:val="18"/>
          <w:szCs w:val="18"/>
        </w:rPr>
        <w:t xml:space="preserve">roene gassen voor de accijns of EB minder zwaar moeten worden belast dan </w:t>
      </w:r>
      <w:r>
        <w:rPr>
          <w:sz w:val="18"/>
          <w:szCs w:val="18"/>
        </w:rPr>
        <w:t xml:space="preserve">ander, zogenoemd </w:t>
      </w:r>
      <w:r w:rsidRPr="00892E75">
        <w:rPr>
          <w:sz w:val="18"/>
          <w:szCs w:val="18"/>
        </w:rPr>
        <w:t xml:space="preserve">‘grijs’ gas. Wat betreft </w:t>
      </w:r>
      <w:r w:rsidR="0027721A">
        <w:rPr>
          <w:sz w:val="18"/>
          <w:szCs w:val="18"/>
        </w:rPr>
        <w:t xml:space="preserve">de </w:t>
      </w:r>
      <w:r>
        <w:rPr>
          <w:sz w:val="18"/>
          <w:szCs w:val="18"/>
        </w:rPr>
        <w:t xml:space="preserve">tank-to-wheel </w:t>
      </w:r>
      <w:r w:rsidRPr="00892E75">
        <w:rPr>
          <w:sz w:val="18"/>
          <w:szCs w:val="18"/>
        </w:rPr>
        <w:t>CO</w:t>
      </w:r>
      <w:r w:rsidRPr="00892E75">
        <w:rPr>
          <w:sz w:val="18"/>
          <w:szCs w:val="18"/>
          <w:vertAlign w:val="subscript"/>
        </w:rPr>
        <w:t>2</w:t>
      </w:r>
      <w:r w:rsidRPr="00892E75">
        <w:rPr>
          <w:sz w:val="18"/>
          <w:szCs w:val="18"/>
        </w:rPr>
        <w:t>-uitstoot is groen gas niet milieuvriend</w:t>
      </w:r>
      <w:r>
        <w:rPr>
          <w:sz w:val="18"/>
          <w:szCs w:val="18"/>
        </w:rPr>
        <w:t xml:space="preserve">elijker dan de grijze varianten, maar afhankelijk van de productiewijze is </w:t>
      </w:r>
      <w:r w:rsidRPr="00892E75">
        <w:rPr>
          <w:sz w:val="18"/>
          <w:szCs w:val="18"/>
        </w:rPr>
        <w:t>de well-to-wheel CO</w:t>
      </w:r>
      <w:r w:rsidRPr="00892E75">
        <w:rPr>
          <w:sz w:val="18"/>
          <w:szCs w:val="18"/>
          <w:vertAlign w:val="subscript"/>
        </w:rPr>
        <w:t>2</w:t>
      </w:r>
      <w:r w:rsidRPr="00892E75">
        <w:rPr>
          <w:sz w:val="18"/>
          <w:szCs w:val="18"/>
        </w:rPr>
        <w:t>-</w:t>
      </w:r>
      <w:r>
        <w:rPr>
          <w:sz w:val="18"/>
          <w:szCs w:val="18"/>
        </w:rPr>
        <w:t xml:space="preserve">uitstoot </w:t>
      </w:r>
      <w:r w:rsidRPr="00892E75">
        <w:rPr>
          <w:sz w:val="18"/>
          <w:szCs w:val="18"/>
        </w:rPr>
        <w:t>van groen gas</w:t>
      </w:r>
      <w:r>
        <w:rPr>
          <w:sz w:val="18"/>
          <w:szCs w:val="18"/>
        </w:rPr>
        <w:t xml:space="preserve"> veelal wel gunstiger</w:t>
      </w:r>
      <w:r w:rsidRPr="00892E75">
        <w:rPr>
          <w:sz w:val="18"/>
          <w:szCs w:val="18"/>
        </w:rPr>
        <w:t xml:space="preserve">. </w:t>
      </w:r>
    </w:p>
    <w:p w:rsidR="00EF6456" w:rsidP="00781CF8" w:rsidRDefault="00EF6456">
      <w:pPr>
        <w:spacing w:after="0" w:line="240" w:lineRule="atLeast"/>
        <w:rPr>
          <w:sz w:val="18"/>
          <w:szCs w:val="18"/>
        </w:rPr>
      </w:pPr>
    </w:p>
    <w:p w:rsidR="00711C20" w:rsidP="00781CF8" w:rsidRDefault="00EF6456">
      <w:pPr>
        <w:spacing w:after="0" w:line="240" w:lineRule="atLeast"/>
        <w:rPr>
          <w:sz w:val="18"/>
          <w:szCs w:val="18"/>
        </w:rPr>
      </w:pPr>
      <w:r w:rsidRPr="00025143">
        <w:rPr>
          <w:sz w:val="18"/>
          <w:szCs w:val="18"/>
        </w:rPr>
        <w:t xml:space="preserve">Ik ben voornemens om </w:t>
      </w:r>
      <w:r>
        <w:rPr>
          <w:sz w:val="18"/>
          <w:szCs w:val="18"/>
        </w:rPr>
        <w:t>d</w:t>
      </w:r>
      <w:r w:rsidRPr="00025143">
        <w:rPr>
          <w:sz w:val="18"/>
          <w:szCs w:val="18"/>
        </w:rPr>
        <w:t xml:space="preserve">e in het vorige onderdeel aangekondigde </w:t>
      </w:r>
      <w:r w:rsidR="006569A1">
        <w:rPr>
          <w:sz w:val="18"/>
          <w:szCs w:val="18"/>
        </w:rPr>
        <w:t xml:space="preserve">stapsgewijze </w:t>
      </w:r>
      <w:r w:rsidRPr="00025143">
        <w:rPr>
          <w:sz w:val="18"/>
          <w:szCs w:val="18"/>
        </w:rPr>
        <w:t xml:space="preserve">verhoging van de accijns en EB voor </w:t>
      </w:r>
      <w:r w:rsidR="006569A1">
        <w:rPr>
          <w:sz w:val="18"/>
          <w:szCs w:val="18"/>
        </w:rPr>
        <w:t xml:space="preserve">fossiele </w:t>
      </w:r>
      <w:r w:rsidRPr="00025143">
        <w:rPr>
          <w:sz w:val="18"/>
          <w:szCs w:val="18"/>
        </w:rPr>
        <w:t xml:space="preserve">gassen ook </w:t>
      </w:r>
      <w:r>
        <w:rPr>
          <w:sz w:val="18"/>
          <w:szCs w:val="18"/>
        </w:rPr>
        <w:t xml:space="preserve">te laten </w:t>
      </w:r>
      <w:r w:rsidRPr="00025143">
        <w:rPr>
          <w:sz w:val="18"/>
          <w:szCs w:val="18"/>
        </w:rPr>
        <w:t>gelden voor groene gassen. Niettemin blijven ook na deze verhoging de tarieven voor gassen en daarmee ook voor groen gas zeer laag ten opzichte van die van andere brandstoffen.</w:t>
      </w:r>
      <w:r>
        <w:rPr>
          <w:sz w:val="18"/>
          <w:szCs w:val="18"/>
        </w:rPr>
        <w:t xml:space="preserve"> </w:t>
      </w:r>
    </w:p>
    <w:p w:rsidR="00EF6456" w:rsidP="00781CF8" w:rsidRDefault="00711C20">
      <w:pPr>
        <w:spacing w:after="0" w:line="240" w:lineRule="atLeast"/>
        <w:rPr>
          <w:sz w:val="18"/>
          <w:szCs w:val="18"/>
        </w:rPr>
      </w:pPr>
      <w:r>
        <w:rPr>
          <w:sz w:val="18"/>
          <w:szCs w:val="18"/>
        </w:rPr>
        <w:t xml:space="preserve">Ondanks deze relatief lage tarieven wordt nog regelmatig de vraag gesteld of groen gas niet op enigerlei wijze financieel gestimuleerd kan worden. Zonder nadere maatregelen is er echter een aantal redenen om groen gas dat wordt ingezet in het wegverkeer niet fiscaal of anderszins te stimuleren. De voornaamste reden is dat een dergelijke stimulering zou botsen met de zogenoemde verplichtingenregeling. </w:t>
      </w:r>
      <w:r w:rsidRPr="00892E75">
        <w:rPr>
          <w:sz w:val="18"/>
          <w:szCs w:val="18"/>
        </w:rPr>
        <w:t xml:space="preserve">Sinds 1 januari 2007 zijn de partijen die benzine en diesel op de Nederlandse markt brengen, verplicht om een bepaald percentage (op energiebasis) van hun afzet in de vorm van biobrandstof </w:t>
      </w:r>
      <w:r>
        <w:rPr>
          <w:sz w:val="18"/>
          <w:szCs w:val="18"/>
        </w:rPr>
        <w:t xml:space="preserve">(waaronder begrepen groen gas) </w:t>
      </w:r>
      <w:r w:rsidRPr="00892E75">
        <w:rPr>
          <w:sz w:val="18"/>
          <w:szCs w:val="18"/>
        </w:rPr>
        <w:t>te leveren. Voor 2011 is het verplichte aandeel biobrandstoffen 4,25 procent.</w:t>
      </w:r>
      <w:r>
        <w:rPr>
          <w:sz w:val="18"/>
          <w:szCs w:val="18"/>
        </w:rPr>
        <w:t xml:space="preserve"> Na de invoering van deze verplichtingenregeling worden biobrandstoffen die in het wegverkeer worden ingezet niet langer fiscaal of anderszins gestimuleerd. Indien nu op dat beleid zou worden teruggekomen door voor één specifieke brandstof (i.c. groen gas) wel een financiële prikkel in te bouwen, is het </w:t>
      </w:r>
      <w:r w:rsidR="00257F9F">
        <w:rPr>
          <w:sz w:val="18"/>
          <w:szCs w:val="18"/>
        </w:rPr>
        <w:t xml:space="preserve">te verwachten </w:t>
      </w:r>
      <w:r>
        <w:rPr>
          <w:sz w:val="18"/>
          <w:szCs w:val="18"/>
        </w:rPr>
        <w:t xml:space="preserve">dat brandstofleveranciers </w:t>
      </w:r>
      <w:r w:rsidR="00C147C7">
        <w:rPr>
          <w:sz w:val="18"/>
          <w:szCs w:val="18"/>
        </w:rPr>
        <w:t xml:space="preserve">zullen </w:t>
      </w:r>
      <w:r>
        <w:rPr>
          <w:sz w:val="18"/>
          <w:szCs w:val="18"/>
        </w:rPr>
        <w:t xml:space="preserve">overgaan tot het inzetten van groen gas in het wegverkeer </w:t>
      </w:r>
      <w:r w:rsidR="00C147C7">
        <w:rPr>
          <w:sz w:val="18"/>
          <w:szCs w:val="18"/>
        </w:rPr>
        <w:t xml:space="preserve">waardoor </w:t>
      </w:r>
      <w:r w:rsidR="00736D9B">
        <w:rPr>
          <w:sz w:val="18"/>
          <w:szCs w:val="18"/>
        </w:rPr>
        <w:t xml:space="preserve">andere biobrandstoffen zullen worden verdrongen door groen gas. Op deze manier blijft de totale inzet van biobrandstoffen in het wegverkeer gelijk en betaalt de overheid de tot nu toe voor rekening van de marktpartijen komende bijmenging van de biobrandstoffen. </w:t>
      </w:r>
    </w:p>
    <w:p w:rsidR="00711C20" w:rsidP="00781CF8" w:rsidRDefault="00711C20">
      <w:pPr>
        <w:spacing w:after="0" w:line="240" w:lineRule="atLeast"/>
        <w:rPr>
          <w:sz w:val="18"/>
          <w:szCs w:val="18"/>
        </w:rPr>
      </w:pPr>
    </w:p>
    <w:p w:rsidR="00736D9B" w:rsidP="00781CF8" w:rsidRDefault="00736D9B">
      <w:pPr>
        <w:spacing w:after="0" w:line="240" w:lineRule="atLeast"/>
        <w:rPr>
          <w:sz w:val="18"/>
          <w:szCs w:val="18"/>
        </w:rPr>
      </w:pPr>
      <w:r>
        <w:rPr>
          <w:sz w:val="18"/>
          <w:szCs w:val="18"/>
        </w:rPr>
        <w:t xml:space="preserve">Financiële stimulering van groen gas dat in het wegverkeer wordt ingezet </w:t>
      </w:r>
      <w:r w:rsidR="00257F9F">
        <w:rPr>
          <w:sz w:val="18"/>
          <w:szCs w:val="18"/>
        </w:rPr>
        <w:t xml:space="preserve">is </w:t>
      </w:r>
      <w:r>
        <w:rPr>
          <w:sz w:val="18"/>
          <w:szCs w:val="18"/>
        </w:rPr>
        <w:t>dan ook alleen zinvol indien dat groen gas niet meetelt voor de hiervoor beschreven verplichtingenregeling. Alleen dan wordt met de inzet van groen gas een additionele reductie van CO</w:t>
      </w:r>
      <w:r w:rsidRPr="00BE5CE0" w:rsidR="00BE5CE0">
        <w:rPr>
          <w:sz w:val="18"/>
          <w:szCs w:val="18"/>
          <w:vertAlign w:val="subscript"/>
        </w:rPr>
        <w:t>2</w:t>
      </w:r>
      <w:r>
        <w:rPr>
          <w:sz w:val="18"/>
          <w:szCs w:val="18"/>
        </w:rPr>
        <w:t xml:space="preserve"> bewerkstellig</w:t>
      </w:r>
      <w:r w:rsidR="00257F9F">
        <w:rPr>
          <w:sz w:val="18"/>
          <w:szCs w:val="18"/>
        </w:rPr>
        <w:t>d</w:t>
      </w:r>
      <w:r>
        <w:rPr>
          <w:sz w:val="18"/>
          <w:szCs w:val="18"/>
        </w:rPr>
        <w:t xml:space="preserve">. </w:t>
      </w:r>
    </w:p>
    <w:p w:rsidR="00736D9B" w:rsidP="00781CF8" w:rsidRDefault="00736D9B">
      <w:pPr>
        <w:spacing w:after="0" w:line="240" w:lineRule="atLeast"/>
        <w:rPr>
          <w:sz w:val="18"/>
          <w:szCs w:val="18"/>
        </w:rPr>
      </w:pPr>
    </w:p>
    <w:p w:rsidR="00775576" w:rsidP="00775576" w:rsidRDefault="00736D9B">
      <w:pPr>
        <w:spacing w:after="0" w:line="240" w:lineRule="atLeast"/>
        <w:rPr>
          <w:sz w:val="18"/>
          <w:szCs w:val="18"/>
        </w:rPr>
      </w:pPr>
      <w:r>
        <w:rPr>
          <w:sz w:val="18"/>
          <w:szCs w:val="18"/>
        </w:rPr>
        <w:t xml:space="preserve">Als het gaat om de keuze van het financiële instrument om groen gas te stimuleren, gaat mijn voorkeur uit naar stimulering via de SDE (+). Op dit moment wordt de Nederlandse productie van groen gas al gestimuleerd via de SDE (+) en ik </w:t>
      </w:r>
      <w:r w:rsidR="0027721A">
        <w:rPr>
          <w:sz w:val="18"/>
          <w:szCs w:val="18"/>
        </w:rPr>
        <w:t xml:space="preserve">stel voor om </w:t>
      </w:r>
      <w:r w:rsidR="00785740">
        <w:rPr>
          <w:sz w:val="18"/>
          <w:szCs w:val="18"/>
        </w:rPr>
        <w:t xml:space="preserve">binnen de daarvoor geldende budgettaire kaders </w:t>
      </w:r>
      <w:r>
        <w:rPr>
          <w:sz w:val="18"/>
          <w:szCs w:val="18"/>
        </w:rPr>
        <w:t xml:space="preserve">deze wijze van stimulering te continueren, ook als het groene gas wordt ingezet in het wegverkeer. Daarbij geldt overigens wel de hiervoor al genoemde logische voorwaarde dat dit groene gas </w:t>
      </w:r>
      <w:r w:rsidR="00775576">
        <w:rPr>
          <w:sz w:val="18"/>
          <w:szCs w:val="18"/>
        </w:rPr>
        <w:t>dan niet meetelt voor de eerder genoemde verplichtingenregeling.</w:t>
      </w:r>
      <w:r w:rsidR="00091745">
        <w:rPr>
          <w:sz w:val="18"/>
          <w:szCs w:val="18"/>
        </w:rPr>
        <w:t xml:space="preserve"> </w:t>
      </w:r>
      <w:r w:rsidR="0027721A">
        <w:rPr>
          <w:sz w:val="18"/>
          <w:szCs w:val="18"/>
        </w:rPr>
        <w:t xml:space="preserve">Hiertoe zal </w:t>
      </w:r>
      <w:r w:rsidR="00775576">
        <w:rPr>
          <w:sz w:val="18"/>
          <w:szCs w:val="18"/>
        </w:rPr>
        <w:t xml:space="preserve">de verplichtingenregeling </w:t>
      </w:r>
      <w:r w:rsidR="0027721A">
        <w:rPr>
          <w:sz w:val="18"/>
          <w:szCs w:val="18"/>
        </w:rPr>
        <w:t xml:space="preserve">worden aangepast. </w:t>
      </w:r>
      <w:r w:rsidR="00775576">
        <w:rPr>
          <w:sz w:val="18"/>
          <w:szCs w:val="18"/>
        </w:rPr>
        <w:t>Op deze wijze wordt de keuze van de inzet van groen gas in het wegverkeer of in het aardgasnet voor huishoudens en industrie volledig overgelaten aan de markt en niet beïnvloed door de wijze van financiële stimulering.</w:t>
      </w:r>
    </w:p>
    <w:p w:rsidR="00775576" w:rsidP="00775576" w:rsidRDefault="00775576">
      <w:pPr>
        <w:spacing w:after="0" w:line="240" w:lineRule="atLeast"/>
        <w:rPr>
          <w:sz w:val="18"/>
          <w:szCs w:val="18"/>
        </w:rPr>
      </w:pPr>
      <w:r>
        <w:rPr>
          <w:sz w:val="18"/>
          <w:szCs w:val="18"/>
        </w:rPr>
        <w:t>Mijn voorkeur voor stimulering van groen gas met behulp van SDE (+)</w:t>
      </w:r>
      <w:r w:rsidR="00C147C7">
        <w:rPr>
          <w:sz w:val="18"/>
          <w:szCs w:val="18"/>
        </w:rPr>
        <w:t xml:space="preserve"> </w:t>
      </w:r>
      <w:r>
        <w:rPr>
          <w:sz w:val="18"/>
          <w:szCs w:val="18"/>
        </w:rPr>
        <w:t xml:space="preserve">boven een stimulering via de accijns volgt uit het feit dat de accijns niet kan worden beperkt tot de Nederlandse productie. </w:t>
      </w:r>
      <w:r w:rsidR="00C147C7">
        <w:rPr>
          <w:sz w:val="18"/>
          <w:szCs w:val="18"/>
        </w:rPr>
        <w:t>Stimulering via de accijns</w:t>
      </w:r>
      <w:r>
        <w:rPr>
          <w:sz w:val="18"/>
          <w:szCs w:val="18"/>
        </w:rPr>
        <w:t xml:space="preserve"> </w:t>
      </w:r>
      <w:r w:rsidR="00C147C7">
        <w:rPr>
          <w:sz w:val="18"/>
          <w:szCs w:val="18"/>
        </w:rPr>
        <w:t xml:space="preserve">zou onder meer </w:t>
      </w:r>
      <w:r>
        <w:rPr>
          <w:sz w:val="18"/>
          <w:szCs w:val="18"/>
        </w:rPr>
        <w:t xml:space="preserve">tot gevolg </w:t>
      </w:r>
      <w:r w:rsidR="00C147C7">
        <w:rPr>
          <w:sz w:val="18"/>
          <w:szCs w:val="18"/>
        </w:rPr>
        <w:t xml:space="preserve">hebben </w:t>
      </w:r>
      <w:r>
        <w:rPr>
          <w:sz w:val="18"/>
          <w:szCs w:val="18"/>
        </w:rPr>
        <w:t xml:space="preserve">dat met het buitenland afspraken moeten worden gemaakt </w:t>
      </w:r>
      <w:r w:rsidR="00C147C7">
        <w:rPr>
          <w:sz w:val="18"/>
          <w:szCs w:val="18"/>
        </w:rPr>
        <w:t xml:space="preserve">dan wel dat een internationaal certificeringsysteem moet worden ingesteld, om te waarborgen </w:t>
      </w:r>
      <w:r>
        <w:rPr>
          <w:sz w:val="18"/>
          <w:szCs w:val="18"/>
        </w:rPr>
        <w:t>dat de productie van groen gas inderdaad maximaal milieuvriendelijk plaatsvindt. Subsidiëring via de SDE (+) richt zich specifiek op Nederlandse productie en is daardoor gemakkelijker te controleren.</w:t>
      </w:r>
    </w:p>
    <w:p w:rsidR="00775576" w:rsidP="00775576" w:rsidRDefault="00775576">
      <w:pPr>
        <w:spacing w:after="0" w:line="240" w:lineRule="atLeast"/>
        <w:rPr>
          <w:sz w:val="18"/>
          <w:szCs w:val="18"/>
        </w:rPr>
      </w:pPr>
      <w:r>
        <w:rPr>
          <w:sz w:val="18"/>
          <w:szCs w:val="18"/>
        </w:rPr>
        <w:t xml:space="preserve">Ook de administratieve lasten </w:t>
      </w:r>
      <w:r w:rsidR="0027721A">
        <w:rPr>
          <w:sz w:val="18"/>
          <w:szCs w:val="18"/>
        </w:rPr>
        <w:t xml:space="preserve">voor het bedrijfsleven </w:t>
      </w:r>
      <w:r>
        <w:rPr>
          <w:sz w:val="18"/>
          <w:szCs w:val="18"/>
        </w:rPr>
        <w:t xml:space="preserve">en de uitvoeringskosten </w:t>
      </w:r>
      <w:r w:rsidR="0027721A">
        <w:rPr>
          <w:sz w:val="18"/>
          <w:szCs w:val="18"/>
        </w:rPr>
        <w:t xml:space="preserve">voor de Belastingdienst </w:t>
      </w:r>
      <w:r>
        <w:rPr>
          <w:sz w:val="18"/>
          <w:szCs w:val="18"/>
        </w:rPr>
        <w:t>zijn bij een stimulering via SDE (+) aanzienlijk lager dan bij een stimulering via de accijns.</w:t>
      </w:r>
    </w:p>
    <w:p w:rsidR="00711C20" w:rsidP="00781CF8" w:rsidRDefault="00711C20">
      <w:pPr>
        <w:spacing w:after="0" w:line="240" w:lineRule="atLeast"/>
        <w:rPr>
          <w:sz w:val="18"/>
          <w:szCs w:val="18"/>
        </w:rPr>
      </w:pPr>
    </w:p>
    <w:p w:rsidR="00CD72C3" w:rsidRDefault="00CD72C3">
      <w:pPr>
        <w:spacing w:after="0" w:line="240" w:lineRule="auto"/>
        <w:rPr>
          <w:b/>
          <w:i/>
          <w:sz w:val="18"/>
          <w:szCs w:val="18"/>
        </w:rPr>
      </w:pPr>
      <w:r>
        <w:rPr>
          <w:b/>
          <w:i/>
          <w:sz w:val="18"/>
          <w:szCs w:val="18"/>
        </w:rPr>
        <w:br w:type="page"/>
      </w:r>
    </w:p>
    <w:p w:rsidR="002A30DC" w:rsidRDefault="00EF6456">
      <w:pPr>
        <w:spacing w:after="0" w:line="240" w:lineRule="atLeast"/>
        <w:rPr>
          <w:i/>
          <w:sz w:val="18"/>
          <w:szCs w:val="18"/>
        </w:rPr>
      </w:pPr>
      <w:r w:rsidRPr="00EF6456">
        <w:rPr>
          <w:b/>
          <w:i/>
          <w:sz w:val="18"/>
          <w:szCs w:val="18"/>
        </w:rPr>
        <w:lastRenderedPageBreak/>
        <w:t>Europese aanpak</w:t>
      </w:r>
    </w:p>
    <w:p w:rsidR="00EF6456" w:rsidP="00781CF8" w:rsidRDefault="00775576">
      <w:pPr>
        <w:spacing w:after="0" w:line="240" w:lineRule="atLeast"/>
        <w:rPr>
          <w:sz w:val="18"/>
          <w:szCs w:val="18"/>
        </w:rPr>
      </w:pPr>
      <w:r>
        <w:rPr>
          <w:sz w:val="18"/>
          <w:szCs w:val="18"/>
        </w:rPr>
        <w:t>Zoals al eerder gememoreerd wordt i</w:t>
      </w:r>
      <w:r w:rsidRPr="00892E75" w:rsidR="00EF6456">
        <w:rPr>
          <w:sz w:val="18"/>
          <w:szCs w:val="18"/>
        </w:rPr>
        <w:t xml:space="preserve">n Europees verband gesproken over een mogelijke herziening van de Richtlijn energiebelastingen. </w:t>
      </w:r>
      <w:r w:rsidR="00EF6456">
        <w:rPr>
          <w:sz w:val="18"/>
          <w:szCs w:val="18"/>
        </w:rPr>
        <w:t>De Europese Commissie heeft onlangs h</w:t>
      </w:r>
      <w:r w:rsidRPr="00892E75" w:rsidR="00EF6456">
        <w:rPr>
          <w:sz w:val="18"/>
          <w:szCs w:val="18"/>
        </w:rPr>
        <w:t xml:space="preserve">et eerste conceptvoorstel </w:t>
      </w:r>
      <w:r w:rsidR="00EF6456">
        <w:rPr>
          <w:sz w:val="18"/>
          <w:szCs w:val="18"/>
        </w:rPr>
        <w:t>voorgelegd</w:t>
      </w:r>
      <w:r w:rsidRPr="00892E75" w:rsidR="00EF6456">
        <w:rPr>
          <w:sz w:val="18"/>
          <w:szCs w:val="18"/>
        </w:rPr>
        <w:t xml:space="preserve">. </w:t>
      </w:r>
      <w:r w:rsidR="00EF6456">
        <w:rPr>
          <w:sz w:val="18"/>
          <w:szCs w:val="18"/>
        </w:rPr>
        <w:t xml:space="preserve">De concepttekst geeft een alternatief voor de hierboven geschetste nationale aanpak. </w:t>
      </w:r>
      <w:r w:rsidRPr="00892E75" w:rsidR="00EF6456">
        <w:rPr>
          <w:sz w:val="18"/>
          <w:szCs w:val="18"/>
        </w:rPr>
        <w:t>Een van de mogelijke aanpassingen betreft een geheel andere wijze van heffen van accijns, deels gebaseerd op de energie-inhoud van een product, deels op CO</w:t>
      </w:r>
      <w:r w:rsidRPr="00892E75" w:rsidR="00EF6456">
        <w:rPr>
          <w:sz w:val="18"/>
          <w:szCs w:val="18"/>
          <w:vertAlign w:val="subscript"/>
        </w:rPr>
        <w:t>2</w:t>
      </w:r>
      <w:r w:rsidRPr="00892E75" w:rsidR="00EF6456">
        <w:rPr>
          <w:sz w:val="18"/>
          <w:szCs w:val="18"/>
        </w:rPr>
        <w:t>-uitstoot. Indien dit door de lidstaten wordt geaccordeerd</w:t>
      </w:r>
      <w:r w:rsidR="0078532F">
        <w:rPr>
          <w:sz w:val="18"/>
          <w:szCs w:val="18"/>
        </w:rPr>
        <w:t xml:space="preserve">, is er aanleiding om de hiervoor beschreven werkwijze te herzien. Tot die tijd acht ik </w:t>
      </w:r>
      <w:r w:rsidR="0027721A">
        <w:rPr>
          <w:sz w:val="18"/>
          <w:szCs w:val="18"/>
        </w:rPr>
        <w:t xml:space="preserve">de hiervoor beschreven </w:t>
      </w:r>
      <w:r w:rsidR="0078532F">
        <w:rPr>
          <w:sz w:val="18"/>
          <w:szCs w:val="18"/>
        </w:rPr>
        <w:t xml:space="preserve">werkwijze echter de meest praktische en effectieve manier om te bevorderen dat groen gas op de meest efficiënte </w:t>
      </w:r>
      <w:r w:rsidR="0027721A">
        <w:rPr>
          <w:sz w:val="18"/>
          <w:szCs w:val="18"/>
        </w:rPr>
        <w:t xml:space="preserve">wijze </w:t>
      </w:r>
      <w:r w:rsidR="0078532F">
        <w:rPr>
          <w:sz w:val="18"/>
          <w:szCs w:val="18"/>
        </w:rPr>
        <w:t>wordt ingezet.</w:t>
      </w:r>
      <w:r w:rsidR="00EF6456">
        <w:rPr>
          <w:sz w:val="18"/>
          <w:szCs w:val="18"/>
        </w:rPr>
        <w:t xml:space="preserve"> </w:t>
      </w:r>
    </w:p>
    <w:p w:rsidR="00EF6456" w:rsidP="00781CF8" w:rsidRDefault="00EF6456">
      <w:pPr>
        <w:spacing w:after="0" w:line="240" w:lineRule="atLeast"/>
        <w:rPr>
          <w:sz w:val="18"/>
          <w:szCs w:val="18"/>
        </w:rPr>
      </w:pPr>
    </w:p>
    <w:p w:rsidRPr="00A514BC" w:rsidR="00EF6456" w:rsidP="00781CF8" w:rsidRDefault="00EF6456">
      <w:pPr>
        <w:spacing w:after="0" w:line="240" w:lineRule="atLeast"/>
        <w:rPr>
          <w:sz w:val="18"/>
          <w:szCs w:val="18"/>
        </w:rPr>
      </w:pPr>
    </w:p>
    <w:p w:rsidR="00EF6456" w:rsidP="00781CF8" w:rsidRDefault="00EF6456">
      <w:pPr>
        <w:spacing w:after="0" w:line="240" w:lineRule="auto"/>
        <w:rPr>
          <w:sz w:val="18"/>
          <w:szCs w:val="18"/>
        </w:rPr>
      </w:pPr>
      <w:r>
        <w:rPr>
          <w:sz w:val="18"/>
          <w:szCs w:val="18"/>
        </w:rPr>
        <w:br w:type="page"/>
      </w:r>
    </w:p>
    <w:p w:rsidRPr="00051C01" w:rsidR="00EF6456" w:rsidP="00781CF8" w:rsidRDefault="00EF6456">
      <w:pPr>
        <w:pStyle w:val="Kop1"/>
        <w:spacing w:before="0"/>
        <w:rPr>
          <w:rFonts w:ascii="Verdana" w:hAnsi="Verdana"/>
          <w:color w:val="auto"/>
          <w:sz w:val="18"/>
          <w:szCs w:val="18"/>
        </w:rPr>
      </w:pPr>
      <w:bookmarkStart w:name="_Toc292977511" w:id="50"/>
      <w:bookmarkStart w:name="_Toc293998551" w:id="51"/>
      <w:r w:rsidRPr="00051C01">
        <w:rPr>
          <w:rFonts w:ascii="Verdana" w:hAnsi="Verdana"/>
          <w:color w:val="auto"/>
          <w:sz w:val="18"/>
          <w:szCs w:val="18"/>
        </w:rPr>
        <w:lastRenderedPageBreak/>
        <w:t xml:space="preserve">Hoofdstuk </w:t>
      </w:r>
      <w:r>
        <w:rPr>
          <w:rFonts w:ascii="Verdana" w:hAnsi="Verdana"/>
          <w:color w:val="auto"/>
          <w:sz w:val="18"/>
          <w:szCs w:val="18"/>
        </w:rPr>
        <w:t>6</w:t>
      </w:r>
      <w:r w:rsidRPr="00051C01">
        <w:rPr>
          <w:rFonts w:ascii="Verdana" w:hAnsi="Verdana"/>
          <w:color w:val="auto"/>
          <w:sz w:val="18"/>
          <w:szCs w:val="18"/>
        </w:rPr>
        <w:t>. Biobrandstoffen</w:t>
      </w:r>
      <w:bookmarkEnd w:id="50"/>
      <w:bookmarkEnd w:id="51"/>
      <w:r w:rsidRPr="00051C01">
        <w:rPr>
          <w:rFonts w:ascii="Verdana" w:hAnsi="Verdana"/>
          <w:color w:val="auto"/>
          <w:sz w:val="18"/>
          <w:szCs w:val="18"/>
        </w:rPr>
        <w:br/>
      </w:r>
    </w:p>
    <w:p w:rsidRPr="00051C01" w:rsidR="00EF6456" w:rsidP="00781CF8" w:rsidRDefault="00EF6456">
      <w:pPr>
        <w:pStyle w:val="Kop2"/>
        <w:spacing w:before="0"/>
        <w:rPr>
          <w:rFonts w:ascii="Verdana" w:hAnsi="Verdana"/>
          <w:color w:val="auto"/>
          <w:sz w:val="18"/>
          <w:szCs w:val="18"/>
        </w:rPr>
      </w:pPr>
      <w:bookmarkStart w:name="_Toc292977512" w:id="52"/>
      <w:bookmarkStart w:name="_Toc293998552" w:id="53"/>
      <w:r>
        <w:rPr>
          <w:rFonts w:ascii="Verdana" w:hAnsi="Verdana"/>
          <w:color w:val="auto"/>
          <w:sz w:val="18"/>
          <w:szCs w:val="18"/>
        </w:rPr>
        <w:t>6</w:t>
      </w:r>
      <w:r w:rsidRPr="00051C01">
        <w:rPr>
          <w:rFonts w:ascii="Verdana" w:hAnsi="Verdana"/>
          <w:color w:val="auto"/>
          <w:sz w:val="18"/>
          <w:szCs w:val="18"/>
        </w:rPr>
        <w:t>.0. Samenvatting</w:t>
      </w:r>
      <w:bookmarkEnd w:id="52"/>
      <w:bookmarkEnd w:id="53"/>
    </w:p>
    <w:p w:rsidR="00EF6456" w:rsidP="00781CF8" w:rsidRDefault="007D5933">
      <w:pPr>
        <w:pBdr>
          <w:top w:val="single" w:color="auto" w:sz="4" w:space="1"/>
          <w:left w:val="single" w:color="auto" w:sz="4" w:space="4"/>
          <w:bottom w:val="single" w:color="auto" w:sz="4" w:space="1"/>
          <w:right w:val="single" w:color="auto" w:sz="4" w:space="4"/>
        </w:pBdr>
        <w:shd w:val="clear" w:color="auto" w:fill="D9D9D9"/>
        <w:spacing w:after="0" w:line="240" w:lineRule="atLeast"/>
        <w:rPr>
          <w:b/>
          <w:i/>
          <w:sz w:val="18"/>
          <w:szCs w:val="18"/>
        </w:rPr>
      </w:pPr>
      <w:r w:rsidRPr="006458AB">
        <w:rPr>
          <w:i/>
          <w:sz w:val="18"/>
          <w:szCs w:val="18"/>
        </w:rPr>
        <w:t xml:space="preserve">Nederland heeft er </w:t>
      </w:r>
      <w:r w:rsidR="00434B76">
        <w:rPr>
          <w:i/>
          <w:sz w:val="18"/>
          <w:szCs w:val="18"/>
        </w:rPr>
        <w:t xml:space="preserve">eerder </w:t>
      </w:r>
      <w:r w:rsidRPr="006458AB">
        <w:rPr>
          <w:i/>
          <w:sz w:val="18"/>
          <w:szCs w:val="18"/>
        </w:rPr>
        <w:t xml:space="preserve">voor gekozen het gebruik van biobrandstoffen niet fiscaal te faciliteren maar het gebruik ervan te stimuleren </w:t>
      </w:r>
      <w:r>
        <w:rPr>
          <w:i/>
          <w:sz w:val="18"/>
          <w:szCs w:val="18"/>
        </w:rPr>
        <w:t>door middel van</w:t>
      </w:r>
      <w:r w:rsidRPr="006458AB">
        <w:rPr>
          <w:i/>
          <w:sz w:val="18"/>
          <w:szCs w:val="18"/>
        </w:rPr>
        <w:t xml:space="preserve"> een verplichtingenregeling.</w:t>
      </w:r>
      <w:r>
        <w:rPr>
          <w:i/>
          <w:sz w:val="18"/>
          <w:szCs w:val="18"/>
        </w:rPr>
        <w:t xml:space="preserve"> Ter invulling van deze verplichting worden a</w:t>
      </w:r>
      <w:r w:rsidRPr="006458AB">
        <w:rPr>
          <w:i/>
          <w:sz w:val="18"/>
          <w:szCs w:val="18"/>
        </w:rPr>
        <w:t>an benzine en diesel biobrandstoffen toegevoegd</w:t>
      </w:r>
      <w:r>
        <w:rPr>
          <w:i/>
          <w:sz w:val="18"/>
          <w:szCs w:val="18"/>
        </w:rPr>
        <w:t xml:space="preserve"> en in beperkte mate ook biobrandstoffen in pure vorm op de markt gebracht</w:t>
      </w:r>
      <w:r w:rsidRPr="006458AB">
        <w:rPr>
          <w:i/>
          <w:sz w:val="18"/>
          <w:szCs w:val="18"/>
        </w:rPr>
        <w:t xml:space="preserve">. </w:t>
      </w:r>
      <w:r>
        <w:rPr>
          <w:i/>
          <w:sz w:val="18"/>
          <w:szCs w:val="18"/>
        </w:rPr>
        <w:t>B</w:t>
      </w:r>
      <w:r w:rsidRPr="006458AB">
        <w:rPr>
          <w:i/>
          <w:sz w:val="18"/>
          <w:szCs w:val="18"/>
        </w:rPr>
        <w:t xml:space="preserve">iobrandstoffen hebben </w:t>
      </w:r>
      <w:r>
        <w:rPr>
          <w:i/>
          <w:sz w:val="18"/>
          <w:szCs w:val="18"/>
        </w:rPr>
        <w:t xml:space="preserve">veelal </w:t>
      </w:r>
      <w:r w:rsidRPr="006458AB">
        <w:rPr>
          <w:i/>
          <w:sz w:val="18"/>
          <w:szCs w:val="18"/>
        </w:rPr>
        <w:t>een lagere energie-inhoud dan benzine en diesel.</w:t>
      </w:r>
      <w:r>
        <w:rPr>
          <w:i/>
          <w:sz w:val="18"/>
          <w:szCs w:val="18"/>
        </w:rPr>
        <w:t xml:space="preserve"> Dit geldt in het bijzonder voor ethanol.</w:t>
      </w:r>
      <w:r w:rsidRPr="006458AB">
        <w:rPr>
          <w:i/>
          <w:sz w:val="18"/>
          <w:szCs w:val="18"/>
        </w:rPr>
        <w:t xml:space="preserve"> </w:t>
      </w:r>
      <w:r>
        <w:rPr>
          <w:i/>
          <w:sz w:val="18"/>
          <w:szCs w:val="18"/>
        </w:rPr>
        <w:t>Voor E-85 is voorzien in een compensatie in de accijns vanwege deze lagere energie-inhoud. B</w:t>
      </w:r>
      <w:r w:rsidRPr="006458AB">
        <w:rPr>
          <w:i/>
          <w:sz w:val="18"/>
          <w:szCs w:val="18"/>
        </w:rPr>
        <w:t xml:space="preserve">ij verschillen in energie-inhoud </w:t>
      </w:r>
      <w:r>
        <w:rPr>
          <w:i/>
          <w:sz w:val="18"/>
          <w:szCs w:val="18"/>
        </w:rPr>
        <w:t xml:space="preserve">voor bijmengingen die verder gaan dan de op termijn voorziene minimale bijmenging, ben ik voornemens in </w:t>
      </w:r>
      <w:r w:rsidRPr="006458AB">
        <w:rPr>
          <w:i/>
          <w:sz w:val="18"/>
          <w:szCs w:val="18"/>
        </w:rPr>
        <w:t xml:space="preserve">een compensatie via een gedeeltelijke teruggaaf van accijns </w:t>
      </w:r>
      <w:r>
        <w:rPr>
          <w:i/>
          <w:sz w:val="18"/>
          <w:szCs w:val="18"/>
        </w:rPr>
        <w:t>te voorzien</w:t>
      </w:r>
      <w:r w:rsidRPr="006458AB">
        <w:rPr>
          <w:i/>
          <w:sz w:val="18"/>
          <w:szCs w:val="18"/>
        </w:rPr>
        <w:t>.</w:t>
      </w:r>
    </w:p>
    <w:p w:rsidR="00EF6456" w:rsidP="00781CF8" w:rsidRDefault="00EF6456">
      <w:pPr>
        <w:spacing w:after="0" w:line="240" w:lineRule="atLeast"/>
        <w:rPr>
          <w:b/>
          <w:sz w:val="18"/>
          <w:szCs w:val="18"/>
        </w:rPr>
      </w:pPr>
    </w:p>
    <w:p w:rsidRPr="00051C01" w:rsidR="00EF6456" w:rsidP="00781CF8" w:rsidRDefault="00EF6456">
      <w:pPr>
        <w:pStyle w:val="Kop2"/>
        <w:spacing w:before="0"/>
        <w:rPr>
          <w:rFonts w:ascii="Verdana" w:hAnsi="Verdana"/>
          <w:color w:val="auto"/>
          <w:sz w:val="18"/>
          <w:szCs w:val="18"/>
        </w:rPr>
      </w:pPr>
      <w:bookmarkStart w:name="_Toc292977513" w:id="54"/>
      <w:bookmarkStart w:name="_Toc293998553" w:id="55"/>
      <w:r>
        <w:rPr>
          <w:rFonts w:ascii="Verdana" w:hAnsi="Verdana"/>
          <w:color w:val="auto"/>
          <w:sz w:val="18"/>
          <w:szCs w:val="18"/>
        </w:rPr>
        <w:t>6</w:t>
      </w:r>
      <w:r w:rsidRPr="00051C01">
        <w:rPr>
          <w:rFonts w:ascii="Verdana" w:hAnsi="Verdana"/>
          <w:color w:val="auto"/>
          <w:sz w:val="18"/>
          <w:szCs w:val="18"/>
        </w:rPr>
        <w:t>.1. Inleiding</w:t>
      </w:r>
      <w:bookmarkEnd w:id="54"/>
      <w:bookmarkEnd w:id="55"/>
    </w:p>
    <w:p w:rsidR="00EF6456" w:rsidP="00781CF8" w:rsidRDefault="00EF6456">
      <w:pPr>
        <w:spacing w:after="0" w:line="240" w:lineRule="atLeast"/>
        <w:rPr>
          <w:sz w:val="18"/>
          <w:szCs w:val="18"/>
        </w:rPr>
      </w:pPr>
      <w:r w:rsidRPr="00892E75">
        <w:rPr>
          <w:sz w:val="18"/>
          <w:szCs w:val="18"/>
        </w:rPr>
        <w:t>Op grond van de Richtlijn energiebelastingen kunnen sinds 1 januari 2004 ook andere producten dan minerale oliën, aardgas, kolen of elektriciteit worden aangemerkt als energieproduct. De belangrijkste hiervan zijn plantaardige en dierlijke oliën en vetten alsmede biodiesel. Voor deze producten is niet voorzien in een afzonderlijk accijnstarief. Als deze worden gebruikt als brandstof voor verwarming of als motorbrandstof is het accijnstarief van het gelijkwaardige product van toepassing. Veelal is dit het tarief van diesel. Daarnaast wordt in toenemende mate alcohol</w:t>
      </w:r>
      <w:r>
        <w:rPr>
          <w:sz w:val="18"/>
          <w:szCs w:val="18"/>
        </w:rPr>
        <w:t xml:space="preserve"> en dan met name bio-ethanol</w:t>
      </w:r>
      <w:r w:rsidRPr="00892E75">
        <w:rPr>
          <w:sz w:val="18"/>
          <w:szCs w:val="18"/>
        </w:rPr>
        <w:t xml:space="preserve"> als motorbrandstof gebruikt, meestal door toevoeging aan benzine. Alcohol wordt in de Richtlijn energiebelastingen en de Wet op de accijns niet aangemerkt als energieproduct. Omdat alcohol meestal wordt gebruikt voor andere doeleinden, met name dranken, is hiervoor alcoholaccijns verschuldigd. Als alcohol wordt gebruikt als brandstof is echter het accijnstarief verschuldigd van de gelijkwaardige brandstof benzine. Om accijnstechnische problemen te voorkomen zal de alcohol doorgaans vooraf zijn gedenatureerd met bijvoorbeeld benzine. </w:t>
      </w:r>
    </w:p>
    <w:p w:rsidRPr="00892E75" w:rsidR="00EF6456" w:rsidP="00781CF8" w:rsidRDefault="00EF6456">
      <w:pPr>
        <w:spacing w:after="0" w:line="240" w:lineRule="atLeast"/>
        <w:rPr>
          <w:sz w:val="18"/>
          <w:szCs w:val="18"/>
        </w:rPr>
      </w:pPr>
      <w:r w:rsidRPr="00892E75">
        <w:rPr>
          <w:sz w:val="18"/>
          <w:szCs w:val="18"/>
        </w:rPr>
        <w:t>Nederland heeft er</w:t>
      </w:r>
      <w:r w:rsidR="00437FCF">
        <w:rPr>
          <w:sz w:val="18"/>
          <w:szCs w:val="18"/>
        </w:rPr>
        <w:t xml:space="preserve"> </w:t>
      </w:r>
      <w:r w:rsidRPr="00892E75">
        <w:rPr>
          <w:sz w:val="18"/>
          <w:szCs w:val="18"/>
        </w:rPr>
        <w:t xml:space="preserve">voor gekozen het gebruik van biobrandstoffen niet te stimuleren via fiscale maatregelen zoals een lagere accijns, maar via de hierna </w:t>
      </w:r>
      <w:r w:rsidR="00A25291">
        <w:rPr>
          <w:sz w:val="18"/>
          <w:szCs w:val="18"/>
        </w:rPr>
        <w:t>beschreven</w:t>
      </w:r>
      <w:r w:rsidRPr="00892E75" w:rsidR="00A25291">
        <w:rPr>
          <w:sz w:val="18"/>
          <w:szCs w:val="18"/>
        </w:rPr>
        <w:t xml:space="preserve"> </w:t>
      </w:r>
      <w:r w:rsidRPr="00892E75">
        <w:rPr>
          <w:sz w:val="18"/>
          <w:szCs w:val="18"/>
        </w:rPr>
        <w:t>verplichtingenregeling.</w:t>
      </w:r>
      <w:r w:rsidRPr="00892E75">
        <w:rPr>
          <w:sz w:val="18"/>
          <w:szCs w:val="18"/>
        </w:rPr>
        <w:br/>
      </w:r>
    </w:p>
    <w:p w:rsidRPr="00051C01" w:rsidR="00EF6456" w:rsidP="00781CF8" w:rsidRDefault="00EF6456">
      <w:pPr>
        <w:pStyle w:val="Kop2"/>
        <w:spacing w:before="0"/>
        <w:rPr>
          <w:rFonts w:ascii="Verdana" w:hAnsi="Verdana"/>
          <w:color w:val="auto"/>
          <w:sz w:val="18"/>
          <w:szCs w:val="18"/>
        </w:rPr>
      </w:pPr>
      <w:bookmarkStart w:name="_Toc292977514" w:id="56"/>
      <w:bookmarkStart w:name="_Toc293998554" w:id="57"/>
      <w:r>
        <w:rPr>
          <w:rFonts w:ascii="Verdana" w:hAnsi="Verdana"/>
          <w:color w:val="auto"/>
          <w:sz w:val="18"/>
          <w:szCs w:val="18"/>
        </w:rPr>
        <w:t>6</w:t>
      </w:r>
      <w:r w:rsidRPr="00051C01">
        <w:rPr>
          <w:rFonts w:ascii="Verdana" w:hAnsi="Verdana"/>
          <w:color w:val="auto"/>
          <w:sz w:val="18"/>
          <w:szCs w:val="18"/>
        </w:rPr>
        <w:t>.</w:t>
      </w:r>
      <w:r>
        <w:rPr>
          <w:rFonts w:ascii="Verdana" w:hAnsi="Verdana"/>
          <w:color w:val="auto"/>
          <w:sz w:val="18"/>
          <w:szCs w:val="18"/>
        </w:rPr>
        <w:t>2</w:t>
      </w:r>
      <w:r w:rsidRPr="00051C01">
        <w:rPr>
          <w:rFonts w:ascii="Verdana" w:hAnsi="Verdana"/>
          <w:color w:val="auto"/>
          <w:sz w:val="18"/>
          <w:szCs w:val="18"/>
        </w:rPr>
        <w:t>. Biobrandstofverplichtingen</w:t>
      </w:r>
      <w:bookmarkEnd w:id="56"/>
      <w:bookmarkEnd w:id="57"/>
    </w:p>
    <w:p w:rsidRPr="00892E75" w:rsidR="00EF6456" w:rsidP="00781CF8" w:rsidRDefault="00EF6456">
      <w:pPr>
        <w:spacing w:after="0" w:line="240" w:lineRule="atLeast"/>
        <w:rPr>
          <w:sz w:val="18"/>
          <w:szCs w:val="18"/>
        </w:rPr>
      </w:pPr>
      <w:r w:rsidRPr="00892E75">
        <w:rPr>
          <w:sz w:val="18"/>
          <w:szCs w:val="18"/>
        </w:rPr>
        <w:t>Vanaf 1 januari 2011 mag benzine op grond van de Richtlijn Brandstofkwaliteit</w:t>
      </w:r>
      <w:r w:rsidRPr="00892E75">
        <w:rPr>
          <w:sz w:val="18"/>
          <w:szCs w:val="18"/>
          <w:vertAlign w:val="superscript"/>
        </w:rPr>
        <w:footnoteReference w:id="20"/>
      </w:r>
      <w:r w:rsidRPr="00892E75">
        <w:rPr>
          <w:sz w:val="18"/>
          <w:szCs w:val="18"/>
        </w:rPr>
        <w:t xml:space="preserve"> 10</w:t>
      </w:r>
      <w:r w:rsidR="007D5933">
        <w:rPr>
          <w:sz w:val="18"/>
          <w:szCs w:val="18"/>
        </w:rPr>
        <w:t xml:space="preserve"> volume</w:t>
      </w:r>
      <w:r w:rsidRPr="00892E75">
        <w:rPr>
          <w:sz w:val="18"/>
          <w:szCs w:val="18"/>
        </w:rPr>
        <w:t>% ethanol bevatten. Op grond van dezelfde richtlijn mag diesel vanaf 1 januari 2011 7</w:t>
      </w:r>
      <w:r w:rsidR="007D5933">
        <w:rPr>
          <w:sz w:val="18"/>
          <w:szCs w:val="18"/>
        </w:rPr>
        <w:t xml:space="preserve"> volume</w:t>
      </w:r>
      <w:r w:rsidRPr="00892E75">
        <w:rPr>
          <w:sz w:val="18"/>
          <w:szCs w:val="18"/>
        </w:rPr>
        <w:t>% FAME (biodiesel</w:t>
      </w:r>
      <w:r>
        <w:rPr>
          <w:sz w:val="18"/>
          <w:szCs w:val="18"/>
        </w:rPr>
        <w:t xml:space="preserve">, </w:t>
      </w:r>
      <w:r w:rsidRPr="009E1457">
        <w:rPr>
          <w:rFonts w:cs="Arial"/>
          <w:color w:val="000000"/>
          <w:sz w:val="18"/>
          <w:szCs w:val="18"/>
        </w:rPr>
        <w:t>Fatty Acid Methyl Ester</w:t>
      </w:r>
      <w:r w:rsidRPr="00BA328F">
        <w:rPr>
          <w:sz w:val="18"/>
          <w:szCs w:val="18"/>
        </w:rPr>
        <w:t>)</w:t>
      </w:r>
      <w:r w:rsidRPr="00892E75">
        <w:rPr>
          <w:sz w:val="18"/>
          <w:szCs w:val="18"/>
        </w:rPr>
        <w:t xml:space="preserve"> bevatten. Volgens de Richtlijn voor He</w:t>
      </w:r>
      <w:r w:rsidR="00B35FAC">
        <w:rPr>
          <w:sz w:val="18"/>
          <w:szCs w:val="18"/>
        </w:rPr>
        <w:t>r</w:t>
      </w:r>
      <w:r w:rsidRPr="00892E75">
        <w:rPr>
          <w:sz w:val="18"/>
          <w:szCs w:val="18"/>
        </w:rPr>
        <w:t>nieuwbare Energie</w:t>
      </w:r>
      <w:r w:rsidR="00F26507">
        <w:rPr>
          <w:rStyle w:val="Voetnootmarkering"/>
          <w:sz w:val="18"/>
          <w:szCs w:val="18"/>
        </w:rPr>
        <w:footnoteReference w:id="21"/>
      </w:r>
      <w:r w:rsidRPr="00892E75">
        <w:rPr>
          <w:sz w:val="18"/>
          <w:szCs w:val="18"/>
        </w:rPr>
        <w:t xml:space="preserve"> moet in 2020 het aandeel hernieuwbare energie in het wegverkeer in elke lidstaat van de Europese Unie minimaal 10</w:t>
      </w:r>
      <w:r w:rsidR="007D5933">
        <w:rPr>
          <w:sz w:val="18"/>
          <w:szCs w:val="18"/>
        </w:rPr>
        <w:t xml:space="preserve"> energie</w:t>
      </w:r>
      <w:r w:rsidRPr="00892E75">
        <w:rPr>
          <w:sz w:val="18"/>
          <w:szCs w:val="18"/>
        </w:rPr>
        <w:t>% bedragen.</w:t>
      </w:r>
      <w:r w:rsidR="007D5933">
        <w:rPr>
          <w:sz w:val="18"/>
          <w:szCs w:val="18"/>
        </w:rPr>
        <w:t xml:space="preserve"> Voor benzine komt dit overeen met een aandeel van bijna 14,8 volume% ethanol en voor diesel met aan aandeel van 10.6 volume% biodiesel.</w:t>
      </w:r>
    </w:p>
    <w:p w:rsidR="00A25291" w:rsidP="00781CF8" w:rsidRDefault="00EF6456">
      <w:pPr>
        <w:spacing w:after="0" w:line="240" w:lineRule="atLeast"/>
        <w:rPr>
          <w:sz w:val="18"/>
          <w:szCs w:val="18"/>
        </w:rPr>
      </w:pPr>
      <w:r w:rsidRPr="00892E75">
        <w:rPr>
          <w:sz w:val="18"/>
          <w:szCs w:val="18"/>
        </w:rPr>
        <w:t xml:space="preserve">Nederland heeft een en ander gereguleerd in onder meer het </w:t>
      </w:r>
      <w:r>
        <w:rPr>
          <w:sz w:val="18"/>
          <w:szCs w:val="18"/>
        </w:rPr>
        <w:t xml:space="preserve">Besluit hernieuwbare energie vervoer (met ingang van 1-1-2011; daarvoor met ingang van 1-1-2007: </w:t>
      </w:r>
      <w:r w:rsidRPr="00892E75">
        <w:rPr>
          <w:sz w:val="18"/>
          <w:szCs w:val="18"/>
        </w:rPr>
        <w:t>Besluit biobrandstoffen wegverkeer 2007</w:t>
      </w:r>
      <w:r>
        <w:rPr>
          <w:sz w:val="18"/>
          <w:szCs w:val="18"/>
        </w:rPr>
        <w:t>)</w:t>
      </w:r>
      <w:r w:rsidRPr="00892E75">
        <w:rPr>
          <w:sz w:val="18"/>
          <w:szCs w:val="18"/>
        </w:rPr>
        <w:t xml:space="preserve">. Op grond van dit Besluit moeten partijen die benzine en diesel op de Nederlandse markt brengen een bepaald percentage (op energiebasis) van hun afzet in de vorm van </w:t>
      </w:r>
      <w:r w:rsidR="007D5933">
        <w:rPr>
          <w:sz w:val="18"/>
          <w:szCs w:val="18"/>
        </w:rPr>
        <w:t>hernieuwbare energie</w:t>
      </w:r>
      <w:r w:rsidRPr="00892E75" w:rsidR="007D5933">
        <w:rPr>
          <w:sz w:val="18"/>
          <w:szCs w:val="18"/>
        </w:rPr>
        <w:t xml:space="preserve"> </w:t>
      </w:r>
      <w:r w:rsidRPr="00892E75">
        <w:rPr>
          <w:sz w:val="18"/>
          <w:szCs w:val="18"/>
        </w:rPr>
        <w:t xml:space="preserve">leveren. </w:t>
      </w:r>
      <w:r w:rsidR="007D5933">
        <w:rPr>
          <w:sz w:val="18"/>
          <w:szCs w:val="18"/>
        </w:rPr>
        <w:t xml:space="preserve">Veelal gaat het hierbij om biobrandstoffen. </w:t>
      </w:r>
      <w:r w:rsidRPr="00892E75">
        <w:rPr>
          <w:sz w:val="18"/>
          <w:szCs w:val="18"/>
        </w:rPr>
        <w:t>Voor 2011 is het verplichte deel 4,25%.</w:t>
      </w:r>
    </w:p>
    <w:p w:rsidR="00A25291" w:rsidP="00781CF8" w:rsidRDefault="00EF6456">
      <w:pPr>
        <w:spacing w:after="0" w:line="240" w:lineRule="atLeast"/>
        <w:rPr>
          <w:sz w:val="18"/>
          <w:szCs w:val="18"/>
        </w:rPr>
      </w:pPr>
      <w:r w:rsidRPr="00892E75">
        <w:rPr>
          <w:sz w:val="18"/>
          <w:szCs w:val="18"/>
        </w:rPr>
        <w:t>De verplichting op grond van dit Besluit wordt geregistreerd via een massabalans. Hierdoor kunnen sommige partijen benzine of diesel in het geheel geen biobrandstof bevatten, terwijl andere partijen product</w:t>
      </w:r>
      <w:r w:rsidR="00437FCF">
        <w:rPr>
          <w:sz w:val="18"/>
          <w:szCs w:val="18"/>
        </w:rPr>
        <w:t>, zoals het hierna te noemen E85,</w:t>
      </w:r>
      <w:r w:rsidRPr="00892E75">
        <w:rPr>
          <w:sz w:val="18"/>
          <w:szCs w:val="18"/>
        </w:rPr>
        <w:t xml:space="preserve"> bestaan uit een hoog percentage biobrandstof. Niettemin hebben de meeste producenten van benzine en diesel er</w:t>
      </w:r>
      <w:r w:rsidR="00437FCF">
        <w:rPr>
          <w:sz w:val="18"/>
          <w:szCs w:val="18"/>
        </w:rPr>
        <w:t xml:space="preserve"> </w:t>
      </w:r>
      <w:r w:rsidRPr="00892E75">
        <w:rPr>
          <w:sz w:val="18"/>
          <w:szCs w:val="18"/>
        </w:rPr>
        <w:t>voor gekozen om de minimaal verplichte hoeveelheid biobrandstof bij te mengen in benzine en diesel. In benzine wordt bio-ethanol bijgemengd, in diesel biodiesel.</w:t>
      </w:r>
    </w:p>
    <w:p w:rsidRPr="00892E75" w:rsidR="00EF6456" w:rsidP="00781CF8" w:rsidRDefault="00EF6456">
      <w:pPr>
        <w:spacing w:after="0" w:line="240" w:lineRule="atLeast"/>
        <w:rPr>
          <w:sz w:val="18"/>
          <w:szCs w:val="18"/>
        </w:rPr>
      </w:pPr>
    </w:p>
    <w:p w:rsidR="000F4FCC" w:rsidP="00781CF8" w:rsidRDefault="00EF6456">
      <w:pPr>
        <w:spacing w:after="0" w:line="240" w:lineRule="atLeast"/>
        <w:rPr>
          <w:sz w:val="18"/>
          <w:szCs w:val="18"/>
        </w:rPr>
      </w:pPr>
      <w:bookmarkStart w:name="_Toc292977515" w:id="58"/>
      <w:bookmarkStart w:name="_Toc293998555" w:id="59"/>
      <w:r>
        <w:rPr>
          <w:rStyle w:val="Kop2Char"/>
          <w:rFonts w:ascii="Verdana" w:hAnsi="Verdana"/>
          <w:color w:val="auto"/>
          <w:sz w:val="18"/>
          <w:szCs w:val="18"/>
        </w:rPr>
        <w:t>6</w:t>
      </w:r>
      <w:r w:rsidRPr="00051C01">
        <w:rPr>
          <w:rStyle w:val="Kop2Char"/>
          <w:rFonts w:ascii="Verdana" w:hAnsi="Verdana"/>
          <w:color w:val="auto"/>
          <w:sz w:val="18"/>
          <w:szCs w:val="18"/>
        </w:rPr>
        <w:t>.</w:t>
      </w:r>
      <w:r>
        <w:rPr>
          <w:rStyle w:val="Kop2Char"/>
          <w:rFonts w:ascii="Verdana" w:hAnsi="Verdana"/>
          <w:color w:val="auto"/>
          <w:sz w:val="18"/>
          <w:szCs w:val="18"/>
        </w:rPr>
        <w:t>3</w:t>
      </w:r>
      <w:r w:rsidRPr="00051C01">
        <w:rPr>
          <w:rStyle w:val="Kop2Char"/>
          <w:rFonts w:ascii="Verdana" w:hAnsi="Verdana"/>
          <w:color w:val="auto"/>
          <w:sz w:val="18"/>
          <w:szCs w:val="18"/>
        </w:rPr>
        <w:t>. Energie-inhoud</w:t>
      </w:r>
      <w:bookmarkEnd w:id="58"/>
      <w:bookmarkEnd w:id="59"/>
      <w:r w:rsidRPr="00892E75">
        <w:rPr>
          <w:b/>
          <w:sz w:val="18"/>
          <w:szCs w:val="18"/>
        </w:rPr>
        <w:br/>
      </w:r>
      <w:r w:rsidRPr="00892E75">
        <w:rPr>
          <w:sz w:val="18"/>
          <w:szCs w:val="18"/>
        </w:rPr>
        <w:t xml:space="preserve">Bio-ethanol en biodiesel hebben een lagere energie-inhoud dan benzine en diesel. Door bijmenging van bio-ethanol en biodiesel in respectievelijk benzine en diesel zal de energie-inhoud van deze benzine en diesel lager zijn dan de energie-inhoud van benzine en gasolie zonder bijgemengde biobrandstoffen. Omdat voor benzine en diesel met bijgemengde biobrandstoffen het reguliere accijnstarief geldt, </w:t>
      </w:r>
      <w:r w:rsidR="008D5185">
        <w:rPr>
          <w:sz w:val="18"/>
          <w:szCs w:val="18"/>
        </w:rPr>
        <w:t xml:space="preserve">wordt wel </w:t>
      </w:r>
      <w:r w:rsidRPr="00892E75">
        <w:rPr>
          <w:sz w:val="18"/>
          <w:szCs w:val="18"/>
        </w:rPr>
        <w:t xml:space="preserve">gesteld dat </w:t>
      </w:r>
      <w:r w:rsidR="008D5185">
        <w:rPr>
          <w:sz w:val="18"/>
          <w:szCs w:val="18"/>
        </w:rPr>
        <w:t xml:space="preserve">naar verhouding </w:t>
      </w:r>
      <w:r w:rsidRPr="00892E75">
        <w:rPr>
          <w:sz w:val="18"/>
          <w:szCs w:val="18"/>
        </w:rPr>
        <w:t xml:space="preserve">te veel accijns wordt afgedragen. Door </w:t>
      </w:r>
      <w:r w:rsidRPr="00892E75">
        <w:rPr>
          <w:sz w:val="18"/>
          <w:szCs w:val="18"/>
        </w:rPr>
        <w:lastRenderedPageBreak/>
        <w:t xml:space="preserve">het huidige lage percentage aan biobrandstof is de afwijking in energie-inhoud echter gering. Bovendien bevat de meeste benzine en diesel biobrandstof. </w:t>
      </w:r>
    </w:p>
    <w:p w:rsidRPr="00892E75" w:rsidR="00EF6456" w:rsidP="00781CF8" w:rsidRDefault="00EF6456">
      <w:pPr>
        <w:spacing w:after="0" w:line="240" w:lineRule="atLeast"/>
        <w:rPr>
          <w:sz w:val="18"/>
          <w:szCs w:val="18"/>
        </w:rPr>
      </w:pPr>
      <w:r>
        <w:rPr>
          <w:sz w:val="18"/>
          <w:szCs w:val="18"/>
        </w:rPr>
        <w:t xml:space="preserve">In 2006 </w:t>
      </w:r>
      <w:r w:rsidR="008D5185">
        <w:rPr>
          <w:sz w:val="18"/>
          <w:szCs w:val="18"/>
        </w:rPr>
        <w:t>is (</w:t>
      </w:r>
      <w:r>
        <w:rPr>
          <w:sz w:val="18"/>
          <w:szCs w:val="18"/>
        </w:rPr>
        <w:t>alleen voor dat jaar</w:t>
      </w:r>
      <w:r w:rsidR="008D5185">
        <w:rPr>
          <w:sz w:val="18"/>
          <w:szCs w:val="18"/>
        </w:rPr>
        <w:t xml:space="preserve"> en onder daarbij gestelde voorwaarden en beperkingen)</w:t>
      </w:r>
      <w:r>
        <w:rPr>
          <w:sz w:val="18"/>
          <w:szCs w:val="18"/>
        </w:rPr>
        <w:t xml:space="preserve"> </w:t>
      </w:r>
      <w:r w:rsidR="008D5185">
        <w:rPr>
          <w:sz w:val="18"/>
          <w:szCs w:val="18"/>
        </w:rPr>
        <w:t xml:space="preserve">een </w:t>
      </w:r>
      <w:r w:rsidR="00AD1403">
        <w:rPr>
          <w:sz w:val="18"/>
          <w:szCs w:val="18"/>
        </w:rPr>
        <w:t xml:space="preserve">gedeeltelijke </w:t>
      </w:r>
      <w:r w:rsidR="008D5185">
        <w:rPr>
          <w:sz w:val="18"/>
          <w:szCs w:val="18"/>
        </w:rPr>
        <w:t>accijnsvrijstelling van toepassing geweest op de hoeveelheid biobrandstof die aan benzine of diesel was toegevoegd</w:t>
      </w:r>
      <w:r>
        <w:rPr>
          <w:sz w:val="18"/>
          <w:szCs w:val="18"/>
        </w:rPr>
        <w:t>. Met ingang van 1</w:t>
      </w:r>
      <w:r w:rsidR="008D5185">
        <w:rPr>
          <w:sz w:val="18"/>
          <w:szCs w:val="18"/>
        </w:rPr>
        <w:t> </w:t>
      </w:r>
      <w:r>
        <w:rPr>
          <w:sz w:val="18"/>
          <w:szCs w:val="18"/>
        </w:rPr>
        <w:t xml:space="preserve">januari 2007 kwam deze regeling weer te vervallen, omdat vanaf deze datum de in de vorige paragraaf genoemde verplichting </w:t>
      </w:r>
      <w:r w:rsidR="0027721A">
        <w:rPr>
          <w:sz w:val="18"/>
          <w:szCs w:val="18"/>
        </w:rPr>
        <w:t xml:space="preserve">is gaan </w:t>
      </w:r>
      <w:r>
        <w:rPr>
          <w:sz w:val="18"/>
          <w:szCs w:val="18"/>
        </w:rPr>
        <w:t>gelden en er</w:t>
      </w:r>
      <w:r w:rsidR="00437FCF">
        <w:rPr>
          <w:sz w:val="18"/>
          <w:szCs w:val="18"/>
        </w:rPr>
        <w:t xml:space="preserve"> </w:t>
      </w:r>
      <w:r>
        <w:rPr>
          <w:sz w:val="18"/>
          <w:szCs w:val="18"/>
        </w:rPr>
        <w:t xml:space="preserve">voor werd gekozen om de toevoeging van biobrandstoffen niet langer fiscaal te faciliteren. </w:t>
      </w:r>
    </w:p>
    <w:p w:rsidR="008D5185" w:rsidP="00781CF8" w:rsidRDefault="008D5185">
      <w:pPr>
        <w:spacing w:after="0" w:line="240" w:lineRule="atLeast"/>
        <w:rPr>
          <w:sz w:val="18"/>
          <w:szCs w:val="18"/>
        </w:rPr>
      </w:pPr>
    </w:p>
    <w:p w:rsidRPr="00892E75" w:rsidR="00EF6456" w:rsidP="00781CF8" w:rsidRDefault="00EF6456">
      <w:pPr>
        <w:spacing w:after="0" w:line="240" w:lineRule="atLeast"/>
        <w:rPr>
          <w:sz w:val="18"/>
          <w:szCs w:val="18"/>
        </w:rPr>
      </w:pPr>
      <w:r w:rsidRPr="00892E75">
        <w:rPr>
          <w:sz w:val="18"/>
          <w:szCs w:val="18"/>
        </w:rPr>
        <w:t xml:space="preserve">Naast benzine en diesel met de minimale hoeveelheden </w:t>
      </w:r>
      <w:r w:rsidR="0027721A">
        <w:rPr>
          <w:sz w:val="18"/>
          <w:szCs w:val="18"/>
        </w:rPr>
        <w:t xml:space="preserve">bijgemengde </w:t>
      </w:r>
      <w:r w:rsidRPr="00892E75">
        <w:rPr>
          <w:sz w:val="18"/>
          <w:szCs w:val="18"/>
        </w:rPr>
        <w:t>biobrandstof komen ook nieuwe producten op de markt. Een daarvan is E85, een mengsel van 70-85% bio-ethanol met benzine. E85 wordt belast naar het accijnstarief van benzine, maar de energie-inhoud is ongeveer 27% lager dan die van benzine. Om dit te compenseren voorziet de Wet op de accijns met ingang van 1 april 2010 in de mogelijkheid om onder voorwaarden teruggaaf van accijns te vragen ter grootte van 27% van het accijnstarief van benzine.</w:t>
      </w:r>
    </w:p>
    <w:p w:rsidR="00D461C3" w:rsidP="00781CF8" w:rsidRDefault="00D461C3">
      <w:pPr>
        <w:spacing w:after="0" w:line="240" w:lineRule="atLeast"/>
        <w:rPr>
          <w:sz w:val="18"/>
          <w:szCs w:val="18"/>
        </w:rPr>
      </w:pPr>
      <w:r>
        <w:rPr>
          <w:sz w:val="18"/>
          <w:szCs w:val="18"/>
        </w:rPr>
        <w:t>M</w:t>
      </w:r>
      <w:r w:rsidRPr="00892E75" w:rsidR="00EF6456">
        <w:rPr>
          <w:sz w:val="18"/>
          <w:szCs w:val="18"/>
        </w:rPr>
        <w:t xml:space="preserve">ijn ambtsvoorganger </w:t>
      </w:r>
      <w:r>
        <w:rPr>
          <w:sz w:val="18"/>
          <w:szCs w:val="18"/>
        </w:rPr>
        <w:t xml:space="preserve">heeft </w:t>
      </w:r>
      <w:r w:rsidR="00EF6456">
        <w:rPr>
          <w:sz w:val="18"/>
          <w:szCs w:val="18"/>
        </w:rPr>
        <w:t>toegezegd</w:t>
      </w:r>
      <w:r w:rsidRPr="00892E75" w:rsidR="00EF6456">
        <w:rPr>
          <w:sz w:val="18"/>
          <w:szCs w:val="18"/>
        </w:rPr>
        <w:t xml:space="preserve"> om andere hogere blends met een afwijkende energie-inhoud op vergelijkbare wijze te behandelen als E85</w:t>
      </w:r>
      <w:r w:rsidR="00EF6456">
        <w:rPr>
          <w:sz w:val="18"/>
          <w:szCs w:val="18"/>
        </w:rPr>
        <w:t>,</w:t>
      </w:r>
      <w:r w:rsidRPr="00892E75" w:rsidR="00EF6456">
        <w:rPr>
          <w:sz w:val="18"/>
          <w:szCs w:val="18"/>
        </w:rPr>
        <w:t xml:space="preserve"> wanneer deze op de markt komen. </w:t>
      </w:r>
      <w:r>
        <w:rPr>
          <w:sz w:val="18"/>
          <w:szCs w:val="18"/>
        </w:rPr>
        <w:t xml:space="preserve">Ik ben </w:t>
      </w:r>
      <w:r w:rsidR="009028E0">
        <w:rPr>
          <w:sz w:val="18"/>
          <w:szCs w:val="18"/>
        </w:rPr>
        <w:t xml:space="preserve">voornemens om voor blends die meer biobrandstoffen bevatten dan de verplichting op basis van </w:t>
      </w:r>
      <w:r>
        <w:rPr>
          <w:sz w:val="18"/>
          <w:szCs w:val="18"/>
        </w:rPr>
        <w:t xml:space="preserve">de </w:t>
      </w:r>
      <w:r w:rsidRPr="00892E75">
        <w:rPr>
          <w:sz w:val="18"/>
          <w:szCs w:val="18"/>
        </w:rPr>
        <w:t>Richtlijn voor He</w:t>
      </w:r>
      <w:r>
        <w:rPr>
          <w:sz w:val="18"/>
          <w:szCs w:val="18"/>
        </w:rPr>
        <w:t>r</w:t>
      </w:r>
      <w:r w:rsidRPr="00892E75">
        <w:rPr>
          <w:sz w:val="18"/>
          <w:szCs w:val="18"/>
        </w:rPr>
        <w:t>nieuwbare Energie</w:t>
      </w:r>
      <w:r w:rsidR="0027721A">
        <w:rPr>
          <w:sz w:val="18"/>
          <w:szCs w:val="18"/>
        </w:rPr>
        <w:t xml:space="preserve"> </w:t>
      </w:r>
      <w:r w:rsidR="009028E0">
        <w:rPr>
          <w:sz w:val="18"/>
          <w:szCs w:val="18"/>
        </w:rPr>
        <w:t xml:space="preserve">een </w:t>
      </w:r>
      <w:r w:rsidR="0087239C">
        <w:rPr>
          <w:sz w:val="18"/>
          <w:szCs w:val="18"/>
        </w:rPr>
        <w:t xml:space="preserve">generieke </w:t>
      </w:r>
      <w:r w:rsidR="009028E0">
        <w:rPr>
          <w:sz w:val="18"/>
          <w:szCs w:val="18"/>
        </w:rPr>
        <w:t xml:space="preserve">regeling te treffen. Daarbij ga ik </w:t>
      </w:r>
      <w:r w:rsidR="00B6727D">
        <w:rPr>
          <w:sz w:val="18"/>
          <w:szCs w:val="18"/>
        </w:rPr>
        <w:t xml:space="preserve">uit </w:t>
      </w:r>
      <w:r w:rsidR="009028E0">
        <w:rPr>
          <w:sz w:val="18"/>
          <w:szCs w:val="18"/>
        </w:rPr>
        <w:t xml:space="preserve">van de verplichting zoals die op termijn zal gelden, namelijk een verplichting van 10% hernieuwbare energie </w:t>
      </w:r>
      <w:r w:rsidR="0087239C">
        <w:rPr>
          <w:sz w:val="18"/>
          <w:szCs w:val="18"/>
        </w:rPr>
        <w:t xml:space="preserve">(op energie-inhoud) </w:t>
      </w:r>
      <w:r w:rsidR="009028E0">
        <w:rPr>
          <w:sz w:val="18"/>
          <w:szCs w:val="18"/>
        </w:rPr>
        <w:t xml:space="preserve">in 2020. </w:t>
      </w:r>
      <w:r w:rsidR="0087239C">
        <w:rPr>
          <w:sz w:val="18"/>
          <w:szCs w:val="18"/>
        </w:rPr>
        <w:t>Dat wil zeggen dat ik voor blends met een hoeveelheid van 10% hernieuwbare energie of minder vanwege het verplichtende karakter van die bijmenging geen compenserende regeling zal treffen. Momenteel onderzoek ik op welke wijze ik een dergelijke regeling vorm kan geven. Daarbij past een regeling die eenvoudig is in termen van controle, uitvoering en administratieve lasten.</w:t>
      </w:r>
      <w:r w:rsidR="00091745">
        <w:rPr>
          <w:sz w:val="18"/>
          <w:szCs w:val="18"/>
        </w:rPr>
        <w:t xml:space="preserve"> </w:t>
      </w:r>
      <w:r w:rsidR="0087239C">
        <w:rPr>
          <w:sz w:val="18"/>
          <w:szCs w:val="18"/>
        </w:rPr>
        <w:t>Daarom zullen voorwaarden, zoals een minimumbedrag voor de terugga</w:t>
      </w:r>
      <w:r w:rsidR="00257F9F">
        <w:rPr>
          <w:sz w:val="18"/>
          <w:szCs w:val="18"/>
        </w:rPr>
        <w:t>af</w:t>
      </w:r>
      <w:r w:rsidR="0087239C">
        <w:rPr>
          <w:sz w:val="18"/>
          <w:szCs w:val="18"/>
        </w:rPr>
        <w:t>, gesteld moeten worden.</w:t>
      </w:r>
    </w:p>
    <w:p w:rsidRPr="00A73257" w:rsidR="00EF6456" w:rsidP="00781CF8" w:rsidRDefault="00EF6456">
      <w:pPr>
        <w:spacing w:after="0" w:line="240" w:lineRule="atLeast"/>
        <w:rPr>
          <w:sz w:val="18"/>
          <w:szCs w:val="18"/>
        </w:rPr>
      </w:pPr>
    </w:p>
    <w:p w:rsidR="006A6B54" w:rsidP="00781CF8" w:rsidRDefault="006A6B54">
      <w:pPr>
        <w:spacing w:after="0" w:line="240" w:lineRule="auto"/>
        <w:rPr>
          <w:sz w:val="18"/>
          <w:szCs w:val="18"/>
        </w:rPr>
      </w:pPr>
      <w:r>
        <w:rPr>
          <w:sz w:val="18"/>
          <w:szCs w:val="18"/>
        </w:rPr>
        <w:br w:type="page"/>
      </w:r>
    </w:p>
    <w:p w:rsidRPr="0062433D" w:rsidR="00C31F34" w:rsidP="00781CF8" w:rsidRDefault="00C31F34">
      <w:pPr>
        <w:pStyle w:val="Kop1"/>
        <w:spacing w:before="0"/>
        <w:rPr>
          <w:rFonts w:ascii="Verdana" w:hAnsi="Verdana"/>
          <w:color w:val="auto"/>
          <w:sz w:val="18"/>
          <w:szCs w:val="18"/>
        </w:rPr>
      </w:pPr>
      <w:bookmarkStart w:name="_Toc293998556" w:id="60"/>
      <w:r w:rsidRPr="0062433D">
        <w:rPr>
          <w:rFonts w:ascii="Verdana" w:hAnsi="Verdana"/>
          <w:color w:val="auto"/>
          <w:sz w:val="18"/>
          <w:szCs w:val="18"/>
        </w:rPr>
        <w:lastRenderedPageBreak/>
        <w:t xml:space="preserve">Hoofdstuk </w:t>
      </w:r>
      <w:r>
        <w:rPr>
          <w:rFonts w:ascii="Verdana" w:hAnsi="Verdana"/>
          <w:color w:val="auto"/>
          <w:sz w:val="18"/>
          <w:szCs w:val="18"/>
        </w:rPr>
        <w:t>7</w:t>
      </w:r>
      <w:r w:rsidRPr="0062433D">
        <w:rPr>
          <w:rFonts w:ascii="Verdana" w:hAnsi="Verdana"/>
          <w:color w:val="auto"/>
          <w:sz w:val="18"/>
          <w:szCs w:val="18"/>
        </w:rPr>
        <w:t>. Eurovignet</w:t>
      </w:r>
      <w:r w:rsidR="002F3BD9">
        <w:rPr>
          <w:rFonts w:ascii="Verdana" w:hAnsi="Verdana"/>
          <w:color w:val="auto"/>
          <w:sz w:val="18"/>
          <w:szCs w:val="18"/>
        </w:rPr>
        <w:t xml:space="preserve"> (belasting op zware motorrijtuigen)</w:t>
      </w:r>
      <w:bookmarkEnd w:id="60"/>
    </w:p>
    <w:p w:rsidR="00C31F34" w:rsidP="00781CF8" w:rsidRDefault="00C31F34">
      <w:pPr>
        <w:pStyle w:val="Lijstalinea"/>
        <w:spacing w:after="0" w:line="240" w:lineRule="atLeast"/>
        <w:ind w:left="0"/>
        <w:rPr>
          <w:b/>
          <w:sz w:val="18"/>
          <w:szCs w:val="18"/>
        </w:rPr>
      </w:pPr>
    </w:p>
    <w:p w:rsidRPr="00051C01" w:rsidR="00C31F34" w:rsidP="00781CF8" w:rsidRDefault="00C31F34">
      <w:pPr>
        <w:pStyle w:val="Kop2"/>
        <w:spacing w:before="0"/>
        <w:rPr>
          <w:rFonts w:ascii="Verdana" w:hAnsi="Verdana"/>
          <w:color w:val="auto"/>
          <w:sz w:val="18"/>
          <w:szCs w:val="18"/>
        </w:rPr>
      </w:pPr>
      <w:bookmarkStart w:name="_Toc293998557" w:id="61"/>
      <w:r>
        <w:rPr>
          <w:rFonts w:ascii="Verdana" w:hAnsi="Verdana"/>
          <w:color w:val="auto"/>
          <w:sz w:val="18"/>
          <w:szCs w:val="18"/>
        </w:rPr>
        <w:t>7</w:t>
      </w:r>
      <w:r w:rsidRPr="00051C01">
        <w:rPr>
          <w:rFonts w:ascii="Verdana" w:hAnsi="Verdana"/>
          <w:color w:val="auto"/>
          <w:sz w:val="18"/>
          <w:szCs w:val="18"/>
        </w:rPr>
        <w:t>.0. Samenvatting</w:t>
      </w:r>
      <w:bookmarkEnd w:id="61"/>
    </w:p>
    <w:p w:rsidR="00B53E22" w:rsidP="00781CF8" w:rsidRDefault="00C31F34">
      <w:pPr>
        <w:pBdr>
          <w:top w:val="single" w:color="auto" w:sz="4" w:space="1"/>
          <w:left w:val="single" w:color="auto" w:sz="4" w:space="4"/>
          <w:bottom w:val="single" w:color="auto" w:sz="4" w:space="6"/>
          <w:right w:val="single" w:color="auto" w:sz="4" w:space="4"/>
        </w:pBdr>
        <w:shd w:val="clear" w:color="auto" w:fill="D9D9D9"/>
        <w:spacing w:after="0" w:line="240" w:lineRule="atLeast"/>
        <w:rPr>
          <w:i/>
          <w:sz w:val="18"/>
          <w:szCs w:val="18"/>
        </w:rPr>
      </w:pPr>
      <w:r>
        <w:rPr>
          <w:i/>
          <w:sz w:val="18"/>
          <w:szCs w:val="18"/>
        </w:rPr>
        <w:t>De heffing</w:t>
      </w:r>
      <w:r w:rsidRPr="00875DDE">
        <w:rPr>
          <w:i/>
          <w:sz w:val="18"/>
          <w:szCs w:val="18"/>
        </w:rPr>
        <w:t xml:space="preserve"> </w:t>
      </w:r>
      <w:r>
        <w:rPr>
          <w:i/>
          <w:sz w:val="18"/>
          <w:szCs w:val="18"/>
        </w:rPr>
        <w:t xml:space="preserve">van het Eurovignet </w:t>
      </w:r>
      <w:r w:rsidRPr="00875DDE">
        <w:rPr>
          <w:i/>
          <w:sz w:val="18"/>
          <w:szCs w:val="18"/>
        </w:rPr>
        <w:t xml:space="preserve">gaat </w:t>
      </w:r>
      <w:r>
        <w:rPr>
          <w:i/>
          <w:sz w:val="18"/>
          <w:szCs w:val="18"/>
        </w:rPr>
        <w:t xml:space="preserve">gepaard </w:t>
      </w:r>
      <w:r w:rsidRPr="00875DDE">
        <w:rPr>
          <w:i/>
          <w:sz w:val="18"/>
          <w:szCs w:val="18"/>
        </w:rPr>
        <w:t>met hoge uitvoeringskosten en administratieve lasten,</w:t>
      </w:r>
      <w:r w:rsidR="0027721A">
        <w:rPr>
          <w:i/>
          <w:sz w:val="18"/>
          <w:szCs w:val="18"/>
        </w:rPr>
        <w:t xml:space="preserve"> terwijl</w:t>
      </w:r>
      <w:r w:rsidRPr="00875DDE">
        <w:rPr>
          <w:i/>
          <w:sz w:val="18"/>
          <w:szCs w:val="18"/>
        </w:rPr>
        <w:t xml:space="preserve"> </w:t>
      </w:r>
      <w:r>
        <w:rPr>
          <w:i/>
          <w:sz w:val="18"/>
          <w:szCs w:val="18"/>
        </w:rPr>
        <w:t>de</w:t>
      </w:r>
      <w:r w:rsidRPr="00875DDE">
        <w:rPr>
          <w:i/>
          <w:sz w:val="18"/>
          <w:szCs w:val="18"/>
        </w:rPr>
        <w:t xml:space="preserve"> opbrengst</w:t>
      </w:r>
      <w:r>
        <w:rPr>
          <w:i/>
          <w:sz w:val="18"/>
          <w:szCs w:val="18"/>
        </w:rPr>
        <w:t xml:space="preserve"> </w:t>
      </w:r>
      <w:r w:rsidR="0027721A">
        <w:rPr>
          <w:i/>
          <w:sz w:val="18"/>
          <w:szCs w:val="18"/>
        </w:rPr>
        <w:t xml:space="preserve">naar verhouding </w:t>
      </w:r>
      <w:r>
        <w:rPr>
          <w:i/>
          <w:sz w:val="18"/>
          <w:szCs w:val="18"/>
        </w:rPr>
        <w:t>bescheiden</w:t>
      </w:r>
      <w:r w:rsidR="0027721A">
        <w:rPr>
          <w:i/>
          <w:sz w:val="18"/>
          <w:szCs w:val="18"/>
        </w:rPr>
        <w:t xml:space="preserve"> is</w:t>
      </w:r>
      <w:r w:rsidRPr="00875DDE">
        <w:rPr>
          <w:i/>
          <w:sz w:val="18"/>
          <w:szCs w:val="18"/>
        </w:rPr>
        <w:t xml:space="preserve">. Daarnaast is de toekomst van het Eurovignetverdrag onzeker en wordt het verdrag steeds moeilijker te </w:t>
      </w:r>
      <w:r>
        <w:rPr>
          <w:i/>
          <w:sz w:val="18"/>
          <w:szCs w:val="18"/>
        </w:rPr>
        <w:t>actualiseren</w:t>
      </w:r>
      <w:r w:rsidRPr="00875DDE">
        <w:rPr>
          <w:i/>
          <w:sz w:val="18"/>
          <w:szCs w:val="18"/>
        </w:rPr>
        <w:t xml:space="preserve">. Ik </w:t>
      </w:r>
      <w:r w:rsidR="0027721A">
        <w:rPr>
          <w:i/>
          <w:sz w:val="18"/>
          <w:szCs w:val="18"/>
        </w:rPr>
        <w:t xml:space="preserve">ben voornemens </w:t>
      </w:r>
      <w:r w:rsidRPr="00875DDE">
        <w:rPr>
          <w:i/>
          <w:sz w:val="18"/>
          <w:szCs w:val="18"/>
        </w:rPr>
        <w:t>in overleg met de verdragspartners de mogelijkheden voor afschaffing van het Eurovignet te onderzoeken.</w:t>
      </w:r>
      <w:r>
        <w:rPr>
          <w:i/>
          <w:sz w:val="18"/>
          <w:szCs w:val="18"/>
        </w:rPr>
        <w:t xml:space="preserve"> </w:t>
      </w:r>
      <w:r w:rsidRPr="00875DDE">
        <w:rPr>
          <w:i/>
          <w:sz w:val="18"/>
          <w:szCs w:val="18"/>
        </w:rPr>
        <w:t>Wanneer afschaffing wordt gedekt door een verhoging van de motorrijtuigenbelasting voor zware vrachtwagens kan de belastingdruk sterker dan nu worden neergelegd bij vervuilende vrachtwagens.</w:t>
      </w:r>
    </w:p>
    <w:p w:rsidR="00C31F34" w:rsidP="00781CF8" w:rsidRDefault="00C31F34">
      <w:pPr>
        <w:pStyle w:val="Lijstalinea"/>
        <w:spacing w:after="0" w:line="240" w:lineRule="atLeast"/>
        <w:ind w:left="0"/>
        <w:rPr>
          <w:b/>
          <w:sz w:val="18"/>
          <w:szCs w:val="18"/>
        </w:rPr>
      </w:pPr>
    </w:p>
    <w:p w:rsidRPr="00C74AA9" w:rsidR="00C31F34" w:rsidP="00C74AA9" w:rsidRDefault="00C31F34">
      <w:pPr>
        <w:pStyle w:val="Kop2"/>
        <w:rPr>
          <w:rFonts w:ascii="Verdana" w:hAnsi="Verdana"/>
          <w:color w:val="auto"/>
          <w:sz w:val="18"/>
          <w:szCs w:val="18"/>
        </w:rPr>
      </w:pPr>
      <w:bookmarkStart w:name="_Toc293998558" w:id="62"/>
      <w:r w:rsidRPr="00C74AA9">
        <w:rPr>
          <w:rFonts w:ascii="Verdana" w:hAnsi="Verdana"/>
          <w:color w:val="auto"/>
          <w:sz w:val="18"/>
          <w:szCs w:val="18"/>
        </w:rPr>
        <w:t>7.1 Inleiding</w:t>
      </w:r>
      <w:bookmarkEnd w:id="62"/>
    </w:p>
    <w:p w:rsidR="00C31F34" w:rsidP="00781CF8" w:rsidRDefault="00C31F34">
      <w:pPr>
        <w:pStyle w:val="Lijstalinea"/>
        <w:spacing w:after="0" w:line="240" w:lineRule="atLeast"/>
        <w:ind w:left="12"/>
        <w:rPr>
          <w:sz w:val="18"/>
          <w:szCs w:val="18"/>
        </w:rPr>
      </w:pPr>
      <w:r w:rsidRPr="002A0331">
        <w:rPr>
          <w:sz w:val="18"/>
          <w:szCs w:val="18"/>
        </w:rPr>
        <w:t>Het Eurovignet is een gebruiksrecht op vrachtwagens zwaarder dan 12 ton en wordt geheven in Nederland, België, Luxemburg, Denemarken en Zweden. De belangrijkste elementen van de heffing -</w:t>
      </w:r>
      <w:r w:rsidR="005060B0">
        <w:rPr>
          <w:sz w:val="18"/>
          <w:szCs w:val="18"/>
        </w:rPr>
        <w:t xml:space="preserve"> </w:t>
      </w:r>
      <w:r w:rsidRPr="002A0331">
        <w:rPr>
          <w:sz w:val="18"/>
          <w:szCs w:val="18"/>
        </w:rPr>
        <w:t>zoals het tarief</w:t>
      </w:r>
      <w:r w:rsidR="005060B0">
        <w:rPr>
          <w:sz w:val="18"/>
          <w:szCs w:val="18"/>
        </w:rPr>
        <w:t xml:space="preserve"> </w:t>
      </w:r>
      <w:r w:rsidRPr="002A0331">
        <w:rPr>
          <w:sz w:val="18"/>
          <w:szCs w:val="18"/>
        </w:rPr>
        <w:t>- zijn vastgelegd in een verdrag</w:t>
      </w:r>
      <w:r w:rsidR="002534D4">
        <w:rPr>
          <w:sz w:val="18"/>
          <w:szCs w:val="18"/>
        </w:rPr>
        <w:t>.</w:t>
      </w:r>
      <w:r>
        <w:rPr>
          <w:rStyle w:val="Voetnootmarkering"/>
          <w:sz w:val="18"/>
          <w:szCs w:val="18"/>
        </w:rPr>
        <w:footnoteReference w:id="22"/>
      </w:r>
      <w:r w:rsidRPr="002A0331">
        <w:rPr>
          <w:sz w:val="18"/>
          <w:szCs w:val="18"/>
        </w:rPr>
        <w:t xml:space="preserve"> Nederland heeft de heffing </w:t>
      </w:r>
      <w:r>
        <w:rPr>
          <w:sz w:val="18"/>
          <w:szCs w:val="18"/>
        </w:rPr>
        <w:t xml:space="preserve">opgenomen in </w:t>
      </w:r>
      <w:r w:rsidRPr="002A0331">
        <w:rPr>
          <w:sz w:val="18"/>
          <w:szCs w:val="18"/>
        </w:rPr>
        <w:t>de Wet belasting op zware motorrijtuigen (BZM).</w:t>
      </w:r>
      <w:r>
        <w:rPr>
          <w:sz w:val="18"/>
          <w:szCs w:val="18"/>
        </w:rPr>
        <w:t xml:space="preserve"> </w:t>
      </w:r>
      <w:r w:rsidRPr="002A0331">
        <w:rPr>
          <w:sz w:val="18"/>
          <w:szCs w:val="18"/>
        </w:rPr>
        <w:t xml:space="preserve">In het verdrag is vastgelegd dat wanneer een truck in één van de landen betaald heeft, deze ook toegang krijgt tot het wegennet van de andere landen. De opbrengst van de eigen inwoners </w:t>
      </w:r>
      <w:r>
        <w:rPr>
          <w:sz w:val="18"/>
          <w:szCs w:val="18"/>
        </w:rPr>
        <w:t>valt toe aan</w:t>
      </w:r>
      <w:r w:rsidRPr="002A0331">
        <w:rPr>
          <w:sz w:val="18"/>
          <w:szCs w:val="18"/>
        </w:rPr>
        <w:t xml:space="preserve"> het </w:t>
      </w:r>
      <w:r>
        <w:rPr>
          <w:sz w:val="18"/>
          <w:szCs w:val="18"/>
        </w:rPr>
        <w:t>des</w:t>
      </w:r>
      <w:r w:rsidRPr="002A0331">
        <w:rPr>
          <w:sz w:val="18"/>
          <w:szCs w:val="18"/>
        </w:rPr>
        <w:t xml:space="preserve">betreffende land, de opbrengst van trucks van buiten de deelnemende landen wordt volgens een vaste sleutel verdeeld. </w:t>
      </w:r>
    </w:p>
    <w:p w:rsidRPr="002A0331" w:rsidR="00E162D3" w:rsidP="00781CF8" w:rsidRDefault="00E162D3">
      <w:pPr>
        <w:pStyle w:val="Lijstalinea"/>
        <w:spacing w:after="0" w:line="240" w:lineRule="atLeast"/>
        <w:ind w:left="12"/>
        <w:rPr>
          <w:sz w:val="18"/>
          <w:szCs w:val="18"/>
        </w:rPr>
      </w:pPr>
    </w:p>
    <w:p w:rsidR="00C31F34" w:rsidP="00781CF8" w:rsidRDefault="00C31F34">
      <w:pPr>
        <w:pStyle w:val="Lijstalinea"/>
        <w:spacing w:after="0" w:line="240" w:lineRule="atLeast"/>
        <w:ind w:left="12"/>
        <w:rPr>
          <w:sz w:val="18"/>
          <w:szCs w:val="18"/>
        </w:rPr>
      </w:pPr>
      <w:r>
        <w:rPr>
          <w:sz w:val="18"/>
          <w:szCs w:val="18"/>
        </w:rPr>
        <w:t>E</w:t>
      </w:r>
      <w:r w:rsidRPr="002A0331">
        <w:rPr>
          <w:sz w:val="18"/>
          <w:szCs w:val="18"/>
        </w:rPr>
        <w:t xml:space="preserve">en externe serviceprovider </w:t>
      </w:r>
      <w:r>
        <w:rPr>
          <w:sz w:val="18"/>
          <w:szCs w:val="18"/>
        </w:rPr>
        <w:t xml:space="preserve">organiseert </w:t>
      </w:r>
      <w:r w:rsidRPr="002A0331">
        <w:rPr>
          <w:sz w:val="18"/>
          <w:szCs w:val="18"/>
        </w:rPr>
        <w:t xml:space="preserve">voor alle staten de internationale verkoop van vignetten en </w:t>
      </w:r>
      <w:r>
        <w:rPr>
          <w:sz w:val="18"/>
          <w:szCs w:val="18"/>
        </w:rPr>
        <w:t xml:space="preserve">beheert </w:t>
      </w:r>
      <w:r w:rsidRPr="002A0331">
        <w:rPr>
          <w:sz w:val="18"/>
          <w:szCs w:val="18"/>
        </w:rPr>
        <w:t>de centrale server</w:t>
      </w:r>
      <w:r>
        <w:rPr>
          <w:sz w:val="18"/>
          <w:szCs w:val="18"/>
        </w:rPr>
        <w:t xml:space="preserve"> </w:t>
      </w:r>
      <w:r w:rsidRPr="002A0331">
        <w:rPr>
          <w:sz w:val="18"/>
          <w:szCs w:val="18"/>
        </w:rPr>
        <w:t>waar alle verkopen worden geregistreerd. Nederland deelt in de kosten van deze provider. De totale opbrengsten van het Eurovignet bedroegen voor Nederland in 2010 €</w:t>
      </w:r>
      <w:r>
        <w:rPr>
          <w:sz w:val="18"/>
          <w:szCs w:val="18"/>
        </w:rPr>
        <w:t> </w:t>
      </w:r>
      <w:r w:rsidRPr="002A0331">
        <w:rPr>
          <w:sz w:val="18"/>
          <w:szCs w:val="18"/>
        </w:rPr>
        <w:t xml:space="preserve">148 </w:t>
      </w:r>
      <w:r w:rsidR="000420B5">
        <w:rPr>
          <w:sz w:val="18"/>
          <w:szCs w:val="18"/>
        </w:rPr>
        <w:t>mln</w:t>
      </w:r>
      <w:r w:rsidRPr="002A0331">
        <w:rPr>
          <w:sz w:val="18"/>
          <w:szCs w:val="18"/>
        </w:rPr>
        <w:t>. Van dit bedrag is €</w:t>
      </w:r>
      <w:r>
        <w:rPr>
          <w:sz w:val="18"/>
          <w:szCs w:val="18"/>
        </w:rPr>
        <w:t> </w:t>
      </w:r>
      <w:r w:rsidRPr="002A0331">
        <w:rPr>
          <w:sz w:val="18"/>
          <w:szCs w:val="18"/>
        </w:rPr>
        <w:t xml:space="preserve">26 </w:t>
      </w:r>
      <w:r w:rsidR="000420B5">
        <w:rPr>
          <w:sz w:val="18"/>
          <w:szCs w:val="18"/>
        </w:rPr>
        <w:t>mln</w:t>
      </w:r>
      <w:r w:rsidRPr="002A0331">
        <w:rPr>
          <w:sz w:val="18"/>
          <w:szCs w:val="18"/>
        </w:rPr>
        <w:t xml:space="preserve"> opgebracht door </w:t>
      </w:r>
      <w:r>
        <w:rPr>
          <w:sz w:val="18"/>
          <w:szCs w:val="18"/>
        </w:rPr>
        <w:t xml:space="preserve">buitenlandse </w:t>
      </w:r>
      <w:r w:rsidRPr="002A0331">
        <w:rPr>
          <w:sz w:val="18"/>
          <w:szCs w:val="18"/>
        </w:rPr>
        <w:t>trucks.</w:t>
      </w:r>
      <w:r>
        <w:rPr>
          <w:sz w:val="18"/>
          <w:szCs w:val="18"/>
        </w:rPr>
        <w:t xml:space="preserve"> De administratieve lasten voor bedrijven en de uitvoeringskosten zijn naar verhouding hoog, respectievelijk € 12,25 </w:t>
      </w:r>
      <w:r w:rsidR="000420B5">
        <w:rPr>
          <w:sz w:val="18"/>
          <w:szCs w:val="18"/>
        </w:rPr>
        <w:t>mln</w:t>
      </w:r>
      <w:r>
        <w:rPr>
          <w:sz w:val="18"/>
          <w:szCs w:val="18"/>
        </w:rPr>
        <w:t xml:space="preserve"> en € 10 </w:t>
      </w:r>
      <w:r w:rsidR="000420B5">
        <w:rPr>
          <w:sz w:val="18"/>
          <w:szCs w:val="18"/>
        </w:rPr>
        <w:t>mln</w:t>
      </w:r>
      <w:r>
        <w:rPr>
          <w:sz w:val="18"/>
          <w:szCs w:val="18"/>
        </w:rPr>
        <w:t>.</w:t>
      </w:r>
    </w:p>
    <w:p w:rsidRPr="002A0331" w:rsidR="00E162D3" w:rsidP="00781CF8" w:rsidRDefault="00E162D3">
      <w:pPr>
        <w:pStyle w:val="Lijstalinea"/>
        <w:spacing w:after="0" w:line="240" w:lineRule="atLeast"/>
        <w:ind w:left="12"/>
        <w:rPr>
          <w:b/>
          <w:sz w:val="18"/>
          <w:szCs w:val="18"/>
        </w:rPr>
      </w:pPr>
    </w:p>
    <w:p w:rsidR="00C31F34" w:rsidP="00781CF8" w:rsidRDefault="00C31F34">
      <w:pPr>
        <w:pStyle w:val="Lijstalinea"/>
        <w:spacing w:after="0" w:line="240" w:lineRule="atLeast"/>
        <w:ind w:left="12"/>
        <w:rPr>
          <w:sz w:val="18"/>
          <w:szCs w:val="18"/>
        </w:rPr>
      </w:pPr>
      <w:r w:rsidRPr="002A0331">
        <w:rPr>
          <w:sz w:val="18"/>
          <w:szCs w:val="18"/>
        </w:rPr>
        <w:t xml:space="preserve">In de Fiscale </w:t>
      </w:r>
      <w:r w:rsidR="002F3BD9">
        <w:rPr>
          <w:sz w:val="18"/>
          <w:szCs w:val="18"/>
        </w:rPr>
        <w:t>a</w:t>
      </w:r>
      <w:r w:rsidRPr="002A0331">
        <w:rPr>
          <w:sz w:val="18"/>
          <w:szCs w:val="18"/>
        </w:rPr>
        <w:t xml:space="preserve">genda is </w:t>
      </w:r>
      <w:r>
        <w:rPr>
          <w:sz w:val="18"/>
          <w:szCs w:val="18"/>
        </w:rPr>
        <w:t>al</w:t>
      </w:r>
      <w:r w:rsidRPr="002A0331">
        <w:rPr>
          <w:sz w:val="18"/>
          <w:szCs w:val="18"/>
        </w:rPr>
        <w:t xml:space="preserve"> aangekondigd dat de mogelijkheden voor verdere vereenvoudiging of afschaffing van het Eurovignet onderzocht zouden worden en de resultaten daarvan zouden worden gepresenteerd in de autobrief. </w:t>
      </w:r>
    </w:p>
    <w:p w:rsidRPr="002A0331" w:rsidR="00C31F34" w:rsidP="00781CF8" w:rsidRDefault="00C31F34">
      <w:pPr>
        <w:pStyle w:val="Lijstalinea"/>
        <w:spacing w:after="0" w:line="240" w:lineRule="atLeast"/>
        <w:ind w:left="12"/>
        <w:rPr>
          <w:sz w:val="18"/>
          <w:szCs w:val="18"/>
        </w:rPr>
      </w:pPr>
    </w:p>
    <w:p w:rsidRPr="007F474E" w:rsidR="00C31F34" w:rsidP="00781CF8" w:rsidRDefault="00C31F34">
      <w:pPr>
        <w:pStyle w:val="Kop2"/>
        <w:spacing w:before="0"/>
        <w:rPr>
          <w:rFonts w:ascii="Verdana" w:hAnsi="Verdana"/>
          <w:color w:val="auto"/>
          <w:sz w:val="18"/>
          <w:szCs w:val="18"/>
        </w:rPr>
      </w:pPr>
      <w:bookmarkStart w:name="_Toc293998559" w:id="63"/>
      <w:r>
        <w:rPr>
          <w:rFonts w:ascii="Verdana" w:hAnsi="Verdana"/>
          <w:color w:val="auto"/>
          <w:sz w:val="18"/>
          <w:szCs w:val="18"/>
        </w:rPr>
        <w:t>7</w:t>
      </w:r>
      <w:r w:rsidRPr="007F474E">
        <w:rPr>
          <w:rFonts w:ascii="Verdana" w:hAnsi="Verdana"/>
          <w:color w:val="auto"/>
          <w:sz w:val="18"/>
          <w:szCs w:val="18"/>
        </w:rPr>
        <w:t>.</w:t>
      </w:r>
      <w:r>
        <w:rPr>
          <w:rFonts w:ascii="Verdana" w:hAnsi="Verdana"/>
          <w:color w:val="auto"/>
          <w:sz w:val="18"/>
          <w:szCs w:val="18"/>
        </w:rPr>
        <w:t>2.</w:t>
      </w:r>
      <w:r w:rsidRPr="007F474E">
        <w:rPr>
          <w:rFonts w:ascii="Verdana" w:hAnsi="Verdana"/>
          <w:color w:val="auto"/>
          <w:sz w:val="18"/>
          <w:szCs w:val="18"/>
        </w:rPr>
        <w:t xml:space="preserve"> </w:t>
      </w:r>
      <w:r>
        <w:rPr>
          <w:rFonts w:ascii="Verdana" w:hAnsi="Verdana"/>
          <w:color w:val="auto"/>
          <w:sz w:val="18"/>
          <w:szCs w:val="18"/>
        </w:rPr>
        <w:t>Samenwerkingsverband</w:t>
      </w:r>
      <w:bookmarkEnd w:id="63"/>
    </w:p>
    <w:p w:rsidRPr="0037000E" w:rsidR="00C31F34" w:rsidP="00781CF8" w:rsidRDefault="00C31F34">
      <w:pPr>
        <w:pStyle w:val="Kop3"/>
        <w:spacing w:before="0"/>
        <w:rPr>
          <w:rFonts w:ascii="Verdana" w:hAnsi="Verdana"/>
          <w:b w:val="0"/>
          <w:i/>
          <w:color w:val="auto"/>
          <w:sz w:val="18"/>
          <w:szCs w:val="18"/>
        </w:rPr>
      </w:pPr>
      <w:bookmarkStart w:name="_Toc293998560" w:id="64"/>
      <w:r w:rsidRPr="0037000E">
        <w:rPr>
          <w:rFonts w:ascii="Verdana" w:hAnsi="Verdana"/>
          <w:b w:val="0"/>
          <w:i/>
          <w:color w:val="auto"/>
          <w:sz w:val="18"/>
          <w:szCs w:val="18"/>
        </w:rPr>
        <w:t>7.2.1. Samenwerking</w:t>
      </w:r>
      <w:bookmarkEnd w:id="64"/>
    </w:p>
    <w:p w:rsidR="00C31F34" w:rsidP="00781CF8" w:rsidRDefault="00C31F34">
      <w:pPr>
        <w:pStyle w:val="Lijstalinea"/>
        <w:spacing w:after="0" w:line="240" w:lineRule="atLeast"/>
        <w:ind w:left="12"/>
        <w:rPr>
          <w:sz w:val="18"/>
          <w:szCs w:val="18"/>
        </w:rPr>
      </w:pPr>
      <w:r>
        <w:rPr>
          <w:sz w:val="18"/>
          <w:szCs w:val="18"/>
        </w:rPr>
        <w:t>H</w:t>
      </w:r>
      <w:r w:rsidRPr="002A0331">
        <w:rPr>
          <w:sz w:val="18"/>
          <w:szCs w:val="18"/>
        </w:rPr>
        <w:t xml:space="preserve">et </w:t>
      </w:r>
      <w:r>
        <w:rPr>
          <w:sz w:val="18"/>
          <w:szCs w:val="18"/>
        </w:rPr>
        <w:t xml:space="preserve">is </w:t>
      </w:r>
      <w:r w:rsidRPr="002A0331">
        <w:rPr>
          <w:sz w:val="18"/>
          <w:szCs w:val="18"/>
        </w:rPr>
        <w:t>de verdragslanden onderling de afgelopen jaren niet gelukt om tot overeenstemming te komen over tarie</w:t>
      </w:r>
      <w:r>
        <w:rPr>
          <w:sz w:val="18"/>
          <w:szCs w:val="18"/>
        </w:rPr>
        <w:t xml:space="preserve">fsverhogingen </w:t>
      </w:r>
      <w:r w:rsidRPr="002A0331">
        <w:rPr>
          <w:sz w:val="18"/>
          <w:szCs w:val="18"/>
        </w:rPr>
        <w:t xml:space="preserve">en aanpassing van de sterk verouderde milieudifferentiatie. </w:t>
      </w:r>
      <w:r w:rsidR="00B67849">
        <w:rPr>
          <w:sz w:val="18"/>
          <w:szCs w:val="18"/>
        </w:rPr>
        <w:t xml:space="preserve">Een eerder aangekondigde verhoging van de tarieven in 2008, met een budgettair belang van € 21 </w:t>
      </w:r>
      <w:r w:rsidR="000420B5">
        <w:rPr>
          <w:sz w:val="18"/>
          <w:szCs w:val="18"/>
        </w:rPr>
        <w:t>mln</w:t>
      </w:r>
      <w:r w:rsidR="00B67849">
        <w:rPr>
          <w:sz w:val="18"/>
          <w:szCs w:val="18"/>
        </w:rPr>
        <w:t xml:space="preserve">, kon hierom geen doorgang vinden. </w:t>
      </w:r>
      <w:r w:rsidRPr="002A0331">
        <w:rPr>
          <w:sz w:val="18"/>
          <w:szCs w:val="18"/>
        </w:rPr>
        <w:t>De</w:t>
      </w:r>
      <w:r>
        <w:rPr>
          <w:sz w:val="18"/>
          <w:szCs w:val="18"/>
        </w:rPr>
        <w:t>ze</w:t>
      </w:r>
      <w:r w:rsidRPr="002A0331">
        <w:rPr>
          <w:sz w:val="18"/>
          <w:szCs w:val="18"/>
        </w:rPr>
        <w:t xml:space="preserve"> stagnerende </w:t>
      </w:r>
      <w:r w:rsidR="002F3BD9">
        <w:rPr>
          <w:sz w:val="18"/>
          <w:szCs w:val="18"/>
        </w:rPr>
        <w:t>actualisatie</w:t>
      </w:r>
      <w:r w:rsidRPr="002A0331">
        <w:rPr>
          <w:sz w:val="18"/>
          <w:szCs w:val="18"/>
        </w:rPr>
        <w:t xml:space="preserve"> van </w:t>
      </w:r>
      <w:r>
        <w:rPr>
          <w:sz w:val="18"/>
          <w:szCs w:val="18"/>
        </w:rPr>
        <w:t xml:space="preserve">het </w:t>
      </w:r>
      <w:r w:rsidRPr="002A0331">
        <w:rPr>
          <w:sz w:val="18"/>
          <w:szCs w:val="18"/>
        </w:rPr>
        <w:t>verdrag no</w:t>
      </w:r>
      <w:r>
        <w:rPr>
          <w:sz w:val="18"/>
          <w:szCs w:val="18"/>
        </w:rPr>
        <w:t>opt</w:t>
      </w:r>
      <w:r w:rsidRPr="002A0331">
        <w:rPr>
          <w:sz w:val="18"/>
          <w:szCs w:val="18"/>
        </w:rPr>
        <w:t xml:space="preserve"> ertoe om na te denken over de toekomst van het Eurovignet.</w:t>
      </w:r>
    </w:p>
    <w:p w:rsidRPr="002A0331" w:rsidR="00C31F34" w:rsidP="00781CF8" w:rsidRDefault="00C31F34">
      <w:pPr>
        <w:pStyle w:val="Lijstalinea"/>
        <w:spacing w:after="0" w:line="240" w:lineRule="atLeast"/>
        <w:ind w:left="12"/>
        <w:rPr>
          <w:sz w:val="18"/>
          <w:szCs w:val="18"/>
        </w:rPr>
      </w:pPr>
    </w:p>
    <w:p w:rsidRPr="0037000E" w:rsidR="00C31F34" w:rsidP="00781CF8" w:rsidRDefault="00C31F34">
      <w:pPr>
        <w:pStyle w:val="Kop3"/>
        <w:spacing w:before="0"/>
        <w:rPr>
          <w:rFonts w:ascii="Verdana" w:hAnsi="Verdana"/>
          <w:b w:val="0"/>
          <w:i/>
          <w:color w:val="auto"/>
          <w:sz w:val="18"/>
          <w:szCs w:val="18"/>
        </w:rPr>
      </w:pPr>
      <w:bookmarkStart w:name="_Toc293998561" w:id="65"/>
      <w:r w:rsidRPr="0037000E">
        <w:rPr>
          <w:rFonts w:ascii="Verdana" w:hAnsi="Verdana"/>
          <w:b w:val="0"/>
          <w:i/>
          <w:color w:val="auto"/>
          <w:sz w:val="18"/>
          <w:szCs w:val="18"/>
        </w:rPr>
        <w:t>7.2.2.Toekomst verdrag</w:t>
      </w:r>
      <w:bookmarkEnd w:id="65"/>
    </w:p>
    <w:p w:rsidR="00C31F34" w:rsidP="00781CF8" w:rsidRDefault="00C31F34">
      <w:pPr>
        <w:pStyle w:val="Lijstalinea"/>
        <w:spacing w:after="0" w:line="240" w:lineRule="atLeast"/>
        <w:ind w:left="12"/>
        <w:rPr>
          <w:sz w:val="18"/>
          <w:szCs w:val="18"/>
        </w:rPr>
      </w:pPr>
      <w:r>
        <w:rPr>
          <w:sz w:val="18"/>
          <w:szCs w:val="18"/>
        </w:rPr>
        <w:t xml:space="preserve">Het Eurovignet is een alternatief voor een kilometerheffing. Wanneer één van de landen een kilometerheffing invoert, stapt </w:t>
      </w:r>
      <w:r w:rsidR="002F3BD9">
        <w:rPr>
          <w:sz w:val="18"/>
          <w:szCs w:val="18"/>
        </w:rPr>
        <w:t>dat land</w:t>
      </w:r>
      <w:r>
        <w:rPr>
          <w:sz w:val="18"/>
          <w:szCs w:val="18"/>
        </w:rPr>
        <w:t xml:space="preserve"> uit het verdrag. In het verleden heeft Duitsland dit al gedaan. </w:t>
      </w:r>
      <w:r w:rsidRPr="002A0331">
        <w:rPr>
          <w:sz w:val="18"/>
          <w:szCs w:val="18"/>
        </w:rPr>
        <w:t xml:space="preserve">Denemarken en de Belgische gewesten </w:t>
      </w:r>
      <w:r>
        <w:rPr>
          <w:sz w:val="18"/>
          <w:szCs w:val="18"/>
        </w:rPr>
        <w:t xml:space="preserve">hebben aangekondigd </w:t>
      </w:r>
      <w:r w:rsidRPr="002A0331">
        <w:rPr>
          <w:sz w:val="18"/>
          <w:szCs w:val="18"/>
        </w:rPr>
        <w:t xml:space="preserve">respectievelijk in 2012 en in de loop van 2013 een kilometerheffing als alternatief voor het Eurovignet in te voeren. </w:t>
      </w:r>
      <w:r>
        <w:rPr>
          <w:sz w:val="18"/>
          <w:szCs w:val="18"/>
        </w:rPr>
        <w:t xml:space="preserve">Wanneer meerdere landen uit het verdrag stappen is het zeer de vraag of het samenwerkingsverband als zodanig blijft bestaan. Dit geldt in versterkte mate voor </w:t>
      </w:r>
      <w:r w:rsidRPr="002A0331">
        <w:rPr>
          <w:sz w:val="18"/>
          <w:szCs w:val="18"/>
        </w:rPr>
        <w:t>Nederland</w:t>
      </w:r>
      <w:r>
        <w:rPr>
          <w:sz w:val="18"/>
          <w:szCs w:val="18"/>
        </w:rPr>
        <w:t>. Nederland</w:t>
      </w:r>
      <w:r w:rsidRPr="002A0331">
        <w:rPr>
          <w:sz w:val="18"/>
          <w:szCs w:val="18"/>
        </w:rPr>
        <w:t xml:space="preserve"> heeft met name op uitvoeringsgebied een faciliterende rol voor het Eurovignet. </w:t>
      </w:r>
      <w:r>
        <w:rPr>
          <w:sz w:val="18"/>
          <w:szCs w:val="18"/>
        </w:rPr>
        <w:t>Zo is d</w:t>
      </w:r>
      <w:r w:rsidRPr="002A0331">
        <w:rPr>
          <w:sz w:val="18"/>
          <w:szCs w:val="18"/>
        </w:rPr>
        <w:t>e Nederlandse Belastingdienst de contract</w:t>
      </w:r>
      <w:r>
        <w:rPr>
          <w:sz w:val="18"/>
          <w:szCs w:val="18"/>
        </w:rPr>
        <w:t>spartner</w:t>
      </w:r>
      <w:r w:rsidRPr="002A0331">
        <w:rPr>
          <w:sz w:val="18"/>
          <w:szCs w:val="18"/>
        </w:rPr>
        <w:t xml:space="preserve"> van de externe serviceprovider. </w:t>
      </w:r>
      <w:r>
        <w:rPr>
          <w:sz w:val="18"/>
          <w:szCs w:val="18"/>
        </w:rPr>
        <w:t xml:space="preserve">Het ligt dan ook voor de hand om een opzegging in goed overleg met de verdragspartners te doen en zo mogelijk een gezamenlijke planning op te stellen. </w:t>
      </w:r>
    </w:p>
    <w:p w:rsidRPr="002A0331" w:rsidR="00C31F34" w:rsidP="00781CF8" w:rsidRDefault="00C31F34">
      <w:pPr>
        <w:pStyle w:val="Lijstalinea"/>
        <w:spacing w:after="0" w:line="240" w:lineRule="atLeast"/>
        <w:ind w:left="12"/>
        <w:rPr>
          <w:sz w:val="18"/>
          <w:szCs w:val="18"/>
        </w:rPr>
      </w:pPr>
    </w:p>
    <w:p w:rsidRPr="0037000E" w:rsidR="00C31F34" w:rsidP="00781CF8" w:rsidRDefault="00C31F34">
      <w:pPr>
        <w:pStyle w:val="Kop3"/>
        <w:spacing w:before="0"/>
        <w:rPr>
          <w:rFonts w:ascii="Verdana" w:hAnsi="Verdana"/>
          <w:b w:val="0"/>
          <w:i/>
          <w:color w:val="auto"/>
          <w:sz w:val="18"/>
          <w:szCs w:val="18"/>
        </w:rPr>
      </w:pPr>
      <w:bookmarkStart w:name="_Toc293998562" w:id="66"/>
      <w:r w:rsidRPr="0037000E">
        <w:rPr>
          <w:rFonts w:ascii="Verdana" w:hAnsi="Verdana"/>
          <w:b w:val="0"/>
          <w:i/>
          <w:color w:val="auto"/>
          <w:sz w:val="18"/>
          <w:szCs w:val="18"/>
        </w:rPr>
        <w:lastRenderedPageBreak/>
        <w:t>7.2.3. Planning</w:t>
      </w:r>
      <w:bookmarkEnd w:id="66"/>
    </w:p>
    <w:p w:rsidRPr="002A0331" w:rsidR="00C31F34" w:rsidP="00781CF8" w:rsidRDefault="00C31F34">
      <w:pPr>
        <w:pStyle w:val="Lijstalinea"/>
        <w:spacing w:after="0" w:line="240" w:lineRule="atLeast"/>
        <w:ind w:left="12"/>
        <w:rPr>
          <w:sz w:val="18"/>
          <w:szCs w:val="18"/>
        </w:rPr>
      </w:pPr>
      <w:r w:rsidRPr="00C3493A">
        <w:rPr>
          <w:sz w:val="18"/>
          <w:szCs w:val="18"/>
        </w:rPr>
        <w:t xml:space="preserve">Ik </w:t>
      </w:r>
      <w:r>
        <w:rPr>
          <w:sz w:val="18"/>
          <w:szCs w:val="18"/>
        </w:rPr>
        <w:t xml:space="preserve">ben voornemens om, mede gezien de hierna toegelichte inefficiëntie van deze heffing, </w:t>
      </w:r>
      <w:r w:rsidRPr="00C3493A">
        <w:rPr>
          <w:sz w:val="18"/>
          <w:szCs w:val="18"/>
        </w:rPr>
        <w:t>in overleg met de verdragspartners de mogelijkheden voor afschaffing van het Eurovignet te onderzoeken.</w:t>
      </w:r>
      <w:r>
        <w:rPr>
          <w:sz w:val="18"/>
          <w:szCs w:val="18"/>
        </w:rPr>
        <w:t xml:space="preserve"> Het ligt in de rede bij het bepalen van een logisch moment van uitstappen rekening te houden met het contract met de externe serviceprovider. </w:t>
      </w:r>
      <w:r w:rsidRPr="002A0331">
        <w:rPr>
          <w:sz w:val="18"/>
          <w:szCs w:val="18"/>
        </w:rPr>
        <w:t xml:space="preserve">De uitvoering van de internationale verkoop van vignetten en de registratie daarvan wordt door </w:t>
      </w:r>
      <w:r>
        <w:rPr>
          <w:sz w:val="18"/>
          <w:szCs w:val="18"/>
        </w:rPr>
        <w:t xml:space="preserve">deze </w:t>
      </w:r>
      <w:r w:rsidRPr="002A0331">
        <w:rPr>
          <w:sz w:val="18"/>
          <w:szCs w:val="18"/>
        </w:rPr>
        <w:t xml:space="preserve">provider gedaan. </w:t>
      </w:r>
      <w:r>
        <w:rPr>
          <w:sz w:val="18"/>
          <w:szCs w:val="18"/>
        </w:rPr>
        <w:t>Het</w:t>
      </w:r>
      <w:r w:rsidRPr="002A0331">
        <w:rPr>
          <w:sz w:val="18"/>
          <w:szCs w:val="18"/>
        </w:rPr>
        <w:t xml:space="preserve"> contract loopt af in oktober 2012</w:t>
      </w:r>
      <w:r>
        <w:rPr>
          <w:sz w:val="18"/>
          <w:szCs w:val="18"/>
        </w:rPr>
        <w:t xml:space="preserve"> en kan tweemaal met een periode van maximaal een jaar verlengd worden. Daarna is een nieuwe aanbestedingsprocedure nodig. Een opzegging dient minimaal negen maanden van tevoren te worden gedaan. In overleg met de andere verdragslanden kan een goed moment bepaald worden.</w:t>
      </w:r>
    </w:p>
    <w:p w:rsidRPr="002A0331" w:rsidR="00C31F34" w:rsidP="00781CF8" w:rsidRDefault="00C31F34">
      <w:pPr>
        <w:pStyle w:val="Lijstalinea"/>
        <w:spacing w:after="0" w:line="240" w:lineRule="atLeast"/>
        <w:ind w:left="12"/>
        <w:rPr>
          <w:sz w:val="18"/>
          <w:szCs w:val="18"/>
        </w:rPr>
      </w:pPr>
    </w:p>
    <w:p w:rsidRPr="007F474E" w:rsidR="00C31F34" w:rsidP="00781CF8" w:rsidRDefault="00C31F34">
      <w:pPr>
        <w:pStyle w:val="Kop2"/>
        <w:spacing w:before="0"/>
        <w:rPr>
          <w:rFonts w:ascii="Verdana" w:hAnsi="Verdana"/>
          <w:color w:val="auto"/>
          <w:sz w:val="18"/>
          <w:szCs w:val="18"/>
        </w:rPr>
      </w:pPr>
      <w:bookmarkStart w:name="_Toc293998563" w:id="67"/>
      <w:r>
        <w:rPr>
          <w:rFonts w:ascii="Verdana" w:hAnsi="Verdana"/>
          <w:color w:val="auto"/>
          <w:sz w:val="18"/>
          <w:szCs w:val="18"/>
        </w:rPr>
        <w:t>7</w:t>
      </w:r>
      <w:r w:rsidRPr="007F474E">
        <w:rPr>
          <w:rFonts w:ascii="Verdana" w:hAnsi="Verdana"/>
          <w:color w:val="auto"/>
          <w:sz w:val="18"/>
          <w:szCs w:val="18"/>
        </w:rPr>
        <w:t>.</w:t>
      </w:r>
      <w:r>
        <w:rPr>
          <w:rFonts w:ascii="Verdana" w:hAnsi="Verdana"/>
          <w:color w:val="auto"/>
          <w:sz w:val="18"/>
          <w:szCs w:val="18"/>
        </w:rPr>
        <w:t>3</w:t>
      </w:r>
      <w:r w:rsidRPr="007F474E">
        <w:rPr>
          <w:rFonts w:ascii="Verdana" w:hAnsi="Verdana"/>
          <w:color w:val="auto"/>
          <w:sz w:val="18"/>
          <w:szCs w:val="18"/>
        </w:rPr>
        <w:t>. Uitvoeringskosten en administratieve lasten</w:t>
      </w:r>
      <w:bookmarkEnd w:id="67"/>
    </w:p>
    <w:p w:rsidRPr="002A0331" w:rsidR="00C31F34" w:rsidP="00781CF8" w:rsidRDefault="00C31F34">
      <w:pPr>
        <w:pStyle w:val="Lijstalinea"/>
        <w:spacing w:after="0" w:line="240" w:lineRule="atLeast"/>
        <w:ind w:left="12"/>
        <w:rPr>
          <w:sz w:val="18"/>
          <w:szCs w:val="18"/>
        </w:rPr>
      </w:pPr>
      <w:r w:rsidRPr="002A0331">
        <w:rPr>
          <w:sz w:val="18"/>
          <w:szCs w:val="18"/>
        </w:rPr>
        <w:t xml:space="preserve">De uitvoeringskosten van het Eurovignet voor Nederland zijn hoog, ongeveer € 10 </w:t>
      </w:r>
      <w:r w:rsidR="000420B5">
        <w:rPr>
          <w:sz w:val="18"/>
          <w:szCs w:val="18"/>
        </w:rPr>
        <w:t>mln</w:t>
      </w:r>
      <w:r w:rsidRPr="002A0331">
        <w:rPr>
          <w:sz w:val="18"/>
          <w:szCs w:val="18"/>
        </w:rPr>
        <w:t xml:space="preserve"> per jaar. </w:t>
      </w:r>
    </w:p>
    <w:p w:rsidR="00C31F34" w:rsidP="00781CF8" w:rsidRDefault="00C31F34">
      <w:pPr>
        <w:pStyle w:val="Lijstalinea"/>
        <w:spacing w:after="0" w:line="240" w:lineRule="atLeast"/>
        <w:ind w:left="12"/>
        <w:rPr>
          <w:sz w:val="18"/>
          <w:szCs w:val="18"/>
        </w:rPr>
      </w:pPr>
      <w:r w:rsidRPr="002A0331">
        <w:rPr>
          <w:sz w:val="18"/>
          <w:szCs w:val="18"/>
        </w:rPr>
        <w:t>De binnenlandse uitvoering van de heffing en de controle daarop zijn erg arbeidsintensief vanwege het flexibele vignetsysteem</w:t>
      </w:r>
      <w:r>
        <w:rPr>
          <w:sz w:val="18"/>
          <w:szCs w:val="18"/>
        </w:rPr>
        <w:t xml:space="preserve"> (naast een jaarvignet is een maand-, week- of dagvignet mogelijk)</w:t>
      </w:r>
      <w:r w:rsidRPr="002A0331">
        <w:rPr>
          <w:sz w:val="18"/>
          <w:szCs w:val="18"/>
        </w:rPr>
        <w:t>. Daarnaast zijn de kosten van de externe serviceprovider en de verkoop van vignetten op tankstations hoog.</w:t>
      </w:r>
      <w:r w:rsidR="00E162D3">
        <w:rPr>
          <w:sz w:val="18"/>
          <w:szCs w:val="18"/>
        </w:rPr>
        <w:t xml:space="preserve"> </w:t>
      </w:r>
      <w:r>
        <w:rPr>
          <w:sz w:val="18"/>
          <w:szCs w:val="18"/>
        </w:rPr>
        <w:t>Ook d</w:t>
      </w:r>
      <w:r w:rsidRPr="002A0331">
        <w:rPr>
          <w:sz w:val="18"/>
          <w:szCs w:val="18"/>
        </w:rPr>
        <w:t xml:space="preserve">e administratieve lasten van het Eurovignet zijn naar verhouding </w:t>
      </w:r>
      <w:r w:rsidR="00E162D3">
        <w:rPr>
          <w:sz w:val="18"/>
          <w:szCs w:val="18"/>
        </w:rPr>
        <w:t>zeer</w:t>
      </w:r>
      <w:r w:rsidRPr="002A0331">
        <w:rPr>
          <w:sz w:val="18"/>
          <w:szCs w:val="18"/>
        </w:rPr>
        <w:t xml:space="preserve"> hoog en bedragen per jaar ongeveer € 12,25 </w:t>
      </w:r>
      <w:r w:rsidR="000420B5">
        <w:rPr>
          <w:sz w:val="18"/>
          <w:szCs w:val="18"/>
        </w:rPr>
        <w:t>mln</w:t>
      </w:r>
      <w:r w:rsidRPr="002A0331">
        <w:rPr>
          <w:sz w:val="18"/>
          <w:szCs w:val="18"/>
        </w:rPr>
        <w:t xml:space="preserve">. Ter vergelijking, de </w:t>
      </w:r>
      <w:r>
        <w:rPr>
          <w:sz w:val="18"/>
          <w:szCs w:val="18"/>
        </w:rPr>
        <w:t xml:space="preserve">administratieve lasten </w:t>
      </w:r>
      <w:r w:rsidRPr="002A0331">
        <w:rPr>
          <w:sz w:val="18"/>
          <w:szCs w:val="18"/>
        </w:rPr>
        <w:t xml:space="preserve">voor de MRB, opbrengst </w:t>
      </w:r>
      <w:r>
        <w:rPr>
          <w:sz w:val="18"/>
          <w:szCs w:val="18"/>
        </w:rPr>
        <w:t xml:space="preserve">€ </w:t>
      </w:r>
      <w:r w:rsidRPr="002A0331">
        <w:rPr>
          <w:sz w:val="18"/>
          <w:szCs w:val="18"/>
        </w:rPr>
        <w:t xml:space="preserve">3,8 </w:t>
      </w:r>
      <w:r w:rsidR="000420B5">
        <w:rPr>
          <w:sz w:val="18"/>
          <w:szCs w:val="18"/>
        </w:rPr>
        <w:t>mld</w:t>
      </w:r>
      <w:r w:rsidRPr="002A0331">
        <w:rPr>
          <w:sz w:val="18"/>
          <w:szCs w:val="18"/>
        </w:rPr>
        <w:t xml:space="preserve">, bedragen slechts </w:t>
      </w:r>
      <w:r>
        <w:rPr>
          <w:sz w:val="18"/>
          <w:szCs w:val="18"/>
        </w:rPr>
        <w:t xml:space="preserve">€ </w:t>
      </w:r>
      <w:r w:rsidRPr="002A0331">
        <w:rPr>
          <w:sz w:val="18"/>
          <w:szCs w:val="18"/>
        </w:rPr>
        <w:t xml:space="preserve">13 </w:t>
      </w:r>
      <w:r w:rsidR="000420B5">
        <w:rPr>
          <w:sz w:val="18"/>
          <w:szCs w:val="18"/>
        </w:rPr>
        <w:t>mln</w:t>
      </w:r>
      <w:r w:rsidRPr="002A0331">
        <w:rPr>
          <w:sz w:val="18"/>
          <w:szCs w:val="18"/>
        </w:rPr>
        <w:t>.</w:t>
      </w:r>
    </w:p>
    <w:p w:rsidRPr="002A0331" w:rsidR="00E162D3" w:rsidP="00781CF8" w:rsidRDefault="00E162D3">
      <w:pPr>
        <w:pStyle w:val="Lijstalinea"/>
        <w:spacing w:after="0" w:line="240" w:lineRule="atLeast"/>
        <w:ind w:left="12"/>
        <w:rPr>
          <w:sz w:val="18"/>
          <w:szCs w:val="18"/>
        </w:rPr>
      </w:pPr>
    </w:p>
    <w:p w:rsidRPr="002A0331" w:rsidR="00C31F34" w:rsidP="00781CF8" w:rsidRDefault="00C31F34">
      <w:pPr>
        <w:pStyle w:val="Lijstalinea"/>
        <w:spacing w:after="0" w:line="240" w:lineRule="atLeast"/>
        <w:ind w:left="12"/>
        <w:rPr>
          <w:sz w:val="18"/>
          <w:szCs w:val="18"/>
        </w:rPr>
      </w:pPr>
      <w:r w:rsidRPr="002A0331">
        <w:rPr>
          <w:sz w:val="18"/>
          <w:szCs w:val="18"/>
        </w:rPr>
        <w:t xml:space="preserve">Het belastingstelsel als geheel wordt voor een ondernemer overzichtelijker als de heffing verdwijnt. Ondernemers worden </w:t>
      </w:r>
      <w:r>
        <w:rPr>
          <w:sz w:val="18"/>
          <w:szCs w:val="18"/>
        </w:rPr>
        <w:t xml:space="preserve">nu </w:t>
      </w:r>
      <w:r w:rsidRPr="002A0331">
        <w:rPr>
          <w:sz w:val="18"/>
          <w:szCs w:val="18"/>
        </w:rPr>
        <w:t>door de flexibele vormgeving gedwongen vooraf af te wegen welk vignet het goedkoopst uitpakt: een jaar</w:t>
      </w:r>
      <w:r w:rsidR="005060B0">
        <w:rPr>
          <w:sz w:val="18"/>
          <w:szCs w:val="18"/>
        </w:rPr>
        <w:t>-</w:t>
      </w:r>
      <w:r w:rsidRPr="002A0331">
        <w:rPr>
          <w:sz w:val="18"/>
          <w:szCs w:val="18"/>
        </w:rPr>
        <w:t>, maand</w:t>
      </w:r>
      <w:r w:rsidR="005060B0">
        <w:rPr>
          <w:sz w:val="18"/>
          <w:szCs w:val="18"/>
        </w:rPr>
        <w:t>-</w:t>
      </w:r>
      <w:r w:rsidRPr="002A0331">
        <w:rPr>
          <w:sz w:val="18"/>
          <w:szCs w:val="18"/>
        </w:rPr>
        <w:t>, week</w:t>
      </w:r>
      <w:r w:rsidR="005060B0">
        <w:rPr>
          <w:sz w:val="18"/>
          <w:szCs w:val="18"/>
        </w:rPr>
        <w:t>-</w:t>
      </w:r>
      <w:r w:rsidRPr="002A0331">
        <w:rPr>
          <w:sz w:val="18"/>
          <w:szCs w:val="18"/>
        </w:rPr>
        <w:t xml:space="preserve"> of dagvignet, afhankelijk van de geplande inzet van de voertuigen.</w:t>
      </w:r>
      <w:r>
        <w:rPr>
          <w:sz w:val="18"/>
          <w:szCs w:val="18"/>
        </w:rPr>
        <w:t xml:space="preserve"> Dit legt een flinke last op de administratie en de planning van de ondernemers.</w:t>
      </w:r>
    </w:p>
    <w:p w:rsidR="005060B0" w:rsidP="00781CF8" w:rsidRDefault="005060B0">
      <w:pPr>
        <w:pStyle w:val="Lijstalinea"/>
        <w:spacing w:after="0" w:line="240" w:lineRule="atLeast"/>
        <w:ind w:left="12"/>
        <w:rPr>
          <w:sz w:val="18"/>
          <w:szCs w:val="18"/>
        </w:rPr>
      </w:pPr>
    </w:p>
    <w:p w:rsidRPr="00C74AA9" w:rsidR="00C31F34" w:rsidP="00C74AA9" w:rsidRDefault="00C31F34">
      <w:pPr>
        <w:pStyle w:val="Kop2"/>
        <w:rPr>
          <w:rFonts w:ascii="Verdana" w:hAnsi="Verdana"/>
          <w:color w:val="auto"/>
          <w:sz w:val="18"/>
          <w:szCs w:val="18"/>
        </w:rPr>
      </w:pPr>
      <w:bookmarkStart w:name="_Toc293998564" w:id="68"/>
      <w:r w:rsidRPr="00C74AA9">
        <w:rPr>
          <w:rFonts w:ascii="Verdana" w:hAnsi="Verdana"/>
          <w:color w:val="auto"/>
          <w:sz w:val="18"/>
          <w:szCs w:val="18"/>
        </w:rPr>
        <w:t>7.4. Milieu</w:t>
      </w:r>
      <w:bookmarkEnd w:id="68"/>
    </w:p>
    <w:p w:rsidRPr="002A0331" w:rsidR="00C31F34" w:rsidP="00781CF8" w:rsidRDefault="00C31F34">
      <w:pPr>
        <w:pStyle w:val="Lijstalinea"/>
        <w:spacing w:after="0" w:line="240" w:lineRule="atLeast"/>
        <w:ind w:left="12"/>
        <w:rPr>
          <w:sz w:val="18"/>
          <w:szCs w:val="18"/>
        </w:rPr>
      </w:pPr>
      <w:r w:rsidRPr="002A0331">
        <w:rPr>
          <w:sz w:val="18"/>
          <w:szCs w:val="18"/>
        </w:rPr>
        <w:t>Het Eurovignet is een heffing die niet aan afstand is gerelateerd</w:t>
      </w:r>
      <w:r w:rsidR="002F3BD9">
        <w:rPr>
          <w:sz w:val="18"/>
          <w:szCs w:val="18"/>
        </w:rPr>
        <w:t>,</w:t>
      </w:r>
      <w:r>
        <w:rPr>
          <w:sz w:val="18"/>
          <w:szCs w:val="18"/>
        </w:rPr>
        <w:t xml:space="preserve"> met</w:t>
      </w:r>
      <w:r w:rsidRPr="002A0331">
        <w:rPr>
          <w:sz w:val="18"/>
          <w:szCs w:val="18"/>
        </w:rPr>
        <w:t xml:space="preserve"> een sterk verouderde differentiatie naar </w:t>
      </w:r>
      <w:r w:rsidR="005F5FC9">
        <w:rPr>
          <w:sz w:val="18"/>
          <w:szCs w:val="18"/>
        </w:rPr>
        <w:t>E</w:t>
      </w:r>
      <w:r w:rsidRPr="002A0331">
        <w:rPr>
          <w:sz w:val="18"/>
          <w:szCs w:val="18"/>
        </w:rPr>
        <w:t xml:space="preserve">uroklasse </w:t>
      </w:r>
      <w:r>
        <w:rPr>
          <w:sz w:val="18"/>
          <w:szCs w:val="18"/>
        </w:rPr>
        <w:t>en een slechts beperkte differentiatie naar gewicht</w:t>
      </w:r>
      <w:r w:rsidRPr="002A0331">
        <w:rPr>
          <w:sz w:val="18"/>
          <w:szCs w:val="18"/>
        </w:rPr>
        <w:t xml:space="preserve">. Afschaffing van het vignet en dekking door een naar Euroklassen gedifferentieerde verhoging van de MRB zorgt voor een sterkere belasting van </w:t>
      </w:r>
      <w:r>
        <w:rPr>
          <w:sz w:val="18"/>
          <w:szCs w:val="18"/>
        </w:rPr>
        <w:t xml:space="preserve">zwaardere </w:t>
      </w:r>
      <w:r w:rsidR="005F5FC9">
        <w:rPr>
          <w:sz w:val="18"/>
          <w:szCs w:val="18"/>
        </w:rPr>
        <w:t xml:space="preserve">vrachtwagens en van </w:t>
      </w:r>
      <w:r w:rsidRPr="002A0331">
        <w:rPr>
          <w:sz w:val="18"/>
          <w:szCs w:val="18"/>
        </w:rPr>
        <w:t xml:space="preserve">oudere vrachtwagens die meer roet uitstoten. In de MRB is nu al een differentiatie naar Euroklasse opgenomen. </w:t>
      </w:r>
      <w:r>
        <w:rPr>
          <w:sz w:val="18"/>
          <w:szCs w:val="18"/>
        </w:rPr>
        <w:t xml:space="preserve">De MRB is voor een vrachtwagen echter een klein onderdeel van de totale kosten, </w:t>
      </w:r>
      <w:r w:rsidR="005F5FC9">
        <w:rPr>
          <w:sz w:val="18"/>
          <w:szCs w:val="18"/>
        </w:rPr>
        <w:t>waardoor</w:t>
      </w:r>
      <w:r>
        <w:rPr>
          <w:sz w:val="18"/>
          <w:szCs w:val="18"/>
        </w:rPr>
        <w:t xml:space="preserve"> de effectiviteit van deze differentiatie beperkt</w:t>
      </w:r>
      <w:r w:rsidR="005F5FC9">
        <w:rPr>
          <w:sz w:val="18"/>
          <w:szCs w:val="18"/>
        </w:rPr>
        <w:t xml:space="preserve"> is</w:t>
      </w:r>
      <w:r>
        <w:rPr>
          <w:sz w:val="18"/>
          <w:szCs w:val="18"/>
        </w:rPr>
        <w:t xml:space="preserve">. Een verhoging </w:t>
      </w:r>
      <w:r w:rsidR="005F5FC9">
        <w:rPr>
          <w:sz w:val="18"/>
          <w:szCs w:val="18"/>
        </w:rPr>
        <w:t>van de MRB vergroot het effect van deze differentiatie</w:t>
      </w:r>
      <w:r>
        <w:rPr>
          <w:sz w:val="18"/>
          <w:szCs w:val="18"/>
        </w:rPr>
        <w:t>. Daarnaast is de MRB sterker dan het Eurovignet naar gewicht gedifferentieerd. Of deze gewichtsdifferentiatie ook leidt tot een gedifferentieerde tariefsverhoging, is afhankelijk van de gekozen uitwerking.</w:t>
      </w:r>
    </w:p>
    <w:p w:rsidR="00093033" w:rsidP="00781CF8" w:rsidRDefault="00093033">
      <w:pPr>
        <w:pStyle w:val="Kop2"/>
        <w:spacing w:before="0"/>
        <w:rPr>
          <w:rFonts w:ascii="Verdana" w:hAnsi="Verdana"/>
          <w:color w:val="auto"/>
          <w:sz w:val="18"/>
          <w:szCs w:val="18"/>
        </w:rPr>
      </w:pPr>
    </w:p>
    <w:p w:rsidRPr="00950FC5" w:rsidR="00C31F34" w:rsidP="00781CF8" w:rsidRDefault="00C31F34">
      <w:pPr>
        <w:pStyle w:val="Kop2"/>
        <w:spacing w:before="0"/>
        <w:rPr>
          <w:rFonts w:ascii="Verdana" w:hAnsi="Verdana"/>
          <w:color w:val="auto"/>
          <w:sz w:val="18"/>
          <w:szCs w:val="18"/>
        </w:rPr>
      </w:pPr>
      <w:bookmarkStart w:name="_Toc293998565" w:id="69"/>
      <w:r w:rsidRPr="00950FC5">
        <w:rPr>
          <w:rFonts w:ascii="Verdana" w:hAnsi="Verdana"/>
          <w:color w:val="auto"/>
          <w:sz w:val="18"/>
          <w:szCs w:val="18"/>
        </w:rPr>
        <w:t>7.5. Dekking</w:t>
      </w:r>
      <w:bookmarkEnd w:id="69"/>
    </w:p>
    <w:p w:rsidR="00B53E22" w:rsidP="00781CF8" w:rsidRDefault="00C31F34">
      <w:pPr>
        <w:spacing w:after="0" w:line="240" w:lineRule="atLeast"/>
        <w:rPr>
          <w:sz w:val="18"/>
          <w:szCs w:val="18"/>
        </w:rPr>
      </w:pPr>
      <w:r>
        <w:rPr>
          <w:sz w:val="18"/>
          <w:szCs w:val="18"/>
        </w:rPr>
        <w:t xml:space="preserve">Toen het Eurovignet werd ingevoerd is de motorrijtuigenbelasting verlaagd. </w:t>
      </w:r>
      <w:r w:rsidRPr="000453C6">
        <w:rPr>
          <w:sz w:val="18"/>
          <w:szCs w:val="18"/>
        </w:rPr>
        <w:t xml:space="preserve">Dekking in de </w:t>
      </w:r>
      <w:r>
        <w:rPr>
          <w:sz w:val="18"/>
          <w:szCs w:val="18"/>
        </w:rPr>
        <w:t xml:space="preserve">motorrijtuigenbelasting </w:t>
      </w:r>
      <w:r w:rsidRPr="00E3524E">
        <w:rPr>
          <w:sz w:val="18"/>
          <w:szCs w:val="18"/>
        </w:rPr>
        <w:t xml:space="preserve">van afschaffing van het Eurovignet </w:t>
      </w:r>
      <w:r w:rsidRPr="000453C6">
        <w:rPr>
          <w:sz w:val="18"/>
          <w:szCs w:val="18"/>
        </w:rPr>
        <w:t xml:space="preserve">is </w:t>
      </w:r>
      <w:r>
        <w:rPr>
          <w:sz w:val="18"/>
          <w:szCs w:val="18"/>
        </w:rPr>
        <w:t xml:space="preserve">dan ook de </w:t>
      </w:r>
      <w:r w:rsidRPr="000453C6">
        <w:rPr>
          <w:sz w:val="18"/>
          <w:szCs w:val="18"/>
        </w:rPr>
        <w:t xml:space="preserve">meest </w:t>
      </w:r>
      <w:r>
        <w:rPr>
          <w:sz w:val="18"/>
          <w:szCs w:val="18"/>
        </w:rPr>
        <w:t>voor de hand liggende optie</w:t>
      </w:r>
      <w:r w:rsidRPr="000453C6">
        <w:rPr>
          <w:sz w:val="18"/>
          <w:szCs w:val="18"/>
        </w:rPr>
        <w:t>. Dit levert</w:t>
      </w:r>
      <w:r>
        <w:rPr>
          <w:sz w:val="18"/>
          <w:szCs w:val="18"/>
        </w:rPr>
        <w:t xml:space="preserve">, zoals hierboven beschreven, </w:t>
      </w:r>
      <w:r w:rsidRPr="000453C6">
        <w:rPr>
          <w:sz w:val="18"/>
          <w:szCs w:val="18"/>
        </w:rPr>
        <w:t xml:space="preserve">ook goede mogelijkheden voor differentiatie naar Euroklasse op. </w:t>
      </w:r>
      <w:r>
        <w:rPr>
          <w:sz w:val="18"/>
          <w:szCs w:val="18"/>
        </w:rPr>
        <w:t>Bij het huidige MRB-tarief zou d</w:t>
      </w:r>
      <w:r w:rsidRPr="000453C6">
        <w:rPr>
          <w:sz w:val="18"/>
          <w:szCs w:val="18"/>
        </w:rPr>
        <w:t xml:space="preserve">e MRB voor zware vrachtwagens </w:t>
      </w:r>
      <w:r>
        <w:rPr>
          <w:sz w:val="18"/>
          <w:szCs w:val="18"/>
        </w:rPr>
        <w:t xml:space="preserve">gemiddeld </w:t>
      </w:r>
      <w:r w:rsidRPr="000453C6">
        <w:rPr>
          <w:sz w:val="18"/>
          <w:szCs w:val="18"/>
        </w:rPr>
        <w:t xml:space="preserve">met 174% omhoog moeten. Een nadeel is dat de € 26 </w:t>
      </w:r>
      <w:r w:rsidR="000420B5">
        <w:rPr>
          <w:sz w:val="18"/>
          <w:szCs w:val="18"/>
        </w:rPr>
        <w:t>mln</w:t>
      </w:r>
      <w:r w:rsidRPr="000453C6">
        <w:rPr>
          <w:sz w:val="18"/>
          <w:szCs w:val="18"/>
        </w:rPr>
        <w:t xml:space="preserve"> die nu door </w:t>
      </w:r>
      <w:r>
        <w:rPr>
          <w:sz w:val="18"/>
          <w:szCs w:val="18"/>
        </w:rPr>
        <w:t>buitenlandse trucks</w:t>
      </w:r>
      <w:r w:rsidRPr="000453C6">
        <w:rPr>
          <w:sz w:val="18"/>
          <w:szCs w:val="18"/>
        </w:rPr>
        <w:t xml:space="preserve"> wordt opgebracht </w:t>
      </w:r>
      <w:r>
        <w:rPr>
          <w:sz w:val="18"/>
          <w:szCs w:val="18"/>
        </w:rPr>
        <w:t xml:space="preserve">dan ook </w:t>
      </w:r>
      <w:r w:rsidRPr="000453C6">
        <w:rPr>
          <w:sz w:val="18"/>
          <w:szCs w:val="18"/>
        </w:rPr>
        <w:t>word</w:t>
      </w:r>
      <w:r>
        <w:rPr>
          <w:sz w:val="18"/>
          <w:szCs w:val="18"/>
        </w:rPr>
        <w:t>t</w:t>
      </w:r>
      <w:r w:rsidRPr="000453C6">
        <w:rPr>
          <w:sz w:val="18"/>
          <w:szCs w:val="18"/>
        </w:rPr>
        <w:t xml:space="preserve"> gedekt bij Nederlandse voertuigen.</w:t>
      </w:r>
      <w:r>
        <w:rPr>
          <w:sz w:val="18"/>
          <w:szCs w:val="18"/>
        </w:rPr>
        <w:t xml:space="preserve"> </w:t>
      </w:r>
      <w:r w:rsidRPr="000453C6">
        <w:rPr>
          <w:sz w:val="18"/>
          <w:szCs w:val="18"/>
        </w:rPr>
        <w:t xml:space="preserve">Een alternatief vormt dekking via de dieselaccijns. Dit betekent meer belasten naar gebruik en minder naar bezit. De dieselaccijns zou met 3,9 cent moeten stijgen en de MRB voor dieselpersonenauto’s, dieselbestelauto’s en lichte vrachtauto’s zou ter compensatie met 8,5% moeten worden verlaagd. Buitenlandse voertuigen betalen ook dieselaccijns en </w:t>
      </w:r>
      <w:r>
        <w:rPr>
          <w:sz w:val="18"/>
          <w:szCs w:val="18"/>
        </w:rPr>
        <w:t>zouden</w:t>
      </w:r>
      <w:r w:rsidRPr="000453C6">
        <w:rPr>
          <w:sz w:val="18"/>
          <w:szCs w:val="18"/>
        </w:rPr>
        <w:t xml:space="preserve"> dus gedeeltelijk mee</w:t>
      </w:r>
      <w:r>
        <w:rPr>
          <w:sz w:val="18"/>
          <w:szCs w:val="18"/>
        </w:rPr>
        <w:t>betalen. Een hybride variant is ook denkbaar, waarbij een deel van de derving in de dieselaccijns wordt gedekt, onder een beperktere verlaging van de MRB voor overige voertuigen. Het andere deel wordt dan gedekt door een gedifferentieerde verhoging van de MRB voor zware vrachtwagens.</w:t>
      </w:r>
    </w:p>
    <w:p w:rsidR="008A1E72" w:rsidP="00781CF8" w:rsidRDefault="008A1E72">
      <w:pPr>
        <w:spacing w:after="0" w:line="240" w:lineRule="atLeast"/>
        <w:rPr>
          <w:b/>
          <w:sz w:val="18"/>
          <w:szCs w:val="18"/>
        </w:rPr>
      </w:pPr>
    </w:p>
    <w:p w:rsidRPr="00C74AA9" w:rsidR="00C74AA9" w:rsidP="00C74AA9" w:rsidRDefault="00C31F34">
      <w:pPr>
        <w:pStyle w:val="Kop2"/>
        <w:rPr>
          <w:rFonts w:ascii="Verdana" w:hAnsi="Verdana"/>
          <w:color w:val="auto"/>
          <w:sz w:val="18"/>
          <w:szCs w:val="18"/>
        </w:rPr>
      </w:pPr>
      <w:bookmarkStart w:name="_Toc293998566" w:id="70"/>
      <w:r w:rsidRPr="00C74AA9">
        <w:rPr>
          <w:rFonts w:ascii="Verdana" w:hAnsi="Verdana"/>
          <w:color w:val="auto"/>
          <w:sz w:val="18"/>
          <w:szCs w:val="18"/>
        </w:rPr>
        <w:t>7.6. Effecten voor de Nederlandse vervoerbranche</w:t>
      </w:r>
      <w:bookmarkEnd w:id="70"/>
    </w:p>
    <w:p w:rsidRPr="004A35CB" w:rsidR="004A35CB" w:rsidP="00781CF8" w:rsidRDefault="00C31F34">
      <w:pPr>
        <w:spacing w:after="0" w:line="240" w:lineRule="atLeast"/>
        <w:rPr>
          <w:sz w:val="18"/>
          <w:szCs w:val="18"/>
        </w:rPr>
      </w:pPr>
      <w:r w:rsidRPr="00DA4E6C">
        <w:rPr>
          <w:sz w:val="18"/>
          <w:szCs w:val="18"/>
        </w:rPr>
        <w:t xml:space="preserve">Voor de </w:t>
      </w:r>
      <w:r>
        <w:rPr>
          <w:sz w:val="18"/>
          <w:szCs w:val="18"/>
        </w:rPr>
        <w:t>vervoer</w:t>
      </w:r>
      <w:r w:rsidRPr="00DA4E6C">
        <w:rPr>
          <w:sz w:val="18"/>
          <w:szCs w:val="18"/>
        </w:rPr>
        <w:t xml:space="preserve">branche </w:t>
      </w:r>
      <w:r>
        <w:rPr>
          <w:sz w:val="18"/>
          <w:szCs w:val="18"/>
        </w:rPr>
        <w:t>kan</w:t>
      </w:r>
      <w:r w:rsidRPr="00DA4E6C">
        <w:rPr>
          <w:sz w:val="18"/>
          <w:szCs w:val="18"/>
        </w:rPr>
        <w:t xml:space="preserve"> de afschaffing </w:t>
      </w:r>
      <w:r>
        <w:rPr>
          <w:sz w:val="18"/>
          <w:szCs w:val="18"/>
        </w:rPr>
        <w:t xml:space="preserve">van het Eurovignet afhankelijk van de gekozen dekking </w:t>
      </w:r>
      <w:r w:rsidRPr="00DA4E6C">
        <w:rPr>
          <w:sz w:val="18"/>
          <w:szCs w:val="18"/>
        </w:rPr>
        <w:t>een kleine stijging van de lasten</w:t>
      </w:r>
      <w:r>
        <w:rPr>
          <w:sz w:val="18"/>
          <w:szCs w:val="18"/>
        </w:rPr>
        <w:t xml:space="preserve"> betekenen</w:t>
      </w:r>
      <w:r w:rsidRPr="00DA4E6C">
        <w:rPr>
          <w:sz w:val="18"/>
          <w:szCs w:val="18"/>
        </w:rPr>
        <w:t xml:space="preserve">. </w:t>
      </w:r>
      <w:r>
        <w:rPr>
          <w:sz w:val="18"/>
          <w:szCs w:val="18"/>
        </w:rPr>
        <w:t>Bedrijven</w:t>
      </w:r>
      <w:r w:rsidRPr="00DA4E6C">
        <w:rPr>
          <w:sz w:val="18"/>
          <w:szCs w:val="18"/>
        </w:rPr>
        <w:t xml:space="preserve"> bespar</w:t>
      </w:r>
      <w:r>
        <w:rPr>
          <w:sz w:val="18"/>
          <w:szCs w:val="18"/>
        </w:rPr>
        <w:t>en</w:t>
      </w:r>
      <w:r w:rsidRPr="00DA4E6C">
        <w:rPr>
          <w:sz w:val="18"/>
          <w:szCs w:val="18"/>
        </w:rPr>
        <w:t xml:space="preserve"> enerzijds administratieve lasten en hoeven geen Eurovignet meer te betalen. Aan de andere kant betalen zij iets zwaarder mee in de </w:t>
      </w:r>
      <w:r w:rsidRPr="00DA4E6C">
        <w:rPr>
          <w:sz w:val="18"/>
          <w:szCs w:val="18"/>
        </w:rPr>
        <w:lastRenderedPageBreak/>
        <w:t>dekking als ook de €</w:t>
      </w:r>
      <w:r w:rsidR="00E162D3">
        <w:rPr>
          <w:sz w:val="18"/>
          <w:szCs w:val="18"/>
        </w:rPr>
        <w:t> </w:t>
      </w:r>
      <w:r w:rsidRPr="00DA4E6C">
        <w:rPr>
          <w:sz w:val="18"/>
          <w:szCs w:val="18"/>
        </w:rPr>
        <w:t xml:space="preserve">26 </w:t>
      </w:r>
      <w:r w:rsidR="000420B5">
        <w:rPr>
          <w:sz w:val="18"/>
          <w:szCs w:val="18"/>
        </w:rPr>
        <w:t>mln</w:t>
      </w:r>
      <w:r w:rsidRPr="00DA4E6C">
        <w:rPr>
          <w:sz w:val="18"/>
          <w:szCs w:val="18"/>
        </w:rPr>
        <w:t xml:space="preserve"> die nu door het buitenland wordt opgebracht door hen moet worden gecompenseerd.</w:t>
      </w:r>
      <w:r w:rsidRPr="000453C6">
        <w:rPr>
          <w:b/>
          <w:sz w:val="18"/>
          <w:szCs w:val="18"/>
        </w:rPr>
        <w:t xml:space="preserve"> </w:t>
      </w:r>
      <w:r w:rsidR="004A35CB">
        <w:rPr>
          <w:sz w:val="18"/>
          <w:szCs w:val="18"/>
        </w:rPr>
        <w:t xml:space="preserve">Daar staat tegenover dat een verhoging van de belasting met € 21 </w:t>
      </w:r>
      <w:r w:rsidR="000420B5">
        <w:rPr>
          <w:sz w:val="18"/>
          <w:szCs w:val="18"/>
        </w:rPr>
        <w:t>mln</w:t>
      </w:r>
      <w:r w:rsidR="004A35CB">
        <w:rPr>
          <w:sz w:val="18"/>
          <w:szCs w:val="18"/>
        </w:rPr>
        <w:t xml:space="preserve"> per 2009 niet is doorgegaan, waardoor dit bedrag nu ook niet extra hoeft te worden gedekt.</w:t>
      </w:r>
    </w:p>
    <w:p w:rsidR="00B53E22" w:rsidP="00781CF8" w:rsidRDefault="00C31F34">
      <w:pPr>
        <w:spacing w:after="0" w:line="240" w:lineRule="atLeast"/>
        <w:rPr>
          <w:sz w:val="18"/>
          <w:szCs w:val="18"/>
        </w:rPr>
      </w:pPr>
      <w:r w:rsidRPr="002A0331">
        <w:rPr>
          <w:sz w:val="18"/>
          <w:szCs w:val="18"/>
        </w:rPr>
        <w:t>Verder is het de vraag of de Nederlandse trucks in het buitenland het vignet moeten blijven betalen. Wanneer Nederland eenzijdig uit het Eurovignet zou stappen en het verdrag zou in de andere landen blijven bestaan</w:t>
      </w:r>
      <w:r w:rsidR="00202466">
        <w:rPr>
          <w:sz w:val="18"/>
          <w:szCs w:val="18"/>
        </w:rPr>
        <w:t>,</w:t>
      </w:r>
      <w:r w:rsidRPr="002A0331">
        <w:rPr>
          <w:sz w:val="18"/>
          <w:szCs w:val="18"/>
        </w:rPr>
        <w:t xml:space="preserve"> betalen Nederlandse trucks alsnog in België, Luxemburg, Denemarken en Zweden het vignet. </w:t>
      </w:r>
      <w:r>
        <w:rPr>
          <w:sz w:val="18"/>
          <w:szCs w:val="18"/>
        </w:rPr>
        <w:t xml:space="preserve">In onderling overleg met de verdragsluitende landen kan besloten worden dat de landen tegelijkertijd met het heffen van het Eurovignet stoppen. Ik teken daarbij aan dat wanneer België en Denemarken een kilometerheffing introduceren ook Nederlanders daaraan </w:t>
      </w:r>
      <w:r w:rsidR="005F5FC9">
        <w:rPr>
          <w:sz w:val="18"/>
          <w:szCs w:val="18"/>
        </w:rPr>
        <w:t xml:space="preserve">zullen </w:t>
      </w:r>
      <w:r>
        <w:rPr>
          <w:sz w:val="18"/>
          <w:szCs w:val="18"/>
        </w:rPr>
        <w:t>meebetalen, zoals dat nu al in Duitsland het geval is.</w:t>
      </w:r>
    </w:p>
    <w:p w:rsidRPr="002A0331" w:rsidR="00C31F34" w:rsidP="00781CF8" w:rsidRDefault="004A35CB">
      <w:pPr>
        <w:pStyle w:val="Lijstalinea"/>
        <w:spacing w:after="0" w:line="240" w:lineRule="atLeast"/>
        <w:ind w:left="12"/>
        <w:rPr>
          <w:sz w:val="18"/>
          <w:szCs w:val="18"/>
        </w:rPr>
      </w:pPr>
      <w:r>
        <w:rPr>
          <w:sz w:val="18"/>
          <w:szCs w:val="18"/>
        </w:rPr>
        <w:t xml:space="preserve">Voor vrachtwagens die weinig of geen gebruik maken van het hoofdwegennet van één van de Eurovignetlanden levert de afschaffing van het Eurovignet weinig voordeel op. Afhankelijk van de gekozen dekking, in de MRB of (gedeeltelijk) in de dieselaccijns, </w:t>
      </w:r>
      <w:r w:rsidR="0056756C">
        <w:rPr>
          <w:sz w:val="18"/>
          <w:szCs w:val="18"/>
        </w:rPr>
        <w:t xml:space="preserve">gaan deze vrachtwagens er op achteruit. Daarbij valt op te merken dat een vergelijkbare vrachtwagen er bij introductie van het Eurovignet juist op vooruit is gegaan. </w:t>
      </w:r>
      <w:r w:rsidRPr="002A0331" w:rsidR="00C31F34">
        <w:rPr>
          <w:sz w:val="18"/>
          <w:szCs w:val="18"/>
        </w:rPr>
        <w:t xml:space="preserve">Het effect voor een individueel voertuig </w:t>
      </w:r>
      <w:r w:rsidR="00C31F34">
        <w:rPr>
          <w:sz w:val="18"/>
          <w:szCs w:val="18"/>
        </w:rPr>
        <w:t>zal</w:t>
      </w:r>
      <w:r w:rsidRPr="002A0331" w:rsidR="00C31F34">
        <w:rPr>
          <w:sz w:val="18"/>
          <w:szCs w:val="18"/>
        </w:rPr>
        <w:t xml:space="preserve"> </w:t>
      </w:r>
      <w:r w:rsidR="00C31F34">
        <w:rPr>
          <w:sz w:val="18"/>
          <w:szCs w:val="18"/>
        </w:rPr>
        <w:t xml:space="preserve">verder afhangen van de kenmerken van </w:t>
      </w:r>
      <w:r w:rsidR="005F5FC9">
        <w:rPr>
          <w:sz w:val="18"/>
          <w:szCs w:val="18"/>
        </w:rPr>
        <w:t>dat</w:t>
      </w:r>
      <w:r w:rsidR="00C31F34">
        <w:rPr>
          <w:sz w:val="18"/>
          <w:szCs w:val="18"/>
        </w:rPr>
        <w:t xml:space="preserve"> voertuig</w:t>
      </w:r>
      <w:r w:rsidRPr="002A0331" w:rsidR="00C31F34">
        <w:rPr>
          <w:sz w:val="18"/>
          <w:szCs w:val="18"/>
        </w:rPr>
        <w:t xml:space="preserve">. </w:t>
      </w:r>
      <w:r w:rsidR="00C31F34">
        <w:rPr>
          <w:sz w:val="18"/>
          <w:szCs w:val="18"/>
        </w:rPr>
        <w:t>Indien</w:t>
      </w:r>
      <w:r w:rsidRPr="002A0331" w:rsidR="00C31F34">
        <w:rPr>
          <w:sz w:val="18"/>
          <w:szCs w:val="18"/>
        </w:rPr>
        <w:t xml:space="preserve"> de dekking </w:t>
      </w:r>
      <w:r w:rsidR="00C31F34">
        <w:rPr>
          <w:sz w:val="18"/>
          <w:szCs w:val="18"/>
        </w:rPr>
        <w:t xml:space="preserve">wordt </w:t>
      </w:r>
      <w:r w:rsidRPr="002A0331" w:rsidR="00C31F34">
        <w:rPr>
          <w:sz w:val="18"/>
          <w:szCs w:val="18"/>
        </w:rPr>
        <w:t xml:space="preserve">gerealiseerd via de MRB dan zal voor oudere, </w:t>
      </w:r>
      <w:r w:rsidR="005F5FC9">
        <w:rPr>
          <w:sz w:val="18"/>
          <w:szCs w:val="18"/>
        </w:rPr>
        <w:t xml:space="preserve">meer </w:t>
      </w:r>
      <w:r w:rsidRPr="002A0331" w:rsidR="00202466">
        <w:rPr>
          <w:sz w:val="18"/>
          <w:szCs w:val="18"/>
        </w:rPr>
        <w:t>v</w:t>
      </w:r>
      <w:r w:rsidR="00202466">
        <w:rPr>
          <w:sz w:val="18"/>
          <w:szCs w:val="18"/>
        </w:rPr>
        <w:t>ervuilende</w:t>
      </w:r>
      <w:r w:rsidRPr="002A0331" w:rsidR="00202466">
        <w:rPr>
          <w:sz w:val="18"/>
          <w:szCs w:val="18"/>
        </w:rPr>
        <w:t xml:space="preserve"> </w:t>
      </w:r>
      <w:r w:rsidRPr="002A0331" w:rsidR="00C31F34">
        <w:rPr>
          <w:sz w:val="18"/>
          <w:szCs w:val="18"/>
        </w:rPr>
        <w:t>vrachtwagens de verhoging zwaarder uitpakken dan voor moderne, schone</w:t>
      </w:r>
      <w:r w:rsidR="00202466">
        <w:rPr>
          <w:sz w:val="18"/>
          <w:szCs w:val="18"/>
        </w:rPr>
        <w:t>re</w:t>
      </w:r>
      <w:r w:rsidRPr="002A0331" w:rsidR="00C31F34">
        <w:rPr>
          <w:sz w:val="18"/>
          <w:szCs w:val="18"/>
        </w:rPr>
        <w:t xml:space="preserve"> vrachtwagens.</w:t>
      </w:r>
      <w:r w:rsidR="00C31F34">
        <w:rPr>
          <w:sz w:val="18"/>
          <w:szCs w:val="18"/>
        </w:rPr>
        <w:t xml:space="preserve"> Daarnaast kan het gewicht van de vrachtwagen een rol spelen.</w:t>
      </w:r>
    </w:p>
    <w:p w:rsidR="00697DA3" w:rsidP="00781CF8" w:rsidRDefault="00697DA3">
      <w:pPr>
        <w:pStyle w:val="Lijstalinea"/>
        <w:spacing w:after="0" w:line="240" w:lineRule="atLeast"/>
        <w:rPr>
          <w:sz w:val="18"/>
          <w:szCs w:val="18"/>
          <w:u w:val="single"/>
        </w:rPr>
      </w:pPr>
    </w:p>
    <w:p w:rsidR="00697DA3" w:rsidP="00781CF8" w:rsidRDefault="00697DA3">
      <w:pPr>
        <w:spacing w:after="0" w:line="240" w:lineRule="auto"/>
        <w:rPr>
          <w:sz w:val="18"/>
          <w:szCs w:val="18"/>
          <w:highlight w:val="yellow"/>
        </w:rPr>
      </w:pPr>
      <w:r>
        <w:rPr>
          <w:sz w:val="18"/>
          <w:szCs w:val="18"/>
          <w:highlight w:val="yellow"/>
        </w:rPr>
        <w:br w:type="page"/>
      </w:r>
    </w:p>
    <w:p w:rsidRPr="0062433D" w:rsidR="000A5C61" w:rsidP="00781CF8" w:rsidRDefault="000A5C61">
      <w:pPr>
        <w:pStyle w:val="Kop1"/>
        <w:spacing w:before="0"/>
        <w:rPr>
          <w:rFonts w:ascii="Verdana" w:hAnsi="Verdana"/>
          <w:color w:val="auto"/>
          <w:sz w:val="18"/>
          <w:szCs w:val="18"/>
        </w:rPr>
      </w:pPr>
      <w:bookmarkStart w:name="_Toc293998567" w:id="71"/>
      <w:r w:rsidRPr="0062433D">
        <w:rPr>
          <w:rFonts w:ascii="Verdana" w:hAnsi="Verdana"/>
          <w:color w:val="auto"/>
          <w:sz w:val="18"/>
          <w:szCs w:val="18"/>
        </w:rPr>
        <w:lastRenderedPageBreak/>
        <w:t xml:space="preserve">Hoofdstuk </w:t>
      </w:r>
      <w:r>
        <w:rPr>
          <w:rFonts w:ascii="Verdana" w:hAnsi="Verdana"/>
          <w:color w:val="auto"/>
          <w:sz w:val="18"/>
          <w:szCs w:val="18"/>
        </w:rPr>
        <w:t>8</w:t>
      </w:r>
      <w:r w:rsidRPr="0062433D">
        <w:rPr>
          <w:rFonts w:ascii="Verdana" w:hAnsi="Verdana"/>
          <w:color w:val="auto"/>
          <w:sz w:val="18"/>
          <w:szCs w:val="18"/>
        </w:rPr>
        <w:t xml:space="preserve">. </w:t>
      </w:r>
      <w:r>
        <w:rPr>
          <w:rFonts w:ascii="Verdana" w:hAnsi="Verdana"/>
          <w:color w:val="auto"/>
          <w:sz w:val="18"/>
          <w:szCs w:val="18"/>
        </w:rPr>
        <w:t>Bestelauto’s</w:t>
      </w:r>
      <w:bookmarkEnd w:id="71"/>
    </w:p>
    <w:p w:rsidR="00781CF8" w:rsidP="00781CF8" w:rsidRDefault="00781CF8">
      <w:pPr>
        <w:pStyle w:val="Kop2"/>
        <w:spacing w:before="0"/>
        <w:rPr>
          <w:rFonts w:ascii="Verdana" w:hAnsi="Verdana"/>
          <w:color w:val="auto"/>
          <w:sz w:val="18"/>
          <w:szCs w:val="18"/>
        </w:rPr>
      </w:pPr>
    </w:p>
    <w:p w:rsidR="00C14B8C" w:rsidP="00781CF8" w:rsidRDefault="00C14B8C">
      <w:pPr>
        <w:pStyle w:val="Kop2"/>
        <w:spacing w:before="0"/>
        <w:rPr>
          <w:rFonts w:ascii="Verdana" w:hAnsi="Verdana"/>
          <w:color w:val="auto"/>
          <w:sz w:val="18"/>
          <w:szCs w:val="18"/>
        </w:rPr>
      </w:pPr>
      <w:bookmarkStart w:name="_Toc293998568" w:id="72"/>
      <w:r w:rsidRPr="000A5C61">
        <w:rPr>
          <w:rFonts w:ascii="Verdana" w:hAnsi="Verdana"/>
          <w:color w:val="auto"/>
          <w:sz w:val="18"/>
          <w:szCs w:val="18"/>
        </w:rPr>
        <w:t xml:space="preserve">8.0. </w:t>
      </w:r>
      <w:r w:rsidRPr="000A5C61" w:rsidR="000A5C61">
        <w:rPr>
          <w:rFonts w:ascii="Verdana" w:hAnsi="Verdana"/>
          <w:color w:val="auto"/>
          <w:sz w:val="18"/>
          <w:szCs w:val="18"/>
        </w:rPr>
        <w:t>Samenvatting</w:t>
      </w:r>
      <w:bookmarkEnd w:id="72"/>
    </w:p>
    <w:p w:rsidRPr="00B6727D" w:rsidR="00B16379" w:rsidP="00781CF8" w:rsidRDefault="00764475">
      <w:pPr>
        <w:pBdr>
          <w:top w:val="single" w:color="auto" w:sz="4" w:space="1"/>
          <w:left w:val="single" w:color="auto" w:sz="4" w:space="4"/>
          <w:bottom w:val="single" w:color="auto" w:sz="4" w:space="1"/>
          <w:right w:val="single" w:color="auto" w:sz="4" w:space="4"/>
        </w:pBdr>
        <w:shd w:val="clear" w:color="auto" w:fill="D9D9D9"/>
        <w:spacing w:after="0" w:line="240" w:lineRule="atLeast"/>
        <w:rPr>
          <w:i/>
          <w:sz w:val="18"/>
          <w:szCs w:val="18"/>
        </w:rPr>
      </w:pPr>
      <w:r w:rsidRPr="00B6727D">
        <w:rPr>
          <w:i/>
          <w:sz w:val="18"/>
          <w:szCs w:val="18"/>
        </w:rPr>
        <w:t>Het kabinet doet onderzoek naar een alternatieve regeling voor de bijtelling privégebruik bestelauto’s waarbij een rittenregistratie bij b</w:t>
      </w:r>
      <w:r w:rsidR="005824CB">
        <w:rPr>
          <w:i/>
          <w:sz w:val="18"/>
          <w:szCs w:val="18"/>
        </w:rPr>
        <w:t>e</w:t>
      </w:r>
      <w:r w:rsidRPr="00B6727D">
        <w:rPr>
          <w:i/>
          <w:sz w:val="18"/>
          <w:szCs w:val="18"/>
        </w:rPr>
        <w:t>stelauto’s niet langer nodig is. Overleg hierover met het bedrijfsleven is opgestart en zorgvuldig wordt een aantal opties verkend. Naast de randvoorwaarden die het bedrijfsleven heeft geformuleerd, wordt bij een alternatief ook rekening gehouden met de budgettaire effecten. Momenteel zijn diverse varianten onderwerp van gesprek die in dit hoofdstuk in willekeurige volgorde worden geschetst. De verschillende varianten kunnen met elkaar worden gecombineerd om zodoende tot een sluitend geheel te komen.</w:t>
      </w:r>
    </w:p>
    <w:p w:rsidRPr="00B6727D" w:rsidR="00B6727D" w:rsidP="00781CF8" w:rsidRDefault="00B6727D">
      <w:pPr>
        <w:pBdr>
          <w:top w:val="single" w:color="auto" w:sz="4" w:space="1"/>
          <w:left w:val="single" w:color="auto" w:sz="4" w:space="4"/>
          <w:bottom w:val="single" w:color="auto" w:sz="4" w:space="1"/>
          <w:right w:val="single" w:color="auto" w:sz="4" w:space="4"/>
        </w:pBdr>
        <w:shd w:val="clear" w:color="auto" w:fill="D9D9D9"/>
        <w:spacing w:after="0" w:line="240" w:lineRule="atLeast"/>
        <w:rPr>
          <w:i/>
          <w:sz w:val="18"/>
          <w:szCs w:val="18"/>
        </w:rPr>
      </w:pPr>
      <w:r w:rsidRPr="00B6727D">
        <w:rPr>
          <w:i/>
          <w:sz w:val="18"/>
          <w:szCs w:val="18"/>
        </w:rPr>
        <w:t>De variant waarbij wordt gekozen voor een ‘verklaring uitsluiten</w:t>
      </w:r>
      <w:r w:rsidR="005824CB">
        <w:rPr>
          <w:i/>
          <w:sz w:val="18"/>
          <w:szCs w:val="18"/>
        </w:rPr>
        <w:t>d</w:t>
      </w:r>
      <w:r w:rsidRPr="00B6727D">
        <w:rPr>
          <w:i/>
          <w:sz w:val="18"/>
          <w:szCs w:val="18"/>
        </w:rPr>
        <w:t xml:space="preserve"> zakelijk gebruik’ kan per 1 januari 2012 worden ingevoerd. Ten aanzien van de overige alternatieven is op dit moment nog niet vast te stellen of 1 januari aanstaande haalbaar is. Verder dient de uitwerking van </w:t>
      </w:r>
      <w:r w:rsidR="001A78DD">
        <w:rPr>
          <w:i/>
          <w:sz w:val="18"/>
          <w:szCs w:val="18"/>
        </w:rPr>
        <w:t xml:space="preserve">de </w:t>
      </w:r>
      <w:r w:rsidRPr="00B6727D">
        <w:rPr>
          <w:i/>
          <w:sz w:val="18"/>
          <w:szCs w:val="18"/>
        </w:rPr>
        <w:t>mogelijkheid</w:t>
      </w:r>
      <w:r w:rsidR="001A78DD">
        <w:rPr>
          <w:i/>
          <w:sz w:val="18"/>
          <w:szCs w:val="18"/>
        </w:rPr>
        <w:t xml:space="preserve"> van </w:t>
      </w:r>
      <w:r w:rsidRPr="00B6727D">
        <w:rPr>
          <w:i/>
          <w:sz w:val="18"/>
          <w:szCs w:val="18"/>
        </w:rPr>
        <w:t>de geautomatiseerde rittenregistratie, zorgvuldig te worden bezien. Hierbij kan worden gedacht om speciaal voor bestelauto’s nader te onderzoeken wat de mogelijkheden zijn van een pilot, zodat meer ervaring kan worden opgedaan met een systeem van een geautomatiseerde rittenregistratie.</w:t>
      </w:r>
    </w:p>
    <w:p w:rsidR="00F534AA" w:rsidP="00781CF8" w:rsidRDefault="00F534AA">
      <w:pPr>
        <w:pStyle w:val="Kop2"/>
        <w:spacing w:before="0"/>
        <w:rPr>
          <w:rFonts w:ascii="Verdana" w:hAnsi="Verdana"/>
          <w:color w:val="auto"/>
          <w:sz w:val="18"/>
          <w:szCs w:val="18"/>
        </w:rPr>
      </w:pPr>
    </w:p>
    <w:p w:rsidRPr="00326CE6" w:rsidR="00E8783B" w:rsidP="00781CF8" w:rsidRDefault="00E8783B">
      <w:pPr>
        <w:pStyle w:val="Kop2"/>
        <w:spacing w:before="0"/>
        <w:rPr>
          <w:rFonts w:ascii="Verdana" w:hAnsi="Verdana"/>
          <w:color w:val="auto"/>
          <w:sz w:val="18"/>
          <w:szCs w:val="18"/>
        </w:rPr>
      </w:pPr>
      <w:bookmarkStart w:name="_Toc291764629" w:id="73"/>
      <w:bookmarkStart w:name="_Toc293998569" w:id="74"/>
      <w:r w:rsidRPr="00326CE6">
        <w:rPr>
          <w:rFonts w:ascii="Verdana" w:hAnsi="Verdana"/>
          <w:color w:val="auto"/>
          <w:sz w:val="18"/>
          <w:szCs w:val="18"/>
        </w:rPr>
        <w:t>8.1. Inleiding</w:t>
      </w:r>
      <w:bookmarkEnd w:id="73"/>
      <w:bookmarkEnd w:id="74"/>
    </w:p>
    <w:p w:rsidR="00E8783B" w:rsidP="00781CF8" w:rsidRDefault="00E8783B">
      <w:pPr>
        <w:spacing w:after="0"/>
        <w:rPr>
          <w:sz w:val="18"/>
          <w:szCs w:val="18"/>
        </w:rPr>
      </w:pPr>
      <w:r w:rsidRPr="00B16379">
        <w:rPr>
          <w:sz w:val="18"/>
          <w:szCs w:val="18"/>
        </w:rPr>
        <w:t xml:space="preserve">Op 15 </w:t>
      </w:r>
      <w:r>
        <w:rPr>
          <w:sz w:val="18"/>
          <w:szCs w:val="18"/>
        </w:rPr>
        <w:t>februari</w:t>
      </w:r>
      <w:r w:rsidRPr="00B16379">
        <w:rPr>
          <w:sz w:val="18"/>
          <w:szCs w:val="18"/>
        </w:rPr>
        <w:t xml:space="preserve"> 2011 heeft het Kamerlid Neppérus vragen gesteld over de rittenregistratie </w:t>
      </w:r>
      <w:r>
        <w:rPr>
          <w:sz w:val="18"/>
          <w:szCs w:val="18"/>
        </w:rPr>
        <w:t xml:space="preserve">bij bestelauto’s. Deze rittenregistratie kan noodzakelijk zijn </w:t>
      </w:r>
      <w:r w:rsidRPr="00B16379">
        <w:rPr>
          <w:sz w:val="18"/>
          <w:szCs w:val="18"/>
        </w:rPr>
        <w:t xml:space="preserve">om geen bijtelling te krijgen voor het privégebruik van een door de werkgever ter beschikking gestelde bestelauto. </w:t>
      </w:r>
      <w:r>
        <w:rPr>
          <w:sz w:val="18"/>
          <w:szCs w:val="18"/>
        </w:rPr>
        <w:t xml:space="preserve">In mijn beantwoording van 1 maart 2011 </w:t>
      </w:r>
      <w:r w:rsidRPr="00B16379">
        <w:rPr>
          <w:sz w:val="18"/>
          <w:szCs w:val="18"/>
        </w:rPr>
        <w:t xml:space="preserve">heb ik aangegeven dat ik </w:t>
      </w:r>
      <w:r w:rsidRPr="00DE2B28">
        <w:rPr>
          <w:sz w:val="18"/>
          <w:szCs w:val="18"/>
        </w:rPr>
        <w:t>de ergernis over de rittenregistratie die nodig is om geen bijtelling te krijgen voor privégebruik van een bestelauto</w:t>
      </w:r>
      <w:r>
        <w:rPr>
          <w:sz w:val="18"/>
          <w:szCs w:val="18"/>
        </w:rPr>
        <w:t xml:space="preserve"> begrijp</w:t>
      </w:r>
      <w:r w:rsidRPr="00DE2B28">
        <w:rPr>
          <w:sz w:val="18"/>
          <w:szCs w:val="18"/>
        </w:rPr>
        <w:t xml:space="preserve">. Ik </w:t>
      </w:r>
      <w:r>
        <w:rPr>
          <w:sz w:val="18"/>
          <w:szCs w:val="18"/>
        </w:rPr>
        <w:t xml:space="preserve">heb ook aangegeven dat ik </w:t>
      </w:r>
      <w:r w:rsidRPr="00DE2B28">
        <w:rPr>
          <w:sz w:val="18"/>
          <w:szCs w:val="18"/>
        </w:rPr>
        <w:t xml:space="preserve">bereid </w:t>
      </w:r>
      <w:r>
        <w:rPr>
          <w:sz w:val="18"/>
          <w:szCs w:val="18"/>
        </w:rPr>
        <w:t xml:space="preserve">ben </w:t>
      </w:r>
      <w:r w:rsidRPr="00DE2B28">
        <w:rPr>
          <w:sz w:val="18"/>
          <w:szCs w:val="18"/>
        </w:rPr>
        <w:t xml:space="preserve">om alles in het werk te stellen om die ergernis weg te nemen, met andere woorden te kijken naar de mogelijkheden om die rittenregistratie af te schaffen. </w:t>
      </w:r>
      <w:r>
        <w:rPr>
          <w:sz w:val="18"/>
          <w:szCs w:val="18"/>
        </w:rPr>
        <w:t>Ik heb tevens aangegeven dat ik b</w:t>
      </w:r>
      <w:r w:rsidRPr="00CE3CB8">
        <w:rPr>
          <w:sz w:val="18"/>
          <w:szCs w:val="18"/>
        </w:rPr>
        <w:t xml:space="preserve">ij de uitwerking van een </w:t>
      </w:r>
      <w:r>
        <w:rPr>
          <w:sz w:val="18"/>
          <w:szCs w:val="18"/>
        </w:rPr>
        <w:t xml:space="preserve">alternatief </w:t>
      </w:r>
      <w:r w:rsidRPr="00CE3CB8">
        <w:rPr>
          <w:sz w:val="18"/>
          <w:szCs w:val="18"/>
        </w:rPr>
        <w:t xml:space="preserve">niet voorbij </w:t>
      </w:r>
      <w:r>
        <w:rPr>
          <w:sz w:val="18"/>
          <w:szCs w:val="18"/>
        </w:rPr>
        <w:t xml:space="preserve">kan </w:t>
      </w:r>
      <w:r w:rsidRPr="00CE3CB8">
        <w:rPr>
          <w:sz w:val="18"/>
          <w:szCs w:val="18"/>
        </w:rPr>
        <w:t xml:space="preserve">gaan aan de mogelijke budgettaire effecten van </w:t>
      </w:r>
      <w:r>
        <w:rPr>
          <w:sz w:val="18"/>
          <w:szCs w:val="18"/>
        </w:rPr>
        <w:t xml:space="preserve">zo’n alternatief en dat dekking ervan </w:t>
      </w:r>
      <w:r w:rsidRPr="00B16379">
        <w:rPr>
          <w:sz w:val="18"/>
          <w:szCs w:val="18"/>
        </w:rPr>
        <w:t xml:space="preserve">bijvoorbeeld </w:t>
      </w:r>
      <w:r>
        <w:rPr>
          <w:sz w:val="18"/>
          <w:szCs w:val="18"/>
        </w:rPr>
        <w:t xml:space="preserve">zou kunnen door </w:t>
      </w:r>
      <w:r w:rsidRPr="00B16379">
        <w:rPr>
          <w:sz w:val="18"/>
          <w:szCs w:val="18"/>
        </w:rPr>
        <w:t>het aanpassen van tarieven in de motorrijtuigenbelasting (MRB) of het aanpassen van de belasting van personenauto´s en motorrijwielen (BPM).</w:t>
      </w:r>
      <w:r>
        <w:rPr>
          <w:sz w:val="18"/>
          <w:szCs w:val="18"/>
        </w:rPr>
        <w:t xml:space="preserve"> Zoals toegezegd in mijn beantwoording geschiedt het onderzoek naar een alternatieve regeling in overleg met de sector</w:t>
      </w:r>
      <w:r w:rsidDel="00937928">
        <w:rPr>
          <w:sz w:val="18"/>
          <w:szCs w:val="18"/>
        </w:rPr>
        <w:t xml:space="preserve"> </w:t>
      </w:r>
      <w:r>
        <w:rPr>
          <w:sz w:val="18"/>
          <w:szCs w:val="18"/>
        </w:rPr>
        <w:t xml:space="preserve">en zal ik </w:t>
      </w:r>
      <w:r w:rsidRPr="00B16379">
        <w:rPr>
          <w:sz w:val="18"/>
          <w:szCs w:val="18"/>
        </w:rPr>
        <w:t>in de</w:t>
      </w:r>
      <w:r>
        <w:rPr>
          <w:sz w:val="18"/>
          <w:szCs w:val="18"/>
        </w:rPr>
        <w:t>ze</w:t>
      </w:r>
      <w:r w:rsidRPr="00B16379">
        <w:rPr>
          <w:sz w:val="18"/>
          <w:szCs w:val="18"/>
        </w:rPr>
        <w:t xml:space="preserve"> brief </w:t>
      </w:r>
      <w:r w:rsidRPr="00C3045A">
        <w:rPr>
          <w:sz w:val="18"/>
          <w:szCs w:val="18"/>
        </w:rPr>
        <w:t>meer</w:t>
      </w:r>
      <w:r>
        <w:rPr>
          <w:sz w:val="18"/>
          <w:szCs w:val="18"/>
        </w:rPr>
        <w:t>dere</w:t>
      </w:r>
      <w:r w:rsidRPr="00C3045A">
        <w:rPr>
          <w:sz w:val="18"/>
          <w:szCs w:val="18"/>
        </w:rPr>
        <w:t xml:space="preserve"> alternatieve regelingen zonder rittenregistratie </w:t>
      </w:r>
      <w:r>
        <w:rPr>
          <w:sz w:val="18"/>
          <w:szCs w:val="18"/>
        </w:rPr>
        <w:t>voorleggen</w:t>
      </w:r>
      <w:r w:rsidRPr="00B16379">
        <w:rPr>
          <w:sz w:val="18"/>
          <w:szCs w:val="18"/>
        </w:rPr>
        <w:t>.</w:t>
      </w:r>
    </w:p>
    <w:p w:rsidR="008A1E72" w:rsidP="00781CF8" w:rsidRDefault="008A1E72">
      <w:pPr>
        <w:pStyle w:val="Kop2"/>
        <w:spacing w:before="0"/>
        <w:rPr>
          <w:rFonts w:ascii="Verdana" w:hAnsi="Verdana"/>
          <w:color w:val="auto"/>
          <w:sz w:val="18"/>
          <w:szCs w:val="18"/>
        </w:rPr>
      </w:pPr>
      <w:bookmarkStart w:name="_Toc291764630" w:id="75"/>
    </w:p>
    <w:p w:rsidRPr="007F474E" w:rsidR="00E8783B" w:rsidP="00781CF8" w:rsidRDefault="00E8783B">
      <w:pPr>
        <w:pStyle w:val="Kop2"/>
        <w:spacing w:before="0"/>
        <w:rPr>
          <w:rFonts w:ascii="Verdana" w:hAnsi="Verdana"/>
          <w:color w:val="auto"/>
          <w:sz w:val="18"/>
          <w:szCs w:val="18"/>
        </w:rPr>
      </w:pPr>
      <w:bookmarkStart w:name="_Toc293998570" w:id="76"/>
      <w:r>
        <w:rPr>
          <w:rFonts w:ascii="Verdana" w:hAnsi="Verdana"/>
          <w:color w:val="auto"/>
          <w:sz w:val="18"/>
          <w:szCs w:val="18"/>
        </w:rPr>
        <w:t>8</w:t>
      </w:r>
      <w:r w:rsidRPr="007F474E">
        <w:rPr>
          <w:rFonts w:ascii="Verdana" w:hAnsi="Verdana"/>
          <w:color w:val="auto"/>
          <w:sz w:val="18"/>
          <w:szCs w:val="18"/>
        </w:rPr>
        <w:t>.2.</w:t>
      </w:r>
      <w:r>
        <w:rPr>
          <w:rFonts w:ascii="Verdana" w:hAnsi="Verdana"/>
          <w:color w:val="auto"/>
          <w:sz w:val="18"/>
          <w:szCs w:val="18"/>
        </w:rPr>
        <w:t>Overleg met branche</w:t>
      </w:r>
      <w:bookmarkEnd w:id="75"/>
      <w:bookmarkEnd w:id="76"/>
    </w:p>
    <w:p w:rsidR="00E8783B" w:rsidP="00781CF8" w:rsidRDefault="00E8783B">
      <w:pPr>
        <w:spacing w:after="0"/>
        <w:rPr>
          <w:sz w:val="18"/>
          <w:szCs w:val="18"/>
        </w:rPr>
      </w:pPr>
      <w:r w:rsidRPr="00B16379">
        <w:rPr>
          <w:sz w:val="18"/>
          <w:szCs w:val="18"/>
        </w:rPr>
        <w:t xml:space="preserve">Het overleg met het bedrijfsleven is nog in maart 2011 gestart. </w:t>
      </w:r>
      <w:r>
        <w:rPr>
          <w:sz w:val="18"/>
          <w:szCs w:val="18"/>
        </w:rPr>
        <w:t xml:space="preserve">Aan het bedrijfsleven is gevraagd mee te denken over alternatieven en deze ook aan te dragen. Al snel </w:t>
      </w:r>
      <w:r w:rsidRPr="00B16379">
        <w:rPr>
          <w:sz w:val="18"/>
          <w:szCs w:val="18"/>
        </w:rPr>
        <w:t xml:space="preserve">werd duidelijk dat </w:t>
      </w:r>
      <w:r>
        <w:rPr>
          <w:sz w:val="18"/>
          <w:szCs w:val="18"/>
        </w:rPr>
        <w:t xml:space="preserve">het bedrijfsleven </w:t>
      </w:r>
      <w:r w:rsidRPr="00B16379">
        <w:rPr>
          <w:sz w:val="18"/>
          <w:szCs w:val="18"/>
        </w:rPr>
        <w:t xml:space="preserve">geen </w:t>
      </w:r>
      <w:r>
        <w:rPr>
          <w:sz w:val="18"/>
          <w:szCs w:val="18"/>
        </w:rPr>
        <w:t xml:space="preserve">eenduidige en </w:t>
      </w:r>
      <w:r w:rsidRPr="00B16379">
        <w:rPr>
          <w:sz w:val="18"/>
          <w:szCs w:val="18"/>
        </w:rPr>
        <w:t>pasklare oplossing</w:t>
      </w:r>
      <w:r>
        <w:rPr>
          <w:sz w:val="18"/>
          <w:szCs w:val="18"/>
        </w:rPr>
        <w:t xml:space="preserve"> kon bieden. De belangen zijn namelijk zeer uiteenlopend. Afhankelijk van de te vertegenwoordigen groep worden mogelijke alternatieven verschillend gewaardeerd. Overigens zijn alle partijen het er over eens dat </w:t>
      </w:r>
      <w:r w:rsidRPr="00B16379">
        <w:rPr>
          <w:sz w:val="18"/>
          <w:szCs w:val="18"/>
        </w:rPr>
        <w:t xml:space="preserve">privégebruik door een werknemer van een (bestel-)auto van de zaak moet worden aangemerkt als </w:t>
      </w:r>
      <w:r w:rsidRPr="00892E75" w:rsidR="005F5FC9">
        <w:rPr>
          <w:sz w:val="18"/>
          <w:szCs w:val="18"/>
        </w:rPr>
        <w:t>‘</w:t>
      </w:r>
      <w:r w:rsidRPr="00B16379">
        <w:rPr>
          <w:sz w:val="18"/>
          <w:szCs w:val="18"/>
        </w:rPr>
        <w:t>loon in natura</w:t>
      </w:r>
      <w:r w:rsidRPr="00892E75" w:rsidR="005F5FC9">
        <w:rPr>
          <w:sz w:val="18"/>
          <w:szCs w:val="18"/>
        </w:rPr>
        <w:t>’</w:t>
      </w:r>
      <w:r w:rsidRPr="00B16379">
        <w:rPr>
          <w:sz w:val="18"/>
          <w:szCs w:val="18"/>
        </w:rPr>
        <w:t xml:space="preserve"> en dat deze vorm van loon in de belastingheffing dient te worden betrokken</w:t>
      </w:r>
      <w:r>
        <w:rPr>
          <w:sz w:val="18"/>
          <w:szCs w:val="18"/>
        </w:rPr>
        <w:t xml:space="preserve">. Ook staat niet ter discussie dat </w:t>
      </w:r>
      <w:r w:rsidRPr="00B16379">
        <w:rPr>
          <w:sz w:val="18"/>
          <w:szCs w:val="18"/>
        </w:rPr>
        <w:t>de eventuele budgettaire effecten van een alternatieve regeling binnen de groep van bestelauto</w:t>
      </w:r>
      <w:r>
        <w:rPr>
          <w:sz w:val="18"/>
          <w:szCs w:val="18"/>
        </w:rPr>
        <w:t>’</w:t>
      </w:r>
      <w:r w:rsidRPr="00B16379">
        <w:rPr>
          <w:sz w:val="18"/>
          <w:szCs w:val="18"/>
        </w:rPr>
        <w:t>s dien</w:t>
      </w:r>
      <w:r>
        <w:rPr>
          <w:sz w:val="18"/>
          <w:szCs w:val="18"/>
        </w:rPr>
        <w:t xml:space="preserve">en </w:t>
      </w:r>
      <w:r w:rsidRPr="00B16379">
        <w:rPr>
          <w:sz w:val="18"/>
          <w:szCs w:val="18"/>
        </w:rPr>
        <w:t>te worden opgevangen</w:t>
      </w:r>
      <w:r>
        <w:rPr>
          <w:sz w:val="18"/>
          <w:szCs w:val="18"/>
        </w:rPr>
        <w:t xml:space="preserve">. </w:t>
      </w:r>
      <w:r w:rsidRPr="00BA7DE8" w:rsidR="00BA7DE8">
        <w:rPr>
          <w:sz w:val="18"/>
          <w:szCs w:val="18"/>
        </w:rPr>
        <w:t>Het bedrijfsleven heeft wel een aantal denkrichtingen geschetst en voor hen belangrijke randvoorwaarden voor een mogelijke alternatieve regeling naar voren gebracht:</w:t>
      </w:r>
    </w:p>
    <w:p w:rsidR="00E8783B" w:rsidP="00781CF8" w:rsidRDefault="00E8783B">
      <w:pPr>
        <w:numPr>
          <w:ilvl w:val="0"/>
          <w:numId w:val="34"/>
        </w:numPr>
        <w:spacing w:after="0"/>
        <w:rPr>
          <w:sz w:val="18"/>
          <w:szCs w:val="18"/>
        </w:rPr>
      </w:pPr>
      <w:r>
        <w:rPr>
          <w:sz w:val="18"/>
          <w:szCs w:val="18"/>
        </w:rPr>
        <w:t xml:space="preserve">Een alternatieve regeling mag niet leiden </w:t>
      </w:r>
      <w:r w:rsidR="0027664E">
        <w:rPr>
          <w:sz w:val="18"/>
          <w:szCs w:val="18"/>
        </w:rPr>
        <w:t xml:space="preserve">tot </w:t>
      </w:r>
      <w:r>
        <w:rPr>
          <w:sz w:val="18"/>
          <w:szCs w:val="18"/>
        </w:rPr>
        <w:t>een lastenverschuiving van werknemer naar werkgever. Het eventueel aanpassen van de tarieven in de MRB of het aanpassen van de BPM ligt voor het bedrijfsleven dan ook niet voor de hand.</w:t>
      </w:r>
    </w:p>
    <w:p w:rsidR="00E8783B" w:rsidP="00781CF8" w:rsidRDefault="00E8783B">
      <w:pPr>
        <w:numPr>
          <w:ilvl w:val="0"/>
          <w:numId w:val="34"/>
        </w:numPr>
        <w:spacing w:after="0"/>
        <w:rPr>
          <w:sz w:val="18"/>
          <w:szCs w:val="18"/>
        </w:rPr>
      </w:pPr>
      <w:r>
        <w:rPr>
          <w:sz w:val="18"/>
          <w:szCs w:val="18"/>
        </w:rPr>
        <w:t xml:space="preserve">Bij het ontwerpen van een alternatieve regeling zouden de nieuwe technische bewijsmogelijkheden en de sterk verbeterde controletechnieken van de Belastingdienst in ogenschouw moeten worden genomen. </w:t>
      </w:r>
    </w:p>
    <w:p w:rsidR="00E8783B" w:rsidP="00781CF8" w:rsidRDefault="00E8783B">
      <w:pPr>
        <w:numPr>
          <w:ilvl w:val="0"/>
          <w:numId w:val="34"/>
        </w:numPr>
        <w:spacing w:after="0"/>
        <w:rPr>
          <w:sz w:val="18"/>
          <w:szCs w:val="18"/>
        </w:rPr>
      </w:pPr>
      <w:r>
        <w:rPr>
          <w:sz w:val="18"/>
          <w:szCs w:val="18"/>
        </w:rPr>
        <w:t>Bezien zou kunnen worden of er een alternatief mogelijk is waarbij meer wordt aangesloten bij het werkelijke aantal gereden privékilometers.</w:t>
      </w:r>
    </w:p>
    <w:p w:rsidR="00E8783B" w:rsidP="00781CF8" w:rsidRDefault="00E8783B">
      <w:pPr>
        <w:spacing w:after="0"/>
        <w:rPr>
          <w:b/>
          <w:sz w:val="18"/>
          <w:szCs w:val="18"/>
        </w:rPr>
      </w:pPr>
    </w:p>
    <w:p w:rsidRPr="00AE6E7E" w:rsidR="00E8783B" w:rsidP="00781CF8" w:rsidRDefault="00E8783B">
      <w:pPr>
        <w:pStyle w:val="Kop2"/>
        <w:spacing w:before="0"/>
        <w:rPr>
          <w:rFonts w:ascii="Verdana" w:hAnsi="Verdana"/>
          <w:color w:val="auto"/>
          <w:sz w:val="18"/>
          <w:szCs w:val="18"/>
        </w:rPr>
      </w:pPr>
      <w:bookmarkStart w:name="_Toc293998571" w:id="77"/>
      <w:r w:rsidRPr="00AE6E7E">
        <w:rPr>
          <w:rFonts w:ascii="Verdana" w:hAnsi="Verdana"/>
          <w:color w:val="auto"/>
          <w:sz w:val="18"/>
          <w:szCs w:val="18"/>
        </w:rPr>
        <w:lastRenderedPageBreak/>
        <w:t>8.3 Alternatieve regeling(en)</w:t>
      </w:r>
      <w:bookmarkEnd w:id="77"/>
    </w:p>
    <w:p w:rsidR="00E8783B" w:rsidP="00781CF8" w:rsidRDefault="00E8783B">
      <w:pPr>
        <w:spacing w:after="0"/>
        <w:rPr>
          <w:sz w:val="18"/>
          <w:szCs w:val="18"/>
        </w:rPr>
      </w:pPr>
      <w:r>
        <w:rPr>
          <w:sz w:val="18"/>
          <w:szCs w:val="18"/>
        </w:rPr>
        <w:t xml:space="preserve">Bij het ontwikkelen van een alternatieve regeling bijtelling privégebruik bestelauto van de zaak waarbij een rittenregistratie niet langer nodig is, is een aantal zaken van belang. </w:t>
      </w:r>
    </w:p>
    <w:p w:rsidR="00E8783B" w:rsidP="00781CF8" w:rsidRDefault="00E8783B">
      <w:pPr>
        <w:spacing w:after="0"/>
        <w:rPr>
          <w:sz w:val="18"/>
          <w:szCs w:val="18"/>
        </w:rPr>
      </w:pPr>
      <w:r>
        <w:rPr>
          <w:sz w:val="18"/>
          <w:szCs w:val="18"/>
        </w:rPr>
        <w:t>Het gaat met name om de groep werknemers en ondernemers die een bestelauto van de zaak voor minder dan 500 kilometer privé per jaar gebruikt, maar die op dit moment geen gebruik kan of wil maken van de huidige bestaande bijzondere regelingen voor bestelauto’s</w:t>
      </w:r>
      <w:r w:rsidR="002534D4">
        <w:rPr>
          <w:sz w:val="18"/>
          <w:szCs w:val="18"/>
        </w:rPr>
        <w:t>.</w:t>
      </w:r>
      <w:r>
        <w:rPr>
          <w:rStyle w:val="Voetnootmarkering"/>
          <w:sz w:val="18"/>
          <w:szCs w:val="18"/>
        </w:rPr>
        <w:footnoteReference w:id="23"/>
      </w:r>
      <w:r>
        <w:rPr>
          <w:sz w:val="18"/>
          <w:szCs w:val="18"/>
        </w:rPr>
        <w:t xml:space="preserve"> </w:t>
      </w:r>
      <w:r w:rsidRPr="00BA7DE8" w:rsidR="00BA7DE8">
        <w:rPr>
          <w:sz w:val="18"/>
          <w:szCs w:val="18"/>
        </w:rPr>
        <w:t>Dit is de groep die dient aan te tonen – veelal in de vorm van een sluitende rittenregistratie - dat niet meer dan 500 kilometer privé is gereden</w:t>
      </w:r>
      <w:r w:rsidR="002534D4">
        <w:rPr>
          <w:sz w:val="18"/>
          <w:szCs w:val="18"/>
        </w:rPr>
        <w:t>.</w:t>
      </w:r>
      <w:r w:rsidRPr="00BA7DE8" w:rsidR="00BA7DE8">
        <w:rPr>
          <w:sz w:val="18"/>
          <w:szCs w:val="18"/>
          <w:vertAlign w:val="superscript"/>
        </w:rPr>
        <w:footnoteReference w:id="24"/>
      </w:r>
    </w:p>
    <w:p w:rsidR="00E8783B" w:rsidP="00781CF8" w:rsidRDefault="00E8783B">
      <w:pPr>
        <w:spacing w:after="0"/>
        <w:rPr>
          <w:sz w:val="18"/>
          <w:szCs w:val="18"/>
        </w:rPr>
      </w:pPr>
      <w:r>
        <w:rPr>
          <w:sz w:val="18"/>
          <w:szCs w:val="18"/>
        </w:rPr>
        <w:t xml:space="preserve">Zoals aangegeven in mijn beantwoording van de hiervoor genoemde Kamervragen kan bij de uitwerking van een alternatieve regeling niet voorbij worden gegaan aan de mogelijke (negatieve) budgettaire effecten van een alternatieve regeling. Het budgettaire beslag van de bijtelling van de bestelauto van de zaak bedraagt naar schatting € 400 mln, waarvan € 300 </w:t>
      </w:r>
      <w:r w:rsidR="000420B5">
        <w:rPr>
          <w:sz w:val="18"/>
          <w:szCs w:val="18"/>
        </w:rPr>
        <w:t>mln</w:t>
      </w:r>
      <w:r>
        <w:rPr>
          <w:sz w:val="18"/>
          <w:szCs w:val="18"/>
        </w:rPr>
        <w:t xml:space="preserve"> in de sfeer van de loonheffing (circa 150.000 bestelauto’s) en € 100 </w:t>
      </w:r>
      <w:r w:rsidR="000420B5">
        <w:rPr>
          <w:sz w:val="18"/>
          <w:szCs w:val="18"/>
        </w:rPr>
        <w:t>mln</w:t>
      </w:r>
      <w:r>
        <w:rPr>
          <w:sz w:val="18"/>
          <w:szCs w:val="18"/>
        </w:rPr>
        <w:t xml:space="preserve"> in de sfeer van de inkomstenbelasting (circa 45.000 bestelauto’s). </w:t>
      </w:r>
      <w:r w:rsidRPr="00BD34D8">
        <w:rPr>
          <w:sz w:val="18"/>
          <w:szCs w:val="18"/>
        </w:rPr>
        <w:t xml:space="preserve">In totaal </w:t>
      </w:r>
      <w:r w:rsidRPr="00BD34D8">
        <w:rPr>
          <w:rFonts w:eastAsia="Calibri" w:cs="Times New Roman"/>
          <w:sz w:val="18"/>
          <w:szCs w:val="18"/>
        </w:rPr>
        <w:t>zijn er 650.000 zakelijke bestelauto’s (bestelauto’s die verbonden zijn aan een economische entiteit).</w:t>
      </w:r>
      <w:r>
        <w:rPr>
          <w:rFonts w:eastAsia="Calibri" w:cs="Times New Roman"/>
          <w:sz w:val="18"/>
          <w:szCs w:val="18"/>
        </w:rPr>
        <w:t xml:space="preserve"> </w:t>
      </w:r>
      <w:r>
        <w:rPr>
          <w:sz w:val="18"/>
          <w:szCs w:val="18"/>
        </w:rPr>
        <w:t xml:space="preserve">Het budgettaire beslag van de bijtelling van de bestelauto van de zaak bedraagt overigens bijna 20% van het totale budgettaire beslag van de bijtelling auto van de zaak </w:t>
      </w:r>
      <w:r>
        <w:rPr>
          <w:rFonts w:eastAsia="Calibri" w:cs="Times New Roman"/>
          <w:sz w:val="18"/>
          <w:szCs w:val="18"/>
        </w:rPr>
        <w:t>(dus bestelauto’s en personenauto’s).</w:t>
      </w:r>
      <w:r w:rsidR="00BA7DE8">
        <w:rPr>
          <w:rFonts w:eastAsia="Calibri" w:cs="Times New Roman"/>
          <w:sz w:val="18"/>
          <w:szCs w:val="18"/>
        </w:rPr>
        <w:t xml:space="preserve"> </w:t>
      </w:r>
      <w:r w:rsidRPr="00BA7DE8" w:rsidR="00BA7DE8">
        <w:rPr>
          <w:rFonts w:eastAsia="Calibri" w:cs="Times New Roman"/>
          <w:sz w:val="18"/>
          <w:szCs w:val="18"/>
        </w:rPr>
        <w:t>Hierbij merk ik op dat voor nieuwe bestelauto’s, net als voor personenauto’s, ook een lage bijtelling kan gelden indien de bestelauto kwalificeert als zuinig of zeer zuinig. Sinds 2010 is namelijk voor nieuwe bestelauto’s met een Europese typegoedkeuring in de meeste gevallen een CO</w:t>
      </w:r>
      <w:r w:rsidRPr="00BA7DE8" w:rsidR="00BA7DE8">
        <w:rPr>
          <w:rFonts w:eastAsia="Calibri" w:cs="Times New Roman"/>
          <w:sz w:val="18"/>
          <w:szCs w:val="18"/>
          <w:vertAlign w:val="subscript"/>
        </w:rPr>
        <w:t>2</w:t>
      </w:r>
      <w:r w:rsidRPr="00BA7DE8" w:rsidR="00BA7DE8">
        <w:rPr>
          <w:rFonts w:eastAsia="Calibri" w:cs="Times New Roman"/>
          <w:sz w:val="18"/>
          <w:szCs w:val="18"/>
        </w:rPr>
        <w:t>-uitstoot vastgesteld, waarop de bijtelling kan aansluiten.</w:t>
      </w:r>
    </w:p>
    <w:p w:rsidR="00E8783B" w:rsidP="00781CF8" w:rsidRDefault="00E8783B">
      <w:pPr>
        <w:spacing w:after="0"/>
        <w:rPr>
          <w:sz w:val="18"/>
          <w:szCs w:val="18"/>
        </w:rPr>
      </w:pPr>
      <w:r>
        <w:rPr>
          <w:sz w:val="18"/>
          <w:szCs w:val="18"/>
        </w:rPr>
        <w:t>Rekening houdend met het voorgaande verken</w:t>
      </w:r>
      <w:r w:rsidRPr="00B16379">
        <w:rPr>
          <w:sz w:val="18"/>
          <w:szCs w:val="18"/>
        </w:rPr>
        <w:t xml:space="preserve"> ik </w:t>
      </w:r>
      <w:r>
        <w:rPr>
          <w:sz w:val="18"/>
          <w:szCs w:val="18"/>
        </w:rPr>
        <w:t>op dit moment</w:t>
      </w:r>
      <w:r w:rsidRPr="00B16379">
        <w:rPr>
          <w:sz w:val="18"/>
          <w:szCs w:val="18"/>
        </w:rPr>
        <w:t xml:space="preserve"> </w:t>
      </w:r>
      <w:r>
        <w:rPr>
          <w:sz w:val="18"/>
          <w:szCs w:val="18"/>
        </w:rPr>
        <w:t xml:space="preserve">in constructief overleg met het bedrijfsleven </w:t>
      </w:r>
      <w:r w:rsidRPr="00B16379">
        <w:rPr>
          <w:sz w:val="18"/>
          <w:szCs w:val="18"/>
        </w:rPr>
        <w:t xml:space="preserve">een aantal opties. Het overleg </w:t>
      </w:r>
      <w:r>
        <w:rPr>
          <w:sz w:val="18"/>
          <w:szCs w:val="18"/>
        </w:rPr>
        <w:t xml:space="preserve">met het bedrijfsleven </w:t>
      </w:r>
      <w:r w:rsidRPr="00B16379">
        <w:rPr>
          <w:sz w:val="18"/>
          <w:szCs w:val="18"/>
        </w:rPr>
        <w:t xml:space="preserve">is echter nog niet afgerond. Ik hecht er aan om samen met het bedrijfsleven een alternatief te ontwikkelen waar wij ons gezamenlijk in kunnen vinden. </w:t>
      </w:r>
      <w:r>
        <w:rPr>
          <w:sz w:val="18"/>
          <w:szCs w:val="18"/>
        </w:rPr>
        <w:t xml:space="preserve">In dit verband geeft het bedrijfsleven nadrukkelijk de voorkeur aan zorgvuldigheid boven snelheid. </w:t>
      </w:r>
    </w:p>
    <w:p w:rsidR="00E8783B" w:rsidP="00781CF8" w:rsidRDefault="00E8783B">
      <w:pPr>
        <w:spacing w:after="0"/>
        <w:rPr>
          <w:sz w:val="18"/>
          <w:szCs w:val="18"/>
        </w:rPr>
      </w:pPr>
      <w:r>
        <w:rPr>
          <w:sz w:val="18"/>
          <w:szCs w:val="18"/>
        </w:rPr>
        <w:t>De</w:t>
      </w:r>
      <w:r w:rsidRPr="00B16379">
        <w:rPr>
          <w:sz w:val="18"/>
          <w:szCs w:val="18"/>
        </w:rPr>
        <w:t xml:space="preserve"> verschillende </w:t>
      </w:r>
      <w:r>
        <w:rPr>
          <w:sz w:val="18"/>
          <w:szCs w:val="18"/>
        </w:rPr>
        <w:t>varianten</w:t>
      </w:r>
      <w:r w:rsidRPr="00B16379">
        <w:rPr>
          <w:sz w:val="18"/>
          <w:szCs w:val="18"/>
        </w:rPr>
        <w:t xml:space="preserve"> die momenteel onderwerp van gesprek zijn</w:t>
      </w:r>
      <w:r>
        <w:rPr>
          <w:sz w:val="18"/>
          <w:szCs w:val="18"/>
        </w:rPr>
        <w:t>,</w:t>
      </w:r>
      <w:r w:rsidRPr="00B16379">
        <w:rPr>
          <w:sz w:val="18"/>
          <w:szCs w:val="18"/>
        </w:rPr>
        <w:t xml:space="preserve"> </w:t>
      </w:r>
      <w:r>
        <w:rPr>
          <w:sz w:val="18"/>
          <w:szCs w:val="18"/>
        </w:rPr>
        <w:t xml:space="preserve">zal ik hierna op hoofdlijnen </w:t>
      </w:r>
      <w:r w:rsidRPr="00B16379">
        <w:rPr>
          <w:sz w:val="18"/>
          <w:szCs w:val="18"/>
        </w:rPr>
        <w:t xml:space="preserve">schetsen. </w:t>
      </w:r>
      <w:r>
        <w:rPr>
          <w:sz w:val="18"/>
          <w:szCs w:val="18"/>
        </w:rPr>
        <w:t>Hie</w:t>
      </w:r>
      <w:r w:rsidRPr="00B16379">
        <w:rPr>
          <w:sz w:val="18"/>
          <w:szCs w:val="18"/>
        </w:rPr>
        <w:t xml:space="preserve">rbij </w:t>
      </w:r>
      <w:r>
        <w:rPr>
          <w:sz w:val="18"/>
          <w:szCs w:val="18"/>
        </w:rPr>
        <w:t xml:space="preserve">wil </w:t>
      </w:r>
      <w:r w:rsidRPr="00B16379">
        <w:rPr>
          <w:sz w:val="18"/>
          <w:szCs w:val="18"/>
        </w:rPr>
        <w:t xml:space="preserve">ik </w:t>
      </w:r>
      <w:r>
        <w:rPr>
          <w:sz w:val="18"/>
          <w:szCs w:val="18"/>
        </w:rPr>
        <w:t>opmerken</w:t>
      </w:r>
      <w:r w:rsidRPr="00B16379">
        <w:rPr>
          <w:sz w:val="18"/>
          <w:szCs w:val="18"/>
        </w:rPr>
        <w:t xml:space="preserve"> dat de volgorde waarin deze </w:t>
      </w:r>
      <w:r>
        <w:rPr>
          <w:sz w:val="18"/>
          <w:szCs w:val="18"/>
        </w:rPr>
        <w:t>varianten</w:t>
      </w:r>
      <w:r w:rsidRPr="00B16379">
        <w:rPr>
          <w:sz w:val="18"/>
          <w:szCs w:val="18"/>
        </w:rPr>
        <w:t xml:space="preserve"> worden geschetst, niets zegt over een eventuele voorkeur</w:t>
      </w:r>
      <w:r>
        <w:rPr>
          <w:sz w:val="18"/>
          <w:szCs w:val="18"/>
        </w:rPr>
        <w:t xml:space="preserve"> voor een bepaalde variant</w:t>
      </w:r>
      <w:r w:rsidRPr="00B16379">
        <w:rPr>
          <w:sz w:val="18"/>
          <w:szCs w:val="18"/>
        </w:rPr>
        <w:t xml:space="preserve">. </w:t>
      </w:r>
      <w:r>
        <w:rPr>
          <w:sz w:val="18"/>
          <w:szCs w:val="18"/>
        </w:rPr>
        <w:t>Tevens merk ik op dat verschillende varianten met elkaar gecombineerd kunnen worden om zodoende tot een sluitend geheel te komen.</w:t>
      </w:r>
    </w:p>
    <w:p w:rsidR="00781CF8" w:rsidP="00781CF8" w:rsidRDefault="00781CF8">
      <w:pPr>
        <w:pStyle w:val="Lijstalinea"/>
        <w:spacing w:after="0"/>
        <w:ind w:left="0"/>
        <w:rPr>
          <w:i/>
          <w:sz w:val="18"/>
          <w:szCs w:val="18"/>
        </w:rPr>
      </w:pPr>
    </w:p>
    <w:p w:rsidRPr="009902B6" w:rsidR="00E8783B" w:rsidP="00781CF8" w:rsidRDefault="00E8783B">
      <w:pPr>
        <w:pStyle w:val="Lijstalinea"/>
        <w:spacing w:after="0"/>
        <w:ind w:left="0"/>
        <w:rPr>
          <w:i/>
          <w:sz w:val="18"/>
          <w:szCs w:val="18"/>
        </w:rPr>
      </w:pPr>
      <w:r w:rsidRPr="009902B6">
        <w:rPr>
          <w:i/>
          <w:sz w:val="18"/>
          <w:szCs w:val="18"/>
        </w:rPr>
        <w:t xml:space="preserve">Introductie ‘verklaring uitsluitend zakelijk gebruik’ </w:t>
      </w:r>
    </w:p>
    <w:p w:rsidRPr="0056767D" w:rsidR="00E8783B" w:rsidP="00781CF8" w:rsidRDefault="00E8783B">
      <w:pPr>
        <w:pStyle w:val="Lijstalinea"/>
        <w:spacing w:after="0"/>
        <w:ind w:left="0"/>
        <w:rPr>
          <w:sz w:val="18"/>
          <w:szCs w:val="18"/>
        </w:rPr>
      </w:pPr>
      <w:r w:rsidRPr="0056767D">
        <w:rPr>
          <w:sz w:val="18"/>
          <w:szCs w:val="18"/>
        </w:rPr>
        <w:t xml:space="preserve">Indien een bestelauto van de zaak uitsluitend zakelijk wordt gebruikt, hoeft er geen bijtelling te worden toegepast. Er is immers geen sprake van privégebruik en dus geen sprake van loon in natura. Onder de huidige wetgeving dient tegenbewijs te worden geleverd om aan te tonen dat er op jaarbasis niet meer dan 500 kilometer privé is gereden. Ten aanzien van dit tegenbewijs geldt de vrije bewijsleer. In de praktijk wordt het tegenbewijs met name geleverd aan de hand van een rittenregistratie. </w:t>
      </w:r>
      <w:r w:rsidRPr="00BA7DE8" w:rsidR="00BA7DE8">
        <w:rPr>
          <w:sz w:val="18"/>
          <w:szCs w:val="18"/>
        </w:rPr>
        <w:t>Een alternatieve optie zou kunnen zijn dat vooraf door de werknemer en werkgever gezamenlijk of door de ondernemer een verklaring wordt afgegeven dat de bestelauto uitsluitend zakelijk gebruikt wordt.</w:t>
      </w:r>
      <w:r w:rsidR="00091745">
        <w:rPr>
          <w:sz w:val="18"/>
          <w:szCs w:val="18"/>
        </w:rPr>
        <w:t xml:space="preserve"> </w:t>
      </w:r>
      <w:r w:rsidRPr="0056767D">
        <w:rPr>
          <w:sz w:val="18"/>
          <w:szCs w:val="18"/>
        </w:rPr>
        <w:t>Toezicht zou vervolgens kunnen plaatsvinden aan de hand van camerawaarnemingen. Deze variant kan een oplossing bieden voor de groep bestelautorijders die de bestelauto van de zaak niet privé gebruikt en die nu geen beroep kan of wil doen op de bestaande bijzondere regelingen zoals het verbod op privégebruik of het niet buiten werktijd gebruiken van de bestelauto.</w:t>
      </w:r>
      <w:r w:rsidR="00BA7DE8">
        <w:rPr>
          <w:sz w:val="18"/>
          <w:szCs w:val="18"/>
        </w:rPr>
        <w:t xml:space="preserve"> </w:t>
      </w:r>
      <w:r w:rsidRPr="00BA7DE8" w:rsidR="00BA7DE8">
        <w:rPr>
          <w:sz w:val="18"/>
          <w:szCs w:val="18"/>
        </w:rPr>
        <w:t xml:space="preserve">Bij de verdere uitwerking van deze variant </w:t>
      </w:r>
      <w:r w:rsidR="0027664E">
        <w:rPr>
          <w:sz w:val="18"/>
          <w:szCs w:val="18"/>
        </w:rPr>
        <w:t xml:space="preserve">zal ik nagaan of </w:t>
      </w:r>
      <w:r w:rsidRPr="00BA7DE8" w:rsidR="00BA7DE8">
        <w:rPr>
          <w:sz w:val="18"/>
          <w:szCs w:val="18"/>
        </w:rPr>
        <w:t xml:space="preserve">het autopaspoort, </w:t>
      </w:r>
      <w:r w:rsidR="0027664E">
        <w:rPr>
          <w:sz w:val="18"/>
          <w:szCs w:val="18"/>
        </w:rPr>
        <w:t xml:space="preserve">dat </w:t>
      </w:r>
      <w:r w:rsidRPr="00BA7DE8" w:rsidR="00BA7DE8">
        <w:rPr>
          <w:sz w:val="18"/>
          <w:szCs w:val="18"/>
        </w:rPr>
        <w:t xml:space="preserve">in hoofdstuk 9 aan de orde komt, een bijdrage kan leveren. Ik ben namelijk van mening dat gegevens die nodig zijn voor een effectief toezicht op de naleving van de </w:t>
      </w:r>
      <w:r w:rsidRPr="00BA7DE8" w:rsidR="00BA7DE8">
        <w:rPr>
          <w:sz w:val="18"/>
          <w:szCs w:val="18"/>
        </w:rPr>
        <w:lastRenderedPageBreak/>
        <w:t>autogerelateerde belastingen zo veel mogelijk een plek horen te krijgen in het kentekenregister. Zo wordt al sinds enkele jaren bijvoorbeeld de catalogusprijs opgenomen in dat register. De ervaringen daarmee zijn positief. De vastlegging van dergelijke gegevens vindt namelijk plaats op het moment waarop de tenaamstelling van het voertuig plaatsvindt. Vervolgens zijn er geen extra administratieve lasten en uitvoeringskosten, omdat de Belastingdienst deze gegevens online gebruikt bij de uitvoering van zijn taken. Mogelijk kan ook de informatie over de vraag of een bestelauto al dan niet privé gebruikt gaat worden in het kentekenregister worden opgenomen. Op dit moment voert de Belastingdienst verkennende gesprekken met de Dienst Wegverkeer (RDW) over de vormgeving van de verklaring geen privé gebruik via het kentekenregister.</w:t>
      </w:r>
    </w:p>
    <w:p w:rsidR="00E8783B" w:rsidP="00781CF8" w:rsidRDefault="00E8783B">
      <w:pPr>
        <w:pStyle w:val="Lijstalinea"/>
        <w:spacing w:after="0"/>
        <w:rPr>
          <w:sz w:val="18"/>
          <w:szCs w:val="18"/>
        </w:rPr>
      </w:pPr>
    </w:p>
    <w:p w:rsidRPr="009902B6" w:rsidR="00E8783B" w:rsidP="00781CF8" w:rsidRDefault="00E8783B">
      <w:pPr>
        <w:pStyle w:val="Lijstalinea"/>
        <w:spacing w:after="0"/>
        <w:ind w:left="0"/>
        <w:rPr>
          <w:i/>
          <w:sz w:val="18"/>
          <w:szCs w:val="18"/>
        </w:rPr>
      </w:pPr>
      <w:r w:rsidRPr="009902B6">
        <w:rPr>
          <w:i/>
          <w:sz w:val="18"/>
          <w:szCs w:val="18"/>
        </w:rPr>
        <w:t>Bij de bijtelling privégebruik bestelauto van de zaak meer aansluiten bij het werkelijke aantal gereden privékilometers; introductie van een optionele gestaffelde bijtelling ingeval gebruik wordt gemaakt van een geautomatiseerde rittenregistratie</w:t>
      </w:r>
    </w:p>
    <w:p w:rsidRPr="0056767D" w:rsidR="00E8783B" w:rsidP="00781CF8" w:rsidRDefault="00E8783B">
      <w:pPr>
        <w:pStyle w:val="Lijstalinea"/>
        <w:spacing w:after="0"/>
        <w:ind w:left="0"/>
        <w:rPr>
          <w:sz w:val="18"/>
          <w:szCs w:val="18"/>
        </w:rPr>
      </w:pPr>
      <w:r w:rsidRPr="0056767D">
        <w:rPr>
          <w:sz w:val="18"/>
          <w:szCs w:val="18"/>
        </w:rPr>
        <w:t xml:space="preserve">Een variabele bijtelling sluit beter aan bij het mogelijk beperktere privégebruik met een bestelauto. Bovendien </w:t>
      </w:r>
      <w:r>
        <w:rPr>
          <w:sz w:val="18"/>
          <w:szCs w:val="18"/>
        </w:rPr>
        <w:t>kan</w:t>
      </w:r>
      <w:r w:rsidRPr="0056767D">
        <w:rPr>
          <w:sz w:val="18"/>
          <w:szCs w:val="18"/>
        </w:rPr>
        <w:t xml:space="preserve"> </w:t>
      </w:r>
      <w:r>
        <w:rPr>
          <w:sz w:val="18"/>
          <w:szCs w:val="18"/>
        </w:rPr>
        <w:t xml:space="preserve">een </w:t>
      </w:r>
      <w:r w:rsidRPr="0056767D">
        <w:rPr>
          <w:sz w:val="18"/>
          <w:szCs w:val="18"/>
        </w:rPr>
        <w:t>variab</w:t>
      </w:r>
      <w:r>
        <w:rPr>
          <w:sz w:val="18"/>
          <w:szCs w:val="18"/>
        </w:rPr>
        <w:t>ele</w:t>
      </w:r>
      <w:r w:rsidRPr="0056767D">
        <w:rPr>
          <w:sz w:val="18"/>
          <w:szCs w:val="18"/>
        </w:rPr>
        <w:t xml:space="preserve"> </w:t>
      </w:r>
      <w:r>
        <w:rPr>
          <w:sz w:val="18"/>
          <w:szCs w:val="18"/>
        </w:rPr>
        <w:t xml:space="preserve">bijtelling </w:t>
      </w:r>
      <w:r w:rsidRPr="0056767D">
        <w:rPr>
          <w:sz w:val="18"/>
          <w:szCs w:val="18"/>
        </w:rPr>
        <w:t xml:space="preserve">een prikkel geven om minder privékilometers te maken. </w:t>
      </w:r>
    </w:p>
    <w:p w:rsidRPr="009F2943" w:rsidR="00E8783B" w:rsidP="00781CF8" w:rsidRDefault="00E8783B">
      <w:pPr>
        <w:pStyle w:val="Lijstalinea"/>
        <w:spacing w:after="0"/>
        <w:ind w:left="0"/>
        <w:rPr>
          <w:sz w:val="18"/>
          <w:szCs w:val="18"/>
        </w:rPr>
      </w:pPr>
      <w:r w:rsidRPr="0056767D">
        <w:rPr>
          <w:sz w:val="18"/>
          <w:szCs w:val="18"/>
        </w:rPr>
        <w:t xml:space="preserve">In het verleden was er sprake van een variabele bijtelling. In 2004 is deze variabele bijtelling </w:t>
      </w:r>
      <w:r>
        <w:rPr>
          <w:sz w:val="18"/>
          <w:szCs w:val="18"/>
        </w:rPr>
        <w:t xml:space="preserve">echter </w:t>
      </w:r>
      <w:r w:rsidRPr="0056767D">
        <w:rPr>
          <w:sz w:val="18"/>
          <w:szCs w:val="18"/>
        </w:rPr>
        <w:t xml:space="preserve">afgeschaft om zodoende de administratieve lasten van het bijhouden van een rittenregistratie te verminderen. Indien een </w:t>
      </w:r>
      <w:r w:rsidR="001A78DD">
        <w:rPr>
          <w:sz w:val="18"/>
          <w:szCs w:val="18"/>
        </w:rPr>
        <w:t xml:space="preserve">vorm van </w:t>
      </w:r>
      <w:r w:rsidRPr="0056767D">
        <w:rPr>
          <w:sz w:val="18"/>
          <w:szCs w:val="18"/>
        </w:rPr>
        <w:t xml:space="preserve">variabele bijtelling opnieuw zou worden ingevoerd, zou dit in beginsel leiden tot een toename van de administratieve lasten. Om dit te ondervangen zou bezien kunnen worden of geautomatiseerde rittenregistratiesystemen hier een uitkomst kunnen bieden. </w:t>
      </w:r>
      <w:r w:rsidRPr="00BA7DE8" w:rsidR="00BA7DE8">
        <w:rPr>
          <w:sz w:val="18"/>
          <w:szCs w:val="18"/>
        </w:rPr>
        <w:t>Alsdan zou een optionele gestaffelde bijtelling gekoppeld kunnen worden aan het gebruik van een geautomatiseerde rittenregistratie.</w:t>
      </w:r>
      <w:r w:rsidRPr="0056767D">
        <w:rPr>
          <w:sz w:val="18"/>
          <w:szCs w:val="18"/>
        </w:rPr>
        <w:t xml:space="preserve"> Er zouden dan in geval van bestelauto’s drie situaties kunnen worden onderscheiden:</w:t>
      </w:r>
    </w:p>
    <w:p w:rsidRPr="0056767D" w:rsidR="00E8783B" w:rsidP="00781CF8" w:rsidRDefault="00E8783B">
      <w:pPr>
        <w:pStyle w:val="Lijstalinea"/>
        <w:numPr>
          <w:ilvl w:val="0"/>
          <w:numId w:val="35"/>
        </w:numPr>
        <w:spacing w:after="0"/>
        <w:rPr>
          <w:sz w:val="18"/>
          <w:szCs w:val="18"/>
        </w:rPr>
      </w:pPr>
      <w:r w:rsidRPr="0056767D">
        <w:rPr>
          <w:sz w:val="18"/>
          <w:szCs w:val="18"/>
        </w:rPr>
        <w:t xml:space="preserve">De bestelauto van de zaak wordt </w:t>
      </w:r>
      <w:r w:rsidRPr="007D294C">
        <w:rPr>
          <w:sz w:val="18"/>
          <w:szCs w:val="18"/>
        </w:rPr>
        <w:t>niet privé gebruikt</w:t>
      </w:r>
      <w:r w:rsidRPr="0056767D">
        <w:rPr>
          <w:sz w:val="18"/>
          <w:szCs w:val="18"/>
        </w:rPr>
        <w:t xml:space="preserve"> vanwege een verbod op privégebruik of omdat deze “achter het hek staat” of als gevolg van de hiervoor geopperde gezamenlijke </w:t>
      </w:r>
      <w:r>
        <w:rPr>
          <w:sz w:val="18"/>
          <w:szCs w:val="18"/>
        </w:rPr>
        <w:t>‘</w:t>
      </w:r>
      <w:r w:rsidRPr="0056767D">
        <w:rPr>
          <w:sz w:val="18"/>
          <w:szCs w:val="18"/>
        </w:rPr>
        <w:t xml:space="preserve">verklaring </w:t>
      </w:r>
      <w:r>
        <w:rPr>
          <w:sz w:val="18"/>
          <w:szCs w:val="18"/>
        </w:rPr>
        <w:t>uitsluitend zakelijk gebruik’</w:t>
      </w:r>
      <w:r w:rsidRPr="0056767D">
        <w:rPr>
          <w:sz w:val="18"/>
          <w:szCs w:val="18"/>
        </w:rPr>
        <w:t xml:space="preserve">. De bestelauto is </w:t>
      </w:r>
      <w:r>
        <w:rPr>
          <w:sz w:val="18"/>
          <w:szCs w:val="18"/>
        </w:rPr>
        <w:t xml:space="preserve">in die gevallen </w:t>
      </w:r>
      <w:r w:rsidRPr="0056767D">
        <w:rPr>
          <w:sz w:val="18"/>
          <w:szCs w:val="18"/>
        </w:rPr>
        <w:t>uitgezonderd van de bijtelling. Er hoeft in dit geval met betrekking tot de gereden kilometers niets te worden bijgehouden.</w:t>
      </w:r>
    </w:p>
    <w:p w:rsidRPr="0056767D" w:rsidR="00E8783B" w:rsidP="00781CF8" w:rsidRDefault="00E8783B">
      <w:pPr>
        <w:pStyle w:val="Lijstalinea"/>
        <w:numPr>
          <w:ilvl w:val="0"/>
          <w:numId w:val="35"/>
        </w:numPr>
        <w:spacing w:after="0"/>
        <w:rPr>
          <w:sz w:val="18"/>
          <w:szCs w:val="18"/>
        </w:rPr>
      </w:pPr>
      <w:r w:rsidRPr="0056767D">
        <w:rPr>
          <w:sz w:val="18"/>
          <w:szCs w:val="18"/>
        </w:rPr>
        <w:t xml:space="preserve">De bestelauto van de zaak wordt </w:t>
      </w:r>
      <w:r w:rsidRPr="007D294C">
        <w:rPr>
          <w:sz w:val="18"/>
          <w:szCs w:val="18"/>
        </w:rPr>
        <w:t>privé gebruikt</w:t>
      </w:r>
      <w:r w:rsidRPr="0056767D">
        <w:rPr>
          <w:sz w:val="18"/>
          <w:szCs w:val="18"/>
        </w:rPr>
        <w:t xml:space="preserve">. De bestelautorijder hoeft ook dan niets bij te houden ter zake van het privégebruik. Er gelden geen restricties ten aanzien van het aantal gereden privékilometers. De bijtelling bedraagt 25% </w:t>
      </w:r>
      <w:r w:rsidR="002B795B">
        <w:rPr>
          <w:sz w:val="18"/>
          <w:szCs w:val="18"/>
        </w:rPr>
        <w:t>(of minder indien de CO</w:t>
      </w:r>
      <w:r w:rsidRPr="002B795B" w:rsidR="002B795B">
        <w:rPr>
          <w:sz w:val="18"/>
          <w:szCs w:val="18"/>
          <w:vertAlign w:val="subscript"/>
        </w:rPr>
        <w:t>2</w:t>
      </w:r>
      <w:r w:rsidR="002B795B">
        <w:rPr>
          <w:sz w:val="18"/>
          <w:szCs w:val="18"/>
        </w:rPr>
        <w:t xml:space="preserve">-uitstoot bestelauto daartoe aanleidinggeeft) </w:t>
      </w:r>
      <w:r w:rsidRPr="0056767D">
        <w:rPr>
          <w:sz w:val="18"/>
          <w:szCs w:val="18"/>
        </w:rPr>
        <w:t xml:space="preserve">van de catalogusprijs inclusief BTW en </w:t>
      </w:r>
      <w:r>
        <w:rPr>
          <w:sz w:val="18"/>
          <w:szCs w:val="18"/>
        </w:rPr>
        <w:t xml:space="preserve">(fictieve) </w:t>
      </w:r>
      <w:r w:rsidRPr="0056767D">
        <w:rPr>
          <w:sz w:val="18"/>
          <w:szCs w:val="18"/>
        </w:rPr>
        <w:t>BPM.</w:t>
      </w:r>
    </w:p>
    <w:p w:rsidRPr="0056767D" w:rsidR="00E8783B" w:rsidP="00781CF8" w:rsidRDefault="00E8783B">
      <w:pPr>
        <w:pStyle w:val="Lijstalinea"/>
        <w:numPr>
          <w:ilvl w:val="0"/>
          <w:numId w:val="35"/>
        </w:numPr>
        <w:spacing w:after="0"/>
        <w:rPr>
          <w:sz w:val="18"/>
          <w:szCs w:val="18"/>
        </w:rPr>
      </w:pPr>
      <w:r w:rsidRPr="0056767D">
        <w:rPr>
          <w:sz w:val="18"/>
          <w:szCs w:val="18"/>
        </w:rPr>
        <w:t xml:space="preserve">De bestelauto van de zaak wordt </w:t>
      </w:r>
      <w:r w:rsidRPr="007D294C">
        <w:rPr>
          <w:sz w:val="18"/>
          <w:szCs w:val="18"/>
        </w:rPr>
        <w:t>beperkt privé gebruikt</w:t>
      </w:r>
      <w:r w:rsidRPr="0056767D">
        <w:rPr>
          <w:sz w:val="18"/>
          <w:szCs w:val="18"/>
        </w:rPr>
        <w:t xml:space="preserve">. Alsdan kan de bijtelling worden beperkt indien de bestelauto beschikt over een geautomatiseerde rittenregistratie. Het bijtellingspercentage is vervolgens afhankelijk van het aantal gereden privékilometers op jaarbasis (op basis van een nog nader te bepalen staffel). </w:t>
      </w:r>
    </w:p>
    <w:p w:rsidR="00E8783B" w:rsidP="00781CF8" w:rsidRDefault="00E8783B">
      <w:pPr>
        <w:pStyle w:val="Lijstalinea"/>
        <w:spacing w:after="0"/>
        <w:ind w:left="1080"/>
        <w:rPr>
          <w:sz w:val="18"/>
          <w:szCs w:val="18"/>
        </w:rPr>
      </w:pPr>
    </w:p>
    <w:p w:rsidRPr="009902B6" w:rsidR="00E8783B" w:rsidP="00781CF8" w:rsidRDefault="00E8783B">
      <w:pPr>
        <w:pStyle w:val="Lijstalinea"/>
        <w:spacing w:after="0"/>
        <w:ind w:left="0"/>
        <w:rPr>
          <w:i/>
          <w:sz w:val="18"/>
          <w:szCs w:val="18"/>
        </w:rPr>
      </w:pPr>
      <w:r w:rsidRPr="009902B6">
        <w:rPr>
          <w:i/>
          <w:sz w:val="18"/>
          <w:szCs w:val="18"/>
        </w:rPr>
        <w:t>Afschaffen of verlagen van de bijtelling voor bepaalde bestelauto’s: bij fictie aannemen dat een bestelauto met maximaal 3 zitplaatsen</w:t>
      </w:r>
      <w:r>
        <w:rPr>
          <w:i/>
          <w:sz w:val="18"/>
          <w:szCs w:val="18"/>
        </w:rPr>
        <w:t xml:space="preserve"> (enkele cabine)</w:t>
      </w:r>
      <w:r w:rsidRPr="009902B6">
        <w:rPr>
          <w:i/>
          <w:sz w:val="18"/>
          <w:szCs w:val="18"/>
        </w:rPr>
        <w:t xml:space="preserve"> niet of beperkt privé wordt gebruikt waardoor er </w:t>
      </w:r>
      <w:r>
        <w:rPr>
          <w:i/>
          <w:sz w:val="18"/>
          <w:szCs w:val="18"/>
        </w:rPr>
        <w:t xml:space="preserve">geen </w:t>
      </w:r>
      <w:r w:rsidRPr="009902B6">
        <w:rPr>
          <w:i/>
          <w:sz w:val="18"/>
          <w:szCs w:val="18"/>
        </w:rPr>
        <w:t>respectievelijk een verlaagde bijtelling kan worden toegepast</w:t>
      </w:r>
    </w:p>
    <w:p w:rsidR="0027664E" w:rsidP="00781CF8" w:rsidRDefault="00BA7DE8">
      <w:pPr>
        <w:pStyle w:val="Lijstalinea"/>
        <w:spacing w:after="0"/>
        <w:ind w:left="0"/>
        <w:rPr>
          <w:sz w:val="18"/>
          <w:szCs w:val="18"/>
        </w:rPr>
      </w:pPr>
      <w:r w:rsidRPr="00BA7DE8">
        <w:rPr>
          <w:sz w:val="18"/>
          <w:szCs w:val="18"/>
        </w:rPr>
        <w:t xml:space="preserve">De hoeveelheid zitplaatsen in een bestelauto varieert. Het aantal zitplaatsen zou mede bepalend kunnen zijn voor de vraag in hoeverre een bestelauto privé wordt gebruikt of in hoeverre dergelijk privégebruik voor de hand ligt. Onderzocht </w:t>
      </w:r>
      <w:r w:rsidR="0027664E">
        <w:rPr>
          <w:sz w:val="18"/>
          <w:szCs w:val="18"/>
        </w:rPr>
        <w:t>is</w:t>
      </w:r>
      <w:r w:rsidRPr="00BA7DE8">
        <w:rPr>
          <w:sz w:val="18"/>
          <w:szCs w:val="18"/>
        </w:rPr>
        <w:t xml:space="preserve"> of het aantal zitplaatsen aanleiding geeft tot opname in de wet van de fictie dat een bestelauto van de zaak met maximaal drie zitplaatsen (de enkele cabine) niet of slechts beperkt privé wordt gebruikt, waardoor ter zake van deze bestelauto’s geen of een verlaagde bijtelling zou kunnen worden toegepast. </w:t>
      </w:r>
    </w:p>
    <w:p w:rsidR="00E8783B" w:rsidP="00781CF8" w:rsidRDefault="00BA7DE8">
      <w:pPr>
        <w:pStyle w:val="Lijstalinea"/>
        <w:spacing w:after="0"/>
        <w:ind w:left="0"/>
        <w:rPr>
          <w:sz w:val="18"/>
          <w:szCs w:val="18"/>
        </w:rPr>
      </w:pPr>
      <w:r w:rsidRPr="00BA7DE8">
        <w:rPr>
          <w:sz w:val="18"/>
          <w:szCs w:val="18"/>
        </w:rPr>
        <w:t xml:space="preserve">In hoeverre een dergelijke fictie kan worden opgenomen, is van een aantal zaken afhankelijk. Twee elementen wil ik in dit kader reeds noemen. Circa 80% van de bestelauto’s heeft een enkele cabine. Dit betekent dat als er geen of een verlaagde bijtelling zou kunnen worden toegepast op deze groep, voor de budgettaire derving die daarmee gepaard gaat, de dekking bij de andere groep bestelauto’s moet worden gevonden. De overige circa 20% van de bestelauto’s zal dan voor benodigde dekking dienen te zorgen. Dat zal geen eenvoudige opgave worden. Voor de hand ligt dan veeleer een oplossing die hierna meer ten algemene wordt beschreven, te weten de introductie van de BPM voor de zakelijke bestelauto dan wel een verhoging van de MRB. </w:t>
      </w:r>
      <w:r w:rsidRPr="00C34E82" w:rsidR="0027664E">
        <w:rPr>
          <w:sz w:val="18"/>
          <w:szCs w:val="18"/>
        </w:rPr>
        <w:t>Ook is duidelijk geworden dat bij bepaalde modellen op eenvoudige wijze een enkele cabine</w:t>
      </w:r>
      <w:r w:rsidR="0027664E">
        <w:rPr>
          <w:sz w:val="18"/>
          <w:szCs w:val="18"/>
        </w:rPr>
        <w:t xml:space="preserve"> om te bouwen </w:t>
      </w:r>
      <w:r w:rsidR="001A78DD">
        <w:rPr>
          <w:sz w:val="18"/>
          <w:szCs w:val="18"/>
        </w:rPr>
        <w:t xml:space="preserve">is </w:t>
      </w:r>
      <w:r w:rsidR="0027664E">
        <w:rPr>
          <w:sz w:val="18"/>
          <w:szCs w:val="18"/>
        </w:rPr>
        <w:t>tot</w:t>
      </w:r>
      <w:r w:rsidRPr="00C34E82" w:rsidR="0027664E">
        <w:rPr>
          <w:sz w:val="18"/>
          <w:szCs w:val="18"/>
        </w:rPr>
        <w:t xml:space="preserve"> </w:t>
      </w:r>
      <w:r w:rsidRPr="00C34E82" w:rsidR="0027664E">
        <w:rPr>
          <w:sz w:val="18"/>
          <w:szCs w:val="18"/>
        </w:rPr>
        <w:lastRenderedPageBreak/>
        <w:t xml:space="preserve">een dubbele cabine. De laspunten voor een extra bank zijn affabriek reeds gemonteerd. Dit betekent dat het interessant wordt om een enkele cabine aan te schaffen en er vervolgens </w:t>
      </w:r>
      <w:r w:rsidR="0027664E">
        <w:rPr>
          <w:sz w:val="18"/>
          <w:szCs w:val="18"/>
        </w:rPr>
        <w:t xml:space="preserve">– na tenaamstelling – </w:t>
      </w:r>
      <w:r w:rsidRPr="00C34E82" w:rsidR="0027664E">
        <w:rPr>
          <w:sz w:val="18"/>
          <w:szCs w:val="18"/>
        </w:rPr>
        <w:t xml:space="preserve">een dubbele cabine van te maken. </w:t>
      </w:r>
      <w:r w:rsidR="0027664E">
        <w:rPr>
          <w:sz w:val="18"/>
          <w:szCs w:val="18"/>
        </w:rPr>
        <w:t xml:space="preserve">Een dergelijke aanpassing van het voertuig wordt niet geregistreerd in het kentekenregister. De handhaafbaarheid van de regeling neemt daardoor af en effectief toezicht wordt bemoeilijkt. </w:t>
      </w:r>
      <w:r w:rsidRPr="00C34E82" w:rsidR="0027664E">
        <w:rPr>
          <w:sz w:val="18"/>
          <w:szCs w:val="18"/>
        </w:rPr>
        <w:t xml:space="preserve">Een begunstigende regeling zoals het (gedeeltelijk) vrijstellen van de bijtelling voor bestelauto’s met een enkele cabine is daarom op voorhand fraudegevoelig en verdient dan ook om </w:t>
      </w:r>
      <w:r w:rsidR="001A78DD">
        <w:rPr>
          <w:sz w:val="18"/>
          <w:szCs w:val="18"/>
        </w:rPr>
        <w:t xml:space="preserve">voornoemde </w:t>
      </w:r>
      <w:r w:rsidRPr="00C34E82" w:rsidR="0027664E">
        <w:rPr>
          <w:sz w:val="18"/>
          <w:szCs w:val="18"/>
        </w:rPr>
        <w:t>reden</w:t>
      </w:r>
      <w:r w:rsidR="001A78DD">
        <w:rPr>
          <w:sz w:val="18"/>
          <w:szCs w:val="18"/>
        </w:rPr>
        <w:t>en</w:t>
      </w:r>
      <w:r w:rsidRPr="00C34E82" w:rsidR="0027664E">
        <w:rPr>
          <w:sz w:val="18"/>
          <w:szCs w:val="18"/>
        </w:rPr>
        <w:t xml:space="preserve"> niet mijn voorkeur.</w:t>
      </w:r>
      <w:r w:rsidR="00E8783B">
        <w:rPr>
          <w:sz w:val="18"/>
          <w:szCs w:val="18"/>
        </w:rPr>
        <w:t xml:space="preserve"> </w:t>
      </w:r>
    </w:p>
    <w:p w:rsidR="00E8783B" w:rsidP="00781CF8" w:rsidRDefault="00E8783B">
      <w:pPr>
        <w:pStyle w:val="Lijstalinea"/>
        <w:spacing w:after="0"/>
        <w:ind w:left="1080"/>
        <w:rPr>
          <w:sz w:val="18"/>
          <w:szCs w:val="18"/>
        </w:rPr>
      </w:pPr>
    </w:p>
    <w:p w:rsidRPr="00BA7DE8" w:rsidR="00BA7DE8" w:rsidP="00BA7DE8" w:rsidRDefault="00BA7DE8">
      <w:pPr>
        <w:pStyle w:val="Lijstalinea"/>
        <w:spacing w:after="0"/>
        <w:ind w:left="0"/>
        <w:rPr>
          <w:i/>
          <w:sz w:val="18"/>
          <w:szCs w:val="18"/>
        </w:rPr>
      </w:pPr>
      <w:r w:rsidRPr="00BA7DE8">
        <w:rPr>
          <w:i/>
          <w:sz w:val="18"/>
          <w:szCs w:val="18"/>
        </w:rPr>
        <w:t>Bijtelling privégebruik bestelauto van de zaak afschaffen onder gelijktijdige verhoging van de MRB en/of de introductie van een BPM-heffing voor bestelauto’s van ondernemers (verschuiving lasten van werknemers naar werkgevers)</w:t>
      </w:r>
    </w:p>
    <w:p w:rsidRPr="0027664E" w:rsidR="00BA7DE8" w:rsidP="00BA7DE8" w:rsidRDefault="00BA7DE8">
      <w:pPr>
        <w:spacing w:after="0"/>
        <w:rPr>
          <w:sz w:val="18"/>
          <w:szCs w:val="18"/>
        </w:rPr>
      </w:pPr>
      <w:r w:rsidRPr="0027664E">
        <w:rPr>
          <w:sz w:val="18"/>
          <w:szCs w:val="18"/>
        </w:rPr>
        <w:t>Het afschaffen van de bijtelling voor privégebruik bestelauto’s van de zaak is ook een variant die automatisch leidt tot het vervallen van de rittenadministratie</w:t>
      </w:r>
      <w:r w:rsidR="0027664E">
        <w:rPr>
          <w:sz w:val="18"/>
          <w:szCs w:val="18"/>
        </w:rPr>
        <w:t>. Als de bijtelling wordt afgeschaft, hoeft er immers niets meer te worden bijgehouden ten aanzien van het (privé)gebruik.</w:t>
      </w:r>
      <w:r w:rsidRPr="0027664E">
        <w:rPr>
          <w:sz w:val="18"/>
          <w:szCs w:val="18"/>
        </w:rPr>
        <w:t xml:space="preserve"> Dit leidt er echter wel toe dat het beginsel van het belasten van loon in natura wordt losgelaten en er voorts een budgettaire derving van circa € 400 </w:t>
      </w:r>
      <w:r w:rsidR="000420B5">
        <w:rPr>
          <w:sz w:val="18"/>
          <w:szCs w:val="18"/>
        </w:rPr>
        <w:t>mln</w:t>
      </w:r>
      <w:r w:rsidRPr="0027664E">
        <w:rPr>
          <w:sz w:val="18"/>
          <w:szCs w:val="18"/>
        </w:rPr>
        <w:t xml:space="preserve"> per jaar ontstaat. Om deze derving te dekken binnen de groep bestelauto’s kan worden gedacht aan het verhogen van de MRB, de introductie van de BPM of een combinatie van aanpassing van de MRB en introductie van de BPM voor bestelauto’s van ondernemers. I</w:t>
      </w:r>
      <w:r w:rsidR="001A78DD">
        <w:rPr>
          <w:sz w:val="18"/>
          <w:szCs w:val="18"/>
        </w:rPr>
        <w:t>k</w:t>
      </w:r>
      <w:r w:rsidRPr="0027664E">
        <w:rPr>
          <w:sz w:val="18"/>
          <w:szCs w:val="18"/>
        </w:rPr>
        <w:t xml:space="preserve"> begrijp het voorbehoud dat het bedrijfsleven bij deze optie maakt. Deze optie brengt een lastenverzwaring voor het bedrijfsleven met zich mee</w:t>
      </w:r>
      <w:r w:rsidR="0027664E">
        <w:rPr>
          <w:sz w:val="18"/>
          <w:szCs w:val="18"/>
        </w:rPr>
        <w:t xml:space="preserve">; </w:t>
      </w:r>
      <w:r w:rsidRPr="0027664E">
        <w:rPr>
          <w:sz w:val="18"/>
          <w:szCs w:val="18"/>
        </w:rPr>
        <w:t>een lastenverzwaring die – omdat hij fungeert als dekking voor een lastenverlichting elders – niet kan worden teruggesluisd naar het bedrijfsleven. Om die reden heeft deze optie dan ook niet mijn eerste voorkeur. Ter illustratie geef ik hierna cijfermatig weer wat een dekking van € 400 mln binnen de groep zakelijke bestelauto’s tot gevolg heeft.</w:t>
      </w:r>
    </w:p>
    <w:p w:rsidRPr="0027664E" w:rsidR="00BA7DE8" w:rsidP="00BA7DE8" w:rsidRDefault="00BA7DE8">
      <w:pPr>
        <w:spacing w:after="0"/>
        <w:rPr>
          <w:sz w:val="18"/>
          <w:szCs w:val="18"/>
        </w:rPr>
      </w:pPr>
      <w:r w:rsidRPr="0027664E">
        <w:rPr>
          <w:sz w:val="18"/>
          <w:szCs w:val="18"/>
        </w:rPr>
        <w:t xml:space="preserve">Als alleen de MRB wordt verhoogd betekent dit dat het gemiddelde MRB-tarief voor bestelauto’s van ondernemers </w:t>
      </w:r>
      <w:r w:rsidR="0027664E">
        <w:rPr>
          <w:sz w:val="18"/>
          <w:szCs w:val="18"/>
        </w:rPr>
        <w:t xml:space="preserve">toeneemt van circa € 400 naar </w:t>
      </w:r>
      <w:r w:rsidRPr="0027664E">
        <w:rPr>
          <w:sz w:val="18"/>
          <w:szCs w:val="18"/>
        </w:rPr>
        <w:t>circa € 1000 per jaar</w:t>
      </w:r>
      <w:r w:rsidR="0027664E">
        <w:rPr>
          <w:sz w:val="18"/>
          <w:szCs w:val="18"/>
        </w:rPr>
        <w:t>.</w:t>
      </w:r>
      <w:r w:rsidRPr="0027664E">
        <w:rPr>
          <w:sz w:val="18"/>
          <w:szCs w:val="18"/>
        </w:rPr>
        <w:t xml:space="preserve"> Dit betekent bijvoorbeeld dat voor een kleine bestelauto (Renault Kangoo met gewicht tussen 1350-1450 kg respectievelijk een Volkswagen Caddy met gewicht tussen 1450-1550 kg) in plaats van de huidige € 320 respectievelijk € 344, in deze optie € 800 respectievelijk € 860 verschuldigd wordt. Voor een zwaardere maar desalniettemin veel voorkomende bestelauto met een gewicht tussen 2150-2250 kg, zal de MRB € 1.250 gaan bedragen in plaats van de huidige € 500.</w:t>
      </w:r>
    </w:p>
    <w:p w:rsidRPr="0027664E" w:rsidR="00BA7DE8" w:rsidP="00BA7DE8" w:rsidRDefault="00BA7DE8">
      <w:pPr>
        <w:spacing w:after="0"/>
        <w:rPr>
          <w:sz w:val="18"/>
          <w:szCs w:val="18"/>
        </w:rPr>
      </w:pPr>
      <w:r w:rsidRPr="0027664E">
        <w:rPr>
          <w:sz w:val="18"/>
          <w:szCs w:val="18"/>
        </w:rPr>
        <w:t>Indien alleen de BPM wordt verhoogd, betekent dit dat per nieuw verkochte ondernemersbestelauto een bedrag van (gemiddeld) circa € 9000 aan BPM zal moeten worden betaald. Dat is hoger dan op basis van de toepassing van de huidige “normale” BPM-tarieven verschuldigd zou worden.</w:t>
      </w:r>
    </w:p>
    <w:p w:rsidRPr="003474AD" w:rsidR="00E8783B" w:rsidP="00BA7DE8" w:rsidRDefault="00BA7DE8">
      <w:pPr>
        <w:pStyle w:val="Lijstalinea"/>
        <w:spacing w:after="0"/>
        <w:ind w:left="0"/>
        <w:rPr>
          <w:sz w:val="18"/>
          <w:szCs w:val="18"/>
        </w:rPr>
      </w:pPr>
      <w:r w:rsidRPr="0027664E">
        <w:rPr>
          <w:sz w:val="18"/>
          <w:szCs w:val="18"/>
        </w:rPr>
        <w:t>Wanneer wordt gekozen voor een combinatie van maatregelen in de MRB en de BPM zal dit leiden tot een gedeeltelijke verhoging van de BPM en een gedeeltelijke verhoging van de MRB. Bij een verhoging van de MRB met circa 20%, zal de gemiddelde BPM circa € 7</w:t>
      </w:r>
      <w:r w:rsidR="0027664E">
        <w:rPr>
          <w:sz w:val="18"/>
          <w:szCs w:val="18"/>
        </w:rPr>
        <w:t>8</w:t>
      </w:r>
      <w:r w:rsidRPr="0027664E">
        <w:rPr>
          <w:sz w:val="18"/>
          <w:szCs w:val="18"/>
        </w:rPr>
        <w:t>00 bedragen.</w:t>
      </w:r>
    </w:p>
    <w:p w:rsidR="00E8783B" w:rsidP="00781CF8" w:rsidRDefault="00E8783B">
      <w:pPr>
        <w:pStyle w:val="Lijstalinea"/>
        <w:spacing w:after="0"/>
        <w:ind w:left="1080"/>
        <w:rPr>
          <w:sz w:val="18"/>
          <w:szCs w:val="18"/>
        </w:rPr>
      </w:pPr>
    </w:p>
    <w:p w:rsidRPr="00BA7DE8" w:rsidR="00BA7DE8" w:rsidP="00BA7DE8" w:rsidRDefault="00BA7DE8">
      <w:pPr>
        <w:pStyle w:val="Lijstalinea"/>
        <w:spacing w:after="0"/>
        <w:ind w:left="0"/>
        <w:rPr>
          <w:i/>
          <w:sz w:val="18"/>
          <w:szCs w:val="18"/>
        </w:rPr>
      </w:pPr>
      <w:r w:rsidRPr="00BA7DE8">
        <w:rPr>
          <w:i/>
          <w:sz w:val="18"/>
          <w:szCs w:val="18"/>
        </w:rPr>
        <w:t>Verlaagde bijtelling of absolute afkoopsom voor alle zakelijke bestelauto’s ongeacht het werkelijke privégebruik</w:t>
      </w:r>
    </w:p>
    <w:p w:rsidRPr="00D1119B" w:rsidR="002A30DC" w:rsidRDefault="00BE5CE0">
      <w:pPr>
        <w:spacing w:after="0"/>
        <w:rPr>
          <w:sz w:val="18"/>
          <w:szCs w:val="18"/>
        </w:rPr>
      </w:pPr>
      <w:r w:rsidRPr="00D1119B">
        <w:rPr>
          <w:sz w:val="18"/>
          <w:szCs w:val="18"/>
        </w:rPr>
        <w:t xml:space="preserve">Onder deze variant zou er vanuit worden gegaan dat elke zakelijke bestelauto ook zal worden gebruikt voor privédoeleinden. Hierdoor zou elke bestelauto van de zaak worden getroffen door een bijtelling ongeacht het werkelijke privégebruik. De bijtelling zou in dit geval kunnen worden verlaagd van 25% naar circa 8% van de catalogusprijs. Er vindt dan </w:t>
      </w:r>
      <w:r w:rsidR="00D1119B">
        <w:rPr>
          <w:sz w:val="18"/>
          <w:szCs w:val="18"/>
        </w:rPr>
        <w:t xml:space="preserve">in beginsel </w:t>
      </w:r>
      <w:r w:rsidRPr="00D1119B">
        <w:rPr>
          <w:sz w:val="18"/>
          <w:szCs w:val="18"/>
        </w:rPr>
        <w:t xml:space="preserve">geen verschuiving plaats van lasten van de werknemer naar de werkgever; er blijft sprake van een werknemerslast. Nadeel is uiteraard dat iedere werknemer wordt geconfronteerd met een bijtelling, ook indien deze niet voornemens is de bestelauto privé te gebruiken. </w:t>
      </w:r>
      <w:r w:rsidR="00D1119B">
        <w:rPr>
          <w:sz w:val="18"/>
          <w:szCs w:val="18"/>
        </w:rPr>
        <w:t>Voor zover een bestelauto niet ter beschikking staat aan een specifieke werknemer, betekent dit dat de last bij de werkgever komt te liggen.</w:t>
      </w:r>
    </w:p>
    <w:p w:rsidRPr="00D1119B" w:rsidR="002A30DC" w:rsidRDefault="00BE5CE0">
      <w:pPr>
        <w:spacing w:after="0"/>
        <w:rPr>
          <w:sz w:val="18"/>
          <w:szCs w:val="18"/>
        </w:rPr>
      </w:pPr>
      <w:r w:rsidRPr="00EA4FC4">
        <w:rPr>
          <w:sz w:val="18"/>
          <w:szCs w:val="18"/>
        </w:rPr>
        <w:t xml:space="preserve">Deze verlaagde bijtelling zou ook kunnen worden vormgegeven als een absolute afkoopsom. </w:t>
      </w:r>
      <w:r w:rsidRPr="00EA4FC4" w:rsidR="00D1119B">
        <w:rPr>
          <w:sz w:val="18"/>
          <w:szCs w:val="18"/>
        </w:rPr>
        <w:t xml:space="preserve">Indien de afkoopsom voor alle zakelijke bestelauto’s geldt, dus ook voor die bestelauto’s waar geen privégebruik is, dan bedraagt deze € 600 per bestelauto per jaar. Als de afkoopsom alleen geldt voor de bestelauto die niet uitsluitend zakelijk gebruikt wordt, dan moet worden gedacht aan een afkoopsom van € 3200 per bestelauto per jaar. </w:t>
      </w:r>
      <w:r w:rsidRPr="00EA4FC4">
        <w:rPr>
          <w:sz w:val="18"/>
          <w:szCs w:val="18"/>
        </w:rPr>
        <w:t>Deze last zal waarschijnlijk drukken op de</w:t>
      </w:r>
      <w:r w:rsidRPr="00D1119B">
        <w:rPr>
          <w:sz w:val="18"/>
          <w:szCs w:val="18"/>
        </w:rPr>
        <w:t xml:space="preserve"> </w:t>
      </w:r>
      <w:r w:rsidRPr="00D1119B">
        <w:rPr>
          <w:sz w:val="18"/>
          <w:szCs w:val="18"/>
        </w:rPr>
        <w:lastRenderedPageBreak/>
        <w:t>werkgever, waardoor er dus een verschuiving plaatsvindt van werknemerslasten naar werkgeversla</w:t>
      </w:r>
      <w:r w:rsidR="00D1119B">
        <w:rPr>
          <w:sz w:val="18"/>
          <w:szCs w:val="18"/>
        </w:rPr>
        <w:t>s</w:t>
      </w:r>
      <w:r w:rsidRPr="00D1119B">
        <w:rPr>
          <w:sz w:val="18"/>
          <w:szCs w:val="18"/>
        </w:rPr>
        <w:t>ten.</w:t>
      </w:r>
      <w:r w:rsidR="00D1119B">
        <w:rPr>
          <w:sz w:val="18"/>
          <w:szCs w:val="18"/>
        </w:rPr>
        <w:t xml:space="preserve"> </w:t>
      </w:r>
    </w:p>
    <w:p w:rsidRPr="00EA4FC4" w:rsidR="002A30DC" w:rsidP="00EA4FC4" w:rsidRDefault="00BE5CE0">
      <w:pPr>
        <w:pStyle w:val="Kop2"/>
        <w:rPr>
          <w:rFonts w:ascii="Verdana" w:hAnsi="Verdana"/>
          <w:color w:val="auto"/>
          <w:sz w:val="18"/>
          <w:szCs w:val="18"/>
        </w:rPr>
      </w:pPr>
      <w:bookmarkStart w:name="_Toc293998572" w:id="78"/>
      <w:r w:rsidRPr="00EA4FC4">
        <w:rPr>
          <w:rFonts w:ascii="Verdana" w:hAnsi="Verdana"/>
          <w:color w:val="auto"/>
          <w:sz w:val="18"/>
          <w:szCs w:val="18"/>
        </w:rPr>
        <w:t>8.4 Regelgeving per 1 januari 2012?</w:t>
      </w:r>
      <w:bookmarkEnd w:id="78"/>
    </w:p>
    <w:p w:rsidR="00D1119B" w:rsidP="00D1119B" w:rsidRDefault="00D1119B">
      <w:pPr>
        <w:pStyle w:val="Lijstalinea"/>
        <w:ind w:left="0"/>
        <w:rPr>
          <w:sz w:val="18"/>
          <w:szCs w:val="18"/>
        </w:rPr>
      </w:pPr>
      <w:r w:rsidRPr="00C34E82">
        <w:rPr>
          <w:sz w:val="18"/>
          <w:szCs w:val="18"/>
        </w:rPr>
        <w:t xml:space="preserve">Het is mogelijk om per 1 januari aanstaande reeds een alternatief in te voeren, namelijk de ‘verklaring uitsluitend zakelijk gebruik’. </w:t>
      </w:r>
      <w:r>
        <w:rPr>
          <w:sz w:val="18"/>
          <w:szCs w:val="18"/>
        </w:rPr>
        <w:t xml:space="preserve">Of dit </w:t>
      </w:r>
      <w:r w:rsidR="001A78DD">
        <w:rPr>
          <w:sz w:val="18"/>
          <w:szCs w:val="18"/>
        </w:rPr>
        <w:t xml:space="preserve">al dan niet </w:t>
      </w:r>
      <w:r>
        <w:rPr>
          <w:sz w:val="18"/>
          <w:szCs w:val="18"/>
        </w:rPr>
        <w:t xml:space="preserve">via het kentekenregister mogelijk is, hangt af van de afspraken die hierover met </w:t>
      </w:r>
      <w:r w:rsidR="001A78DD">
        <w:rPr>
          <w:sz w:val="18"/>
          <w:szCs w:val="18"/>
        </w:rPr>
        <w:t xml:space="preserve">de </w:t>
      </w:r>
      <w:r>
        <w:rPr>
          <w:sz w:val="18"/>
          <w:szCs w:val="18"/>
        </w:rPr>
        <w:t xml:space="preserve">RDW kunnen worden gemaakt en de aanpassingen die in het stelsel van kentekenregistratie moeten plaatsvinden. </w:t>
      </w:r>
    </w:p>
    <w:p w:rsidR="00D1119B" w:rsidP="00BA7DE8" w:rsidRDefault="00BE5CE0">
      <w:pPr>
        <w:pStyle w:val="Lijstalinea"/>
        <w:spacing w:after="0"/>
        <w:ind w:left="0"/>
        <w:rPr>
          <w:sz w:val="18"/>
          <w:szCs w:val="18"/>
        </w:rPr>
      </w:pPr>
      <w:r w:rsidRPr="00D1119B">
        <w:rPr>
          <w:sz w:val="18"/>
          <w:szCs w:val="18"/>
        </w:rPr>
        <w:t xml:space="preserve">Met dit alternatief is de ergernis rond de rittenadministratie </w:t>
      </w:r>
      <w:r w:rsidR="00D1119B">
        <w:rPr>
          <w:sz w:val="18"/>
          <w:szCs w:val="18"/>
        </w:rPr>
        <w:t xml:space="preserve">echter </w:t>
      </w:r>
      <w:r w:rsidRPr="00D1119B">
        <w:rPr>
          <w:sz w:val="18"/>
          <w:szCs w:val="18"/>
        </w:rPr>
        <w:t xml:space="preserve">nog niet </w:t>
      </w:r>
      <w:r w:rsidR="00D1119B">
        <w:rPr>
          <w:sz w:val="18"/>
          <w:szCs w:val="18"/>
        </w:rPr>
        <w:t xml:space="preserve">volledig </w:t>
      </w:r>
      <w:r w:rsidRPr="00D1119B">
        <w:rPr>
          <w:sz w:val="18"/>
          <w:szCs w:val="18"/>
        </w:rPr>
        <w:t xml:space="preserve">opgelost, maar kan wel een oplossing worden geboden voor de groep bestelautorijders die de bestelauto van de zaak niet privé gebruikt en die nu geen beroep kan of wil doen op de bestaande bijzondere regelingen zoals het verbod op privégebruik of het niet buiten werktijd gebruiken van de bestelauto. Ten aanzien van de overige alternatieven is op dit moment nog niet vast te stellen of 1 januari </w:t>
      </w:r>
      <w:r w:rsidR="00D1119B">
        <w:rPr>
          <w:sz w:val="18"/>
          <w:szCs w:val="18"/>
        </w:rPr>
        <w:t xml:space="preserve">aanstaande </w:t>
      </w:r>
      <w:r w:rsidRPr="00D1119B">
        <w:rPr>
          <w:sz w:val="18"/>
          <w:szCs w:val="18"/>
        </w:rPr>
        <w:t xml:space="preserve">haalbaar is. Er dient o.a. goed te worden bezien welke doorwerking een alternatief heeft naar de regelgeving voor personenauto’s, in welke mate er sprake is van administratieve lasten en of een alternatief handhaafbaar is voor de Belastingdienst. Ook de uitwerking van een ‘oude’ mogelijkheid, namelijk de geautomatiseerde rittenregistratie, dient zorgvuldig te worden bezien. Hierbij kan er wel worden gedacht om speciaal voor bestelauto’s nader te onderzoeken wat de mogelijkheden zijn van een pilot, zodat meer ervaring kan worden opgedaan met een systeem van </w:t>
      </w:r>
      <w:r w:rsidR="00D1119B">
        <w:rPr>
          <w:sz w:val="18"/>
          <w:szCs w:val="18"/>
        </w:rPr>
        <w:t xml:space="preserve">een </w:t>
      </w:r>
      <w:r w:rsidRPr="00D1119B">
        <w:rPr>
          <w:sz w:val="18"/>
          <w:szCs w:val="18"/>
        </w:rPr>
        <w:t>geautomatiseerde rittenregistratie.</w:t>
      </w:r>
    </w:p>
    <w:p w:rsidR="00D1119B" w:rsidP="00BA7DE8" w:rsidRDefault="00D1119B">
      <w:pPr>
        <w:pStyle w:val="Lijstalinea"/>
        <w:spacing w:after="0"/>
        <w:ind w:left="0"/>
        <w:rPr>
          <w:sz w:val="18"/>
          <w:szCs w:val="18"/>
        </w:rPr>
      </w:pPr>
    </w:p>
    <w:p w:rsidRPr="00D1119B" w:rsidR="00E8783B" w:rsidP="00BA7DE8" w:rsidRDefault="00BA7DE8">
      <w:pPr>
        <w:pStyle w:val="Lijstalinea"/>
        <w:spacing w:after="0"/>
        <w:ind w:left="0"/>
        <w:rPr>
          <w:sz w:val="18"/>
          <w:szCs w:val="18"/>
        </w:rPr>
      </w:pPr>
      <w:r w:rsidRPr="00D1119B">
        <w:rPr>
          <w:sz w:val="18"/>
          <w:szCs w:val="18"/>
        </w:rPr>
        <w:t xml:space="preserve">Welke oplossing ook wordt gekozen voor het vervallen van de rittenregistratie voor de </w:t>
      </w:r>
      <w:r w:rsidR="00D1119B">
        <w:rPr>
          <w:sz w:val="18"/>
          <w:szCs w:val="18"/>
        </w:rPr>
        <w:t>bestel</w:t>
      </w:r>
      <w:r w:rsidRPr="00D1119B">
        <w:rPr>
          <w:sz w:val="18"/>
          <w:szCs w:val="18"/>
        </w:rPr>
        <w:t>auto, het ligt voor de hand dat deze zijn uitstraling heeft naar de bijtelling van de personenauto. Zodra zich een oplossing aftekent voor de bestelauto en deze in de praktijk werkbaar blijkt, zal ik bezien in hoeverre deze ook toepasbaar blijkt voor de bijtelling voor de personenauto van de zaak.</w:t>
      </w:r>
    </w:p>
    <w:p w:rsidR="007F474E" w:rsidP="00781CF8" w:rsidRDefault="007F474E">
      <w:pPr>
        <w:spacing w:after="0" w:line="240" w:lineRule="auto"/>
        <w:rPr>
          <w:rStyle w:val="Kop1Char"/>
          <w:rFonts w:ascii="Verdana" w:hAnsi="Verdana"/>
          <w:color w:val="auto"/>
          <w:sz w:val="18"/>
          <w:szCs w:val="18"/>
        </w:rPr>
      </w:pPr>
      <w:r>
        <w:rPr>
          <w:rStyle w:val="Kop1Char"/>
          <w:rFonts w:ascii="Verdana" w:hAnsi="Verdana"/>
          <w:color w:val="auto"/>
          <w:sz w:val="18"/>
          <w:szCs w:val="18"/>
        </w:rPr>
        <w:br w:type="page"/>
      </w:r>
    </w:p>
    <w:p w:rsidRPr="00D52F35" w:rsidR="00C31F34" w:rsidP="00781CF8" w:rsidRDefault="00C31F34">
      <w:pPr>
        <w:pStyle w:val="Kop1"/>
        <w:spacing w:before="0"/>
        <w:rPr>
          <w:rFonts w:ascii="Verdana" w:hAnsi="Verdana"/>
          <w:color w:val="auto"/>
          <w:sz w:val="18"/>
          <w:szCs w:val="18"/>
        </w:rPr>
      </w:pPr>
      <w:bookmarkStart w:name="_Toc293998573" w:id="79"/>
      <w:r w:rsidRPr="00D52F35">
        <w:rPr>
          <w:rFonts w:ascii="Verdana" w:hAnsi="Verdana"/>
          <w:color w:val="auto"/>
          <w:sz w:val="18"/>
          <w:szCs w:val="18"/>
        </w:rPr>
        <w:lastRenderedPageBreak/>
        <w:t xml:space="preserve">Hoofdstuk 9. Overige bijzondere regelingen </w:t>
      </w:r>
      <w:r>
        <w:rPr>
          <w:rFonts w:ascii="Verdana" w:hAnsi="Verdana"/>
          <w:color w:val="auto"/>
          <w:sz w:val="18"/>
          <w:szCs w:val="18"/>
        </w:rPr>
        <w:t xml:space="preserve">en enkele aandachtspunten </w:t>
      </w:r>
      <w:r w:rsidRPr="00D52F35">
        <w:rPr>
          <w:rFonts w:ascii="Verdana" w:hAnsi="Verdana"/>
          <w:color w:val="auto"/>
          <w:sz w:val="18"/>
          <w:szCs w:val="18"/>
        </w:rPr>
        <w:t>in de autobelastingen</w:t>
      </w:r>
      <w:bookmarkEnd w:id="79"/>
    </w:p>
    <w:p w:rsidR="00781CF8" w:rsidP="00781CF8" w:rsidRDefault="00781CF8">
      <w:pPr>
        <w:pStyle w:val="Kop2"/>
        <w:spacing w:before="0"/>
        <w:rPr>
          <w:rFonts w:ascii="Verdana" w:hAnsi="Verdana"/>
          <w:color w:val="auto"/>
          <w:sz w:val="18"/>
          <w:szCs w:val="18"/>
        </w:rPr>
      </w:pPr>
    </w:p>
    <w:p w:rsidRPr="00D52F35" w:rsidR="00C31F34" w:rsidP="00781CF8" w:rsidRDefault="00C31F34">
      <w:pPr>
        <w:pStyle w:val="Kop2"/>
        <w:spacing w:before="0"/>
        <w:rPr>
          <w:rFonts w:ascii="Verdana" w:hAnsi="Verdana"/>
          <w:color w:val="auto"/>
          <w:sz w:val="18"/>
          <w:szCs w:val="18"/>
        </w:rPr>
      </w:pPr>
      <w:bookmarkStart w:name="_Toc293998574" w:id="80"/>
      <w:r w:rsidRPr="00D52F35">
        <w:rPr>
          <w:rFonts w:ascii="Verdana" w:hAnsi="Verdana"/>
          <w:color w:val="auto"/>
          <w:sz w:val="18"/>
          <w:szCs w:val="18"/>
        </w:rPr>
        <w:t>9.0. Samenvatting</w:t>
      </w:r>
      <w:bookmarkEnd w:id="80"/>
    </w:p>
    <w:p w:rsidRPr="008455B9"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b/>
          <w:i/>
          <w:sz w:val="18"/>
          <w:szCs w:val="18"/>
        </w:rPr>
      </w:pPr>
      <w:r>
        <w:rPr>
          <w:sz w:val="18"/>
          <w:szCs w:val="18"/>
        </w:rPr>
        <w:t xml:space="preserve">In voorgaande hoofdstukken zijn de diverse vergroeningsprikkels in de autobelastingen aan de orde geweest. Daarnaast bevatten deze belastingen een groot aantal andere bijzondere regelingen. Deze gaan gepaard met relatief hoge uitvoeringskosten. De taakstelling van de Belastingdienst vormt aanleiding om deze regelingen nog eens tegen het licht te houden. Daarbij speelt ook de vraag of de regeling de meest effectieve manier is om het beschikbare budget in te zetten voor invulling van een internationaalrechtelijke verplichting of een achterliggend beleidsdoel dat ook naar de huidige inzichten deze financiële ondersteuning van de overheid behoeft. Bij omzetting in een andere regeling of overheveling van het budget naar meer effectieve beleidsinstrumenten zou budgettaire neutraliteit uitgangspunt zijn, en zou ruimte moeten worden geboden voor afdoende overgangsmaatregelen. Naast deze bijzondere regelingen worden </w:t>
      </w:r>
      <w:r w:rsidR="00E145B2">
        <w:rPr>
          <w:sz w:val="18"/>
          <w:szCs w:val="18"/>
        </w:rPr>
        <w:t xml:space="preserve">in dit hoofdstuk </w:t>
      </w:r>
      <w:r>
        <w:rPr>
          <w:sz w:val="18"/>
          <w:szCs w:val="18"/>
        </w:rPr>
        <w:t xml:space="preserve">nog kort enkele aandachtspunten in de autobelastingen aangestipt, namelijk </w:t>
      </w:r>
      <w:r w:rsidR="00E145B2">
        <w:rPr>
          <w:sz w:val="18"/>
          <w:szCs w:val="18"/>
        </w:rPr>
        <w:t xml:space="preserve">de BPM in Europees perspectief, </w:t>
      </w:r>
      <w:r>
        <w:rPr>
          <w:sz w:val="18"/>
          <w:szCs w:val="18"/>
        </w:rPr>
        <w:t xml:space="preserve">de mogelijkheid van een fiscaal autopaspoort, </w:t>
      </w:r>
      <w:r w:rsidR="00E145B2">
        <w:rPr>
          <w:sz w:val="18"/>
          <w:szCs w:val="18"/>
        </w:rPr>
        <w:t>de aftrek van omzetbelasting bij privégebruik van een zakelijke auto</w:t>
      </w:r>
      <w:r w:rsidR="00E8783B">
        <w:rPr>
          <w:sz w:val="18"/>
          <w:szCs w:val="18"/>
        </w:rPr>
        <w:t xml:space="preserve"> en</w:t>
      </w:r>
      <w:r>
        <w:rPr>
          <w:sz w:val="18"/>
          <w:szCs w:val="18"/>
        </w:rPr>
        <w:t xml:space="preserve"> het beleid ten aanzien van motoren en bromfietsen.</w:t>
      </w:r>
    </w:p>
    <w:p w:rsidR="00C31F34" w:rsidP="00781CF8" w:rsidRDefault="00C31F34">
      <w:pPr>
        <w:spacing w:after="0" w:line="240" w:lineRule="atLeast"/>
        <w:rPr>
          <w:b/>
          <w:i/>
          <w:sz w:val="18"/>
          <w:szCs w:val="18"/>
        </w:rPr>
      </w:pPr>
    </w:p>
    <w:p w:rsidRPr="00DE72E6" w:rsidR="00C31F34" w:rsidP="00781CF8" w:rsidRDefault="00C31F34">
      <w:pPr>
        <w:pStyle w:val="Kop2"/>
        <w:spacing w:before="0"/>
        <w:rPr>
          <w:rFonts w:ascii="Verdana" w:hAnsi="Verdana"/>
          <w:color w:val="auto"/>
          <w:sz w:val="18"/>
          <w:szCs w:val="18"/>
        </w:rPr>
      </w:pPr>
      <w:bookmarkStart w:name="_Toc293998575" w:id="81"/>
      <w:r w:rsidRPr="00DE72E6">
        <w:rPr>
          <w:rFonts w:ascii="Verdana" w:hAnsi="Verdana"/>
          <w:color w:val="auto"/>
          <w:sz w:val="18"/>
          <w:szCs w:val="18"/>
        </w:rPr>
        <w:t>9.1. Inleiding</w:t>
      </w:r>
      <w:bookmarkEnd w:id="81"/>
    </w:p>
    <w:p w:rsidR="00C31F34" w:rsidP="00781CF8" w:rsidRDefault="00C31F34">
      <w:pPr>
        <w:tabs>
          <w:tab w:val="left" w:pos="567"/>
        </w:tabs>
        <w:spacing w:after="0"/>
        <w:rPr>
          <w:sz w:val="18"/>
          <w:szCs w:val="18"/>
        </w:rPr>
      </w:pPr>
      <w:r>
        <w:rPr>
          <w:sz w:val="18"/>
          <w:szCs w:val="18"/>
        </w:rPr>
        <w:t xml:space="preserve">Binnen de autobelastingen bestaan naast de diverse in het voorgaande besproken vergroeningsregelingen ook </w:t>
      </w:r>
      <w:r w:rsidR="00E145B2">
        <w:rPr>
          <w:sz w:val="18"/>
          <w:szCs w:val="18"/>
        </w:rPr>
        <w:t>tientallen</w:t>
      </w:r>
      <w:r>
        <w:rPr>
          <w:sz w:val="18"/>
          <w:szCs w:val="18"/>
        </w:rPr>
        <w:t xml:space="preserve"> bijzondere regelingen voor specifieke groepen voertuigen. Het gaat hierbij om een bonte verzameling van vrijstellingen en teruggaven van BPM, vrijstellingen, bijzondere tarieven en kortingen in de MRB, vrijstellingen in de BZM en gedeeltelijke teruggaven in de brandstofaccijns. Een opsomming van deze bijzondere regelingen is opgenomen in box 9.1. Deze regelingen vergen </w:t>
      </w:r>
      <w:r w:rsidRPr="000D1946">
        <w:rPr>
          <w:sz w:val="18"/>
          <w:szCs w:val="18"/>
        </w:rPr>
        <w:t xml:space="preserve">onevenredig hoge uitvoeringskosten. </w:t>
      </w:r>
      <w:r>
        <w:rPr>
          <w:sz w:val="18"/>
          <w:szCs w:val="18"/>
        </w:rPr>
        <w:t>Naar aanleiding van eerdere evaluaties van een aantal belastinguitgaven in de autobelastingen</w:t>
      </w:r>
      <w:r>
        <w:rPr>
          <w:rStyle w:val="Voetnootmarkering"/>
          <w:sz w:val="18"/>
          <w:szCs w:val="18"/>
        </w:rPr>
        <w:footnoteReference w:id="25"/>
      </w:r>
      <w:r>
        <w:rPr>
          <w:sz w:val="18"/>
          <w:szCs w:val="18"/>
        </w:rPr>
        <w:t xml:space="preserve"> zijn in 2007</w:t>
      </w:r>
      <w:r>
        <w:rPr>
          <w:rStyle w:val="Voetnootmarkering"/>
          <w:sz w:val="18"/>
          <w:szCs w:val="18"/>
        </w:rPr>
        <w:footnoteReference w:id="26"/>
      </w:r>
      <w:r>
        <w:rPr>
          <w:sz w:val="18"/>
          <w:szCs w:val="18"/>
        </w:rPr>
        <w:t xml:space="preserve"> en 2008</w:t>
      </w:r>
      <w:r>
        <w:rPr>
          <w:rStyle w:val="Voetnootmarkering"/>
          <w:sz w:val="18"/>
          <w:szCs w:val="18"/>
        </w:rPr>
        <w:footnoteReference w:id="27"/>
      </w:r>
      <w:r>
        <w:rPr>
          <w:sz w:val="18"/>
          <w:szCs w:val="18"/>
        </w:rPr>
        <w:t xml:space="preserve"> een aantal bijzondere regelingen ingetrokken waaraan de grond (grotendeels) was ontvallen en waarvan maar zeer beperkt gebruik werd gemaakt. Ik ben voornemens om, mede met het oog op de taakstelling van de Belastingdienst, de bijzondere regelingen in de autobelastingen opnieuw en breder tegen het licht te houden en daarbij het al dan niet handhaven van iedere regeling meer principieel aan de orde te stellen. Daarbij is ook van belang of sprake is van een achterliggend niet-fiscaal beleidsdoel dat ondersteuning door de overheid behoeft en zo ja, of de fiscale regeling het meest geëigende middel is om die ondersteuning te bieden. Ook moet worden bezien wat de eventuele samenhang is met andere beleidsdoelen en -instrumenten, zoals de fiscale vergroeningsprikkels en het streven naar een eenvoudige en transparante belastingwetgeving. </w:t>
      </w:r>
      <w:r w:rsidR="006404FA">
        <w:rPr>
          <w:sz w:val="18"/>
          <w:szCs w:val="18"/>
        </w:rPr>
        <w:t>Verder is van belang in hoeverre een regeling eventueel invulling geeft aan internationaalrechtelijke verplichtingen. Uiteraard zal ik bij de verschillende regelingen ook rekening houden met de daarmee gemoeide maatschappelijke belangen en de positie van de bij de regelingen betrokken sectoren.</w:t>
      </w:r>
    </w:p>
    <w:p w:rsidR="00C31F34" w:rsidP="00781CF8" w:rsidRDefault="00C31F34">
      <w:pPr>
        <w:spacing w:after="0" w:line="240" w:lineRule="atLeast"/>
        <w:rPr>
          <w:sz w:val="18"/>
          <w:szCs w:val="18"/>
        </w:rPr>
      </w:pPr>
      <w:r>
        <w:rPr>
          <w:sz w:val="18"/>
          <w:szCs w:val="18"/>
        </w:rPr>
        <w:t xml:space="preserve">Naast deze bijzondere regelingen zijn er nog enkele andere onderdelen van het huidige fiscale stelsel voor voertuigen die ik in het kader van deze brief wil aanstippen. Dat zijn </w:t>
      </w:r>
      <w:r w:rsidR="00E145B2">
        <w:rPr>
          <w:sz w:val="18"/>
          <w:szCs w:val="18"/>
        </w:rPr>
        <w:t xml:space="preserve">de houdbaarheid van de BPM in Europees perpectief, </w:t>
      </w:r>
      <w:r>
        <w:rPr>
          <w:sz w:val="18"/>
          <w:szCs w:val="18"/>
        </w:rPr>
        <w:t xml:space="preserve">de mogelijkheid van een fiscaal autopaspoort als instrument bij toezicht en fraudebestrijding en </w:t>
      </w:r>
      <w:r w:rsidR="00E145B2">
        <w:rPr>
          <w:sz w:val="18"/>
          <w:szCs w:val="18"/>
        </w:rPr>
        <w:t>de correctie van de aftrek van omzetbelasting bij privégebruik van een zakelijke auto</w:t>
      </w:r>
      <w:r>
        <w:rPr>
          <w:sz w:val="18"/>
          <w:szCs w:val="18"/>
        </w:rPr>
        <w:t>. Ten slotte wil ik ingaan op een toezegging inzake motoren en bromfietsen.</w:t>
      </w:r>
    </w:p>
    <w:p w:rsidR="00C31F34" w:rsidP="00781CF8" w:rsidRDefault="00C31F34">
      <w:pPr>
        <w:tabs>
          <w:tab w:val="left" w:pos="567"/>
        </w:tabs>
        <w:spacing w:after="0"/>
        <w:rPr>
          <w:sz w:val="18"/>
          <w:szCs w:val="18"/>
        </w:rPr>
      </w:pP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Pr>
          <w:b/>
          <w:i/>
          <w:sz w:val="18"/>
          <w:szCs w:val="18"/>
        </w:rPr>
        <w:t>Overige bijzondere regelingen in de autobelastingen</w:t>
      </w:r>
      <w:r>
        <w:rPr>
          <w:b/>
          <w:i/>
          <w:sz w:val="18"/>
          <w:szCs w:val="18"/>
        </w:rPr>
        <w:br/>
      </w:r>
      <w:r>
        <w:rPr>
          <w:b/>
          <w:i/>
          <w:sz w:val="18"/>
          <w:szCs w:val="18"/>
        </w:rPr>
        <w:br/>
      </w:r>
      <w:r w:rsidRPr="00932382">
        <w:rPr>
          <w:b/>
          <w:sz w:val="16"/>
          <w:szCs w:val="16"/>
        </w:rPr>
        <w:t>Belasting op personenauto's en motorrijwielen</w:t>
      </w:r>
      <w:r>
        <w:rPr>
          <w:b/>
          <w:sz w:val="16"/>
          <w:szCs w:val="16"/>
        </w:rPr>
        <w:br/>
      </w:r>
      <w:r w:rsidRPr="00932382">
        <w:rPr>
          <w:sz w:val="16"/>
          <w:szCs w:val="16"/>
        </w:rPr>
        <w:t>Vrijstellingen buitenlandse kentekens</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Vrijstellingen diplomatieke en internationale organisaties</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 bestelauto ondernemer</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Teruggaaf bestelauto gehandicapten</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Teruggaaf politievoertuigen</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lastRenderedPageBreak/>
        <w:t>Teruggaaf brandweervoertuigen</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Teruggaaf kleine invalidenvoertuigen (tot 250 cc)</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Teruggaaf ambulances</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Teruggaaf lijkwagens</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Teruggaaf voertuigen voor gevangenentransport</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Teruggaaf voertuigen vervoer rolstoelgebruikers in groepsverband</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Teruggaaf dierenambulance</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Teruggaaf voertuigen voor geldtransport</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b/>
          <w:sz w:val="16"/>
          <w:szCs w:val="16"/>
        </w:rPr>
        <w:t>Motorrijtuigenbelasting</w:t>
      </w:r>
      <w:r>
        <w:rPr>
          <w:b/>
          <w:sz w:val="16"/>
          <w:szCs w:val="16"/>
        </w:rPr>
        <w:br/>
      </w:r>
      <w:r w:rsidRPr="00932382">
        <w:rPr>
          <w:sz w:val="16"/>
          <w:szCs w:val="16"/>
        </w:rPr>
        <w:t>Vrijstellingen buitenlandse kentekens</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Vrijstellingen diplomatieke en internationale organisaties</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Aftrek gewicht rolstoelinstallatie</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Aftrek gewicht elektromotor</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Kwart- en halftarief kampeerauto</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Verlaagd tarief bestelauto gehandicapte</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Verlaagd tarief bestelauto ondernemer</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Verlaagd tarief winkelauto</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Korting bij jaarbetaling</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Kwarttarief kermis- en circusvoertuigen</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Kwarttarief rijdend werktuig en rijdende werkplaats</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Kwarttarief particulier paardenvervoer</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Teruggaaf bedrijfsvoertuigenpark</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Nihiltarief OV-autobussen op LPG</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 ambulances</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 lijkwagens</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 dierenambulances</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 motorrijtuigen ouder dan 25 jaar</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 voertuigen defensie</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 politievoertuigen</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 brandweervoertuigen</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 vuilniswagens, kolkenzuigers en straatveegwagens</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 voertuigen voor aanleg en onderhoud wegen</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 voertuigen waarmee geringe afstand over de weg wordt gereden</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 keuringsritten van voertuigen met geschorst kenteken</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 taxi’s en OV-personenbusjes</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Schorsing en bedrijfsvoorraad</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Regeling naheffen bij ontschorsen</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b/>
          <w:sz w:val="16"/>
          <w:szCs w:val="16"/>
        </w:rPr>
        <w:t>Belasting op zware motorrijtuigen (Eurovignet)</w:t>
      </w:r>
      <w:r>
        <w:rPr>
          <w:b/>
          <w:sz w:val="16"/>
          <w:szCs w:val="16"/>
        </w:rPr>
        <w:br/>
      </w:r>
      <w:r w:rsidRPr="00932382">
        <w:rPr>
          <w:sz w:val="16"/>
          <w:szCs w:val="16"/>
        </w:rPr>
        <w:t>Teruggaaf internationaal gecombineerd vervoer</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 voertuigen defensie</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 xml:space="preserve">Vrijstelling politievoertuigen </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 brandweervoertuigen</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 voertuigen voor aanleg en onderhoud wegen</w:t>
      </w:r>
    </w:p>
    <w:p w:rsidRPr="00932382"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 voertuigen waarmee geringe afstand over de weg wordt gereden</w:t>
      </w:r>
    </w:p>
    <w:p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sidRPr="00932382">
        <w:rPr>
          <w:sz w:val="16"/>
          <w:szCs w:val="16"/>
        </w:rPr>
        <w:t>Vrijstelling kermis- en circusvoertuigen</w:t>
      </w:r>
    </w:p>
    <w:p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p>
    <w:p w:rsidRPr="000E704B"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6"/>
          <w:szCs w:val="16"/>
        </w:rPr>
      </w:pPr>
      <w:r>
        <w:rPr>
          <w:b/>
          <w:sz w:val="16"/>
          <w:szCs w:val="16"/>
        </w:rPr>
        <w:t>A</w:t>
      </w:r>
      <w:r w:rsidRPr="00875DDE">
        <w:rPr>
          <w:b/>
          <w:sz w:val="16"/>
          <w:szCs w:val="16"/>
        </w:rPr>
        <w:t>ccijns</w:t>
      </w:r>
      <w:r>
        <w:rPr>
          <w:b/>
          <w:sz w:val="16"/>
          <w:szCs w:val="16"/>
        </w:rPr>
        <w:t xml:space="preserve"> minerale oliën</w:t>
      </w:r>
      <w:r>
        <w:rPr>
          <w:b/>
          <w:sz w:val="16"/>
          <w:szCs w:val="16"/>
        </w:rPr>
        <w:br/>
      </w:r>
      <w:r w:rsidRPr="000E704B">
        <w:rPr>
          <w:sz w:val="16"/>
          <w:szCs w:val="16"/>
        </w:rPr>
        <w:t>Lager tarief autobussen op LPG</w:t>
      </w:r>
      <w:r w:rsidRPr="000E704B">
        <w:rPr>
          <w:sz w:val="16"/>
          <w:szCs w:val="16"/>
        </w:rPr>
        <w:tab/>
      </w:r>
    </w:p>
    <w:p w:rsidRPr="00E02DAD" w:rsidR="00C31F34" w:rsidP="00781CF8" w:rsidRDefault="00C31F34">
      <w:pPr>
        <w:pBdr>
          <w:top w:val="single" w:color="auto" w:sz="4" w:space="1"/>
          <w:left w:val="single" w:color="auto" w:sz="4" w:space="4"/>
          <w:bottom w:val="single" w:color="auto" w:sz="4" w:space="1"/>
          <w:right w:val="single" w:color="auto" w:sz="4" w:space="4"/>
        </w:pBdr>
        <w:shd w:val="clear" w:color="auto" w:fill="D9D9D9"/>
        <w:spacing w:after="0" w:line="240" w:lineRule="atLeast"/>
        <w:rPr>
          <w:sz w:val="18"/>
          <w:szCs w:val="18"/>
        </w:rPr>
      </w:pPr>
      <w:r w:rsidRPr="000E704B">
        <w:rPr>
          <w:sz w:val="16"/>
          <w:szCs w:val="16"/>
        </w:rPr>
        <w:t>Lager tarief vuilniswagens, kolkenzuigers en straatveegwagens op LPG</w:t>
      </w:r>
    </w:p>
    <w:p w:rsidR="00C31F34" w:rsidP="00781CF8" w:rsidRDefault="00C31F34">
      <w:pPr>
        <w:spacing w:after="0" w:line="240" w:lineRule="auto"/>
        <w:rPr>
          <w:rFonts w:ascii="Arial" w:hAnsi="Arial" w:eastAsia="Times New Roman" w:cs="Arial"/>
          <w:b/>
          <w:bCs/>
          <w:i/>
          <w:iCs/>
          <w:sz w:val="20"/>
          <w:szCs w:val="20"/>
          <w:lang w:eastAsia="nl-NL"/>
        </w:rPr>
      </w:pPr>
    </w:p>
    <w:p w:rsidRPr="00DE72E6" w:rsidR="00C31F34" w:rsidP="00781CF8" w:rsidRDefault="00C31F34">
      <w:pPr>
        <w:pStyle w:val="Kop2"/>
        <w:spacing w:before="0"/>
        <w:rPr>
          <w:rFonts w:ascii="Verdana" w:hAnsi="Verdana"/>
          <w:color w:val="auto"/>
          <w:sz w:val="18"/>
          <w:szCs w:val="18"/>
        </w:rPr>
      </w:pPr>
      <w:bookmarkStart w:name="_Toc293998576" w:id="82"/>
      <w:r w:rsidRPr="00DE72E6">
        <w:rPr>
          <w:rFonts w:ascii="Verdana" w:hAnsi="Verdana"/>
          <w:color w:val="auto"/>
          <w:sz w:val="18"/>
          <w:szCs w:val="18"/>
        </w:rPr>
        <w:t>9.2. Aanleiding heroverweging bijzondere regelingen</w:t>
      </w:r>
      <w:bookmarkEnd w:id="82"/>
    </w:p>
    <w:p w:rsidR="00C31F34" w:rsidP="00781CF8" w:rsidRDefault="00C31F34">
      <w:pPr>
        <w:tabs>
          <w:tab w:val="left" w:pos="567"/>
        </w:tabs>
        <w:spacing w:after="0"/>
        <w:rPr>
          <w:sz w:val="18"/>
          <w:szCs w:val="18"/>
        </w:rPr>
      </w:pPr>
      <w:r>
        <w:rPr>
          <w:sz w:val="18"/>
          <w:szCs w:val="18"/>
        </w:rPr>
        <w:t>Verschillende ontwikkelingen maken naar mijn mening heroverweging wenselijk van de diverse bijzondere regelingen in de autobelastingen.</w:t>
      </w:r>
    </w:p>
    <w:p w:rsidR="00781CF8" w:rsidP="00781CF8" w:rsidRDefault="00781CF8">
      <w:pPr>
        <w:tabs>
          <w:tab w:val="left" w:pos="567"/>
        </w:tabs>
        <w:spacing w:after="0"/>
        <w:rPr>
          <w:rStyle w:val="Kop3Char"/>
          <w:rFonts w:ascii="Verdana" w:hAnsi="Verdana"/>
          <w:b w:val="0"/>
          <w:i/>
          <w:color w:val="auto"/>
          <w:sz w:val="18"/>
          <w:szCs w:val="18"/>
        </w:rPr>
      </w:pPr>
    </w:p>
    <w:p w:rsidR="00C31F34" w:rsidP="00781CF8" w:rsidRDefault="00C31F34">
      <w:pPr>
        <w:tabs>
          <w:tab w:val="left" w:pos="567"/>
        </w:tabs>
        <w:spacing w:after="0"/>
        <w:rPr>
          <w:sz w:val="18"/>
          <w:szCs w:val="18"/>
        </w:rPr>
      </w:pPr>
      <w:bookmarkStart w:name="_Toc293998577" w:id="83"/>
      <w:r w:rsidRPr="00DE72E6">
        <w:rPr>
          <w:rStyle w:val="Kop3Char"/>
          <w:rFonts w:ascii="Verdana" w:hAnsi="Verdana"/>
          <w:b w:val="0"/>
          <w:i/>
          <w:color w:val="auto"/>
          <w:sz w:val="18"/>
          <w:szCs w:val="18"/>
        </w:rPr>
        <w:lastRenderedPageBreak/>
        <w:t>9.2.1. Taakstelling Belastingdienst</w:t>
      </w:r>
      <w:bookmarkEnd w:id="83"/>
      <w:r>
        <w:rPr>
          <w:sz w:val="18"/>
          <w:szCs w:val="18"/>
        </w:rPr>
        <w:br/>
        <w:t xml:space="preserve">Allereerst is aan de </w:t>
      </w:r>
      <w:r w:rsidRPr="005E4B02">
        <w:rPr>
          <w:sz w:val="18"/>
          <w:szCs w:val="18"/>
        </w:rPr>
        <w:t xml:space="preserve">Belastingdienst </w:t>
      </w:r>
      <w:r>
        <w:rPr>
          <w:sz w:val="18"/>
          <w:szCs w:val="18"/>
        </w:rPr>
        <w:t xml:space="preserve">een forse </w:t>
      </w:r>
      <w:r w:rsidRPr="005E4B02">
        <w:rPr>
          <w:sz w:val="18"/>
          <w:szCs w:val="18"/>
        </w:rPr>
        <w:t xml:space="preserve">taakstelling </w:t>
      </w:r>
      <w:r>
        <w:rPr>
          <w:sz w:val="18"/>
          <w:szCs w:val="18"/>
        </w:rPr>
        <w:t>opgelegd</w:t>
      </w:r>
      <w:r w:rsidRPr="005E4B02">
        <w:rPr>
          <w:sz w:val="18"/>
          <w:szCs w:val="18"/>
        </w:rPr>
        <w:t xml:space="preserve">. </w:t>
      </w:r>
      <w:r>
        <w:rPr>
          <w:sz w:val="18"/>
          <w:szCs w:val="18"/>
        </w:rPr>
        <w:t xml:space="preserve">Deze taakstelling zal niet kunnen worden ingevuld zonder ook te snijden in door de Belastingdienst uit te voeren taken. Daarbij ligt het in de rede te zoeken naar regelingen die, afgezet tegen het fiscale belang, relatief veel uitvoerings- en controlecapaciteit vragen. </w:t>
      </w:r>
      <w:r>
        <w:rPr>
          <w:sz w:val="18"/>
          <w:szCs w:val="18"/>
        </w:rPr>
        <w:br/>
        <w:t>De bijzondere regelingen in de autobelastingen vergen relatief hoge uitvoeringskosten. Bij de toepassing van deze regelingen wordt onder strikte voorwaarden inbreuk gemaakt op de normale systematiek of tarieven van de autobelastingen. Dergelijke inbreuken zijn alleen verdedigbaar tegenover burgers en bedrijven die niet voor de regeling in aanmerking komen, indien ook strikt de hand wordt gehouden aan de in de wet gestelde voorwaarden. Onvermijdelijk leidt dit tot relatief hoge uitvoeringskosten op het vlak van beoordeling van aanspraken op de regeling, handhaving van de gestelde voorwaarden, naheffing indien niet (langer) aan de voorwaarden wordt voldaan en eventuele procedures rond de toepassing van de regeling. Volgens een eerste verkenning overschrijdt het aantal met deze werkzaamheden gemoeide fte de 100. Afgezet tegen het fiscale belang van deze regelingen zijn de uitvoeringskosten disproportioneel hoog. Ter indicatie zijn de gegevens voor de belangrijkste regel</w:t>
      </w:r>
      <w:r w:rsidRPr="00AD1DAA">
        <w:rPr>
          <w:sz w:val="18"/>
          <w:szCs w:val="18"/>
        </w:rPr>
        <w:t xml:space="preserve">ingen opgenomen in tabel </w:t>
      </w:r>
      <w:r w:rsidRPr="00AD1DAA" w:rsidR="000903D6">
        <w:rPr>
          <w:sz w:val="18"/>
          <w:szCs w:val="18"/>
        </w:rPr>
        <w:t>1</w:t>
      </w:r>
      <w:r w:rsidRPr="00AD1DAA" w:rsidR="00E94975">
        <w:rPr>
          <w:sz w:val="18"/>
          <w:szCs w:val="18"/>
        </w:rPr>
        <w:t>6</w:t>
      </w:r>
      <w:r w:rsidRPr="00AD1DAA">
        <w:rPr>
          <w:sz w:val="18"/>
          <w:szCs w:val="18"/>
        </w:rPr>
        <w:t>.</w:t>
      </w:r>
    </w:p>
    <w:p w:rsidR="00781CF8" w:rsidP="00781CF8" w:rsidRDefault="00781CF8">
      <w:pPr>
        <w:tabs>
          <w:tab w:val="left" w:pos="567"/>
        </w:tabs>
        <w:spacing w:after="0"/>
        <w:rPr>
          <w:b/>
          <w:i/>
          <w:sz w:val="18"/>
          <w:szCs w:val="18"/>
        </w:rPr>
      </w:pPr>
    </w:p>
    <w:p w:rsidRPr="00BD5FCA" w:rsidR="00C31F34" w:rsidP="00781CF8" w:rsidRDefault="00AD0D4E">
      <w:pPr>
        <w:tabs>
          <w:tab w:val="left" w:pos="567"/>
        </w:tabs>
        <w:spacing w:after="0"/>
        <w:rPr>
          <w:b/>
          <w:i/>
          <w:sz w:val="16"/>
          <w:szCs w:val="16"/>
        </w:rPr>
      </w:pPr>
      <w:r>
        <w:rPr>
          <w:b/>
          <w:i/>
          <w:sz w:val="16"/>
          <w:szCs w:val="16"/>
        </w:rPr>
        <w:t>Tabel 1</w:t>
      </w:r>
      <w:r w:rsidR="00E94975">
        <w:rPr>
          <w:b/>
          <w:i/>
          <w:sz w:val="16"/>
          <w:szCs w:val="16"/>
        </w:rPr>
        <w:t>6</w:t>
      </w:r>
      <w:r>
        <w:rPr>
          <w:b/>
          <w:i/>
          <w:sz w:val="16"/>
          <w:szCs w:val="16"/>
        </w:rPr>
        <w:t xml:space="preserve">: </w:t>
      </w:r>
      <w:r w:rsidRPr="00BD5FCA" w:rsidR="00C31F34">
        <w:rPr>
          <w:b/>
          <w:i/>
          <w:sz w:val="16"/>
          <w:szCs w:val="16"/>
        </w:rPr>
        <w:t>Aantallen en bedragen bijzondere regelingen in de autobelastingen (deels geclusterd)</w:t>
      </w:r>
    </w:p>
    <w:tbl>
      <w:tblPr>
        <w:tblStyle w:val="Lichtearcering1"/>
        <w:tblW w:w="9322" w:type="dxa"/>
        <w:tblLayout w:type="fixed"/>
        <w:tblLook w:val="04A0"/>
      </w:tblPr>
      <w:tblGrid>
        <w:gridCol w:w="2330"/>
        <w:gridCol w:w="2331"/>
        <w:gridCol w:w="2330"/>
        <w:gridCol w:w="2331"/>
      </w:tblGrid>
      <w:tr w:rsidRPr="00BD5FCA" w:rsidR="00C31F34" w:rsidTr="00BD5FCA">
        <w:trPr>
          <w:cnfStyle w:val="100000000000"/>
          <w:trHeight w:val="955"/>
        </w:trPr>
        <w:tc>
          <w:tcPr>
            <w:cnfStyle w:val="001000000000"/>
            <w:tcW w:w="2330" w:type="dxa"/>
            <w:vAlign w:val="bottom"/>
          </w:tcPr>
          <w:p w:rsidRPr="00BD5FCA" w:rsidR="00C31F34" w:rsidP="00BD5FCA" w:rsidRDefault="00C31F34">
            <w:pPr>
              <w:tabs>
                <w:tab w:val="left" w:pos="567"/>
              </w:tabs>
              <w:spacing w:after="0"/>
              <w:rPr>
                <w:sz w:val="16"/>
                <w:szCs w:val="16"/>
              </w:rPr>
            </w:pPr>
            <w:r w:rsidRPr="00BD5FCA">
              <w:rPr>
                <w:sz w:val="16"/>
                <w:szCs w:val="16"/>
              </w:rPr>
              <w:t xml:space="preserve">Bijzondere regeling ten behoeve van: </w:t>
            </w:r>
          </w:p>
        </w:tc>
        <w:tc>
          <w:tcPr>
            <w:tcW w:w="2331" w:type="dxa"/>
            <w:vAlign w:val="bottom"/>
          </w:tcPr>
          <w:p w:rsidRPr="00BD5FCA" w:rsidR="00815991" w:rsidP="00BD5FCA" w:rsidRDefault="00C31F34">
            <w:pPr>
              <w:tabs>
                <w:tab w:val="left" w:pos="567"/>
              </w:tabs>
              <w:spacing w:after="0"/>
              <w:cnfStyle w:val="100000000000"/>
              <w:rPr>
                <w:b w:val="0"/>
                <w:bCs w:val="0"/>
                <w:color w:val="auto"/>
                <w:sz w:val="16"/>
                <w:szCs w:val="16"/>
              </w:rPr>
            </w:pPr>
            <w:r w:rsidRPr="00BD5FCA">
              <w:rPr>
                <w:sz w:val="16"/>
                <w:szCs w:val="16"/>
              </w:rPr>
              <w:t>Aantal voertuigen per 1 januari 2011</w:t>
            </w:r>
          </w:p>
        </w:tc>
        <w:tc>
          <w:tcPr>
            <w:tcW w:w="2330" w:type="dxa"/>
            <w:vAlign w:val="bottom"/>
          </w:tcPr>
          <w:p w:rsidR="00546871" w:rsidP="00BD5FCA" w:rsidRDefault="00C31F34">
            <w:pPr>
              <w:tabs>
                <w:tab w:val="left" w:pos="567"/>
              </w:tabs>
              <w:spacing w:after="0"/>
              <w:cnfStyle w:val="100000000000"/>
              <w:rPr>
                <w:sz w:val="16"/>
                <w:szCs w:val="16"/>
              </w:rPr>
            </w:pPr>
            <w:r w:rsidRPr="00BD5FCA">
              <w:rPr>
                <w:sz w:val="16"/>
                <w:szCs w:val="16"/>
              </w:rPr>
              <w:t xml:space="preserve">Budgettair beslag </w:t>
            </w:r>
            <w:r w:rsidR="00546871">
              <w:rPr>
                <w:sz w:val="16"/>
                <w:szCs w:val="16"/>
              </w:rPr>
              <w:t>2011</w:t>
            </w:r>
          </w:p>
          <w:p w:rsidRPr="00BD5FCA" w:rsidR="00815991" w:rsidP="00BD5FCA" w:rsidRDefault="00C31F34">
            <w:pPr>
              <w:tabs>
                <w:tab w:val="left" w:pos="567"/>
              </w:tabs>
              <w:spacing w:after="0"/>
              <w:cnfStyle w:val="100000000000"/>
              <w:rPr>
                <w:b w:val="0"/>
                <w:bCs w:val="0"/>
                <w:color w:val="auto"/>
                <w:sz w:val="16"/>
                <w:szCs w:val="16"/>
              </w:rPr>
            </w:pPr>
            <w:r w:rsidRPr="00BD5FCA">
              <w:rPr>
                <w:sz w:val="16"/>
                <w:szCs w:val="16"/>
              </w:rPr>
              <w:t>per cluster in € </w:t>
            </w:r>
            <w:r w:rsidR="000420B5">
              <w:rPr>
                <w:sz w:val="16"/>
                <w:szCs w:val="16"/>
              </w:rPr>
              <w:t>mln</w:t>
            </w:r>
          </w:p>
        </w:tc>
        <w:tc>
          <w:tcPr>
            <w:tcW w:w="2331" w:type="dxa"/>
            <w:vAlign w:val="bottom"/>
          </w:tcPr>
          <w:p w:rsidRPr="00BD5FCA" w:rsidR="00815991" w:rsidP="00BD5FCA" w:rsidRDefault="00C31F34">
            <w:pPr>
              <w:tabs>
                <w:tab w:val="left" w:pos="567"/>
              </w:tabs>
              <w:spacing w:after="0"/>
              <w:cnfStyle w:val="100000000000"/>
              <w:rPr>
                <w:b w:val="0"/>
                <w:bCs w:val="0"/>
                <w:color w:val="auto"/>
                <w:sz w:val="16"/>
                <w:szCs w:val="16"/>
              </w:rPr>
            </w:pPr>
            <w:r w:rsidRPr="00BD5FCA">
              <w:rPr>
                <w:sz w:val="16"/>
                <w:szCs w:val="16"/>
              </w:rPr>
              <w:t>Uitvoeringskosten per cluster</w:t>
            </w:r>
          </w:p>
        </w:tc>
      </w:tr>
      <w:tr w:rsidRPr="00BD5FCA" w:rsidR="00C31F34" w:rsidTr="00BD5FCA">
        <w:trPr>
          <w:cnfStyle w:val="000000100000"/>
          <w:trHeight w:val="955"/>
        </w:trPr>
        <w:tc>
          <w:tcPr>
            <w:cnfStyle w:val="001000000000"/>
            <w:tcW w:w="2330" w:type="dxa"/>
            <w:vAlign w:val="bottom"/>
          </w:tcPr>
          <w:p w:rsidRPr="00BD5FCA" w:rsidR="00C31F34" w:rsidP="00BD5FCA" w:rsidRDefault="00C31F34">
            <w:pPr>
              <w:tabs>
                <w:tab w:val="left" w:pos="567"/>
              </w:tabs>
              <w:spacing w:after="0"/>
              <w:rPr>
                <w:b w:val="0"/>
                <w:sz w:val="16"/>
                <w:szCs w:val="16"/>
              </w:rPr>
            </w:pPr>
            <w:r w:rsidRPr="00BD5FCA">
              <w:rPr>
                <w:b w:val="0"/>
                <w:sz w:val="16"/>
                <w:szCs w:val="16"/>
              </w:rPr>
              <w:t>Bestelauto´s ondernemers en gehandicapten</w:t>
            </w:r>
          </w:p>
        </w:tc>
        <w:tc>
          <w:tcPr>
            <w:tcW w:w="2331" w:type="dxa"/>
            <w:vAlign w:val="bottom"/>
          </w:tcPr>
          <w:p w:rsidRPr="00BD5FCA" w:rsidR="00815991" w:rsidP="00BD5FCA" w:rsidRDefault="00C31F34">
            <w:pPr>
              <w:tabs>
                <w:tab w:val="left" w:pos="567"/>
              </w:tabs>
              <w:spacing w:after="0"/>
              <w:cnfStyle w:val="000000100000"/>
              <w:rPr>
                <w:color w:val="auto"/>
                <w:sz w:val="16"/>
                <w:szCs w:val="16"/>
              </w:rPr>
            </w:pPr>
            <w:r w:rsidRPr="00BD5FCA">
              <w:rPr>
                <w:sz w:val="16"/>
                <w:szCs w:val="16"/>
              </w:rPr>
              <w:br/>
              <w:t>680.721</w:t>
            </w:r>
            <w:r w:rsidRPr="00BD5FCA">
              <w:rPr>
                <w:sz w:val="16"/>
                <w:szCs w:val="16"/>
              </w:rPr>
              <w:br/>
              <w:t>11.414</w:t>
            </w:r>
          </w:p>
        </w:tc>
        <w:tc>
          <w:tcPr>
            <w:tcW w:w="2330" w:type="dxa"/>
            <w:vAlign w:val="bottom"/>
          </w:tcPr>
          <w:p w:rsidRPr="00BD5FCA" w:rsidR="00815991" w:rsidP="00453C9A" w:rsidRDefault="00C31F34">
            <w:pPr>
              <w:tabs>
                <w:tab w:val="left" w:pos="567"/>
              </w:tabs>
              <w:spacing w:after="0"/>
              <w:cnfStyle w:val="000000100000"/>
              <w:rPr>
                <w:color w:val="auto"/>
                <w:sz w:val="16"/>
                <w:szCs w:val="16"/>
              </w:rPr>
            </w:pPr>
            <w:r w:rsidRPr="00BD5FCA">
              <w:rPr>
                <w:sz w:val="16"/>
                <w:szCs w:val="16"/>
              </w:rPr>
              <w:br/>
            </w:r>
            <w:r w:rsidR="00453C9A">
              <w:rPr>
                <w:sz w:val="16"/>
                <w:szCs w:val="16"/>
              </w:rPr>
              <w:t>MRB 68</w:t>
            </w:r>
            <w:r w:rsidR="002B795B">
              <w:rPr>
                <w:sz w:val="16"/>
                <w:szCs w:val="16"/>
              </w:rPr>
              <w:t>0</w:t>
            </w:r>
            <w:r w:rsidRPr="00BD5FCA">
              <w:rPr>
                <w:sz w:val="16"/>
                <w:szCs w:val="16"/>
              </w:rPr>
              <w:br/>
              <w:t xml:space="preserve">MRB </w:t>
            </w:r>
            <w:r w:rsidR="00453C9A">
              <w:rPr>
                <w:sz w:val="16"/>
                <w:szCs w:val="16"/>
              </w:rPr>
              <w:t>12</w:t>
            </w:r>
          </w:p>
        </w:tc>
        <w:tc>
          <w:tcPr>
            <w:tcW w:w="2331" w:type="dxa"/>
            <w:vAlign w:val="bottom"/>
          </w:tcPr>
          <w:p w:rsidRPr="00BD5FCA" w:rsidR="00815991" w:rsidP="00BD5FCA" w:rsidRDefault="00C31F34">
            <w:pPr>
              <w:tabs>
                <w:tab w:val="left" w:pos="567"/>
              </w:tabs>
              <w:spacing w:after="0"/>
              <w:cnfStyle w:val="000000100000"/>
              <w:rPr>
                <w:color w:val="auto"/>
                <w:sz w:val="16"/>
                <w:szCs w:val="16"/>
              </w:rPr>
            </w:pPr>
            <w:r w:rsidRPr="00BD5FCA">
              <w:rPr>
                <w:sz w:val="16"/>
                <w:szCs w:val="16"/>
              </w:rPr>
              <w:br/>
            </w:r>
            <w:r w:rsidRPr="00BD5FCA">
              <w:rPr>
                <w:sz w:val="16"/>
                <w:szCs w:val="16"/>
              </w:rPr>
              <w:br/>
              <w:t>24 fte</w:t>
            </w:r>
          </w:p>
        </w:tc>
      </w:tr>
      <w:tr w:rsidRPr="00BD5FCA" w:rsidR="00C31F34" w:rsidTr="00BD5FCA">
        <w:trPr>
          <w:trHeight w:val="955"/>
        </w:trPr>
        <w:tc>
          <w:tcPr>
            <w:cnfStyle w:val="001000000000"/>
            <w:tcW w:w="2330" w:type="dxa"/>
            <w:vAlign w:val="bottom"/>
          </w:tcPr>
          <w:p w:rsidRPr="00BD5FCA" w:rsidR="00C31F34" w:rsidP="00BD5FCA" w:rsidRDefault="00C31F34">
            <w:pPr>
              <w:tabs>
                <w:tab w:val="left" w:pos="567"/>
              </w:tabs>
              <w:spacing w:after="0"/>
              <w:rPr>
                <w:b w:val="0"/>
                <w:sz w:val="16"/>
                <w:szCs w:val="16"/>
              </w:rPr>
            </w:pPr>
            <w:r w:rsidRPr="00BD5FCA">
              <w:rPr>
                <w:b w:val="0"/>
                <w:sz w:val="16"/>
                <w:szCs w:val="16"/>
              </w:rPr>
              <w:t xml:space="preserve">Defensie, </w:t>
            </w:r>
            <w:r w:rsidRPr="00BD5FCA">
              <w:rPr>
                <w:b w:val="0"/>
                <w:sz w:val="16"/>
                <w:szCs w:val="16"/>
              </w:rPr>
              <w:br/>
              <w:t>politie en</w:t>
            </w:r>
            <w:r w:rsidRPr="00BD5FCA">
              <w:rPr>
                <w:b w:val="0"/>
                <w:sz w:val="16"/>
                <w:szCs w:val="16"/>
              </w:rPr>
              <w:br/>
              <w:t>brandweer</w:t>
            </w:r>
            <w:r w:rsidRPr="00BD5FCA">
              <w:rPr>
                <w:b w:val="0"/>
                <w:sz w:val="16"/>
                <w:szCs w:val="16"/>
              </w:rPr>
              <w:br/>
              <w:t>Ambulances</w:t>
            </w:r>
          </w:p>
        </w:tc>
        <w:tc>
          <w:tcPr>
            <w:tcW w:w="2331" w:type="dxa"/>
            <w:vAlign w:val="bottom"/>
          </w:tcPr>
          <w:p w:rsidRPr="00BD5FCA" w:rsidR="00815991" w:rsidP="00BD5FCA" w:rsidRDefault="00C31F34">
            <w:pPr>
              <w:tabs>
                <w:tab w:val="left" w:pos="567"/>
              </w:tabs>
              <w:spacing w:after="0"/>
              <w:cnfStyle w:val="000000000000"/>
              <w:rPr>
                <w:color w:val="auto"/>
                <w:sz w:val="16"/>
                <w:szCs w:val="16"/>
              </w:rPr>
            </w:pPr>
            <w:r w:rsidRPr="00BD5FCA">
              <w:rPr>
                <w:sz w:val="16"/>
                <w:szCs w:val="16"/>
              </w:rPr>
              <w:br/>
            </w:r>
            <w:r w:rsidRPr="00BD5FCA">
              <w:rPr>
                <w:sz w:val="16"/>
                <w:szCs w:val="16"/>
              </w:rPr>
              <w:br/>
              <w:t>14.689</w:t>
            </w:r>
            <w:r w:rsidRPr="00BD5FCA">
              <w:rPr>
                <w:sz w:val="16"/>
                <w:szCs w:val="16"/>
              </w:rPr>
              <w:br/>
              <w:t>1.057</w:t>
            </w:r>
          </w:p>
        </w:tc>
        <w:tc>
          <w:tcPr>
            <w:tcW w:w="2330" w:type="dxa"/>
            <w:vAlign w:val="bottom"/>
          </w:tcPr>
          <w:p w:rsidRPr="00BD5FCA" w:rsidR="00815991" w:rsidP="00BD5FCA" w:rsidRDefault="00C31F34">
            <w:pPr>
              <w:tabs>
                <w:tab w:val="left" w:pos="567"/>
              </w:tabs>
              <w:spacing w:after="0"/>
              <w:cnfStyle w:val="000000000000"/>
              <w:rPr>
                <w:color w:val="auto"/>
                <w:sz w:val="16"/>
                <w:szCs w:val="16"/>
              </w:rPr>
            </w:pPr>
            <w:r w:rsidRPr="00BD5FCA">
              <w:rPr>
                <w:sz w:val="16"/>
                <w:szCs w:val="16"/>
              </w:rPr>
              <w:br/>
            </w:r>
            <w:r w:rsidRPr="00BD5FCA">
              <w:rPr>
                <w:sz w:val="16"/>
                <w:szCs w:val="16"/>
              </w:rPr>
              <w:br/>
            </w:r>
            <w:r w:rsidR="00453C9A">
              <w:rPr>
                <w:sz w:val="16"/>
                <w:szCs w:val="16"/>
              </w:rPr>
              <w:t xml:space="preserve">40 </w:t>
            </w:r>
            <w:r w:rsidRPr="00BD5FCA" w:rsidR="00E145B2">
              <w:rPr>
                <w:sz w:val="16"/>
                <w:szCs w:val="16"/>
              </w:rPr>
              <w:t>(</w:t>
            </w:r>
            <w:r w:rsidRPr="00BD5FCA">
              <w:rPr>
                <w:sz w:val="16"/>
                <w:szCs w:val="16"/>
              </w:rPr>
              <w:t>BPM 21, MRB 19</w:t>
            </w:r>
            <w:r w:rsidRPr="00BD5FCA" w:rsidR="00E145B2">
              <w:rPr>
                <w:sz w:val="16"/>
                <w:szCs w:val="16"/>
              </w:rPr>
              <w:t>)</w:t>
            </w:r>
          </w:p>
        </w:tc>
        <w:tc>
          <w:tcPr>
            <w:tcW w:w="2331" w:type="dxa"/>
            <w:vAlign w:val="bottom"/>
          </w:tcPr>
          <w:p w:rsidRPr="00BD5FCA" w:rsidR="00815991" w:rsidP="001A78DD" w:rsidRDefault="00C31F34">
            <w:pPr>
              <w:tabs>
                <w:tab w:val="left" w:pos="567"/>
              </w:tabs>
              <w:spacing w:after="0"/>
              <w:cnfStyle w:val="000000000000"/>
              <w:rPr>
                <w:color w:val="auto"/>
                <w:sz w:val="16"/>
                <w:szCs w:val="16"/>
              </w:rPr>
            </w:pPr>
            <w:r w:rsidRPr="00BD5FCA">
              <w:rPr>
                <w:sz w:val="16"/>
                <w:szCs w:val="16"/>
              </w:rPr>
              <w:br/>
            </w:r>
            <w:r w:rsidRPr="00BD5FCA">
              <w:rPr>
                <w:sz w:val="16"/>
                <w:szCs w:val="16"/>
              </w:rPr>
              <w:br/>
            </w:r>
            <w:r w:rsidRPr="00BD5FCA">
              <w:rPr>
                <w:sz w:val="16"/>
                <w:szCs w:val="16"/>
              </w:rPr>
              <w:br/>
            </w:r>
            <w:r w:rsidR="001A78DD">
              <w:rPr>
                <w:sz w:val="16"/>
                <w:szCs w:val="16"/>
              </w:rPr>
              <w:t xml:space="preserve">19 </w:t>
            </w:r>
            <w:r w:rsidRPr="00BD5FCA" w:rsidR="00FF5693">
              <w:rPr>
                <w:sz w:val="16"/>
                <w:szCs w:val="16"/>
              </w:rPr>
              <w:t>fte</w:t>
            </w:r>
          </w:p>
        </w:tc>
      </w:tr>
      <w:tr w:rsidRPr="00BD5FCA" w:rsidR="00C31F34" w:rsidTr="00BD5FCA">
        <w:trPr>
          <w:cnfStyle w:val="000000100000"/>
          <w:trHeight w:val="955"/>
        </w:trPr>
        <w:tc>
          <w:tcPr>
            <w:cnfStyle w:val="001000000000"/>
            <w:tcW w:w="2330" w:type="dxa"/>
            <w:vAlign w:val="bottom"/>
          </w:tcPr>
          <w:p w:rsidRPr="00BD5FCA" w:rsidR="00C31F34" w:rsidP="00BD5FCA" w:rsidRDefault="00C31F34">
            <w:pPr>
              <w:tabs>
                <w:tab w:val="left" w:pos="567"/>
              </w:tabs>
              <w:spacing w:after="0"/>
              <w:rPr>
                <w:b w:val="0"/>
                <w:sz w:val="16"/>
                <w:szCs w:val="16"/>
              </w:rPr>
            </w:pPr>
            <w:r w:rsidRPr="00BD5FCA">
              <w:rPr>
                <w:b w:val="0"/>
                <w:sz w:val="16"/>
                <w:szCs w:val="16"/>
              </w:rPr>
              <w:t>Taxi’s en OV-personenbusjes</w:t>
            </w:r>
          </w:p>
        </w:tc>
        <w:tc>
          <w:tcPr>
            <w:tcW w:w="2331" w:type="dxa"/>
            <w:vAlign w:val="bottom"/>
          </w:tcPr>
          <w:p w:rsidRPr="00BD5FCA" w:rsidR="00815991" w:rsidP="00BD5FCA" w:rsidRDefault="00C31F34">
            <w:pPr>
              <w:tabs>
                <w:tab w:val="left" w:pos="567"/>
              </w:tabs>
              <w:spacing w:after="0"/>
              <w:cnfStyle w:val="000000100000"/>
              <w:rPr>
                <w:color w:val="auto"/>
                <w:sz w:val="16"/>
                <w:szCs w:val="16"/>
              </w:rPr>
            </w:pPr>
            <w:r w:rsidRPr="00BD5FCA">
              <w:rPr>
                <w:sz w:val="16"/>
                <w:szCs w:val="16"/>
              </w:rPr>
              <w:t>31.826</w:t>
            </w:r>
          </w:p>
        </w:tc>
        <w:tc>
          <w:tcPr>
            <w:tcW w:w="2330" w:type="dxa"/>
            <w:vAlign w:val="bottom"/>
          </w:tcPr>
          <w:p w:rsidRPr="00BD5FCA" w:rsidR="00815991" w:rsidP="00BD5FCA" w:rsidRDefault="00E145B2">
            <w:pPr>
              <w:tabs>
                <w:tab w:val="left" w:pos="567"/>
              </w:tabs>
              <w:spacing w:after="0"/>
              <w:cnfStyle w:val="000000100000"/>
              <w:rPr>
                <w:color w:val="auto"/>
                <w:sz w:val="16"/>
                <w:szCs w:val="16"/>
              </w:rPr>
            </w:pPr>
            <w:r w:rsidRPr="00BD5FCA">
              <w:rPr>
                <w:sz w:val="16"/>
                <w:szCs w:val="16"/>
              </w:rPr>
              <w:br/>
            </w:r>
            <w:r w:rsidR="00453C9A">
              <w:rPr>
                <w:sz w:val="16"/>
                <w:szCs w:val="16"/>
              </w:rPr>
              <w:t xml:space="preserve">108 </w:t>
            </w:r>
            <w:r w:rsidRPr="00BD5FCA">
              <w:rPr>
                <w:sz w:val="16"/>
                <w:szCs w:val="16"/>
              </w:rPr>
              <w:t>(</w:t>
            </w:r>
            <w:r w:rsidRPr="00BD5FCA" w:rsidR="00C31F34">
              <w:rPr>
                <w:sz w:val="16"/>
                <w:szCs w:val="16"/>
              </w:rPr>
              <w:t>BPM 55, MRB 53</w:t>
            </w:r>
            <w:r w:rsidRPr="00BD5FCA">
              <w:rPr>
                <w:sz w:val="16"/>
                <w:szCs w:val="16"/>
              </w:rPr>
              <w:t>)</w:t>
            </w:r>
          </w:p>
        </w:tc>
        <w:tc>
          <w:tcPr>
            <w:tcW w:w="2331" w:type="dxa"/>
            <w:vAlign w:val="bottom"/>
          </w:tcPr>
          <w:p w:rsidRPr="00BD5FCA" w:rsidR="00815991" w:rsidP="00BD5FCA" w:rsidRDefault="00C31F34">
            <w:pPr>
              <w:tabs>
                <w:tab w:val="left" w:pos="567"/>
              </w:tabs>
              <w:spacing w:after="0"/>
              <w:cnfStyle w:val="000000100000"/>
              <w:rPr>
                <w:color w:val="auto"/>
                <w:sz w:val="16"/>
                <w:szCs w:val="16"/>
              </w:rPr>
            </w:pPr>
            <w:r w:rsidRPr="00BD5FCA">
              <w:rPr>
                <w:sz w:val="16"/>
                <w:szCs w:val="16"/>
              </w:rPr>
              <w:t>65 fte</w:t>
            </w:r>
          </w:p>
        </w:tc>
      </w:tr>
      <w:tr w:rsidRPr="00BD5FCA" w:rsidR="00C31F34" w:rsidTr="00BD5FCA">
        <w:trPr>
          <w:trHeight w:val="955"/>
        </w:trPr>
        <w:tc>
          <w:tcPr>
            <w:cnfStyle w:val="001000000000"/>
            <w:tcW w:w="2330" w:type="dxa"/>
            <w:vAlign w:val="bottom"/>
          </w:tcPr>
          <w:p w:rsidRPr="00BD5FCA" w:rsidR="00C31F34" w:rsidP="00BD5FCA" w:rsidRDefault="00C31F34">
            <w:pPr>
              <w:tabs>
                <w:tab w:val="left" w:pos="567"/>
              </w:tabs>
              <w:spacing w:after="0"/>
              <w:rPr>
                <w:b w:val="0"/>
                <w:sz w:val="16"/>
                <w:szCs w:val="16"/>
              </w:rPr>
            </w:pPr>
            <w:r w:rsidRPr="00BD5FCA">
              <w:rPr>
                <w:b w:val="0"/>
                <w:sz w:val="16"/>
                <w:szCs w:val="16"/>
              </w:rPr>
              <w:t>Kwart- en halftarief MRB</w:t>
            </w:r>
          </w:p>
        </w:tc>
        <w:tc>
          <w:tcPr>
            <w:tcW w:w="2331" w:type="dxa"/>
            <w:vAlign w:val="bottom"/>
          </w:tcPr>
          <w:p w:rsidRPr="00BD5FCA" w:rsidR="00815991" w:rsidP="00BD5FCA" w:rsidRDefault="00C31F34">
            <w:pPr>
              <w:tabs>
                <w:tab w:val="left" w:pos="567"/>
              </w:tabs>
              <w:spacing w:after="0"/>
              <w:cnfStyle w:val="000000000000"/>
              <w:rPr>
                <w:color w:val="auto"/>
                <w:sz w:val="16"/>
                <w:szCs w:val="16"/>
              </w:rPr>
            </w:pPr>
            <w:r w:rsidRPr="00BD5FCA">
              <w:rPr>
                <w:sz w:val="16"/>
                <w:szCs w:val="16"/>
              </w:rPr>
              <w:t>52.952</w:t>
            </w:r>
            <w:r w:rsidRPr="00BD5FCA">
              <w:rPr>
                <w:sz w:val="16"/>
                <w:szCs w:val="16"/>
              </w:rPr>
              <w:br/>
              <w:t>(waarvan kampeerauto’s</w:t>
            </w:r>
            <w:r w:rsidRPr="00BD5FCA">
              <w:rPr>
                <w:sz w:val="16"/>
                <w:szCs w:val="16"/>
              </w:rPr>
              <w:br/>
              <w:t>51.465)</w:t>
            </w:r>
          </w:p>
        </w:tc>
        <w:tc>
          <w:tcPr>
            <w:tcW w:w="2330" w:type="dxa"/>
            <w:vAlign w:val="bottom"/>
          </w:tcPr>
          <w:p w:rsidRPr="00BD5FCA" w:rsidR="00815991" w:rsidP="00453C9A" w:rsidRDefault="00E145B2">
            <w:pPr>
              <w:tabs>
                <w:tab w:val="left" w:pos="567"/>
              </w:tabs>
              <w:spacing w:after="0"/>
              <w:cnfStyle w:val="000000000000"/>
              <w:rPr>
                <w:color w:val="auto"/>
                <w:sz w:val="16"/>
                <w:szCs w:val="16"/>
              </w:rPr>
            </w:pPr>
            <w:r w:rsidRPr="00BD5FCA">
              <w:rPr>
                <w:sz w:val="16"/>
                <w:szCs w:val="16"/>
              </w:rPr>
              <w:br/>
            </w:r>
            <w:r w:rsidR="00453C9A">
              <w:rPr>
                <w:sz w:val="16"/>
                <w:szCs w:val="16"/>
              </w:rPr>
              <w:t xml:space="preserve">108 </w:t>
            </w:r>
            <w:r w:rsidRPr="00BD5FCA">
              <w:rPr>
                <w:sz w:val="16"/>
                <w:szCs w:val="16"/>
              </w:rPr>
              <w:t>(</w:t>
            </w:r>
            <w:r w:rsidRPr="00BD5FCA" w:rsidR="00C31F34">
              <w:rPr>
                <w:sz w:val="16"/>
                <w:szCs w:val="16"/>
              </w:rPr>
              <w:t>MRB</w:t>
            </w:r>
            <w:r w:rsidRPr="00BD5FCA">
              <w:rPr>
                <w:sz w:val="16"/>
                <w:szCs w:val="16"/>
              </w:rPr>
              <w:t>)</w:t>
            </w:r>
          </w:p>
        </w:tc>
        <w:tc>
          <w:tcPr>
            <w:tcW w:w="2331" w:type="dxa"/>
            <w:vAlign w:val="bottom"/>
          </w:tcPr>
          <w:p w:rsidRPr="00BD5FCA" w:rsidR="00815991" w:rsidP="00BD5FCA" w:rsidRDefault="001A78DD">
            <w:pPr>
              <w:tabs>
                <w:tab w:val="left" w:pos="567"/>
              </w:tabs>
              <w:spacing w:after="0"/>
              <w:cnfStyle w:val="000000000000"/>
              <w:rPr>
                <w:color w:val="auto"/>
                <w:sz w:val="16"/>
                <w:szCs w:val="16"/>
              </w:rPr>
            </w:pPr>
            <w:r>
              <w:rPr>
                <w:sz w:val="16"/>
                <w:szCs w:val="16"/>
              </w:rPr>
              <w:t>6</w:t>
            </w:r>
            <w:r w:rsidRPr="00BD5FCA" w:rsidR="00C31F34">
              <w:rPr>
                <w:sz w:val="16"/>
                <w:szCs w:val="16"/>
              </w:rPr>
              <w:t xml:space="preserve"> fte</w:t>
            </w:r>
          </w:p>
        </w:tc>
      </w:tr>
      <w:tr w:rsidRPr="00BD5FCA" w:rsidR="00C31F34" w:rsidTr="00BD5FCA">
        <w:trPr>
          <w:cnfStyle w:val="000000100000"/>
          <w:trHeight w:val="955"/>
        </w:trPr>
        <w:tc>
          <w:tcPr>
            <w:cnfStyle w:val="001000000000"/>
            <w:tcW w:w="2330" w:type="dxa"/>
            <w:vAlign w:val="bottom"/>
          </w:tcPr>
          <w:p w:rsidRPr="00BD5FCA" w:rsidR="00C31F34" w:rsidP="00BD5FCA" w:rsidRDefault="00C31F34">
            <w:pPr>
              <w:tabs>
                <w:tab w:val="left" w:pos="567"/>
              </w:tabs>
              <w:spacing w:after="0"/>
              <w:rPr>
                <w:b w:val="0"/>
                <w:sz w:val="16"/>
                <w:szCs w:val="16"/>
              </w:rPr>
            </w:pPr>
            <w:r w:rsidRPr="00BD5FCA">
              <w:rPr>
                <w:b w:val="0"/>
                <w:sz w:val="16"/>
                <w:szCs w:val="16"/>
              </w:rPr>
              <w:t>Motorrijtuigen ouder dan 25 jaar (en niet geschorst)</w:t>
            </w:r>
          </w:p>
        </w:tc>
        <w:tc>
          <w:tcPr>
            <w:tcW w:w="2331" w:type="dxa"/>
            <w:vAlign w:val="bottom"/>
          </w:tcPr>
          <w:p w:rsidRPr="00BD5FCA" w:rsidR="00815991" w:rsidP="00BD5FCA" w:rsidRDefault="00C31F34">
            <w:pPr>
              <w:tabs>
                <w:tab w:val="left" w:pos="567"/>
              </w:tabs>
              <w:spacing w:after="0"/>
              <w:cnfStyle w:val="000000100000"/>
              <w:rPr>
                <w:color w:val="auto"/>
                <w:sz w:val="16"/>
                <w:szCs w:val="16"/>
              </w:rPr>
            </w:pPr>
            <w:r w:rsidRPr="00BD5FCA">
              <w:rPr>
                <w:sz w:val="16"/>
                <w:szCs w:val="16"/>
              </w:rPr>
              <w:t>387.384</w:t>
            </w:r>
          </w:p>
        </w:tc>
        <w:tc>
          <w:tcPr>
            <w:tcW w:w="2330" w:type="dxa"/>
            <w:vAlign w:val="bottom"/>
          </w:tcPr>
          <w:p w:rsidRPr="00BD5FCA" w:rsidR="00815991" w:rsidP="00BD5FCA" w:rsidRDefault="00E145B2">
            <w:pPr>
              <w:tabs>
                <w:tab w:val="left" w:pos="567"/>
              </w:tabs>
              <w:spacing w:after="0"/>
              <w:cnfStyle w:val="000000100000"/>
              <w:rPr>
                <w:color w:val="auto"/>
                <w:sz w:val="16"/>
                <w:szCs w:val="16"/>
              </w:rPr>
            </w:pPr>
            <w:r w:rsidRPr="00BD5FCA">
              <w:rPr>
                <w:sz w:val="16"/>
                <w:szCs w:val="16"/>
              </w:rPr>
              <w:br/>
            </w:r>
            <w:r w:rsidR="00453C9A">
              <w:rPr>
                <w:sz w:val="16"/>
                <w:szCs w:val="16"/>
              </w:rPr>
              <w:t xml:space="preserve">150 </w:t>
            </w:r>
            <w:r w:rsidRPr="00BD5FCA">
              <w:rPr>
                <w:sz w:val="16"/>
                <w:szCs w:val="16"/>
              </w:rPr>
              <w:t>(MRB)</w:t>
            </w:r>
          </w:p>
        </w:tc>
        <w:tc>
          <w:tcPr>
            <w:tcW w:w="2331" w:type="dxa"/>
            <w:vAlign w:val="bottom"/>
          </w:tcPr>
          <w:p w:rsidRPr="00BD5FCA" w:rsidR="00815991" w:rsidP="00453C9A" w:rsidRDefault="00FF5693">
            <w:pPr>
              <w:tabs>
                <w:tab w:val="left" w:pos="567"/>
              </w:tabs>
              <w:spacing w:after="0"/>
              <w:cnfStyle w:val="000000100000"/>
              <w:rPr>
                <w:color w:val="auto"/>
                <w:sz w:val="16"/>
                <w:szCs w:val="16"/>
              </w:rPr>
            </w:pPr>
            <w:r w:rsidRPr="00BD5FCA">
              <w:rPr>
                <w:sz w:val="16"/>
                <w:szCs w:val="16"/>
              </w:rPr>
              <w:t>1 fte</w:t>
            </w:r>
          </w:p>
        </w:tc>
      </w:tr>
      <w:tr w:rsidRPr="00BD5FCA" w:rsidR="00C31F34" w:rsidTr="00BD5FCA">
        <w:trPr>
          <w:trHeight w:val="955"/>
        </w:trPr>
        <w:tc>
          <w:tcPr>
            <w:cnfStyle w:val="001000000000"/>
            <w:tcW w:w="2330" w:type="dxa"/>
            <w:vAlign w:val="bottom"/>
          </w:tcPr>
          <w:p w:rsidR="00453C9A" w:rsidP="00453C9A" w:rsidRDefault="00C31F34">
            <w:pPr>
              <w:tabs>
                <w:tab w:val="left" w:pos="567"/>
              </w:tabs>
              <w:spacing w:after="0"/>
              <w:rPr>
                <w:b w:val="0"/>
                <w:sz w:val="16"/>
                <w:szCs w:val="16"/>
              </w:rPr>
            </w:pPr>
            <w:r w:rsidRPr="00BD5FCA">
              <w:rPr>
                <w:b w:val="0"/>
                <w:sz w:val="16"/>
                <w:szCs w:val="16"/>
              </w:rPr>
              <w:t xml:space="preserve">Overige vrijstellingen </w:t>
            </w:r>
          </w:p>
          <w:p w:rsidRPr="00BD5FCA" w:rsidR="00C31F34" w:rsidP="00453C9A" w:rsidRDefault="00C31F34">
            <w:pPr>
              <w:tabs>
                <w:tab w:val="left" w:pos="567"/>
              </w:tabs>
              <w:spacing w:after="0"/>
              <w:rPr>
                <w:b w:val="0"/>
                <w:sz w:val="16"/>
                <w:szCs w:val="16"/>
              </w:rPr>
            </w:pPr>
            <w:r w:rsidRPr="00BD5FCA">
              <w:rPr>
                <w:b w:val="0"/>
                <w:sz w:val="16"/>
                <w:szCs w:val="16"/>
              </w:rPr>
              <w:t>BPM</w:t>
            </w:r>
            <w:r w:rsidR="00453C9A">
              <w:rPr>
                <w:b w:val="0"/>
                <w:sz w:val="16"/>
                <w:szCs w:val="16"/>
              </w:rPr>
              <w:t xml:space="preserve"> en</w:t>
            </w:r>
            <w:r w:rsidRPr="00BD5FCA">
              <w:rPr>
                <w:b w:val="0"/>
                <w:sz w:val="16"/>
                <w:szCs w:val="16"/>
              </w:rPr>
              <w:t xml:space="preserve"> MRB </w:t>
            </w:r>
          </w:p>
        </w:tc>
        <w:tc>
          <w:tcPr>
            <w:tcW w:w="2331" w:type="dxa"/>
            <w:vAlign w:val="bottom"/>
          </w:tcPr>
          <w:p w:rsidRPr="00BD5FCA" w:rsidR="00815991" w:rsidP="00BD5FCA" w:rsidRDefault="00453C9A">
            <w:pPr>
              <w:tabs>
                <w:tab w:val="left" w:pos="567"/>
              </w:tabs>
              <w:spacing w:after="0"/>
              <w:cnfStyle w:val="000000000000"/>
              <w:rPr>
                <w:color w:val="auto"/>
                <w:sz w:val="16"/>
                <w:szCs w:val="16"/>
              </w:rPr>
            </w:pPr>
            <w:r>
              <w:rPr>
                <w:sz w:val="16"/>
                <w:szCs w:val="16"/>
              </w:rPr>
              <w:t>8.328</w:t>
            </w:r>
          </w:p>
        </w:tc>
        <w:tc>
          <w:tcPr>
            <w:tcW w:w="2330" w:type="dxa"/>
            <w:vAlign w:val="bottom"/>
          </w:tcPr>
          <w:p w:rsidR="00453C9A" w:rsidP="00453C9A" w:rsidRDefault="00453C9A">
            <w:pPr>
              <w:tabs>
                <w:tab w:val="left" w:pos="567"/>
              </w:tabs>
              <w:spacing w:after="0"/>
              <w:cnfStyle w:val="000000000000"/>
              <w:rPr>
                <w:sz w:val="16"/>
                <w:szCs w:val="16"/>
                <w:lang w:val="en-US"/>
              </w:rPr>
            </w:pPr>
          </w:p>
          <w:p w:rsidRPr="00BD5FCA" w:rsidR="00815991" w:rsidP="00453C9A" w:rsidRDefault="00AC16A6">
            <w:pPr>
              <w:tabs>
                <w:tab w:val="left" w:pos="567"/>
              </w:tabs>
              <w:spacing w:after="0"/>
              <w:cnfStyle w:val="000000000000"/>
              <w:rPr>
                <w:color w:val="auto"/>
                <w:sz w:val="16"/>
                <w:szCs w:val="16"/>
                <w:lang w:val="en-US"/>
              </w:rPr>
            </w:pPr>
            <w:r w:rsidRPr="00BD5FCA">
              <w:rPr>
                <w:sz w:val="16"/>
                <w:szCs w:val="16"/>
                <w:lang w:val="en-US"/>
              </w:rPr>
              <w:br/>
            </w:r>
            <w:r w:rsidRPr="00BD5FCA">
              <w:rPr>
                <w:sz w:val="16"/>
                <w:szCs w:val="16"/>
                <w:lang w:val="en-US"/>
              </w:rPr>
              <w:br/>
            </w:r>
            <w:r w:rsidR="00453C9A">
              <w:rPr>
                <w:sz w:val="16"/>
                <w:szCs w:val="16"/>
                <w:lang w:val="en-US"/>
              </w:rPr>
              <w:t>8 (BPM 3, MRB 5)</w:t>
            </w:r>
          </w:p>
        </w:tc>
        <w:tc>
          <w:tcPr>
            <w:tcW w:w="2331" w:type="dxa"/>
            <w:vAlign w:val="bottom"/>
          </w:tcPr>
          <w:p w:rsidRPr="00BD5FCA" w:rsidR="00815991" w:rsidP="00453C9A" w:rsidRDefault="001A78DD">
            <w:pPr>
              <w:tabs>
                <w:tab w:val="left" w:pos="567"/>
              </w:tabs>
              <w:spacing w:after="0"/>
              <w:cnfStyle w:val="000000000000"/>
              <w:rPr>
                <w:color w:val="auto"/>
                <w:sz w:val="16"/>
                <w:szCs w:val="16"/>
              </w:rPr>
            </w:pPr>
            <w:r>
              <w:rPr>
                <w:sz w:val="16"/>
                <w:szCs w:val="16"/>
              </w:rPr>
              <w:t>8</w:t>
            </w:r>
            <w:r w:rsidRPr="00BD5FCA" w:rsidR="00FF5693">
              <w:rPr>
                <w:sz w:val="16"/>
                <w:szCs w:val="16"/>
              </w:rPr>
              <w:t xml:space="preserve"> </w:t>
            </w:r>
            <w:r w:rsidRPr="00BD5FCA" w:rsidR="00AC16A6">
              <w:rPr>
                <w:sz w:val="16"/>
                <w:szCs w:val="16"/>
              </w:rPr>
              <w:t>fte</w:t>
            </w:r>
          </w:p>
        </w:tc>
      </w:tr>
    </w:tbl>
    <w:p w:rsidR="00C31F34" w:rsidP="00781CF8" w:rsidRDefault="00C31F34">
      <w:pPr>
        <w:tabs>
          <w:tab w:val="left" w:pos="567"/>
        </w:tabs>
        <w:spacing w:after="0"/>
        <w:rPr>
          <w:sz w:val="18"/>
          <w:szCs w:val="18"/>
        </w:rPr>
      </w:pPr>
    </w:p>
    <w:p w:rsidRPr="00FF5693" w:rsidR="00090782" w:rsidP="00781CF8" w:rsidRDefault="00090782">
      <w:pPr>
        <w:tabs>
          <w:tab w:val="left" w:pos="567"/>
        </w:tabs>
        <w:spacing w:after="0"/>
        <w:rPr>
          <w:sz w:val="18"/>
          <w:szCs w:val="18"/>
        </w:rPr>
      </w:pPr>
    </w:p>
    <w:p w:rsidR="00C31F34" w:rsidP="00781CF8" w:rsidRDefault="00C31F34">
      <w:pPr>
        <w:tabs>
          <w:tab w:val="left" w:pos="567"/>
        </w:tabs>
        <w:spacing w:after="0"/>
        <w:rPr>
          <w:sz w:val="18"/>
          <w:szCs w:val="18"/>
        </w:rPr>
      </w:pPr>
      <w:bookmarkStart w:name="_Toc293998578" w:id="84"/>
      <w:r w:rsidRPr="00DE72E6">
        <w:rPr>
          <w:rStyle w:val="Kop3Char"/>
          <w:rFonts w:ascii="Verdana" w:hAnsi="Verdana"/>
          <w:b w:val="0"/>
          <w:i/>
          <w:color w:val="auto"/>
          <w:sz w:val="18"/>
          <w:szCs w:val="18"/>
        </w:rPr>
        <w:t>9.2.2. Mogelijk geen noodzaak voor ondersteuning beleidsdoel via fiscaliteit</w:t>
      </w:r>
      <w:bookmarkEnd w:id="84"/>
      <w:r>
        <w:rPr>
          <w:sz w:val="18"/>
          <w:szCs w:val="18"/>
        </w:rPr>
        <w:t xml:space="preserve"> </w:t>
      </w:r>
      <w:r>
        <w:rPr>
          <w:sz w:val="18"/>
          <w:szCs w:val="18"/>
        </w:rPr>
        <w:br/>
        <w:t xml:space="preserve">De </w:t>
      </w:r>
      <w:r w:rsidR="002B795B">
        <w:rPr>
          <w:sz w:val="18"/>
          <w:szCs w:val="18"/>
        </w:rPr>
        <w:t xml:space="preserve">regelingen, opgenomen in de in paragraaf </w:t>
      </w:r>
      <w:r>
        <w:rPr>
          <w:sz w:val="18"/>
          <w:szCs w:val="18"/>
        </w:rPr>
        <w:t xml:space="preserve">9.1 opgenomen </w:t>
      </w:r>
      <w:r w:rsidR="002B795B">
        <w:rPr>
          <w:sz w:val="18"/>
          <w:szCs w:val="18"/>
        </w:rPr>
        <w:t xml:space="preserve">box </w:t>
      </w:r>
      <w:r>
        <w:rPr>
          <w:sz w:val="18"/>
          <w:szCs w:val="18"/>
        </w:rPr>
        <w:t xml:space="preserve">zijn vaak al geruime tijd geleden tot stand gekomen. De inzichten over de noodzaak van overheidsinterventie via belastinguitgaven en andere tegemoetkomende regelingen zijn in de loop van de jaren gewijzigd. </w:t>
      </w:r>
      <w:r w:rsidRPr="0042476A">
        <w:rPr>
          <w:sz w:val="18"/>
          <w:szCs w:val="18"/>
        </w:rPr>
        <w:t>Ingevolge het toestingskader voor belastinguitgaven wordt het fiscale in</w:t>
      </w:r>
      <w:r>
        <w:rPr>
          <w:sz w:val="18"/>
          <w:szCs w:val="18"/>
        </w:rPr>
        <w:t>strument tegenwoordig minder snel ingezet. De vraag is in hoeverre bij iedere bijzondere regeling ook naar de huidige inzichten nog sprake is van een achterliggend beleidsdoel dat financiële ondersteuning door de overheid behoeft. Als dit al het geval zou zijn is het bovendien de vraag, of de fiscale regeling het meest effectieve instrument is om het gestelde beleidsdoel met het daarmee gemoeide budget</w:t>
      </w:r>
      <w:r w:rsidRPr="0042476A">
        <w:rPr>
          <w:sz w:val="18"/>
          <w:szCs w:val="18"/>
        </w:rPr>
        <w:t xml:space="preserve"> </w:t>
      </w:r>
      <w:r>
        <w:rPr>
          <w:sz w:val="18"/>
          <w:szCs w:val="18"/>
        </w:rPr>
        <w:t xml:space="preserve">te dienen. Als </w:t>
      </w:r>
      <w:r>
        <w:rPr>
          <w:sz w:val="18"/>
          <w:szCs w:val="18"/>
        </w:rPr>
        <w:lastRenderedPageBreak/>
        <w:t>voorbeeld kan de BPM-vrijstelling en het verlaagde MRB-tarief worden genoemd voor bestelauto’s van gehandicapten. Deze regeling heeft naar zijn aard niet de specifieke behoeften van individuele gehandicapten tot uitgangspunt, maar de kenmerken van bestelauto’s en het gebruik dat daarvan wordt gemaakt. Een effectievere besteding van het beschikbare budget in het kader van de Wet maatschappelijke ondersteuning (WMO) is denkbaar.</w:t>
      </w:r>
    </w:p>
    <w:p w:rsidR="00781CF8" w:rsidP="00781CF8" w:rsidRDefault="00781CF8">
      <w:pPr>
        <w:tabs>
          <w:tab w:val="left" w:pos="567"/>
        </w:tabs>
        <w:spacing w:after="0"/>
        <w:rPr>
          <w:rStyle w:val="Kop3Char"/>
          <w:rFonts w:ascii="Verdana" w:hAnsi="Verdana"/>
          <w:b w:val="0"/>
          <w:i/>
          <w:color w:val="auto"/>
          <w:sz w:val="18"/>
          <w:szCs w:val="18"/>
        </w:rPr>
      </w:pPr>
    </w:p>
    <w:p w:rsidR="00C31F34" w:rsidP="00781CF8" w:rsidRDefault="00C31F34">
      <w:pPr>
        <w:tabs>
          <w:tab w:val="left" w:pos="567"/>
        </w:tabs>
        <w:spacing w:after="0"/>
        <w:rPr>
          <w:sz w:val="18"/>
          <w:szCs w:val="18"/>
        </w:rPr>
      </w:pPr>
      <w:bookmarkStart w:name="_Toc293998579" w:id="85"/>
      <w:r w:rsidRPr="00DE72E6">
        <w:rPr>
          <w:rStyle w:val="Kop3Char"/>
          <w:rFonts w:ascii="Verdana" w:hAnsi="Verdana"/>
          <w:b w:val="0"/>
          <w:i/>
          <w:color w:val="auto"/>
          <w:sz w:val="18"/>
          <w:szCs w:val="18"/>
        </w:rPr>
        <w:t>9.2.3. Samenhang met andere beleidsdoelen en –instrumenten</w:t>
      </w:r>
      <w:bookmarkEnd w:id="85"/>
      <w:r w:rsidRPr="00DE72E6">
        <w:rPr>
          <w:b/>
          <w:i/>
          <w:sz w:val="18"/>
          <w:szCs w:val="18"/>
        </w:rPr>
        <w:br/>
      </w:r>
      <w:r>
        <w:rPr>
          <w:sz w:val="18"/>
          <w:szCs w:val="18"/>
        </w:rPr>
        <w:t>Een extra argument om de bijzondere regelingen onder de loep te nemen is, dat sprake kan zijn van samenhang met andere beleidsdoelen en andere beleidsinstrumenten. Een fiscale uitzondering kan andere beleidsdoelen neutraliseren of zelfs tegenwerken. Zo verhinderen de in box 9.1 opgenomen teruggaven van BPM en vrijstellingen van MRB voor de desbetreffende voertuigen de werking van de in deze belastingen aangebrachte vergroeningsprikkels. Een ander voorbeeld is de korting voor jaarbetaling in de motorrijtuigenbelasting, die het streven tegengaat om de betaling van MRB zoveel mogelijk te laten plaatsvinden via de voor kentekenhouders en Belastingdienst meer efficiënte automatische incasso per maand.</w:t>
      </w:r>
    </w:p>
    <w:p w:rsidR="00781CF8" w:rsidP="00781CF8" w:rsidRDefault="00781CF8">
      <w:pPr>
        <w:pStyle w:val="Kop2"/>
        <w:spacing w:before="0"/>
        <w:rPr>
          <w:rFonts w:ascii="Verdana" w:hAnsi="Verdana"/>
          <w:color w:val="auto"/>
          <w:sz w:val="18"/>
          <w:szCs w:val="18"/>
        </w:rPr>
      </w:pPr>
    </w:p>
    <w:p w:rsidRPr="0037000E" w:rsidR="00C31F34" w:rsidP="00781CF8" w:rsidRDefault="00C31F34">
      <w:pPr>
        <w:pStyle w:val="Kop2"/>
        <w:spacing w:before="0"/>
        <w:rPr>
          <w:rFonts w:ascii="Verdana" w:hAnsi="Verdana"/>
          <w:color w:val="auto"/>
          <w:sz w:val="18"/>
          <w:szCs w:val="18"/>
        </w:rPr>
      </w:pPr>
      <w:bookmarkStart w:name="_Toc293998580" w:id="86"/>
      <w:r w:rsidRPr="0037000E">
        <w:rPr>
          <w:rFonts w:ascii="Verdana" w:hAnsi="Verdana"/>
          <w:color w:val="auto"/>
          <w:sz w:val="18"/>
          <w:szCs w:val="18"/>
        </w:rPr>
        <w:t>9.3. Mogelijke criteria heroverweging bijzondere regelingen</w:t>
      </w:r>
      <w:bookmarkEnd w:id="86"/>
    </w:p>
    <w:p w:rsidR="00C31F34" w:rsidP="00781CF8" w:rsidRDefault="00C31F34">
      <w:pPr>
        <w:spacing w:after="0" w:line="240" w:lineRule="atLeast"/>
        <w:rPr>
          <w:sz w:val="18"/>
          <w:szCs w:val="18"/>
        </w:rPr>
      </w:pPr>
      <w:r>
        <w:rPr>
          <w:sz w:val="18"/>
          <w:szCs w:val="18"/>
        </w:rPr>
        <w:t>Afhankelijk van de weging van de verschillende factoren kan worden bezien in hoeverre een regeling gehandhaafd, gewijzigd of afgeschaft kan worden. De insteek zou daarbij naar mijn mening moeten zijn om een bijzondere regeling te handhaven in situaties, waarin de bestaande regeling invulling geeft aan internationaalrechtelijke verplichtingen dan wel de meest effectieve manier is om het beschikbare budget in te zetten voor een achterliggende beleidsdoel dat ook naar de huidige inzichten een dusdanige ondersteuning van de overheid behoeft. In andere gevallen zou de regeling in overleg met de betrokken doelgroepen en departementen kunnen worden omgezet in – of het budget kunnen worden overgeheveld naar – meer effectieve beleidsinstrumenten. Afschaffing van een fiscale regeling zou wel ruim tevoren moeten worden aangekondigd, zodat de betrokken burgers en bedrijven daarop tijdig kunnen inspelen. Gedacht kan worden aan een termijn van bijvoorbeeld zes maanden of een jaar, maar voor sommige regelingen zou een langere termijn op zijn plaats kunnen zijn. Daarnaast zou voor bestaande gevallen zo nodig een ruimhartige overgangsregeling kunnen worden getroffen. Budgettaire neutraliteit zou daarbij uitgangspunt zijn.</w:t>
      </w:r>
    </w:p>
    <w:p w:rsidR="00C31F34" w:rsidP="00781CF8" w:rsidRDefault="00C31F34">
      <w:pPr>
        <w:spacing w:after="0" w:line="240" w:lineRule="atLeast"/>
        <w:rPr>
          <w:sz w:val="18"/>
          <w:szCs w:val="18"/>
        </w:rPr>
      </w:pPr>
    </w:p>
    <w:p w:rsidR="00C31F34" w:rsidP="00781CF8" w:rsidRDefault="00C31F34">
      <w:pPr>
        <w:spacing w:after="0" w:line="240" w:lineRule="atLeast"/>
        <w:rPr>
          <w:sz w:val="18"/>
          <w:szCs w:val="18"/>
        </w:rPr>
      </w:pPr>
      <w:r>
        <w:rPr>
          <w:sz w:val="18"/>
          <w:szCs w:val="18"/>
        </w:rPr>
        <w:t>Bij een voorstel tot opschoning van de diverse bijzondere regelingen in de autobelastingen zouden naar mijn mening de volgende uitgangspunten kunnen worden gehanteerd:</w:t>
      </w:r>
    </w:p>
    <w:p w:rsidR="00C31F34" w:rsidP="00781CF8" w:rsidRDefault="00C31F34">
      <w:pPr>
        <w:pStyle w:val="Lijstalinea"/>
        <w:numPr>
          <w:ilvl w:val="0"/>
          <w:numId w:val="25"/>
        </w:numPr>
        <w:spacing w:after="0" w:line="240" w:lineRule="atLeast"/>
        <w:rPr>
          <w:sz w:val="18"/>
          <w:szCs w:val="18"/>
        </w:rPr>
      </w:pPr>
      <w:r w:rsidRPr="00905114">
        <w:rPr>
          <w:sz w:val="18"/>
          <w:szCs w:val="18"/>
        </w:rPr>
        <w:t xml:space="preserve">een regeling </w:t>
      </w:r>
      <w:r>
        <w:rPr>
          <w:sz w:val="18"/>
          <w:szCs w:val="18"/>
        </w:rPr>
        <w:t>wordt gehandhaafd indien de regeling voortvloeit uit internationaalrechtelijke verplichtingen;</w:t>
      </w:r>
    </w:p>
    <w:p w:rsidR="00C31F34" w:rsidP="00781CF8" w:rsidRDefault="00C31F34">
      <w:pPr>
        <w:pStyle w:val="Lijstalinea"/>
        <w:numPr>
          <w:ilvl w:val="0"/>
          <w:numId w:val="25"/>
        </w:numPr>
        <w:spacing w:after="0" w:line="240" w:lineRule="atLeast"/>
        <w:rPr>
          <w:sz w:val="18"/>
          <w:szCs w:val="18"/>
        </w:rPr>
      </w:pPr>
      <w:r>
        <w:rPr>
          <w:sz w:val="18"/>
          <w:szCs w:val="18"/>
        </w:rPr>
        <w:t xml:space="preserve">een regeling wordt gehandhaafd indien daaraan een </w:t>
      </w:r>
      <w:r w:rsidRPr="00905114">
        <w:rPr>
          <w:sz w:val="18"/>
          <w:szCs w:val="18"/>
        </w:rPr>
        <w:t xml:space="preserve">beleidsdoel </w:t>
      </w:r>
      <w:r>
        <w:rPr>
          <w:sz w:val="18"/>
          <w:szCs w:val="18"/>
        </w:rPr>
        <w:t xml:space="preserve">ten grondslag ligt </w:t>
      </w:r>
      <w:r w:rsidRPr="00905114">
        <w:rPr>
          <w:sz w:val="18"/>
          <w:szCs w:val="18"/>
        </w:rPr>
        <w:t xml:space="preserve">dat </w:t>
      </w:r>
      <w:r>
        <w:rPr>
          <w:sz w:val="18"/>
          <w:szCs w:val="18"/>
        </w:rPr>
        <w:t xml:space="preserve">ook naar de huidige inzichten financiële </w:t>
      </w:r>
      <w:r w:rsidRPr="00905114">
        <w:rPr>
          <w:sz w:val="18"/>
          <w:szCs w:val="18"/>
        </w:rPr>
        <w:t xml:space="preserve">ondersteuning van de overheid </w:t>
      </w:r>
      <w:r>
        <w:rPr>
          <w:sz w:val="18"/>
          <w:szCs w:val="18"/>
        </w:rPr>
        <w:t>behoeft</w:t>
      </w:r>
      <w:r w:rsidRPr="00905114">
        <w:rPr>
          <w:sz w:val="18"/>
          <w:szCs w:val="18"/>
        </w:rPr>
        <w:t xml:space="preserve"> en </w:t>
      </w:r>
      <w:r>
        <w:rPr>
          <w:sz w:val="18"/>
          <w:szCs w:val="18"/>
        </w:rPr>
        <w:t>het beschikbare budget het meest effectief en in lijn met andere beleidsdoelen wordt ingezet via deze fiscale regeling;</w:t>
      </w:r>
    </w:p>
    <w:p w:rsidR="00C31F34" w:rsidP="00781CF8" w:rsidRDefault="00C31F34">
      <w:pPr>
        <w:pStyle w:val="Lijstalinea"/>
        <w:numPr>
          <w:ilvl w:val="0"/>
          <w:numId w:val="25"/>
        </w:numPr>
        <w:spacing w:after="0" w:line="240" w:lineRule="atLeast"/>
        <w:rPr>
          <w:sz w:val="18"/>
          <w:szCs w:val="18"/>
        </w:rPr>
      </w:pPr>
      <w:r>
        <w:rPr>
          <w:sz w:val="18"/>
          <w:szCs w:val="18"/>
        </w:rPr>
        <w:t>een regeling wordt zo spoedig mogelijk vervangen door een andere (al dan niet fiscale) regeling indien aan de bestaande regeling weliswaar een beleidsdoel ten grondslag ligt dat ook naar de huidige inzichten financiële ondersteuning van de overheid behoeft, maar het beschikbare budget via die andere regeling effectiever en meer in lijn met andere beleidsdoelen kan worden ingezet;</w:t>
      </w:r>
    </w:p>
    <w:p w:rsidR="00C31F34" w:rsidP="00781CF8" w:rsidRDefault="00C31F34">
      <w:pPr>
        <w:pStyle w:val="Lijstalinea"/>
        <w:numPr>
          <w:ilvl w:val="0"/>
          <w:numId w:val="25"/>
        </w:numPr>
        <w:spacing w:after="0" w:line="240" w:lineRule="atLeast"/>
        <w:rPr>
          <w:sz w:val="18"/>
          <w:szCs w:val="18"/>
        </w:rPr>
      </w:pPr>
      <w:r>
        <w:rPr>
          <w:sz w:val="18"/>
          <w:szCs w:val="18"/>
        </w:rPr>
        <w:t>een regeling wordt afgeschaft indien geen sprake is van een achterliggend beleidsdoel dat ook naar de huidige inzichten financiële ondersteuning van de overheid behoeft;</w:t>
      </w:r>
    </w:p>
    <w:p w:rsidRPr="00A708F6" w:rsidR="00C31F34" w:rsidP="00781CF8" w:rsidRDefault="00C31F34">
      <w:pPr>
        <w:pStyle w:val="Lijstalinea"/>
        <w:numPr>
          <w:ilvl w:val="0"/>
          <w:numId w:val="25"/>
        </w:numPr>
        <w:spacing w:after="0" w:line="240" w:lineRule="atLeast"/>
        <w:rPr>
          <w:sz w:val="18"/>
          <w:szCs w:val="18"/>
        </w:rPr>
      </w:pPr>
      <w:r w:rsidRPr="00A708F6">
        <w:rPr>
          <w:sz w:val="18"/>
          <w:szCs w:val="18"/>
        </w:rPr>
        <w:t>wijziging of afschaffing van bestaande regelingen vindt in beginsel budgettair neutraal plaats</w:t>
      </w:r>
      <w:r>
        <w:rPr>
          <w:sz w:val="18"/>
          <w:szCs w:val="18"/>
        </w:rPr>
        <w:t>, wordt</w:t>
      </w:r>
      <w:r w:rsidRPr="00A708F6">
        <w:rPr>
          <w:sz w:val="18"/>
          <w:szCs w:val="18"/>
        </w:rPr>
        <w:t xml:space="preserve"> ruim van tevoren aangekondigd en wordt waar nodig begeleid door een overgangsregeling voor bestaande gevallen.</w:t>
      </w:r>
    </w:p>
    <w:p w:rsidR="00C31F34" w:rsidP="00781CF8" w:rsidRDefault="00C31F34">
      <w:pPr>
        <w:spacing w:after="0" w:line="240" w:lineRule="atLeast"/>
        <w:rPr>
          <w:sz w:val="18"/>
          <w:szCs w:val="18"/>
        </w:rPr>
      </w:pPr>
    </w:p>
    <w:p w:rsidR="00361376" w:rsidP="00781CF8" w:rsidRDefault="00C31F34">
      <w:pPr>
        <w:spacing w:after="0"/>
        <w:rPr>
          <w:sz w:val="18"/>
          <w:szCs w:val="18"/>
        </w:rPr>
      </w:pPr>
      <w:bookmarkStart w:name="_Toc293998581" w:id="87"/>
      <w:r w:rsidRPr="00193A5D">
        <w:rPr>
          <w:rStyle w:val="Kop2Char"/>
          <w:rFonts w:ascii="Verdana" w:hAnsi="Verdana"/>
          <w:color w:val="auto"/>
          <w:sz w:val="18"/>
          <w:szCs w:val="18"/>
        </w:rPr>
        <w:t xml:space="preserve">9.4. </w:t>
      </w:r>
      <w:r w:rsidRPr="00193A5D" w:rsidR="00E04227">
        <w:rPr>
          <w:rStyle w:val="Kop2Char"/>
          <w:rFonts w:ascii="Verdana" w:hAnsi="Verdana"/>
          <w:color w:val="auto"/>
          <w:sz w:val="18"/>
          <w:szCs w:val="18"/>
        </w:rPr>
        <w:t>E</w:t>
      </w:r>
      <w:r w:rsidRPr="00193A5D" w:rsidR="00361376">
        <w:rPr>
          <w:rStyle w:val="Kop2Char"/>
          <w:rFonts w:ascii="Verdana" w:hAnsi="Verdana"/>
          <w:color w:val="auto"/>
          <w:sz w:val="18"/>
          <w:szCs w:val="18"/>
        </w:rPr>
        <w:t xml:space="preserve">nkele </w:t>
      </w:r>
      <w:r w:rsidRPr="00193A5D" w:rsidR="00E04227">
        <w:rPr>
          <w:rStyle w:val="Kop2Char"/>
          <w:rFonts w:ascii="Verdana" w:hAnsi="Verdana"/>
          <w:color w:val="auto"/>
          <w:sz w:val="18"/>
          <w:szCs w:val="18"/>
        </w:rPr>
        <w:t xml:space="preserve">andere </w:t>
      </w:r>
      <w:r w:rsidRPr="00193A5D" w:rsidR="00361376">
        <w:rPr>
          <w:rStyle w:val="Kop2Char"/>
          <w:rFonts w:ascii="Verdana" w:hAnsi="Verdana"/>
          <w:color w:val="auto"/>
          <w:sz w:val="18"/>
          <w:szCs w:val="18"/>
        </w:rPr>
        <w:t>aandachtspunten in de autobelastingen</w:t>
      </w:r>
      <w:bookmarkEnd w:id="87"/>
      <w:r w:rsidR="00E04227">
        <w:rPr>
          <w:rFonts w:eastAsia="Times New Roman"/>
        </w:rPr>
        <w:br/>
      </w:r>
      <w:r w:rsidRPr="00193A5D" w:rsidR="00E04227">
        <w:rPr>
          <w:sz w:val="18"/>
          <w:szCs w:val="18"/>
        </w:rPr>
        <w:t>Naast de bijzondere regelingen in de autobelastingen zijn er nog enkele andere aandachtspunten die ik in het kader van deze brief kort zou willen belichten.</w:t>
      </w:r>
    </w:p>
    <w:p w:rsidRPr="00193A5D" w:rsidR="00781CF8" w:rsidP="00781CF8" w:rsidRDefault="00781CF8">
      <w:pPr>
        <w:spacing w:after="0"/>
        <w:rPr>
          <w:rFonts w:eastAsia="Times New Roman"/>
          <w:sz w:val="18"/>
          <w:szCs w:val="18"/>
        </w:rPr>
      </w:pPr>
    </w:p>
    <w:p w:rsidRPr="00E95AA0" w:rsidR="00C31F34" w:rsidP="00781CF8" w:rsidRDefault="00C31F34">
      <w:pPr>
        <w:pStyle w:val="Kop3"/>
        <w:spacing w:before="0"/>
        <w:rPr>
          <w:rFonts w:ascii="Verdana" w:hAnsi="Verdana"/>
          <w:b w:val="0"/>
          <w:i/>
          <w:color w:val="auto"/>
          <w:sz w:val="18"/>
          <w:szCs w:val="18"/>
        </w:rPr>
      </w:pPr>
      <w:bookmarkStart w:name="_Toc293998582" w:id="88"/>
      <w:r w:rsidRPr="00E95AA0">
        <w:rPr>
          <w:rFonts w:ascii="Verdana" w:hAnsi="Verdana"/>
          <w:b w:val="0"/>
          <w:i/>
          <w:color w:val="auto"/>
          <w:sz w:val="18"/>
          <w:szCs w:val="18"/>
        </w:rPr>
        <w:lastRenderedPageBreak/>
        <w:t>9.</w:t>
      </w:r>
      <w:r w:rsidRPr="00E95AA0" w:rsidR="00361376">
        <w:rPr>
          <w:rFonts w:ascii="Verdana" w:hAnsi="Verdana"/>
          <w:b w:val="0"/>
          <w:i/>
          <w:color w:val="auto"/>
          <w:sz w:val="18"/>
          <w:szCs w:val="18"/>
        </w:rPr>
        <w:t>4.1</w:t>
      </w:r>
      <w:r w:rsidRPr="00E95AA0">
        <w:rPr>
          <w:rFonts w:ascii="Verdana" w:hAnsi="Verdana"/>
          <w:b w:val="0"/>
          <w:i/>
          <w:color w:val="auto"/>
          <w:sz w:val="18"/>
          <w:szCs w:val="18"/>
        </w:rPr>
        <w:t>. De BPM in Europees perspectief</w:t>
      </w:r>
      <w:bookmarkEnd w:id="88"/>
    </w:p>
    <w:p w:rsidRPr="001B6EAB" w:rsidR="00C31F34" w:rsidP="00781CF8" w:rsidRDefault="00C31F34">
      <w:pPr>
        <w:spacing w:after="0"/>
        <w:rPr>
          <w:sz w:val="18"/>
          <w:szCs w:val="18"/>
        </w:rPr>
      </w:pPr>
      <w:r w:rsidRPr="00AC108E">
        <w:rPr>
          <w:sz w:val="18"/>
          <w:szCs w:val="18"/>
        </w:rPr>
        <w:t xml:space="preserve">Het Europese recht biedt lidstaten de ruimte om een registratiebelasting op auto’s te heffen; veel lidstaten doen dit ook. Het is echter moeilijk dit op zo’n manier te doen, dat enerzijds gebruikte auto’s afkomstig uit andere lidstaten niet te zwaar worden belast, en anderzijds de binnenlandse autohandel niet wordt benadeeld. </w:t>
      </w:r>
    </w:p>
    <w:p w:rsidR="00C31F34" w:rsidP="00781CF8" w:rsidRDefault="00C31F34">
      <w:pPr>
        <w:spacing w:after="0"/>
        <w:rPr>
          <w:sz w:val="18"/>
          <w:szCs w:val="18"/>
        </w:rPr>
      </w:pPr>
      <w:r w:rsidRPr="00AC108E">
        <w:rPr>
          <w:sz w:val="18"/>
          <w:szCs w:val="18"/>
        </w:rPr>
        <w:t xml:space="preserve">De </w:t>
      </w:r>
      <w:r>
        <w:rPr>
          <w:sz w:val="18"/>
          <w:szCs w:val="18"/>
        </w:rPr>
        <w:t>E</w:t>
      </w:r>
      <w:r w:rsidRPr="00AC108E">
        <w:rPr>
          <w:sz w:val="18"/>
          <w:szCs w:val="18"/>
        </w:rPr>
        <w:t>uropeesrechtelijke principes moeten gerespecteerd worden:</w:t>
      </w:r>
    </w:p>
    <w:p w:rsidR="00781CF8" w:rsidP="00781CF8" w:rsidRDefault="00781CF8">
      <w:pPr>
        <w:spacing w:after="0"/>
        <w:rPr>
          <w:sz w:val="18"/>
          <w:szCs w:val="18"/>
        </w:rPr>
      </w:pPr>
    </w:p>
    <w:p w:rsidR="00C31F34" w:rsidP="00781CF8" w:rsidRDefault="00C31F34">
      <w:pPr>
        <w:pStyle w:val="Lijstalinea"/>
        <w:numPr>
          <w:ilvl w:val="0"/>
          <w:numId w:val="11"/>
        </w:numPr>
        <w:spacing w:after="0"/>
        <w:rPr>
          <w:sz w:val="18"/>
          <w:szCs w:val="18"/>
        </w:rPr>
      </w:pPr>
      <w:r w:rsidRPr="00AC108E">
        <w:rPr>
          <w:sz w:val="18"/>
          <w:szCs w:val="18"/>
        </w:rPr>
        <w:t>De belasting op een gebruikt voertuig uit een andere lidstaat mag niet, ook niet in een klein aantal gevallen, hoger zijn dan de belasting die nog drukt op een ver</w:t>
      </w:r>
      <w:r>
        <w:rPr>
          <w:sz w:val="18"/>
          <w:szCs w:val="18"/>
        </w:rPr>
        <w:t>gelijkbaar binnenlands voertuig.</w:t>
      </w:r>
      <w:r w:rsidRPr="00AC108E">
        <w:rPr>
          <w:sz w:val="18"/>
          <w:szCs w:val="18"/>
        </w:rPr>
        <w:t xml:space="preserve"> </w:t>
      </w:r>
    </w:p>
    <w:p w:rsidR="00C31F34" w:rsidP="00781CF8" w:rsidRDefault="00C31F34">
      <w:pPr>
        <w:pStyle w:val="Lijstalinea"/>
        <w:numPr>
          <w:ilvl w:val="0"/>
          <w:numId w:val="11"/>
        </w:numPr>
        <w:spacing w:after="0"/>
        <w:rPr>
          <w:sz w:val="18"/>
          <w:szCs w:val="18"/>
        </w:rPr>
      </w:pPr>
      <w:r w:rsidRPr="00AC108E">
        <w:rPr>
          <w:sz w:val="18"/>
          <w:szCs w:val="18"/>
        </w:rPr>
        <w:t>De heffing van buitenlandse voertuigen die hier tijdelijk worden g</w:t>
      </w:r>
      <w:r>
        <w:rPr>
          <w:sz w:val="18"/>
          <w:szCs w:val="18"/>
        </w:rPr>
        <w:t xml:space="preserve">ebruikt, bijvoorbeeld </w:t>
      </w:r>
      <w:r w:rsidRPr="00AC108E">
        <w:rPr>
          <w:sz w:val="18"/>
          <w:szCs w:val="18"/>
        </w:rPr>
        <w:t>huur</w:t>
      </w:r>
      <w:r>
        <w:rPr>
          <w:sz w:val="18"/>
          <w:szCs w:val="18"/>
        </w:rPr>
        <w:t>auto’s</w:t>
      </w:r>
      <w:r w:rsidRPr="00AC108E">
        <w:rPr>
          <w:sz w:val="18"/>
          <w:szCs w:val="18"/>
        </w:rPr>
        <w:t xml:space="preserve">, mag niet leiden tot een belemmering van </w:t>
      </w:r>
      <w:r>
        <w:rPr>
          <w:sz w:val="18"/>
          <w:szCs w:val="18"/>
        </w:rPr>
        <w:t>het</w:t>
      </w:r>
      <w:r w:rsidRPr="00AC108E">
        <w:rPr>
          <w:sz w:val="18"/>
          <w:szCs w:val="18"/>
        </w:rPr>
        <w:t xml:space="preserve"> vrij</w:t>
      </w:r>
      <w:r>
        <w:rPr>
          <w:sz w:val="18"/>
          <w:szCs w:val="18"/>
        </w:rPr>
        <w:t>e</w:t>
      </w:r>
      <w:r w:rsidRPr="00AC108E">
        <w:rPr>
          <w:sz w:val="18"/>
          <w:szCs w:val="18"/>
        </w:rPr>
        <w:t xml:space="preserve"> diensten</w:t>
      </w:r>
      <w:r>
        <w:rPr>
          <w:sz w:val="18"/>
          <w:szCs w:val="18"/>
        </w:rPr>
        <w:t>verkeer</w:t>
      </w:r>
      <w:r w:rsidRPr="00AC108E">
        <w:rPr>
          <w:sz w:val="18"/>
          <w:szCs w:val="18"/>
        </w:rPr>
        <w:t xml:space="preserve">. </w:t>
      </w:r>
    </w:p>
    <w:p w:rsidR="00781CF8" w:rsidP="00781CF8" w:rsidRDefault="00781CF8">
      <w:pPr>
        <w:spacing w:after="0"/>
        <w:rPr>
          <w:sz w:val="18"/>
          <w:szCs w:val="18"/>
        </w:rPr>
      </w:pPr>
    </w:p>
    <w:p w:rsidRPr="001B6EAB" w:rsidR="00C31F34" w:rsidP="00781CF8" w:rsidRDefault="00C31F34">
      <w:pPr>
        <w:spacing w:after="0"/>
        <w:rPr>
          <w:sz w:val="18"/>
          <w:szCs w:val="18"/>
        </w:rPr>
      </w:pPr>
      <w:r w:rsidRPr="00AC108E">
        <w:rPr>
          <w:sz w:val="18"/>
          <w:szCs w:val="18"/>
        </w:rPr>
        <w:t xml:space="preserve">De Wet BPM is in de laatste jaren een aantal maal aangepast om deze te conformeren aan deze principes. Desalniettemin blijft deze belasting gevoelig voor </w:t>
      </w:r>
      <w:r>
        <w:rPr>
          <w:sz w:val="18"/>
          <w:szCs w:val="18"/>
        </w:rPr>
        <w:t>E</w:t>
      </w:r>
      <w:r w:rsidRPr="00AC108E">
        <w:rPr>
          <w:sz w:val="18"/>
          <w:szCs w:val="18"/>
        </w:rPr>
        <w:t xml:space="preserve">uropeesrechtelijke problemen. </w:t>
      </w:r>
      <w:r>
        <w:rPr>
          <w:sz w:val="18"/>
          <w:szCs w:val="18"/>
        </w:rPr>
        <w:t>Rechterlijke uitspraken op dit vlak</w:t>
      </w:r>
      <w:r w:rsidRPr="00AC108E">
        <w:rPr>
          <w:sz w:val="18"/>
          <w:szCs w:val="18"/>
        </w:rPr>
        <w:t xml:space="preserve"> leid</w:t>
      </w:r>
      <w:r>
        <w:rPr>
          <w:sz w:val="18"/>
          <w:szCs w:val="18"/>
        </w:rPr>
        <w:t xml:space="preserve">en soms tot een systematische bevoordeling van geïmporteerde gebruikte auto’s, en daarmee </w:t>
      </w:r>
      <w:r w:rsidRPr="00AC108E">
        <w:rPr>
          <w:sz w:val="18"/>
          <w:szCs w:val="18"/>
        </w:rPr>
        <w:t xml:space="preserve">tot een benadeling van de in Nederland nieuw verkochte voertuigen. Ik hecht belang aan een gelijk speelveld in deze markt en vind zo’n benadeling daarom onwenselijk. Daarnaast kan een bevoordeling van de import van gebruikte auto’s de opbrengst van de BPM onder druk zetten en de waarde van de BPM als beleidsinstrument aantasten. Wanneer dit noodzakelijk blijkt zal ik nadere wetswijzigingen voorstellen om wederom een gelijk speelveld te creëren. Een eenvoudige oplossing voor deze problematiek bestaat niet. Robuustheid van de autobelastingen is echter een speerpunt. </w:t>
      </w:r>
      <w:r w:rsidRPr="00441A98" w:rsidR="00441A98">
        <w:rPr>
          <w:sz w:val="18"/>
          <w:szCs w:val="18"/>
        </w:rPr>
        <w:t>Door de Europese Commissie voor 2011 aangekondigde initiatieven om fiscale obstakels op het gebied van autobelastingen aan te pakken zie ik met belangstelling tegemoet.</w:t>
      </w:r>
    </w:p>
    <w:p w:rsidR="00781CF8" w:rsidP="00781CF8" w:rsidRDefault="00781CF8">
      <w:pPr>
        <w:pStyle w:val="Kop3"/>
        <w:spacing w:before="0"/>
        <w:rPr>
          <w:rFonts w:ascii="Verdana" w:hAnsi="Verdana" w:eastAsia="Times New Roman"/>
          <w:b w:val="0"/>
          <w:i/>
          <w:color w:val="auto"/>
          <w:sz w:val="18"/>
          <w:szCs w:val="18"/>
        </w:rPr>
      </w:pPr>
    </w:p>
    <w:p w:rsidRPr="006E7A15" w:rsidR="00361376" w:rsidP="00781CF8" w:rsidRDefault="00361376">
      <w:pPr>
        <w:pStyle w:val="Kop3"/>
        <w:spacing w:before="0"/>
        <w:rPr>
          <w:rFonts w:ascii="Verdana" w:hAnsi="Verdana" w:eastAsia="Times New Roman"/>
          <w:b w:val="0"/>
          <w:i/>
          <w:color w:val="auto"/>
          <w:sz w:val="18"/>
          <w:szCs w:val="18"/>
        </w:rPr>
      </w:pPr>
      <w:bookmarkStart w:name="_Toc293998583" w:id="89"/>
      <w:r w:rsidRPr="006E7A15">
        <w:rPr>
          <w:rFonts w:ascii="Verdana" w:hAnsi="Verdana" w:eastAsia="Times New Roman"/>
          <w:b w:val="0"/>
          <w:i/>
          <w:color w:val="auto"/>
          <w:sz w:val="18"/>
          <w:szCs w:val="18"/>
        </w:rPr>
        <w:t>9.4.2.Toezicht en fraudebestrijding: het kentekenregister als fiscaal autopaspoort</w:t>
      </w:r>
      <w:bookmarkEnd w:id="89"/>
    </w:p>
    <w:p w:rsidR="00361376" w:rsidP="00781CF8" w:rsidRDefault="00361376">
      <w:pPr>
        <w:spacing w:after="0"/>
        <w:rPr>
          <w:rFonts w:eastAsiaTheme="minorHAnsi"/>
          <w:sz w:val="18"/>
          <w:szCs w:val="18"/>
        </w:rPr>
      </w:pPr>
      <w:r>
        <w:rPr>
          <w:sz w:val="18"/>
          <w:szCs w:val="18"/>
        </w:rPr>
        <w:t xml:space="preserve">De Belastingdienst werkt samen met de Rijksdienst voor het Wegverkeer (RDW), beheerder van de basisregistratie voertuigen. Deze samenwerking past prima in het streven om als één overheid op te treden. Een voorbeeld hiervan is de opname van de catalogusprijs in het RDW-register sinds 1 januari 2010. Hierdoor kunnen ondernemers direct de juiste cataloguswaarde bepalen. Dit instrument versimpelt het doen van een juiste loonaangifte. Het instrument is goed ontvangen door marktpartijen. Ik wil de samenwerking met de RDW uitbreiden in deze lijn. </w:t>
      </w:r>
    </w:p>
    <w:p w:rsidR="00361376" w:rsidP="00781CF8" w:rsidRDefault="00361376">
      <w:pPr>
        <w:spacing w:after="0"/>
        <w:rPr>
          <w:rFonts w:ascii="Calibri" w:hAnsi="Calibri"/>
          <w:snapToGrid w:val="0"/>
          <w:color w:val="000000"/>
          <w:sz w:val="18"/>
          <w:szCs w:val="18"/>
        </w:rPr>
      </w:pPr>
      <w:r>
        <w:rPr>
          <w:snapToGrid w:val="0"/>
          <w:color w:val="000000"/>
          <w:sz w:val="18"/>
          <w:szCs w:val="18"/>
        </w:rPr>
        <w:t xml:space="preserve">Vanuit Europa is geadviseerd tot het instellen van een ‘fiscaal autopaspoort’ om het toezicht op de naleving te vereenvoudigen en fraude te voorkomen en te bestrijden. In een dergelijk paspoort wordt de fiscale status op autoniveau voor de verschillende belastingmiddelen opgenomen. Uit dit paspoort blijkt dan bijvoorbeeld of sprake is van een marge auto in de zin van de omzetbelasting, en of sprake is van een auto die alleen zakelijk of ook privé wordt gebruikt. </w:t>
      </w:r>
    </w:p>
    <w:p w:rsidR="00361376" w:rsidP="00781CF8" w:rsidRDefault="00361376">
      <w:pPr>
        <w:spacing w:after="0"/>
        <w:rPr>
          <w:snapToGrid w:val="0"/>
          <w:color w:val="000000"/>
          <w:sz w:val="18"/>
          <w:szCs w:val="18"/>
        </w:rPr>
      </w:pPr>
      <w:r>
        <w:rPr>
          <w:snapToGrid w:val="0"/>
          <w:color w:val="000000"/>
          <w:sz w:val="18"/>
          <w:szCs w:val="18"/>
        </w:rPr>
        <w:t xml:space="preserve">De registratie vooraf over zakelijk gebruik betekent een eenmalige digitale vastlegging. Deze vastlegging helpt de Belastingdienst in het dagelijks toezicht. Het toezicht op privégebruik van de auto is een speerpunt van de Belastingdienst. Door scherper toezicht was op dit gebied in de afgelopen jaren een stijging van 10% per jaar in opbrengst te zien. </w:t>
      </w:r>
      <w:r>
        <w:rPr>
          <w:snapToGrid w:val="0"/>
          <w:color w:val="000000"/>
          <w:sz w:val="18"/>
          <w:szCs w:val="18"/>
        </w:rPr>
        <w:br/>
        <w:t xml:space="preserve">Door deze samenwerking met de RDW krijgt de Belastingdienst een bijna volledig beeld van het zakelijke wagenpark. Het houden van toezicht wordt vereenvoudigd, omdat voor elke auto contra-informatie beschikbaar is die eenvoudig te ontsluiten is. De Belastingdienst maakt nu ook al op grote schaal gebruik van de informatie uit het kentekenregister. Het gebruik maken van dit autopaspoort zal ertoe leiden dat compliante belastingplichtigen weinig zullen merken van toezicht, terwijl degenen die de regels proberen te omzeilen eerder in beeld komen. </w:t>
      </w:r>
    </w:p>
    <w:p w:rsidR="00781CF8" w:rsidP="00781CF8" w:rsidRDefault="00781CF8">
      <w:pPr>
        <w:spacing w:after="0"/>
        <w:rPr>
          <w:rStyle w:val="Kop3Char"/>
          <w:rFonts w:ascii="Verdana" w:hAnsi="Verdana"/>
          <w:b w:val="0"/>
          <w:i/>
          <w:color w:val="auto"/>
          <w:sz w:val="18"/>
          <w:szCs w:val="18"/>
        </w:rPr>
      </w:pPr>
    </w:p>
    <w:p w:rsidRPr="006E7A15" w:rsidR="00005EAB" w:rsidP="00781CF8" w:rsidRDefault="00C31F34">
      <w:pPr>
        <w:spacing w:after="0"/>
        <w:rPr>
          <w:sz w:val="18"/>
          <w:szCs w:val="18"/>
        </w:rPr>
      </w:pPr>
      <w:bookmarkStart w:name="_Toc293998584" w:id="90"/>
      <w:r w:rsidRPr="006E7A15">
        <w:rPr>
          <w:rStyle w:val="Kop3Char"/>
          <w:rFonts w:ascii="Verdana" w:hAnsi="Verdana"/>
          <w:b w:val="0"/>
          <w:i/>
          <w:color w:val="auto"/>
          <w:sz w:val="18"/>
          <w:szCs w:val="18"/>
        </w:rPr>
        <w:t>9.</w:t>
      </w:r>
      <w:r w:rsidRPr="006E7A15" w:rsidR="00361376">
        <w:rPr>
          <w:rStyle w:val="Kop3Char"/>
          <w:rFonts w:ascii="Verdana" w:hAnsi="Verdana"/>
          <w:b w:val="0"/>
          <w:i/>
          <w:color w:val="auto"/>
          <w:sz w:val="18"/>
          <w:szCs w:val="18"/>
        </w:rPr>
        <w:t>4.3.</w:t>
      </w:r>
      <w:r w:rsidRPr="006E7A15" w:rsidR="005A21DF">
        <w:rPr>
          <w:rStyle w:val="Kop3Char"/>
          <w:rFonts w:ascii="Verdana" w:hAnsi="Verdana"/>
          <w:b w:val="0"/>
          <w:i/>
          <w:color w:val="auto"/>
          <w:sz w:val="18"/>
          <w:szCs w:val="18"/>
        </w:rPr>
        <w:t xml:space="preserve"> BTW-correctie priv</w:t>
      </w:r>
      <w:r w:rsidRPr="006E7A15" w:rsidR="00E04227">
        <w:rPr>
          <w:rStyle w:val="Kop3Char"/>
          <w:rFonts w:ascii="Verdana" w:hAnsi="Verdana"/>
          <w:b w:val="0"/>
          <w:i/>
          <w:color w:val="auto"/>
          <w:sz w:val="18"/>
          <w:szCs w:val="18"/>
        </w:rPr>
        <w:t>égebruik zakelijke auto</w:t>
      </w:r>
      <w:bookmarkEnd w:id="90"/>
      <w:r w:rsidR="005A21DF">
        <w:br/>
      </w:r>
      <w:r w:rsidRPr="006E7A15" w:rsidR="005A21DF">
        <w:rPr>
          <w:sz w:val="18"/>
          <w:szCs w:val="18"/>
        </w:rPr>
        <w:t>Ondernemers kunnen de omzetbelasting</w:t>
      </w:r>
      <w:r w:rsidRPr="006E7A15" w:rsidR="00E04227">
        <w:rPr>
          <w:sz w:val="18"/>
          <w:szCs w:val="18"/>
        </w:rPr>
        <w:t xml:space="preserve"> (BTW</w:t>
      </w:r>
      <w:r w:rsidRPr="006E7A15" w:rsidR="005A21DF">
        <w:rPr>
          <w:sz w:val="18"/>
          <w:szCs w:val="18"/>
        </w:rPr>
        <w:t xml:space="preserve">) op de kosten van zakelijke auto’s in beginsel </w:t>
      </w:r>
      <w:r w:rsidRPr="006E7A15" w:rsidR="00E04227">
        <w:rPr>
          <w:sz w:val="18"/>
          <w:szCs w:val="18"/>
        </w:rPr>
        <w:t>op de aangifte in aftrek brengen</w:t>
      </w:r>
      <w:r w:rsidRPr="006E7A15" w:rsidR="005A21DF">
        <w:rPr>
          <w:sz w:val="18"/>
          <w:szCs w:val="18"/>
        </w:rPr>
        <w:t xml:space="preserve">. Voor het privégebruik van de auto van de zaak door ondernemers en werknemers vindt vervolgens een </w:t>
      </w:r>
      <w:r w:rsidRPr="006E7A15" w:rsidR="00E04227">
        <w:rPr>
          <w:sz w:val="18"/>
          <w:szCs w:val="18"/>
        </w:rPr>
        <w:t>BTW-</w:t>
      </w:r>
      <w:r w:rsidRPr="006E7A15" w:rsidR="005A21DF">
        <w:rPr>
          <w:sz w:val="18"/>
          <w:szCs w:val="18"/>
        </w:rPr>
        <w:t xml:space="preserve">correctie plaats. De hoogte van deze correctie hangt in de praktijk </w:t>
      </w:r>
      <w:r w:rsidRPr="006E7A15" w:rsidR="00E04227">
        <w:rPr>
          <w:sz w:val="18"/>
          <w:szCs w:val="18"/>
        </w:rPr>
        <w:t xml:space="preserve">doorgaans </w:t>
      </w:r>
      <w:r w:rsidRPr="006E7A15" w:rsidR="005A21DF">
        <w:rPr>
          <w:sz w:val="18"/>
          <w:szCs w:val="18"/>
        </w:rPr>
        <w:t>af van de hoogte van de onttrekking voor de inkomstenbelasting of de bijtelling voor de loon</w:t>
      </w:r>
      <w:r w:rsidR="00195096">
        <w:rPr>
          <w:sz w:val="18"/>
          <w:szCs w:val="18"/>
        </w:rPr>
        <w:t>belasting</w:t>
      </w:r>
      <w:r w:rsidRPr="006E7A15" w:rsidR="005A21DF">
        <w:rPr>
          <w:sz w:val="18"/>
          <w:szCs w:val="18"/>
        </w:rPr>
        <w:t xml:space="preserve">. De hoogte van de onttrekking en de bijtelling is de afgelopen jaren sterk </w:t>
      </w:r>
      <w:r w:rsidRPr="006E7A15" w:rsidR="005A21DF">
        <w:rPr>
          <w:sz w:val="18"/>
          <w:szCs w:val="18"/>
        </w:rPr>
        <w:lastRenderedPageBreak/>
        <w:t>gaan afhangen van de hoogte van de CO</w:t>
      </w:r>
      <w:r w:rsidRPr="00D92670" w:rsidR="005A21DF">
        <w:rPr>
          <w:sz w:val="18"/>
          <w:szCs w:val="18"/>
          <w:vertAlign w:val="subscript"/>
        </w:rPr>
        <w:t>2</w:t>
      </w:r>
      <w:r w:rsidRPr="006E7A15" w:rsidR="005A21DF">
        <w:rPr>
          <w:sz w:val="18"/>
          <w:szCs w:val="18"/>
        </w:rPr>
        <w:t xml:space="preserve">-uitstoot van de auto. Hierdoor vormt de hoogte van de onttrekking en bijtelling niet langer een goede benadering van de hoogte van de BTW-aftrek die gecorrigeerd moet worden. </w:t>
      </w:r>
      <w:r w:rsidRPr="006E7A15" w:rsidR="00E04227">
        <w:rPr>
          <w:sz w:val="18"/>
          <w:szCs w:val="18"/>
        </w:rPr>
        <w:t xml:space="preserve">Ik ben voornemens te </w:t>
      </w:r>
      <w:r w:rsidRPr="006E7A15" w:rsidR="005A21DF">
        <w:rPr>
          <w:sz w:val="18"/>
          <w:szCs w:val="18"/>
        </w:rPr>
        <w:t>bezien of gekomen kan worden tot een zelfstandig BTW-forfait voor het bepalen van de hoogte van de BTW-correctie. Voor een wijziging van het bestaande forfait heeft Nederland wel toestemming nodig van de Europese Commissie.</w:t>
      </w:r>
    </w:p>
    <w:p w:rsidR="00781CF8" w:rsidP="00781CF8" w:rsidRDefault="00781CF8">
      <w:pPr>
        <w:pStyle w:val="Kop3"/>
        <w:spacing w:before="0"/>
        <w:rPr>
          <w:rFonts w:ascii="Verdana" w:hAnsi="Verdana"/>
          <w:b w:val="0"/>
          <w:i/>
          <w:color w:val="auto"/>
          <w:sz w:val="18"/>
          <w:szCs w:val="18"/>
        </w:rPr>
      </w:pPr>
    </w:p>
    <w:p w:rsidRPr="006E7A15" w:rsidR="00E8783B" w:rsidP="00781CF8" w:rsidRDefault="00E8783B">
      <w:pPr>
        <w:pStyle w:val="Kop3"/>
        <w:spacing w:before="0"/>
        <w:rPr>
          <w:rFonts w:ascii="Verdana" w:hAnsi="Verdana"/>
          <w:b w:val="0"/>
          <w:i/>
          <w:color w:val="auto"/>
          <w:sz w:val="18"/>
          <w:szCs w:val="18"/>
        </w:rPr>
      </w:pPr>
      <w:bookmarkStart w:name="_Toc293998585" w:id="91"/>
      <w:r w:rsidRPr="006E7A15">
        <w:rPr>
          <w:rFonts w:ascii="Verdana" w:hAnsi="Verdana"/>
          <w:b w:val="0"/>
          <w:i/>
          <w:color w:val="auto"/>
          <w:sz w:val="18"/>
          <w:szCs w:val="18"/>
        </w:rPr>
        <w:t>9.</w:t>
      </w:r>
      <w:r w:rsidRPr="006E7A15" w:rsidR="005A21DF">
        <w:rPr>
          <w:rFonts w:ascii="Verdana" w:hAnsi="Verdana"/>
          <w:b w:val="0"/>
          <w:i/>
          <w:color w:val="auto"/>
          <w:sz w:val="18"/>
          <w:szCs w:val="18"/>
        </w:rPr>
        <w:t>4.4</w:t>
      </w:r>
      <w:r w:rsidRPr="006E7A15">
        <w:rPr>
          <w:rFonts w:ascii="Verdana" w:hAnsi="Verdana"/>
          <w:b w:val="0"/>
          <w:i/>
          <w:color w:val="auto"/>
          <w:sz w:val="18"/>
          <w:szCs w:val="18"/>
        </w:rPr>
        <w:t>. Motoren en bromfietsen</w:t>
      </w:r>
      <w:bookmarkEnd w:id="91"/>
    </w:p>
    <w:p w:rsidRPr="00FE4A12" w:rsidR="00E8783B" w:rsidP="00781CF8" w:rsidRDefault="00E8783B">
      <w:pPr>
        <w:spacing w:after="0"/>
        <w:rPr>
          <w:sz w:val="18"/>
          <w:szCs w:val="18"/>
        </w:rPr>
      </w:pPr>
      <w:r w:rsidRPr="00AC108E">
        <w:rPr>
          <w:sz w:val="18"/>
          <w:szCs w:val="18"/>
        </w:rPr>
        <w:t>Tijdens de behandeling van het Belastingplan 2011</w:t>
      </w:r>
      <w:r>
        <w:rPr>
          <w:rStyle w:val="Voetnootmarkering"/>
          <w:sz w:val="18"/>
          <w:szCs w:val="18"/>
        </w:rPr>
        <w:footnoteReference w:id="28"/>
      </w:r>
      <w:r w:rsidRPr="00AC108E">
        <w:rPr>
          <w:sz w:val="18"/>
          <w:szCs w:val="18"/>
        </w:rPr>
        <w:t xml:space="preserve"> heb ik aan uw Kamer toegezegd in deze brief </w:t>
      </w:r>
      <w:r>
        <w:rPr>
          <w:sz w:val="18"/>
          <w:szCs w:val="18"/>
        </w:rPr>
        <w:t xml:space="preserve">ook </w:t>
      </w:r>
      <w:r w:rsidRPr="00AC108E">
        <w:rPr>
          <w:sz w:val="18"/>
          <w:szCs w:val="18"/>
        </w:rPr>
        <w:t xml:space="preserve">aandacht te besteden aan de heffing van belasting op motoren en bromfietsen. Voor motoren is in de wet vastgelegd dat de MRB over een reeks van jaren wordt verhoogd. De laatste verhogingen </w:t>
      </w:r>
      <w:r>
        <w:rPr>
          <w:sz w:val="18"/>
          <w:szCs w:val="18"/>
        </w:rPr>
        <w:t xml:space="preserve">vinden plaats </w:t>
      </w:r>
      <w:r w:rsidRPr="00AC108E">
        <w:rPr>
          <w:sz w:val="18"/>
          <w:szCs w:val="18"/>
        </w:rPr>
        <w:t xml:space="preserve">per </w:t>
      </w:r>
      <w:r>
        <w:rPr>
          <w:sz w:val="18"/>
          <w:szCs w:val="18"/>
        </w:rPr>
        <w:t xml:space="preserve">1 januari </w:t>
      </w:r>
      <w:r w:rsidRPr="00AC108E">
        <w:rPr>
          <w:sz w:val="18"/>
          <w:szCs w:val="18"/>
        </w:rPr>
        <w:t xml:space="preserve">2012 en </w:t>
      </w:r>
      <w:r>
        <w:rPr>
          <w:sz w:val="18"/>
          <w:szCs w:val="18"/>
        </w:rPr>
        <w:t xml:space="preserve">1 januari </w:t>
      </w:r>
      <w:r w:rsidRPr="00AC108E">
        <w:rPr>
          <w:sz w:val="18"/>
          <w:szCs w:val="18"/>
        </w:rPr>
        <w:t>2013 en bedragen bij elkaar opgeteld €</w:t>
      </w:r>
      <w:r>
        <w:rPr>
          <w:sz w:val="18"/>
          <w:szCs w:val="18"/>
        </w:rPr>
        <w:t> </w:t>
      </w:r>
      <w:r w:rsidRPr="00AC108E">
        <w:rPr>
          <w:sz w:val="18"/>
          <w:szCs w:val="18"/>
        </w:rPr>
        <w:t>17</w:t>
      </w:r>
      <w:r>
        <w:rPr>
          <w:sz w:val="18"/>
          <w:szCs w:val="18"/>
        </w:rPr>
        <w:t xml:space="preserve"> per motor</w:t>
      </w:r>
      <w:r w:rsidRPr="00AC108E">
        <w:rPr>
          <w:sz w:val="18"/>
          <w:szCs w:val="18"/>
        </w:rPr>
        <w:t xml:space="preserve"> op jaarbasis. Een amendement om deze verhogingen ongedaan te maken is door uw Kamer verworpen. Er zijn </w:t>
      </w:r>
      <w:r>
        <w:rPr>
          <w:sz w:val="18"/>
          <w:szCs w:val="18"/>
        </w:rPr>
        <w:t>ook anderszins geen</w:t>
      </w:r>
      <w:r w:rsidRPr="00AC108E">
        <w:rPr>
          <w:sz w:val="18"/>
          <w:szCs w:val="18"/>
        </w:rPr>
        <w:t xml:space="preserve"> nieuwe ontwikkelingen of onderzoeken die aanleiding geven om deze verhogingen te heroverwegen.</w:t>
      </w:r>
    </w:p>
    <w:p w:rsidR="00E8783B" w:rsidP="00781CF8" w:rsidRDefault="00E8783B">
      <w:pPr>
        <w:spacing w:after="0"/>
        <w:rPr>
          <w:sz w:val="18"/>
          <w:szCs w:val="18"/>
        </w:rPr>
      </w:pPr>
      <w:r w:rsidRPr="00AC108E">
        <w:rPr>
          <w:sz w:val="18"/>
          <w:szCs w:val="18"/>
        </w:rPr>
        <w:t xml:space="preserve">Voor bromfietsen en scooters is in het kader van de </w:t>
      </w:r>
      <w:r w:rsidR="002534D4">
        <w:rPr>
          <w:sz w:val="18"/>
          <w:szCs w:val="18"/>
        </w:rPr>
        <w:t xml:space="preserve">zogenoemde </w:t>
      </w:r>
      <w:r w:rsidRPr="00AC108E">
        <w:rPr>
          <w:sz w:val="18"/>
          <w:szCs w:val="18"/>
        </w:rPr>
        <w:t>fiscale vergroeningsbrief</w:t>
      </w:r>
      <w:r>
        <w:rPr>
          <w:rStyle w:val="Voetnootmarkering"/>
          <w:sz w:val="18"/>
          <w:szCs w:val="18"/>
        </w:rPr>
        <w:footnoteReference w:id="29"/>
      </w:r>
      <w:r w:rsidRPr="00AC108E">
        <w:rPr>
          <w:sz w:val="18"/>
          <w:szCs w:val="18"/>
        </w:rPr>
        <w:t xml:space="preserve"> in 2008 onderzocht of een heffing een begaanbare weg was. De conclusie </w:t>
      </w:r>
      <w:r>
        <w:rPr>
          <w:sz w:val="18"/>
          <w:szCs w:val="18"/>
        </w:rPr>
        <w:t>wa</w:t>
      </w:r>
      <w:r w:rsidRPr="00AC108E">
        <w:rPr>
          <w:sz w:val="18"/>
          <w:szCs w:val="18"/>
        </w:rPr>
        <w:t xml:space="preserve">s dat de absolute milieueffecten klein </w:t>
      </w:r>
      <w:r>
        <w:rPr>
          <w:sz w:val="18"/>
          <w:szCs w:val="18"/>
        </w:rPr>
        <w:t>zouden</w:t>
      </w:r>
      <w:r w:rsidRPr="00AC108E">
        <w:rPr>
          <w:sz w:val="18"/>
          <w:szCs w:val="18"/>
        </w:rPr>
        <w:t xml:space="preserve"> zijn en de belastingopbrengst laag, waardoor de uitvoeringskosten relatief hoog </w:t>
      </w:r>
      <w:r>
        <w:rPr>
          <w:sz w:val="18"/>
          <w:szCs w:val="18"/>
        </w:rPr>
        <w:t xml:space="preserve">zouden </w:t>
      </w:r>
      <w:r w:rsidRPr="00AC108E">
        <w:rPr>
          <w:sz w:val="18"/>
          <w:szCs w:val="18"/>
        </w:rPr>
        <w:t>zijn. Mijn ambtsvoorganger heeft om die redenen afgezien van de introductie van een brom</w:t>
      </w:r>
      <w:r>
        <w:rPr>
          <w:sz w:val="18"/>
          <w:szCs w:val="18"/>
        </w:rPr>
        <w:t>fiets</w:t>
      </w:r>
      <w:r w:rsidRPr="00AC108E">
        <w:rPr>
          <w:sz w:val="18"/>
          <w:szCs w:val="18"/>
        </w:rPr>
        <w:t>belasting. Ik zie geen aanleiding daar nu anders over te oordelen.</w:t>
      </w:r>
    </w:p>
    <w:p w:rsidR="00C31F34" w:rsidP="00781CF8" w:rsidRDefault="00C31F34">
      <w:pPr>
        <w:spacing w:after="0"/>
        <w:rPr>
          <w:sz w:val="18"/>
          <w:szCs w:val="18"/>
        </w:rPr>
      </w:pPr>
    </w:p>
    <w:p w:rsidRPr="002C667E" w:rsidR="00B53E22" w:rsidP="002C667E" w:rsidRDefault="00B53E22">
      <w:pPr>
        <w:spacing w:after="0" w:line="240" w:lineRule="atLeast"/>
        <w:rPr>
          <w:sz w:val="18"/>
          <w:szCs w:val="18"/>
        </w:rPr>
      </w:pPr>
    </w:p>
    <w:p w:rsidR="00B53E22" w:rsidP="00781CF8" w:rsidRDefault="00B53E22">
      <w:pPr>
        <w:pStyle w:val="Kop1"/>
        <w:spacing w:before="0"/>
        <w:rPr>
          <w:sz w:val="18"/>
          <w:szCs w:val="18"/>
        </w:rPr>
      </w:pPr>
    </w:p>
    <w:p w:rsidRPr="00FE4A12" w:rsidR="0017206D" w:rsidP="00781CF8" w:rsidRDefault="0017206D">
      <w:pPr>
        <w:spacing w:after="0" w:line="240" w:lineRule="atLeast"/>
        <w:rPr>
          <w:sz w:val="18"/>
          <w:szCs w:val="18"/>
        </w:rPr>
      </w:pPr>
    </w:p>
    <w:sectPr w:rsidRPr="00FE4A12" w:rsidR="0017206D" w:rsidSect="00D57788">
      <w:footerReference w:type="default" r:id="rId14"/>
      <w:pgSz w:w="11906" w:h="16838"/>
      <w:pgMar w:top="1417" w:right="1417" w:bottom="1417" w:left="1418" w:header="708" w:footer="708" w:gutter="0"/>
      <w:cols w:space="708"/>
      <w:titlePg/>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F1F" w:rsidRDefault="00150F1F" w:rsidP="00F3556F">
      <w:pPr>
        <w:spacing w:after="0" w:line="240" w:lineRule="auto"/>
      </w:pPr>
      <w:r>
        <w:separator/>
      </w:r>
    </w:p>
  </w:endnote>
  <w:endnote w:type="continuationSeparator" w:id="0">
    <w:p w:rsidR="00150F1F" w:rsidRDefault="00150F1F" w:rsidP="00F35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Univers">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C02" w:rsidRDefault="00B07C02">
    <w:pPr>
      <w:pStyle w:val="Voettekst"/>
      <w:jc w:val="right"/>
    </w:pPr>
    <w:r w:rsidRPr="00185AED">
      <w:rPr>
        <w:sz w:val="16"/>
        <w:szCs w:val="16"/>
      </w:rPr>
      <w:t xml:space="preserve">Pagina </w:t>
    </w:r>
    <w:r w:rsidR="00531060" w:rsidRPr="00185AED">
      <w:rPr>
        <w:b/>
        <w:sz w:val="16"/>
        <w:szCs w:val="16"/>
      </w:rPr>
      <w:fldChar w:fldCharType="begin"/>
    </w:r>
    <w:r w:rsidRPr="00185AED">
      <w:rPr>
        <w:b/>
        <w:sz w:val="16"/>
        <w:szCs w:val="16"/>
      </w:rPr>
      <w:instrText>PAGE</w:instrText>
    </w:r>
    <w:r w:rsidR="00531060" w:rsidRPr="00185AED">
      <w:rPr>
        <w:b/>
        <w:sz w:val="16"/>
        <w:szCs w:val="16"/>
      </w:rPr>
      <w:fldChar w:fldCharType="separate"/>
    </w:r>
    <w:r w:rsidR="00BD2C77">
      <w:rPr>
        <w:b/>
        <w:noProof/>
        <w:sz w:val="16"/>
        <w:szCs w:val="16"/>
      </w:rPr>
      <w:t>2</w:t>
    </w:r>
    <w:r w:rsidR="00531060" w:rsidRPr="00185AED">
      <w:rPr>
        <w:b/>
        <w:sz w:val="16"/>
        <w:szCs w:val="16"/>
      </w:rPr>
      <w:fldChar w:fldCharType="end"/>
    </w:r>
    <w:r w:rsidRPr="00185AED">
      <w:rPr>
        <w:sz w:val="16"/>
        <w:szCs w:val="16"/>
      </w:rPr>
      <w:t xml:space="preserve"> van </w:t>
    </w:r>
    <w:r w:rsidR="00531060" w:rsidRPr="00185AED">
      <w:rPr>
        <w:b/>
        <w:sz w:val="16"/>
        <w:szCs w:val="16"/>
      </w:rPr>
      <w:fldChar w:fldCharType="begin"/>
    </w:r>
    <w:r w:rsidRPr="00185AED">
      <w:rPr>
        <w:b/>
        <w:sz w:val="16"/>
        <w:szCs w:val="16"/>
      </w:rPr>
      <w:instrText>NUMPAGES</w:instrText>
    </w:r>
    <w:r w:rsidR="00531060" w:rsidRPr="00185AED">
      <w:rPr>
        <w:b/>
        <w:sz w:val="16"/>
        <w:szCs w:val="16"/>
      </w:rPr>
      <w:fldChar w:fldCharType="separate"/>
    </w:r>
    <w:r w:rsidR="00BD2C77">
      <w:rPr>
        <w:b/>
        <w:noProof/>
        <w:sz w:val="16"/>
        <w:szCs w:val="16"/>
      </w:rPr>
      <w:t>3</w:t>
    </w:r>
    <w:r w:rsidR="00531060" w:rsidRPr="00185AED">
      <w:rPr>
        <w:b/>
        <w:sz w:val="16"/>
        <w:szCs w:val="16"/>
      </w:rPr>
      <w:fldChar w:fldCharType="end"/>
    </w:r>
  </w:p>
  <w:p w:rsidR="00B07C02" w:rsidRDefault="00B07C0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F1F" w:rsidRDefault="00150F1F" w:rsidP="00F3556F">
      <w:pPr>
        <w:spacing w:after="0" w:line="240" w:lineRule="auto"/>
      </w:pPr>
      <w:r>
        <w:separator/>
      </w:r>
    </w:p>
  </w:footnote>
  <w:footnote w:type="continuationSeparator" w:id="0">
    <w:p w:rsidR="00150F1F" w:rsidRDefault="00150F1F" w:rsidP="00F3556F">
      <w:pPr>
        <w:spacing w:after="0" w:line="240" w:lineRule="auto"/>
      </w:pPr>
      <w:r>
        <w:continuationSeparator/>
      </w:r>
    </w:p>
  </w:footnote>
  <w:footnote w:id="1">
    <w:p w:rsidR="00B07C02" w:rsidRDefault="00B07C02" w:rsidP="004D61FB">
      <w:pPr>
        <w:pStyle w:val="Voetnoottekst"/>
      </w:pPr>
      <w:r w:rsidRPr="00BE5CE0">
        <w:rPr>
          <w:rStyle w:val="Voetnootmarkering"/>
          <w:sz w:val="16"/>
          <w:szCs w:val="16"/>
        </w:rPr>
        <w:footnoteRef/>
      </w:r>
      <w:r>
        <w:t xml:space="preserve"> </w:t>
      </w:r>
      <w:r w:rsidRPr="00B53E22">
        <w:rPr>
          <w:sz w:val="16"/>
          <w:szCs w:val="16"/>
        </w:rPr>
        <w:t>Kamerstuk</w:t>
      </w:r>
      <w:r>
        <w:rPr>
          <w:sz w:val="16"/>
          <w:szCs w:val="16"/>
        </w:rPr>
        <w:t>ken II vergaderjaar 2010-2011,</w:t>
      </w:r>
      <w:r w:rsidRPr="00B53E22">
        <w:rPr>
          <w:sz w:val="16"/>
          <w:szCs w:val="16"/>
        </w:rPr>
        <w:t xml:space="preserve"> 32740 nr. 1</w:t>
      </w:r>
      <w:r>
        <w:rPr>
          <w:sz w:val="16"/>
          <w:szCs w:val="16"/>
        </w:rPr>
        <w:t>.</w:t>
      </w:r>
    </w:p>
  </w:footnote>
  <w:footnote w:id="2">
    <w:p w:rsidR="00B07C02" w:rsidRPr="003A4E6F" w:rsidRDefault="00B07C02" w:rsidP="001351DF">
      <w:pPr>
        <w:pStyle w:val="Voetnoottekst"/>
        <w:rPr>
          <w:sz w:val="16"/>
          <w:szCs w:val="16"/>
        </w:rPr>
      </w:pPr>
      <w:r w:rsidRPr="003A4E6F">
        <w:rPr>
          <w:rStyle w:val="Voetnootmarkering"/>
          <w:sz w:val="16"/>
          <w:szCs w:val="16"/>
        </w:rPr>
        <w:footnoteRef/>
      </w:r>
      <w:r w:rsidRPr="003A4E6F">
        <w:rPr>
          <w:sz w:val="16"/>
          <w:szCs w:val="16"/>
        </w:rPr>
        <w:t xml:space="preserve"> Ecorys, Fiscale stimulering (zeer)</w:t>
      </w:r>
      <w:r>
        <w:rPr>
          <w:sz w:val="16"/>
          <w:szCs w:val="16"/>
        </w:rPr>
        <w:t xml:space="preserve"> </w:t>
      </w:r>
      <w:r w:rsidRPr="003A4E6F">
        <w:rPr>
          <w:sz w:val="16"/>
          <w:szCs w:val="16"/>
        </w:rPr>
        <w:t xml:space="preserve">zuinige auto’s, </w:t>
      </w:r>
      <w:r>
        <w:rPr>
          <w:sz w:val="16"/>
          <w:szCs w:val="16"/>
        </w:rPr>
        <w:t>mei</w:t>
      </w:r>
      <w:r w:rsidRPr="003A4E6F">
        <w:rPr>
          <w:sz w:val="16"/>
          <w:szCs w:val="16"/>
        </w:rPr>
        <w:t xml:space="preserve"> 2011. </w:t>
      </w:r>
    </w:p>
  </w:footnote>
  <w:footnote w:id="3">
    <w:p w:rsidR="00B07C02" w:rsidRPr="00010ADF" w:rsidRDefault="00B07C02" w:rsidP="005A2C8C">
      <w:pPr>
        <w:pStyle w:val="Voetnoottekst"/>
        <w:rPr>
          <w:sz w:val="13"/>
          <w:szCs w:val="13"/>
        </w:rPr>
      </w:pPr>
      <w:r w:rsidRPr="003A4E6F">
        <w:rPr>
          <w:rStyle w:val="Voetnootmarkering"/>
          <w:sz w:val="16"/>
          <w:szCs w:val="16"/>
        </w:rPr>
        <w:footnoteRef/>
      </w:r>
      <w:r w:rsidRPr="003A4E6F">
        <w:rPr>
          <w:sz w:val="16"/>
          <w:szCs w:val="16"/>
        </w:rPr>
        <w:t xml:space="preserve"> Aanhangsel Handelingen II, vergaderjaar 2010–2011, nr. 1590</w:t>
      </w:r>
      <w:r>
        <w:rPr>
          <w:sz w:val="16"/>
          <w:szCs w:val="16"/>
        </w:rPr>
        <w:t>.</w:t>
      </w:r>
    </w:p>
  </w:footnote>
  <w:footnote w:id="4">
    <w:p w:rsidR="00B07C02" w:rsidRPr="0003388D" w:rsidRDefault="00B07C02" w:rsidP="00F3794B">
      <w:pPr>
        <w:spacing w:line="240" w:lineRule="auto"/>
        <w:rPr>
          <w:sz w:val="16"/>
          <w:szCs w:val="16"/>
        </w:rPr>
      </w:pPr>
      <w:r w:rsidRPr="0003388D">
        <w:rPr>
          <w:rStyle w:val="Voetnootmarkering"/>
          <w:sz w:val="16"/>
          <w:szCs w:val="16"/>
        </w:rPr>
        <w:footnoteRef/>
      </w:r>
      <w:r w:rsidRPr="0003388D">
        <w:rPr>
          <w:sz w:val="16"/>
          <w:szCs w:val="16"/>
        </w:rPr>
        <w:t xml:space="preserve"> Voorstel voor een richtlijn van de Raad houdende wijziging van Richtlijn 2003/96/EG tot herstructurering van de communautaire regeling voor de belasting van energieproducten en elektriciteit</w:t>
      </w:r>
      <w:r>
        <w:rPr>
          <w:sz w:val="16"/>
          <w:szCs w:val="16"/>
        </w:rPr>
        <w:t>.</w:t>
      </w:r>
    </w:p>
    <w:p w:rsidR="00B07C02" w:rsidRPr="0003388D" w:rsidRDefault="00B07C02" w:rsidP="00F3794B">
      <w:pPr>
        <w:pStyle w:val="Voetnoottekst"/>
      </w:pPr>
    </w:p>
  </w:footnote>
  <w:footnote w:id="5">
    <w:p w:rsidR="00B07C02" w:rsidRPr="00521E08" w:rsidRDefault="00B07C02" w:rsidP="00DD7257">
      <w:pPr>
        <w:pStyle w:val="Voetnoottekst"/>
        <w:rPr>
          <w:sz w:val="16"/>
          <w:szCs w:val="16"/>
          <w:lang w:val="en-US"/>
        </w:rPr>
      </w:pPr>
      <w:r w:rsidRPr="00521E08">
        <w:rPr>
          <w:rStyle w:val="Voetnootmarkering"/>
          <w:sz w:val="16"/>
          <w:szCs w:val="16"/>
        </w:rPr>
        <w:footnoteRef/>
      </w:r>
      <w:r w:rsidRPr="00521E08">
        <w:rPr>
          <w:sz w:val="16"/>
          <w:szCs w:val="16"/>
          <w:lang w:val="en-US"/>
        </w:rPr>
        <w:t xml:space="preserve"> COM(2010) 186 final, A European strategy on clean and energy efficient vehicles.</w:t>
      </w:r>
    </w:p>
  </w:footnote>
  <w:footnote w:id="6">
    <w:p w:rsidR="00B07C02" w:rsidRPr="00521E08" w:rsidRDefault="00B07C02" w:rsidP="00DD7257">
      <w:pPr>
        <w:pStyle w:val="Voetnoottekst"/>
        <w:rPr>
          <w:sz w:val="16"/>
          <w:szCs w:val="16"/>
        </w:rPr>
      </w:pPr>
      <w:r w:rsidRPr="00521E08">
        <w:rPr>
          <w:rStyle w:val="Voetnootmarkering"/>
          <w:sz w:val="16"/>
          <w:szCs w:val="16"/>
        </w:rPr>
        <w:footnoteRef/>
      </w:r>
      <w:r>
        <w:rPr>
          <w:sz w:val="16"/>
          <w:szCs w:val="16"/>
        </w:rPr>
        <w:t xml:space="preserve"> ‘CO</w:t>
      </w:r>
      <w:r w:rsidRPr="00276DC1">
        <w:rPr>
          <w:sz w:val="16"/>
          <w:szCs w:val="16"/>
          <w:vertAlign w:val="subscript"/>
        </w:rPr>
        <w:t>2</w:t>
      </w:r>
      <w:r>
        <w:rPr>
          <w:sz w:val="16"/>
          <w:szCs w:val="16"/>
        </w:rPr>
        <w:t>-uitstoot van personenwagens in norm en praktijk’, TNO in opdracht van DGM-VROM, 19 januari 2010.</w:t>
      </w:r>
    </w:p>
  </w:footnote>
  <w:footnote w:id="7">
    <w:p w:rsidR="00B07C02" w:rsidRPr="00521E08" w:rsidRDefault="00B07C02">
      <w:pPr>
        <w:pStyle w:val="Voetnoottekst"/>
        <w:rPr>
          <w:sz w:val="16"/>
          <w:szCs w:val="16"/>
        </w:rPr>
      </w:pPr>
      <w:r w:rsidRPr="00AC16A6">
        <w:rPr>
          <w:rStyle w:val="Voetnootmarkering"/>
          <w:sz w:val="16"/>
          <w:szCs w:val="16"/>
        </w:rPr>
        <w:footnoteRef/>
      </w:r>
      <w:r w:rsidRPr="00AC16A6">
        <w:rPr>
          <w:sz w:val="16"/>
          <w:szCs w:val="16"/>
        </w:rPr>
        <w:t xml:space="preserve"> Een differentiatie in deze belastingen zou zijn gebaseerd op het veronderstelde gebruik van bijvoorbeeld groen gas. Het tanken van groen gas is echter allerminst zeker. Bij gebruik van benzine ontstaat ineens een ander plaatje, een plaatje waarbij de differentiatie ten onrechte zou zijn/worden verleend.</w:t>
      </w:r>
    </w:p>
  </w:footnote>
  <w:footnote w:id="8">
    <w:p w:rsidR="00B07C02" w:rsidRDefault="00B07C02" w:rsidP="00EF6456">
      <w:pPr>
        <w:pStyle w:val="Voetnoottekst"/>
      </w:pPr>
      <w:r>
        <w:rPr>
          <w:rStyle w:val="Voetnootmarkering"/>
        </w:rPr>
        <w:footnoteRef/>
      </w:r>
      <w:r>
        <w:t xml:space="preserve"> </w:t>
      </w:r>
      <w:r>
        <w:rPr>
          <w:sz w:val="16"/>
          <w:szCs w:val="16"/>
        </w:rPr>
        <w:t>Kamerstukken II 2009/10, 31 209, nr. 120</w:t>
      </w:r>
      <w:r w:rsidRPr="00D41185">
        <w:rPr>
          <w:sz w:val="16"/>
          <w:szCs w:val="16"/>
        </w:rPr>
        <w:t>.</w:t>
      </w:r>
    </w:p>
  </w:footnote>
  <w:footnote w:id="9">
    <w:p w:rsidR="00B07C02" w:rsidRPr="00193A5D" w:rsidRDefault="00B07C02" w:rsidP="002B58DF">
      <w:pPr>
        <w:pStyle w:val="Voetnoottekst"/>
        <w:rPr>
          <w:sz w:val="16"/>
          <w:szCs w:val="16"/>
          <w:lang w:val="en-US"/>
        </w:rPr>
      </w:pPr>
      <w:r w:rsidRPr="007A0D65">
        <w:rPr>
          <w:rStyle w:val="Voetnootmarkering"/>
          <w:sz w:val="16"/>
          <w:szCs w:val="16"/>
        </w:rPr>
        <w:footnoteRef/>
      </w:r>
      <w:r w:rsidRPr="007A0D65">
        <w:rPr>
          <w:sz w:val="16"/>
          <w:szCs w:val="16"/>
        </w:rPr>
        <w:t xml:space="preserve"> Segment A betreft het mini/small segment (bijv.</w:t>
      </w:r>
      <w:r w:rsidRPr="00D53757">
        <w:rPr>
          <w:sz w:val="16"/>
          <w:szCs w:val="16"/>
        </w:rPr>
        <w:t xml:space="preserve"> </w:t>
      </w:r>
      <w:r w:rsidRPr="00193A5D">
        <w:rPr>
          <w:sz w:val="16"/>
          <w:szCs w:val="16"/>
          <w:lang w:val="en-US"/>
        </w:rPr>
        <w:t>Toyota Aygo, Citroën C1, Fiat Panda)</w:t>
      </w:r>
      <w:r>
        <w:rPr>
          <w:sz w:val="16"/>
          <w:szCs w:val="16"/>
          <w:lang w:val="en-US"/>
        </w:rPr>
        <w:t>;</w:t>
      </w:r>
    </w:p>
    <w:p w:rsidR="00B07C02" w:rsidRDefault="00B07C02" w:rsidP="002B58DF">
      <w:pPr>
        <w:pStyle w:val="Voetnoottekst"/>
        <w:rPr>
          <w:sz w:val="16"/>
          <w:szCs w:val="16"/>
        </w:rPr>
      </w:pPr>
      <w:r w:rsidRPr="007A0D65">
        <w:rPr>
          <w:sz w:val="16"/>
          <w:szCs w:val="16"/>
        </w:rPr>
        <w:t>Segment B betreft het city/compact segment (bijv. VW Polo, Opel Corsa, Peugeot 207)</w:t>
      </w:r>
      <w:r>
        <w:rPr>
          <w:sz w:val="16"/>
          <w:szCs w:val="16"/>
        </w:rPr>
        <w:t>;</w:t>
      </w:r>
    </w:p>
    <w:p w:rsidR="00B07C02" w:rsidRDefault="00B07C02" w:rsidP="002B58DF">
      <w:pPr>
        <w:pStyle w:val="Voetnoottekst"/>
        <w:rPr>
          <w:sz w:val="16"/>
          <w:szCs w:val="16"/>
        </w:rPr>
      </w:pPr>
      <w:r w:rsidRPr="007A0D65">
        <w:rPr>
          <w:sz w:val="16"/>
          <w:szCs w:val="16"/>
        </w:rPr>
        <w:t>Segment C betreft het kleine midden segment (bijv. VW Golf, Opel Astra, Ford Focus)</w:t>
      </w:r>
      <w:r>
        <w:rPr>
          <w:sz w:val="16"/>
          <w:szCs w:val="16"/>
        </w:rPr>
        <w:t>;</w:t>
      </w:r>
    </w:p>
    <w:p w:rsidR="00B07C02" w:rsidRPr="00267D45" w:rsidRDefault="00B07C02" w:rsidP="002B58DF">
      <w:pPr>
        <w:pStyle w:val="Voetnoottekst"/>
        <w:rPr>
          <w:sz w:val="16"/>
          <w:szCs w:val="16"/>
        </w:rPr>
      </w:pPr>
      <w:r w:rsidRPr="007A0D65">
        <w:rPr>
          <w:sz w:val="16"/>
          <w:szCs w:val="16"/>
        </w:rPr>
        <w:t>Segment D+ betreft het grote midden segment (bijv. VW Passat, Audi A4) en alles daarboven.</w:t>
      </w:r>
    </w:p>
  </w:footnote>
  <w:footnote w:id="10">
    <w:p w:rsidR="00B07C02" w:rsidRPr="0030204F" w:rsidRDefault="00B07C02" w:rsidP="00371A7F">
      <w:pPr>
        <w:pStyle w:val="Voetnoottekst"/>
        <w:rPr>
          <w:sz w:val="16"/>
          <w:szCs w:val="16"/>
        </w:rPr>
      </w:pPr>
      <w:r w:rsidRPr="0030204F">
        <w:rPr>
          <w:rStyle w:val="Voetnootmarkering"/>
          <w:sz w:val="16"/>
          <w:szCs w:val="16"/>
        </w:rPr>
        <w:footnoteRef/>
      </w:r>
      <w:r w:rsidRPr="0030204F">
        <w:rPr>
          <w:sz w:val="16"/>
          <w:szCs w:val="16"/>
        </w:rPr>
        <w:t xml:space="preserve"> De</w:t>
      </w:r>
      <w:r>
        <w:rPr>
          <w:sz w:val="16"/>
          <w:szCs w:val="16"/>
        </w:rPr>
        <w:t xml:space="preserve"> door Ecorys voorziene </w:t>
      </w:r>
      <w:r w:rsidRPr="0030204F">
        <w:rPr>
          <w:sz w:val="16"/>
          <w:szCs w:val="16"/>
        </w:rPr>
        <w:t xml:space="preserve"> </w:t>
      </w:r>
      <w:r>
        <w:rPr>
          <w:sz w:val="16"/>
          <w:szCs w:val="16"/>
        </w:rPr>
        <w:t xml:space="preserve">jaarlijkse </w:t>
      </w:r>
      <w:r w:rsidRPr="0030204F">
        <w:rPr>
          <w:sz w:val="16"/>
          <w:szCs w:val="16"/>
        </w:rPr>
        <w:t>daling van de CO</w:t>
      </w:r>
      <w:r w:rsidRPr="0030204F">
        <w:rPr>
          <w:sz w:val="16"/>
          <w:szCs w:val="16"/>
          <w:vertAlign w:val="subscript"/>
        </w:rPr>
        <w:t>2</w:t>
      </w:r>
      <w:r w:rsidRPr="0030204F">
        <w:rPr>
          <w:sz w:val="16"/>
          <w:szCs w:val="16"/>
        </w:rPr>
        <w:t>-uitstoot voor nieuw verkochte personenauto</w:t>
      </w:r>
      <w:r>
        <w:rPr>
          <w:sz w:val="16"/>
          <w:szCs w:val="16"/>
        </w:rPr>
        <w:t>’</w:t>
      </w:r>
      <w:r w:rsidRPr="0030204F">
        <w:rPr>
          <w:sz w:val="16"/>
          <w:szCs w:val="16"/>
        </w:rPr>
        <w:t xml:space="preserve">s </w:t>
      </w:r>
      <w:r>
        <w:rPr>
          <w:sz w:val="16"/>
          <w:szCs w:val="16"/>
        </w:rPr>
        <w:t xml:space="preserve">voor de periode 2012 – 2015 </w:t>
      </w:r>
      <w:r w:rsidRPr="0030204F">
        <w:rPr>
          <w:sz w:val="16"/>
          <w:szCs w:val="16"/>
        </w:rPr>
        <w:t xml:space="preserve">(zie paragraaf </w:t>
      </w:r>
      <w:r>
        <w:rPr>
          <w:sz w:val="16"/>
          <w:szCs w:val="16"/>
        </w:rPr>
        <w:t>7.1</w:t>
      </w:r>
      <w:r w:rsidRPr="0030204F">
        <w:rPr>
          <w:sz w:val="16"/>
          <w:szCs w:val="16"/>
        </w:rPr>
        <w:t xml:space="preserve"> van het Ecorys-rapport)</w:t>
      </w:r>
      <w:r>
        <w:rPr>
          <w:sz w:val="16"/>
          <w:szCs w:val="16"/>
        </w:rPr>
        <w:t>.</w:t>
      </w:r>
    </w:p>
  </w:footnote>
  <w:footnote w:id="11">
    <w:p w:rsidR="00B07C02" w:rsidRPr="00B2046D" w:rsidRDefault="00B07C02">
      <w:pPr>
        <w:pStyle w:val="Voetnoottekst"/>
        <w:rPr>
          <w:sz w:val="16"/>
          <w:szCs w:val="16"/>
        </w:rPr>
      </w:pPr>
      <w:r w:rsidRPr="00B2046D">
        <w:rPr>
          <w:rStyle w:val="Voetnootmarkering"/>
          <w:sz w:val="16"/>
          <w:szCs w:val="16"/>
        </w:rPr>
        <w:footnoteRef/>
      </w:r>
      <w:r w:rsidRPr="00B2046D">
        <w:rPr>
          <w:sz w:val="16"/>
          <w:szCs w:val="16"/>
        </w:rPr>
        <w:t xml:space="preserve"> Motie Cramer c.s. - Kamerstukken II 2007/08, 31 205, nr. 44</w:t>
      </w:r>
    </w:p>
  </w:footnote>
  <w:footnote w:id="12">
    <w:p w:rsidR="00B07C02" w:rsidRPr="00242F9D" w:rsidRDefault="00B07C02" w:rsidP="00242F9D">
      <w:pPr>
        <w:pStyle w:val="Voetnoottekst"/>
        <w:rPr>
          <w:sz w:val="16"/>
          <w:szCs w:val="16"/>
        </w:rPr>
      </w:pPr>
      <w:r w:rsidRPr="00242F9D">
        <w:rPr>
          <w:rStyle w:val="Voetnootmarkering"/>
          <w:sz w:val="16"/>
          <w:szCs w:val="16"/>
        </w:rPr>
        <w:footnoteRef/>
      </w:r>
      <w:r w:rsidRPr="00242F9D">
        <w:rPr>
          <w:sz w:val="16"/>
          <w:szCs w:val="16"/>
        </w:rPr>
        <w:t xml:space="preserve"> Te corrigeren naar de in de Miljoenennota 2012 opgenomen raming voor de BPM-opbrengst 201</w:t>
      </w:r>
      <w:r>
        <w:rPr>
          <w:sz w:val="16"/>
          <w:szCs w:val="16"/>
        </w:rPr>
        <w:t>1</w:t>
      </w:r>
    </w:p>
  </w:footnote>
  <w:footnote w:id="13">
    <w:p w:rsidR="00B07C02" w:rsidRPr="00C61C11" w:rsidRDefault="00B07C02" w:rsidP="00C61C11">
      <w:pPr>
        <w:pStyle w:val="Voetnoottekst"/>
        <w:rPr>
          <w:sz w:val="16"/>
          <w:szCs w:val="16"/>
        </w:rPr>
      </w:pPr>
      <w:r w:rsidRPr="00BE5CE0">
        <w:rPr>
          <w:rStyle w:val="Voetnootmarkering"/>
          <w:sz w:val="16"/>
          <w:szCs w:val="16"/>
        </w:rPr>
        <w:footnoteRef/>
      </w:r>
      <w:r w:rsidRPr="00BE5CE0">
        <w:rPr>
          <w:sz w:val="16"/>
          <w:szCs w:val="16"/>
        </w:rPr>
        <w:t xml:space="preserve"> </w:t>
      </w:r>
      <w:r w:rsidRPr="00C61C11">
        <w:rPr>
          <w:sz w:val="16"/>
          <w:szCs w:val="16"/>
        </w:rPr>
        <w:t>Richtlijn 2003/96/EG van de Raad van 27 oktober 2003 (PbEU 2003, L283)</w:t>
      </w:r>
      <w:r>
        <w:rPr>
          <w:sz w:val="16"/>
          <w:szCs w:val="16"/>
        </w:rPr>
        <w:t>.</w:t>
      </w:r>
    </w:p>
  </w:footnote>
  <w:footnote w:id="14">
    <w:p w:rsidR="00B07C02" w:rsidRPr="00C61C11" w:rsidRDefault="00B07C02" w:rsidP="00C61C11">
      <w:pPr>
        <w:pStyle w:val="Voetnoottekst"/>
        <w:rPr>
          <w:sz w:val="16"/>
          <w:szCs w:val="16"/>
          <w:lang w:val="en-US"/>
        </w:rPr>
      </w:pPr>
      <w:r w:rsidRPr="00BE5CE0">
        <w:rPr>
          <w:rStyle w:val="Voetnootmarkering"/>
          <w:sz w:val="16"/>
          <w:szCs w:val="16"/>
        </w:rPr>
        <w:footnoteRef/>
      </w:r>
      <w:r w:rsidRPr="00BE5CE0">
        <w:rPr>
          <w:sz w:val="16"/>
          <w:szCs w:val="16"/>
          <w:lang w:val="en-US"/>
        </w:rPr>
        <w:t xml:space="preserve"> </w:t>
      </w:r>
      <w:r w:rsidRPr="00C61C11">
        <w:rPr>
          <w:sz w:val="16"/>
          <w:szCs w:val="16"/>
          <w:lang w:val="en-US"/>
        </w:rPr>
        <w:t>bron: EU Excise Duty Tables per 1 januari 2011</w:t>
      </w:r>
      <w:r>
        <w:rPr>
          <w:sz w:val="16"/>
          <w:szCs w:val="16"/>
          <w:lang w:val="en-US"/>
        </w:rPr>
        <w:t>.</w:t>
      </w:r>
    </w:p>
  </w:footnote>
  <w:footnote w:id="15">
    <w:p w:rsidR="00B07C02" w:rsidRPr="00C61C11" w:rsidRDefault="00B07C02" w:rsidP="00C61C11">
      <w:pPr>
        <w:pStyle w:val="Voetnoottekst"/>
        <w:rPr>
          <w:sz w:val="16"/>
          <w:szCs w:val="16"/>
          <w:lang w:val="en-US"/>
        </w:rPr>
      </w:pPr>
      <w:r w:rsidRPr="00BE5CE0">
        <w:rPr>
          <w:rStyle w:val="Voetnootmarkering"/>
          <w:sz w:val="16"/>
          <w:szCs w:val="16"/>
        </w:rPr>
        <w:footnoteRef/>
      </w:r>
      <w:r w:rsidRPr="00BE5CE0">
        <w:rPr>
          <w:sz w:val="16"/>
          <w:szCs w:val="16"/>
          <w:lang w:val="en-US"/>
        </w:rPr>
        <w:t xml:space="preserve"> </w:t>
      </w:r>
      <w:r w:rsidRPr="00C61C11">
        <w:rPr>
          <w:sz w:val="16"/>
          <w:szCs w:val="16"/>
          <w:lang w:val="en-US"/>
        </w:rPr>
        <w:t>bron: www.brandstofprijzen.info</w:t>
      </w:r>
      <w:r>
        <w:rPr>
          <w:sz w:val="16"/>
          <w:szCs w:val="16"/>
          <w:lang w:val="en-US"/>
        </w:rPr>
        <w:t>.</w:t>
      </w:r>
    </w:p>
  </w:footnote>
  <w:footnote w:id="16">
    <w:p w:rsidR="00B07C02" w:rsidRPr="00C61C11" w:rsidRDefault="00B07C02" w:rsidP="00EF6456">
      <w:pPr>
        <w:pStyle w:val="Voetnoottekst"/>
        <w:rPr>
          <w:sz w:val="16"/>
          <w:szCs w:val="16"/>
          <w:lang w:val="en-US"/>
        </w:rPr>
      </w:pPr>
      <w:r w:rsidRPr="00BE5CE0">
        <w:rPr>
          <w:rStyle w:val="Voetnootmarkering"/>
          <w:sz w:val="16"/>
          <w:szCs w:val="16"/>
        </w:rPr>
        <w:footnoteRef/>
      </w:r>
      <w:r w:rsidRPr="00BE5CE0">
        <w:rPr>
          <w:sz w:val="16"/>
          <w:szCs w:val="16"/>
          <w:lang w:val="en-US"/>
        </w:rPr>
        <w:t xml:space="preserve"> </w:t>
      </w:r>
      <w:r>
        <w:rPr>
          <w:sz w:val="16"/>
          <w:szCs w:val="16"/>
          <w:lang w:val="en-US"/>
        </w:rPr>
        <w:t>B</w:t>
      </w:r>
      <w:r w:rsidRPr="00C61C11">
        <w:rPr>
          <w:sz w:val="16"/>
          <w:szCs w:val="16"/>
          <w:lang w:val="en-US"/>
        </w:rPr>
        <w:t>ron: EU Excise Duty Tables per 1 januari 2011</w:t>
      </w:r>
      <w:r>
        <w:rPr>
          <w:sz w:val="16"/>
          <w:szCs w:val="16"/>
          <w:lang w:val="en-US"/>
        </w:rPr>
        <w:t>.</w:t>
      </w:r>
    </w:p>
  </w:footnote>
  <w:footnote w:id="17">
    <w:p w:rsidR="00B07C02" w:rsidRPr="00097717" w:rsidRDefault="00B07C02" w:rsidP="00EF6456">
      <w:pPr>
        <w:pStyle w:val="Voetnoottekst"/>
        <w:rPr>
          <w:sz w:val="13"/>
          <w:szCs w:val="13"/>
        </w:rPr>
      </w:pPr>
      <w:r w:rsidRPr="003A4E6F">
        <w:rPr>
          <w:rStyle w:val="Voetnootmarkering"/>
          <w:sz w:val="16"/>
          <w:szCs w:val="16"/>
        </w:rPr>
        <w:footnoteRef/>
      </w:r>
      <w:r w:rsidRPr="003A4E6F">
        <w:rPr>
          <w:sz w:val="16"/>
          <w:szCs w:val="16"/>
        </w:rPr>
        <w:t xml:space="preserve"> Kamerstukken II 2010/11</w:t>
      </w:r>
      <w:r>
        <w:rPr>
          <w:sz w:val="16"/>
          <w:szCs w:val="16"/>
        </w:rPr>
        <w:t>,</w:t>
      </w:r>
      <w:r w:rsidRPr="003A4E6F">
        <w:rPr>
          <w:sz w:val="16"/>
          <w:szCs w:val="16"/>
        </w:rPr>
        <w:t xml:space="preserve"> 24 036,</w:t>
      </w:r>
      <w:r>
        <w:rPr>
          <w:sz w:val="16"/>
          <w:szCs w:val="16"/>
        </w:rPr>
        <w:t xml:space="preserve"> </w:t>
      </w:r>
      <w:r w:rsidRPr="003A4E6F">
        <w:rPr>
          <w:sz w:val="16"/>
          <w:szCs w:val="16"/>
        </w:rPr>
        <w:t>nr. 385,</w:t>
      </w:r>
      <w:r>
        <w:rPr>
          <w:sz w:val="16"/>
          <w:szCs w:val="16"/>
        </w:rPr>
        <w:t xml:space="preserve"> </w:t>
      </w:r>
      <w:r w:rsidRPr="003A4E6F">
        <w:rPr>
          <w:sz w:val="16"/>
          <w:szCs w:val="16"/>
        </w:rPr>
        <w:t>blz. 35 en 36</w:t>
      </w:r>
      <w:r>
        <w:rPr>
          <w:sz w:val="16"/>
          <w:szCs w:val="16"/>
        </w:rPr>
        <w:t>.</w:t>
      </w:r>
    </w:p>
  </w:footnote>
  <w:footnote w:id="18">
    <w:p w:rsidR="00B07C02" w:rsidRPr="008F1DBE" w:rsidRDefault="00B07C02" w:rsidP="00FF1539">
      <w:pPr>
        <w:pStyle w:val="Voetnoottekst"/>
        <w:rPr>
          <w:sz w:val="16"/>
          <w:szCs w:val="16"/>
        </w:rPr>
      </w:pPr>
      <w:r w:rsidRPr="00BE5CE0">
        <w:rPr>
          <w:rStyle w:val="Voetnootmarkering"/>
          <w:sz w:val="16"/>
          <w:szCs w:val="16"/>
        </w:rPr>
        <w:footnoteRef/>
      </w:r>
      <w:r w:rsidRPr="00BE5CE0">
        <w:rPr>
          <w:sz w:val="16"/>
          <w:szCs w:val="16"/>
        </w:rPr>
        <w:t xml:space="preserve"> Op grond van de Richtlijn energiebelastingen, geïmplementeerd in de Wet op de accijns, is vloeibaar gemaakt methaan een product dat rechtstreeks is gelijkgesteld aan LPG. Voor LNG is dit niet het geval. Indien dit wordt afgeleverd als motorbrandstof is echter het tarief van het gelijkwaardige product van toepassing. Omdat LNG en vloeibaar gemaakt methaan technisch vrijwel identiek zijn, is hierdoor indirect op LNG het accijnstarief van LPG van toepassing.</w:t>
      </w:r>
    </w:p>
  </w:footnote>
  <w:footnote w:id="19">
    <w:p w:rsidR="00B07C02" w:rsidRPr="008010C4" w:rsidRDefault="00B07C02" w:rsidP="00EF6456">
      <w:pPr>
        <w:pStyle w:val="Voetnoottekst"/>
        <w:rPr>
          <w:sz w:val="16"/>
          <w:szCs w:val="16"/>
        </w:rPr>
      </w:pPr>
      <w:r w:rsidRPr="00AC16A6">
        <w:rPr>
          <w:rStyle w:val="Voetnootmarkering"/>
          <w:sz w:val="16"/>
          <w:szCs w:val="16"/>
        </w:rPr>
        <w:footnoteRef/>
      </w:r>
      <w:r w:rsidRPr="00AC16A6">
        <w:rPr>
          <w:sz w:val="16"/>
          <w:szCs w:val="16"/>
        </w:rPr>
        <w:t xml:space="preserve"> </w:t>
      </w:r>
      <w:r>
        <w:rPr>
          <w:sz w:val="16"/>
          <w:szCs w:val="16"/>
        </w:rPr>
        <w:t>Kamerstukken II 2009/10, 32 140, nr. 4.</w:t>
      </w:r>
    </w:p>
  </w:footnote>
  <w:footnote w:id="20">
    <w:p w:rsidR="00B07C02" w:rsidRPr="00BE5F16" w:rsidRDefault="00B07C02" w:rsidP="002534D4">
      <w:pPr>
        <w:pStyle w:val="Voetnoottekst"/>
        <w:rPr>
          <w:sz w:val="16"/>
          <w:szCs w:val="16"/>
        </w:rPr>
      </w:pPr>
      <w:r w:rsidRPr="00BE5F16">
        <w:rPr>
          <w:rStyle w:val="Voetnootmarkering"/>
          <w:sz w:val="16"/>
          <w:szCs w:val="16"/>
        </w:rPr>
        <w:footnoteRef/>
      </w:r>
      <w:r w:rsidRPr="00BE5F16">
        <w:rPr>
          <w:sz w:val="16"/>
          <w:szCs w:val="16"/>
        </w:rPr>
        <w:t xml:space="preserve"> Richtlijn 2009/30/EG van het Europees Parlement en de Raad van 23 april 2009 (PbEU 200</w:t>
      </w:r>
      <w:r>
        <w:rPr>
          <w:sz w:val="16"/>
          <w:szCs w:val="16"/>
        </w:rPr>
        <w:t>9</w:t>
      </w:r>
      <w:r w:rsidRPr="00BE5F16">
        <w:rPr>
          <w:sz w:val="16"/>
          <w:szCs w:val="16"/>
        </w:rPr>
        <w:t>, L140)</w:t>
      </w:r>
      <w:r>
        <w:rPr>
          <w:sz w:val="16"/>
          <w:szCs w:val="16"/>
        </w:rPr>
        <w:t>.</w:t>
      </w:r>
    </w:p>
  </w:footnote>
  <w:footnote w:id="21">
    <w:p w:rsidR="00B07C02" w:rsidRPr="00F26507" w:rsidRDefault="00B07C02" w:rsidP="002534D4">
      <w:pPr>
        <w:pStyle w:val="Voetnoottekst"/>
        <w:rPr>
          <w:sz w:val="16"/>
          <w:szCs w:val="16"/>
        </w:rPr>
      </w:pPr>
      <w:r w:rsidRPr="00BE5CE0">
        <w:rPr>
          <w:rStyle w:val="Voetnootmarkering"/>
          <w:sz w:val="16"/>
          <w:szCs w:val="16"/>
        </w:rPr>
        <w:footnoteRef/>
      </w:r>
      <w:r w:rsidRPr="00BE5CE0">
        <w:rPr>
          <w:sz w:val="16"/>
          <w:szCs w:val="16"/>
        </w:rPr>
        <w:t xml:space="preserve"> Richtlijn 2009/28/EG van het Europees Parlement en de Raad van 23 april</w:t>
      </w:r>
      <w:r>
        <w:rPr>
          <w:sz w:val="16"/>
          <w:szCs w:val="16"/>
        </w:rPr>
        <w:t xml:space="preserve"> 2009 (PbEU 2009, L140).</w:t>
      </w:r>
    </w:p>
  </w:footnote>
  <w:footnote w:id="22">
    <w:p w:rsidR="00B07C02" w:rsidRPr="002534D4" w:rsidRDefault="00B07C02" w:rsidP="002534D4">
      <w:pPr>
        <w:pStyle w:val="Voetnoottekst"/>
        <w:rPr>
          <w:sz w:val="16"/>
          <w:szCs w:val="16"/>
        </w:rPr>
      </w:pPr>
      <w:r w:rsidRPr="00BE5CE0">
        <w:rPr>
          <w:rStyle w:val="Voetnootmarkering"/>
          <w:sz w:val="16"/>
          <w:szCs w:val="16"/>
        </w:rPr>
        <w:footnoteRef/>
      </w:r>
      <w:r w:rsidRPr="00BE5CE0">
        <w:rPr>
          <w:sz w:val="16"/>
          <w:szCs w:val="16"/>
        </w:rPr>
        <w:t xml:space="preserve"> Verdrag inzake de heffing van rechten voor het gebruik van bepaalde wegen door zware vrachtwagens, Stb. 1995, 563.</w:t>
      </w:r>
    </w:p>
  </w:footnote>
  <w:footnote w:id="23">
    <w:p w:rsidR="00B07C02" w:rsidRPr="00331A48" w:rsidRDefault="00B07C02" w:rsidP="00E8783B">
      <w:pPr>
        <w:pStyle w:val="Voetnoottekst"/>
        <w:rPr>
          <w:sz w:val="16"/>
          <w:szCs w:val="16"/>
        </w:rPr>
      </w:pPr>
      <w:r w:rsidRPr="00331A48">
        <w:rPr>
          <w:rStyle w:val="Voetnootmarkering"/>
          <w:sz w:val="16"/>
          <w:szCs w:val="16"/>
        </w:rPr>
        <w:footnoteRef/>
      </w:r>
      <w:r w:rsidRPr="00331A48">
        <w:rPr>
          <w:sz w:val="16"/>
          <w:szCs w:val="16"/>
        </w:rPr>
        <w:t xml:space="preserve"> Een rittenregistratie hoeft niet</w:t>
      </w:r>
      <w:r>
        <w:rPr>
          <w:sz w:val="16"/>
          <w:szCs w:val="16"/>
        </w:rPr>
        <w:t xml:space="preserve"> te worden toegepast als de bestelauto door aard of inrichting (nagenoeg) uitsluitend geschikt is voor het vervoer van goederen. Een rittenregistratie kan ook achterwege blijven in geval een verbod geldt voor werknemers om privé gebruik te maken van de bestelauto van de zaak dan wel als er sprake is van een bestelauto die buiten werktijd niet gebruikt kan worden. Verder is er nog een afkoopregeling voor bestelauto’s die doorlopend afwisselend worden gebruikt door verschillende werknemers en bestaat de mogelijkheid tot een vereenvoudigde rittenregistratie ingeval van een bestelauto van de zaak.</w:t>
      </w:r>
    </w:p>
  </w:footnote>
  <w:footnote w:id="24">
    <w:p w:rsidR="00B07C02" w:rsidRPr="002534D4" w:rsidRDefault="00B07C02" w:rsidP="00BA7DE8">
      <w:pPr>
        <w:pStyle w:val="Voetnoottekst"/>
        <w:rPr>
          <w:sz w:val="16"/>
          <w:szCs w:val="16"/>
        </w:rPr>
      </w:pPr>
      <w:r w:rsidRPr="00BE5CE0">
        <w:rPr>
          <w:rStyle w:val="Voetnootmarkering"/>
          <w:sz w:val="16"/>
          <w:szCs w:val="16"/>
        </w:rPr>
        <w:footnoteRef/>
      </w:r>
      <w:r w:rsidRPr="00BE5CE0">
        <w:rPr>
          <w:sz w:val="16"/>
          <w:szCs w:val="16"/>
        </w:rPr>
        <w:t xml:space="preserve"> </w:t>
      </w:r>
      <w:r w:rsidRPr="002534D4">
        <w:rPr>
          <w:sz w:val="16"/>
          <w:szCs w:val="16"/>
        </w:rPr>
        <w:t>De 500 kilometergrens is destijds vanuit doelmatigheidsredenen ingesteld. De grens van 500 kilometer betekent dat de gevolgen van de bijtelling niet onmiddellijk optreden als per jaar met de auto van de zaak een enkele privérit, bijvoorbeeld voor doktersbezoek, wordt gemaakt. Incidenteel privégebruik (waaronder zogenoemde calamiteitenkilometers) zal daardoor niet leiden tot een volledige forfaitaire bijtelling.</w:t>
      </w:r>
    </w:p>
  </w:footnote>
  <w:footnote w:id="25">
    <w:p w:rsidR="00B07C02" w:rsidRPr="00BE5F16" w:rsidRDefault="00B07C02" w:rsidP="00C31F34">
      <w:pPr>
        <w:pStyle w:val="Voetnoottekst"/>
        <w:rPr>
          <w:sz w:val="16"/>
          <w:szCs w:val="16"/>
        </w:rPr>
      </w:pPr>
      <w:r w:rsidRPr="00BE5F16">
        <w:rPr>
          <w:rStyle w:val="Voetnootmarkering"/>
          <w:sz w:val="16"/>
          <w:szCs w:val="16"/>
        </w:rPr>
        <w:footnoteRef/>
      </w:r>
      <w:r w:rsidRPr="00BE5F16">
        <w:rPr>
          <w:sz w:val="16"/>
          <w:szCs w:val="16"/>
        </w:rPr>
        <w:t xml:space="preserve"> </w:t>
      </w:r>
      <w:r>
        <w:rPr>
          <w:sz w:val="16"/>
          <w:szCs w:val="16"/>
        </w:rPr>
        <w:t>Kamerstukken II 2005/06, 30 300 IXB, nr. 32 en Kamerstukken II 2006/07, 30 800 IXB, nrs. 17 en 39.</w:t>
      </w:r>
    </w:p>
  </w:footnote>
  <w:footnote w:id="26">
    <w:p w:rsidR="00B07C02" w:rsidRPr="00BE5F16" w:rsidRDefault="00B07C02" w:rsidP="00C31F34">
      <w:pPr>
        <w:pStyle w:val="Voetnoottekst"/>
        <w:rPr>
          <w:sz w:val="16"/>
          <w:szCs w:val="16"/>
        </w:rPr>
      </w:pPr>
      <w:r w:rsidRPr="00BE5F16">
        <w:rPr>
          <w:rStyle w:val="Voetnootmarkering"/>
          <w:sz w:val="16"/>
          <w:szCs w:val="16"/>
        </w:rPr>
        <w:footnoteRef/>
      </w:r>
      <w:r w:rsidRPr="00BE5F16">
        <w:rPr>
          <w:sz w:val="16"/>
          <w:szCs w:val="16"/>
        </w:rPr>
        <w:t xml:space="preserve"> Belastingplan 2007</w:t>
      </w:r>
    </w:p>
  </w:footnote>
  <w:footnote w:id="27">
    <w:p w:rsidR="00B07C02" w:rsidRDefault="00B07C02" w:rsidP="00C31F34">
      <w:pPr>
        <w:pStyle w:val="Voetnoottekst"/>
      </w:pPr>
      <w:r w:rsidRPr="00BE5F16">
        <w:rPr>
          <w:rStyle w:val="Voetnootmarkering"/>
          <w:sz w:val="16"/>
          <w:szCs w:val="16"/>
        </w:rPr>
        <w:footnoteRef/>
      </w:r>
      <w:r w:rsidRPr="00BE5F16">
        <w:rPr>
          <w:sz w:val="16"/>
          <w:szCs w:val="16"/>
        </w:rPr>
        <w:t xml:space="preserve"> </w:t>
      </w:r>
      <w:r w:rsidRPr="002534D4">
        <w:rPr>
          <w:bCs/>
          <w:sz w:val="16"/>
          <w:szCs w:val="16"/>
        </w:rPr>
        <w:t>Wet van 3 juli 2008 tot wijziging van een aantal belastingwetten en enkele andere wetten (Stb. 262)</w:t>
      </w:r>
      <w:r>
        <w:rPr>
          <w:bCs/>
          <w:sz w:val="16"/>
          <w:szCs w:val="16"/>
        </w:rPr>
        <w:t>.</w:t>
      </w:r>
    </w:p>
  </w:footnote>
  <w:footnote w:id="28">
    <w:p w:rsidR="00B07C02" w:rsidRPr="00CD72C3" w:rsidRDefault="00B07C02" w:rsidP="00E8783B">
      <w:pPr>
        <w:pStyle w:val="Voetnoottekst"/>
        <w:rPr>
          <w:sz w:val="16"/>
          <w:szCs w:val="16"/>
        </w:rPr>
      </w:pPr>
      <w:r w:rsidRPr="00CD72C3">
        <w:rPr>
          <w:rStyle w:val="Voetnootmarkering"/>
          <w:sz w:val="16"/>
          <w:szCs w:val="16"/>
        </w:rPr>
        <w:footnoteRef/>
      </w:r>
      <w:r w:rsidRPr="00CD72C3">
        <w:rPr>
          <w:sz w:val="16"/>
          <w:szCs w:val="16"/>
        </w:rPr>
        <w:t xml:space="preserve"> Handelingen II, 2010/11, nr. 23.</w:t>
      </w:r>
    </w:p>
  </w:footnote>
  <w:footnote w:id="29">
    <w:p w:rsidR="00B07C02" w:rsidRPr="00CD72C3" w:rsidRDefault="00B07C02" w:rsidP="00E8783B">
      <w:pPr>
        <w:pStyle w:val="Voetnoottekst"/>
        <w:rPr>
          <w:sz w:val="16"/>
          <w:szCs w:val="16"/>
        </w:rPr>
      </w:pPr>
      <w:r w:rsidRPr="00CD72C3">
        <w:rPr>
          <w:rStyle w:val="Voetnootmarkering"/>
          <w:sz w:val="16"/>
          <w:szCs w:val="16"/>
        </w:rPr>
        <w:footnoteRef/>
      </w:r>
      <w:r w:rsidRPr="00CD72C3">
        <w:rPr>
          <w:sz w:val="16"/>
          <w:szCs w:val="16"/>
        </w:rPr>
        <w:t xml:space="preserve"> Kamerstukken II 2007/08, 31 492, nr.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82C"/>
    <w:multiLevelType w:val="hybridMultilevel"/>
    <w:tmpl w:val="5380A566"/>
    <w:lvl w:ilvl="0" w:tplc="2DC8BD00">
      <w:start w:val="1"/>
      <w:numFmt w:val="bullet"/>
      <w:lvlText w:val=""/>
      <w:lvlJc w:val="left"/>
      <w:pPr>
        <w:ind w:left="1080" w:hanging="360"/>
      </w:pPr>
      <w:rPr>
        <w:rFonts w:ascii="Wingdings" w:eastAsia="Calibri"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704673D"/>
    <w:multiLevelType w:val="multilevel"/>
    <w:tmpl w:val="A96E93D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475672"/>
    <w:multiLevelType w:val="hybridMultilevel"/>
    <w:tmpl w:val="4508C3A8"/>
    <w:lvl w:ilvl="0" w:tplc="5A8411E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7F447E4"/>
    <w:multiLevelType w:val="hybridMultilevel"/>
    <w:tmpl w:val="D26E6C5C"/>
    <w:lvl w:ilvl="0" w:tplc="833AEEC6">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89200AE"/>
    <w:multiLevelType w:val="hybridMultilevel"/>
    <w:tmpl w:val="CE902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8BA7084"/>
    <w:multiLevelType w:val="hybridMultilevel"/>
    <w:tmpl w:val="AB1007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8325FF6"/>
    <w:multiLevelType w:val="hybridMultilevel"/>
    <w:tmpl w:val="C112848A"/>
    <w:lvl w:ilvl="0" w:tplc="F1F035A0">
      <w:start w:val="8"/>
      <w:numFmt w:val="bullet"/>
      <w:lvlText w:val="-"/>
      <w:lvlJc w:val="left"/>
      <w:pPr>
        <w:ind w:left="360" w:hanging="360"/>
      </w:pPr>
      <w:rPr>
        <w:rFonts w:ascii="Verdana" w:eastAsia="Verdana"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1AC120BC"/>
    <w:multiLevelType w:val="hybridMultilevel"/>
    <w:tmpl w:val="661217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AB7685D"/>
    <w:multiLevelType w:val="hybridMultilevel"/>
    <w:tmpl w:val="0D780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ACC0DF3"/>
    <w:multiLevelType w:val="hybridMultilevel"/>
    <w:tmpl w:val="C1B83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AD277D0"/>
    <w:multiLevelType w:val="hybridMultilevel"/>
    <w:tmpl w:val="6F6E5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ADF7019"/>
    <w:multiLevelType w:val="multilevel"/>
    <w:tmpl w:val="8FD45FD2"/>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EA53C70"/>
    <w:multiLevelType w:val="multilevel"/>
    <w:tmpl w:val="84DEB43C"/>
    <w:styleLink w:val="list-bullet-color"/>
    <w:lvl w:ilvl="0">
      <w:start w:val="1"/>
      <w:numFmt w:val="bullet"/>
      <w:lvlText w:val=""/>
      <w:lvlJc w:val="left"/>
      <w:pPr>
        <w:tabs>
          <w:tab w:val="num" w:pos="284"/>
        </w:tabs>
        <w:ind w:left="284" w:hanging="284"/>
      </w:pPr>
      <w:rPr>
        <w:rFonts w:ascii="Wingdings 2" w:hAnsi="Wingdings 2" w:hint="default"/>
        <w:color w:val="006DB6"/>
        <w:sz w:val="24"/>
      </w:rPr>
    </w:lvl>
    <w:lvl w:ilvl="1">
      <w:start w:val="1"/>
      <w:numFmt w:val="bullet"/>
      <w:lvlText w:val="-"/>
      <w:lvlJc w:val="left"/>
      <w:pPr>
        <w:tabs>
          <w:tab w:val="num" w:pos="567"/>
        </w:tabs>
        <w:ind w:left="567" w:hanging="283"/>
      </w:pPr>
      <w:rPr>
        <w:rFonts w:ascii="Arial" w:hAnsi="Arial" w:hint="default"/>
        <w:color w:val="006DB6"/>
      </w:rPr>
    </w:lvl>
    <w:lvl w:ilvl="2">
      <w:start w:val="1"/>
      <w:numFmt w:val="bullet"/>
      <w:lvlText w:val=""/>
      <w:lvlJc w:val="left"/>
      <w:pPr>
        <w:tabs>
          <w:tab w:val="num" w:pos="851"/>
        </w:tabs>
        <w:ind w:left="851" w:hanging="284"/>
      </w:pPr>
      <w:rPr>
        <w:rFonts w:ascii="Symbol" w:hAnsi="Symbol" w:hint="default"/>
        <w:color w:val="006DB6"/>
      </w:rPr>
    </w:lvl>
    <w:lvl w:ilvl="3">
      <w:start w:val="1"/>
      <w:numFmt w:val="bullet"/>
      <w:lvlText w:val="-"/>
      <w:lvlJc w:val="left"/>
      <w:pPr>
        <w:tabs>
          <w:tab w:val="num" w:pos="1134"/>
        </w:tabs>
        <w:ind w:left="1134" w:hanging="283"/>
      </w:pPr>
      <w:rPr>
        <w:rFonts w:ascii="Arial" w:hAnsi="Arial" w:hint="default"/>
        <w:color w:val="006DB6"/>
      </w:rPr>
    </w:lvl>
    <w:lvl w:ilvl="4">
      <w:start w:val="1"/>
      <w:numFmt w:val="bullet"/>
      <w:lvlText w:val=""/>
      <w:lvlJc w:val="left"/>
      <w:pPr>
        <w:tabs>
          <w:tab w:val="num" w:pos="1418"/>
        </w:tabs>
        <w:ind w:left="1418" w:hanging="284"/>
      </w:pPr>
      <w:rPr>
        <w:rFonts w:ascii="Symbol" w:hAnsi="Symbol" w:hint="default"/>
        <w:color w:val="006DB6"/>
      </w:rPr>
    </w:lvl>
    <w:lvl w:ilvl="5">
      <w:start w:val="1"/>
      <w:numFmt w:val="bullet"/>
      <w:lvlText w:val="-"/>
      <w:lvlJc w:val="left"/>
      <w:pPr>
        <w:tabs>
          <w:tab w:val="num" w:pos="1701"/>
        </w:tabs>
        <w:ind w:left="1701" w:hanging="283"/>
      </w:pPr>
      <w:rPr>
        <w:rFonts w:ascii="Arial" w:hAnsi="Arial" w:hint="default"/>
        <w:color w:val="006DB6"/>
      </w:rPr>
    </w:lvl>
    <w:lvl w:ilvl="6">
      <w:start w:val="1"/>
      <w:numFmt w:val="bullet"/>
      <w:lvlText w:val=""/>
      <w:lvlJc w:val="left"/>
      <w:pPr>
        <w:tabs>
          <w:tab w:val="num" w:pos="1985"/>
        </w:tabs>
        <w:ind w:left="1985" w:hanging="284"/>
      </w:pPr>
      <w:rPr>
        <w:rFonts w:ascii="Symbol" w:hAnsi="Symbol" w:hint="default"/>
        <w:color w:val="006DB6"/>
      </w:rPr>
    </w:lvl>
    <w:lvl w:ilvl="7">
      <w:start w:val="1"/>
      <w:numFmt w:val="bullet"/>
      <w:lvlText w:val="-"/>
      <w:lvlJc w:val="left"/>
      <w:pPr>
        <w:tabs>
          <w:tab w:val="num" w:pos="2268"/>
        </w:tabs>
        <w:ind w:left="2268" w:hanging="283"/>
      </w:pPr>
      <w:rPr>
        <w:rFonts w:ascii="Arial" w:hAnsi="Arial" w:hint="default"/>
        <w:color w:val="006DB6"/>
      </w:rPr>
    </w:lvl>
    <w:lvl w:ilvl="8">
      <w:start w:val="1"/>
      <w:numFmt w:val="bullet"/>
      <w:lvlText w:val=""/>
      <w:lvlJc w:val="left"/>
      <w:pPr>
        <w:tabs>
          <w:tab w:val="num" w:pos="2552"/>
        </w:tabs>
        <w:ind w:left="2552" w:hanging="284"/>
      </w:pPr>
      <w:rPr>
        <w:rFonts w:ascii="Symbol" w:hAnsi="Symbol" w:hint="default"/>
        <w:color w:val="006DB6"/>
      </w:rPr>
    </w:lvl>
  </w:abstractNum>
  <w:abstractNum w:abstractNumId="13">
    <w:nsid w:val="2EF47DB0"/>
    <w:multiLevelType w:val="hybridMultilevel"/>
    <w:tmpl w:val="1DC2F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FF15C4C"/>
    <w:multiLevelType w:val="hybridMultilevel"/>
    <w:tmpl w:val="25301E84"/>
    <w:lvl w:ilvl="0" w:tplc="5A8411E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0FF607F"/>
    <w:multiLevelType w:val="hybridMultilevel"/>
    <w:tmpl w:val="84AE9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5E4203D"/>
    <w:multiLevelType w:val="hybridMultilevel"/>
    <w:tmpl w:val="A4A61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75A3AD7"/>
    <w:multiLevelType w:val="hybridMultilevel"/>
    <w:tmpl w:val="F41C7A1A"/>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8">
    <w:nsid w:val="39164F93"/>
    <w:multiLevelType w:val="hybridMultilevel"/>
    <w:tmpl w:val="886E820C"/>
    <w:lvl w:ilvl="0" w:tplc="F1D6629C">
      <w:start w:val="8"/>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DAC3965"/>
    <w:multiLevelType w:val="hybridMultilevel"/>
    <w:tmpl w:val="3CECA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15B0088"/>
    <w:multiLevelType w:val="hybridMultilevel"/>
    <w:tmpl w:val="95D6D85A"/>
    <w:lvl w:ilvl="0" w:tplc="7A625CCC">
      <w:start w:val="8"/>
      <w:numFmt w:val="bullet"/>
      <w:lvlText w:val="-"/>
      <w:lvlJc w:val="left"/>
      <w:pPr>
        <w:ind w:left="360" w:hanging="360"/>
      </w:pPr>
      <w:rPr>
        <w:rFonts w:ascii="Verdana" w:eastAsia="Verdana"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42115B23"/>
    <w:multiLevelType w:val="hybridMultilevel"/>
    <w:tmpl w:val="14A431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35A19D8"/>
    <w:multiLevelType w:val="hybridMultilevel"/>
    <w:tmpl w:val="707CB1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597688B"/>
    <w:multiLevelType w:val="multilevel"/>
    <w:tmpl w:val="84DEB43C"/>
    <w:numStyleLink w:val="list-bullet-color"/>
  </w:abstractNum>
  <w:abstractNum w:abstractNumId="24">
    <w:nsid w:val="48576911"/>
    <w:multiLevelType w:val="hybridMultilevel"/>
    <w:tmpl w:val="D1AC2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BEA1AB2"/>
    <w:multiLevelType w:val="multilevel"/>
    <w:tmpl w:val="BAB07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E486203"/>
    <w:multiLevelType w:val="hybridMultilevel"/>
    <w:tmpl w:val="AE8A93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C4C0B88"/>
    <w:multiLevelType w:val="hybridMultilevel"/>
    <w:tmpl w:val="16BA3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D2C2FEE"/>
    <w:multiLevelType w:val="hybridMultilevel"/>
    <w:tmpl w:val="FC38B2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6F16BAE"/>
    <w:multiLevelType w:val="hybridMultilevel"/>
    <w:tmpl w:val="7D8279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CA40B39"/>
    <w:multiLevelType w:val="hybridMultilevel"/>
    <w:tmpl w:val="7884FD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D7B5FF6"/>
    <w:multiLevelType w:val="hybridMultilevel"/>
    <w:tmpl w:val="89D06D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EFF6E1A"/>
    <w:multiLevelType w:val="hybridMultilevel"/>
    <w:tmpl w:val="4E103D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1BF0463"/>
    <w:multiLevelType w:val="hybridMultilevel"/>
    <w:tmpl w:val="D4569DF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nsid w:val="7B1225F3"/>
    <w:multiLevelType w:val="hybridMultilevel"/>
    <w:tmpl w:val="4DE4AD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21"/>
  </w:num>
  <w:num w:numId="4">
    <w:abstractNumId w:val="9"/>
  </w:num>
  <w:num w:numId="5">
    <w:abstractNumId w:val="30"/>
  </w:num>
  <w:num w:numId="6">
    <w:abstractNumId w:val="12"/>
  </w:num>
  <w:num w:numId="7">
    <w:abstractNumId w:val="23"/>
  </w:num>
  <w:num w:numId="8">
    <w:abstractNumId w:val="5"/>
  </w:num>
  <w:num w:numId="9">
    <w:abstractNumId w:val="15"/>
  </w:num>
  <w:num w:numId="10">
    <w:abstractNumId w:val="8"/>
  </w:num>
  <w:num w:numId="11">
    <w:abstractNumId w:val="4"/>
  </w:num>
  <w:num w:numId="12">
    <w:abstractNumId w:val="3"/>
  </w:num>
  <w:num w:numId="13">
    <w:abstractNumId w:val="0"/>
  </w:num>
  <w:num w:numId="14">
    <w:abstractNumId w:val="29"/>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8"/>
  </w:num>
  <w:num w:numId="26">
    <w:abstractNumId w:val="1"/>
  </w:num>
  <w:num w:numId="27">
    <w:abstractNumId w:val="2"/>
  </w:num>
  <w:num w:numId="28">
    <w:abstractNumId w:val="14"/>
  </w:num>
  <w:num w:numId="29">
    <w:abstractNumId w:val="31"/>
  </w:num>
  <w:num w:numId="30">
    <w:abstractNumId w:val="24"/>
  </w:num>
  <w:num w:numId="31">
    <w:abstractNumId w:val="7"/>
  </w:num>
  <w:num w:numId="32">
    <w:abstractNumId w:val="17"/>
  </w:num>
  <w:num w:numId="33">
    <w:abstractNumId w:val="13"/>
  </w:num>
  <w:num w:numId="34">
    <w:abstractNumId w:val="20"/>
  </w:num>
  <w:num w:numId="35">
    <w:abstractNumId w:val="6"/>
  </w:num>
  <w:num w:numId="36">
    <w:abstractNumId w:val="32"/>
  </w:num>
  <w:num w:numId="37">
    <w:abstractNumId w:val="22"/>
  </w:num>
  <w:num w:numId="38">
    <w:abstractNumId w:val="11"/>
  </w:num>
  <w:num w:numId="39">
    <w:abstractNumId w:val="33"/>
  </w:num>
  <w:num w:numId="40">
    <w:abstractNumId w:val="34"/>
  </w:num>
  <w:num w:numId="41">
    <w:abstractNumId w:val="27"/>
  </w:num>
  <w:num w:numId="42">
    <w:abstractNumId w:val="16"/>
  </w:num>
  <w:num w:numId="43">
    <w:abstractNumId w:val="2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defaultTabStop w:val="708"/>
  <w:hyphenationZone w:val="425"/>
  <w:drawingGridHorizontalSpacing w:val="110"/>
  <w:displayHorizontalDrawingGridEvery w:val="2"/>
  <w:characterSpacingControl w:val="doNotCompress"/>
  <w:doNotValidateAgainstSchema/>
  <w:doNotDemarcateInvalidXml/>
  <w:hdrShapeDefaults>
    <o:shapedefaults v:ext="edit" spidmax="17410"/>
  </w:hdrShapeDefaults>
  <w:footnotePr>
    <w:footnote w:id="-1"/>
    <w:footnote w:id="0"/>
  </w:footnotePr>
  <w:endnotePr>
    <w:endnote w:id="-1"/>
    <w:endnote w:id="0"/>
  </w:endnotePr>
  <w:compat/>
  <w:rsids>
    <w:rsidRoot w:val="00435577"/>
    <w:rsid w:val="00000269"/>
    <w:rsid w:val="000004E2"/>
    <w:rsid w:val="00000905"/>
    <w:rsid w:val="00000F35"/>
    <w:rsid w:val="00001C41"/>
    <w:rsid w:val="00003561"/>
    <w:rsid w:val="00004AFD"/>
    <w:rsid w:val="00005EAB"/>
    <w:rsid w:val="00006ED9"/>
    <w:rsid w:val="00007B24"/>
    <w:rsid w:val="00007C1F"/>
    <w:rsid w:val="0001078B"/>
    <w:rsid w:val="00011317"/>
    <w:rsid w:val="00011BA7"/>
    <w:rsid w:val="00012EFC"/>
    <w:rsid w:val="00020F53"/>
    <w:rsid w:val="00021058"/>
    <w:rsid w:val="00021691"/>
    <w:rsid w:val="00021900"/>
    <w:rsid w:val="00023A81"/>
    <w:rsid w:val="00024D37"/>
    <w:rsid w:val="00025143"/>
    <w:rsid w:val="000300DA"/>
    <w:rsid w:val="0003186F"/>
    <w:rsid w:val="0003388D"/>
    <w:rsid w:val="00037A6A"/>
    <w:rsid w:val="00040BBA"/>
    <w:rsid w:val="00041F29"/>
    <w:rsid w:val="000420B5"/>
    <w:rsid w:val="00042953"/>
    <w:rsid w:val="0004346C"/>
    <w:rsid w:val="00045A2B"/>
    <w:rsid w:val="00045D39"/>
    <w:rsid w:val="000472BD"/>
    <w:rsid w:val="00051C01"/>
    <w:rsid w:val="00051F04"/>
    <w:rsid w:val="00054494"/>
    <w:rsid w:val="00063CD4"/>
    <w:rsid w:val="0006529C"/>
    <w:rsid w:val="0006681C"/>
    <w:rsid w:val="00066B6D"/>
    <w:rsid w:val="00067D2D"/>
    <w:rsid w:val="000732C7"/>
    <w:rsid w:val="00073B2E"/>
    <w:rsid w:val="000757D0"/>
    <w:rsid w:val="000762E9"/>
    <w:rsid w:val="000762EB"/>
    <w:rsid w:val="00077BF2"/>
    <w:rsid w:val="00084C51"/>
    <w:rsid w:val="000850D5"/>
    <w:rsid w:val="00087731"/>
    <w:rsid w:val="000903D6"/>
    <w:rsid w:val="00090782"/>
    <w:rsid w:val="00091338"/>
    <w:rsid w:val="00091745"/>
    <w:rsid w:val="00091BC2"/>
    <w:rsid w:val="00093033"/>
    <w:rsid w:val="0009792C"/>
    <w:rsid w:val="00097C61"/>
    <w:rsid w:val="000A5C61"/>
    <w:rsid w:val="000A74AD"/>
    <w:rsid w:val="000B0192"/>
    <w:rsid w:val="000B4597"/>
    <w:rsid w:val="000B565F"/>
    <w:rsid w:val="000C0174"/>
    <w:rsid w:val="000C4250"/>
    <w:rsid w:val="000C59B5"/>
    <w:rsid w:val="000D0FFF"/>
    <w:rsid w:val="000D10DA"/>
    <w:rsid w:val="000D1BBB"/>
    <w:rsid w:val="000D5689"/>
    <w:rsid w:val="000D6C61"/>
    <w:rsid w:val="000E175D"/>
    <w:rsid w:val="000E2EEC"/>
    <w:rsid w:val="000E4E89"/>
    <w:rsid w:val="000F2FB9"/>
    <w:rsid w:val="000F4FCC"/>
    <w:rsid w:val="000F5185"/>
    <w:rsid w:val="000F611A"/>
    <w:rsid w:val="000F75EA"/>
    <w:rsid w:val="001032ED"/>
    <w:rsid w:val="0010540A"/>
    <w:rsid w:val="001057CC"/>
    <w:rsid w:val="0010687D"/>
    <w:rsid w:val="00111BDF"/>
    <w:rsid w:val="0011687B"/>
    <w:rsid w:val="00116B25"/>
    <w:rsid w:val="00120CB6"/>
    <w:rsid w:val="001214DD"/>
    <w:rsid w:val="001221A0"/>
    <w:rsid w:val="00123EB2"/>
    <w:rsid w:val="00125E7C"/>
    <w:rsid w:val="00126D24"/>
    <w:rsid w:val="00134E06"/>
    <w:rsid w:val="001351DF"/>
    <w:rsid w:val="00135DBA"/>
    <w:rsid w:val="00136587"/>
    <w:rsid w:val="00143F3C"/>
    <w:rsid w:val="00145168"/>
    <w:rsid w:val="00145FA4"/>
    <w:rsid w:val="0014600A"/>
    <w:rsid w:val="001460E2"/>
    <w:rsid w:val="001461A3"/>
    <w:rsid w:val="0014688C"/>
    <w:rsid w:val="00147822"/>
    <w:rsid w:val="00150224"/>
    <w:rsid w:val="00150A74"/>
    <w:rsid w:val="00150F1F"/>
    <w:rsid w:val="00151749"/>
    <w:rsid w:val="00154422"/>
    <w:rsid w:val="00160179"/>
    <w:rsid w:val="001601E1"/>
    <w:rsid w:val="00161BC2"/>
    <w:rsid w:val="00166F2A"/>
    <w:rsid w:val="00171AC0"/>
    <w:rsid w:val="0017206D"/>
    <w:rsid w:val="0017248F"/>
    <w:rsid w:val="00177A69"/>
    <w:rsid w:val="00181A7B"/>
    <w:rsid w:val="00182D2A"/>
    <w:rsid w:val="00183F46"/>
    <w:rsid w:val="001842EF"/>
    <w:rsid w:val="00185AED"/>
    <w:rsid w:val="00186035"/>
    <w:rsid w:val="00186B63"/>
    <w:rsid w:val="00187104"/>
    <w:rsid w:val="00190191"/>
    <w:rsid w:val="0019056B"/>
    <w:rsid w:val="00191119"/>
    <w:rsid w:val="00193A5D"/>
    <w:rsid w:val="00194CED"/>
    <w:rsid w:val="00195096"/>
    <w:rsid w:val="001951F5"/>
    <w:rsid w:val="00196C3A"/>
    <w:rsid w:val="001A0586"/>
    <w:rsid w:val="001A101D"/>
    <w:rsid w:val="001A537C"/>
    <w:rsid w:val="001A6A8F"/>
    <w:rsid w:val="001A78DD"/>
    <w:rsid w:val="001B037F"/>
    <w:rsid w:val="001B1BD6"/>
    <w:rsid w:val="001B3A3A"/>
    <w:rsid w:val="001B4212"/>
    <w:rsid w:val="001B6EAB"/>
    <w:rsid w:val="001C38E4"/>
    <w:rsid w:val="001C42A7"/>
    <w:rsid w:val="001D0671"/>
    <w:rsid w:val="001D0D2D"/>
    <w:rsid w:val="001D2766"/>
    <w:rsid w:val="001D50CD"/>
    <w:rsid w:val="001D65CA"/>
    <w:rsid w:val="001D7454"/>
    <w:rsid w:val="001D7543"/>
    <w:rsid w:val="001E2851"/>
    <w:rsid w:val="001E288A"/>
    <w:rsid w:val="001E2D2B"/>
    <w:rsid w:val="001E398F"/>
    <w:rsid w:val="001E40E6"/>
    <w:rsid w:val="001E4A11"/>
    <w:rsid w:val="001E4FBD"/>
    <w:rsid w:val="001E6D49"/>
    <w:rsid w:val="001F09A8"/>
    <w:rsid w:val="001F14A2"/>
    <w:rsid w:val="001F1B55"/>
    <w:rsid w:val="001F6697"/>
    <w:rsid w:val="001F7A28"/>
    <w:rsid w:val="00200312"/>
    <w:rsid w:val="002006C7"/>
    <w:rsid w:val="002009AB"/>
    <w:rsid w:val="002012B9"/>
    <w:rsid w:val="00202466"/>
    <w:rsid w:val="0020333B"/>
    <w:rsid w:val="002062AD"/>
    <w:rsid w:val="0021025F"/>
    <w:rsid w:val="00210EC3"/>
    <w:rsid w:val="00211A8C"/>
    <w:rsid w:val="00212A1B"/>
    <w:rsid w:val="00215586"/>
    <w:rsid w:val="00216D66"/>
    <w:rsid w:val="00217C40"/>
    <w:rsid w:val="00221A4D"/>
    <w:rsid w:val="00223E9F"/>
    <w:rsid w:val="0022505F"/>
    <w:rsid w:val="0022579A"/>
    <w:rsid w:val="002258BE"/>
    <w:rsid w:val="00226097"/>
    <w:rsid w:val="00226E1A"/>
    <w:rsid w:val="00230EBD"/>
    <w:rsid w:val="00231C87"/>
    <w:rsid w:val="00233D27"/>
    <w:rsid w:val="00234D47"/>
    <w:rsid w:val="00240FAA"/>
    <w:rsid w:val="002426E7"/>
    <w:rsid w:val="00242F9D"/>
    <w:rsid w:val="0024302C"/>
    <w:rsid w:val="00243263"/>
    <w:rsid w:val="00244EAF"/>
    <w:rsid w:val="00247054"/>
    <w:rsid w:val="00247355"/>
    <w:rsid w:val="002525DF"/>
    <w:rsid w:val="002534D4"/>
    <w:rsid w:val="00255BD4"/>
    <w:rsid w:val="00256F4C"/>
    <w:rsid w:val="00257F9F"/>
    <w:rsid w:val="00261176"/>
    <w:rsid w:val="002612FE"/>
    <w:rsid w:val="002643BE"/>
    <w:rsid w:val="0026455C"/>
    <w:rsid w:val="00266078"/>
    <w:rsid w:val="0026687E"/>
    <w:rsid w:val="00266B2B"/>
    <w:rsid w:val="0026734D"/>
    <w:rsid w:val="00267EDF"/>
    <w:rsid w:val="0027027A"/>
    <w:rsid w:val="00272558"/>
    <w:rsid w:val="00272898"/>
    <w:rsid w:val="00274A19"/>
    <w:rsid w:val="00274D18"/>
    <w:rsid w:val="0027664E"/>
    <w:rsid w:val="00276DC1"/>
    <w:rsid w:val="0027721A"/>
    <w:rsid w:val="00282555"/>
    <w:rsid w:val="00282C35"/>
    <w:rsid w:val="00283BAB"/>
    <w:rsid w:val="002855BF"/>
    <w:rsid w:val="002857D2"/>
    <w:rsid w:val="002864CF"/>
    <w:rsid w:val="00286D8B"/>
    <w:rsid w:val="00287E98"/>
    <w:rsid w:val="0029043C"/>
    <w:rsid w:val="002912F0"/>
    <w:rsid w:val="00293305"/>
    <w:rsid w:val="002943D2"/>
    <w:rsid w:val="00295F0F"/>
    <w:rsid w:val="00296686"/>
    <w:rsid w:val="0029798F"/>
    <w:rsid w:val="002A0331"/>
    <w:rsid w:val="002A30DC"/>
    <w:rsid w:val="002A334D"/>
    <w:rsid w:val="002A5B5A"/>
    <w:rsid w:val="002A60E9"/>
    <w:rsid w:val="002A65EF"/>
    <w:rsid w:val="002B33EB"/>
    <w:rsid w:val="002B44AA"/>
    <w:rsid w:val="002B47E4"/>
    <w:rsid w:val="002B58DF"/>
    <w:rsid w:val="002B6770"/>
    <w:rsid w:val="002B6F31"/>
    <w:rsid w:val="002B795B"/>
    <w:rsid w:val="002C2954"/>
    <w:rsid w:val="002C2E2C"/>
    <w:rsid w:val="002C34DA"/>
    <w:rsid w:val="002C5629"/>
    <w:rsid w:val="002C667E"/>
    <w:rsid w:val="002D0A63"/>
    <w:rsid w:val="002D2992"/>
    <w:rsid w:val="002D3DAE"/>
    <w:rsid w:val="002D4270"/>
    <w:rsid w:val="002D463D"/>
    <w:rsid w:val="002D7BB3"/>
    <w:rsid w:val="002E1AA4"/>
    <w:rsid w:val="002E28E0"/>
    <w:rsid w:val="002E4856"/>
    <w:rsid w:val="002E52E4"/>
    <w:rsid w:val="002E61D3"/>
    <w:rsid w:val="002E66AE"/>
    <w:rsid w:val="002F2088"/>
    <w:rsid w:val="002F28CC"/>
    <w:rsid w:val="002F3BD9"/>
    <w:rsid w:val="002F41CB"/>
    <w:rsid w:val="002F5A77"/>
    <w:rsid w:val="00300596"/>
    <w:rsid w:val="003012E6"/>
    <w:rsid w:val="0030204F"/>
    <w:rsid w:val="00302094"/>
    <w:rsid w:val="0030386D"/>
    <w:rsid w:val="003062C3"/>
    <w:rsid w:val="00306E50"/>
    <w:rsid w:val="00307254"/>
    <w:rsid w:val="00314D8B"/>
    <w:rsid w:val="003219C6"/>
    <w:rsid w:val="00324DA1"/>
    <w:rsid w:val="00326CE6"/>
    <w:rsid w:val="00327CFE"/>
    <w:rsid w:val="003328C5"/>
    <w:rsid w:val="003339A4"/>
    <w:rsid w:val="00335584"/>
    <w:rsid w:val="00337116"/>
    <w:rsid w:val="0033728B"/>
    <w:rsid w:val="0034187C"/>
    <w:rsid w:val="00341B53"/>
    <w:rsid w:val="00343327"/>
    <w:rsid w:val="003438AB"/>
    <w:rsid w:val="0034524F"/>
    <w:rsid w:val="003457D1"/>
    <w:rsid w:val="00347BB5"/>
    <w:rsid w:val="00355EA9"/>
    <w:rsid w:val="003578B2"/>
    <w:rsid w:val="00361376"/>
    <w:rsid w:val="00362AAF"/>
    <w:rsid w:val="00363130"/>
    <w:rsid w:val="003638F0"/>
    <w:rsid w:val="00363EBC"/>
    <w:rsid w:val="00367D05"/>
    <w:rsid w:val="0037000E"/>
    <w:rsid w:val="00371A7F"/>
    <w:rsid w:val="00372F34"/>
    <w:rsid w:val="003740A1"/>
    <w:rsid w:val="00375C06"/>
    <w:rsid w:val="003778F8"/>
    <w:rsid w:val="00377AC8"/>
    <w:rsid w:val="003821F8"/>
    <w:rsid w:val="0038358E"/>
    <w:rsid w:val="00383E0A"/>
    <w:rsid w:val="00384F4F"/>
    <w:rsid w:val="003855E1"/>
    <w:rsid w:val="0039208D"/>
    <w:rsid w:val="00392976"/>
    <w:rsid w:val="003929A4"/>
    <w:rsid w:val="00392A8C"/>
    <w:rsid w:val="00394AB9"/>
    <w:rsid w:val="003962B8"/>
    <w:rsid w:val="003A1745"/>
    <w:rsid w:val="003A309E"/>
    <w:rsid w:val="003A3348"/>
    <w:rsid w:val="003A3655"/>
    <w:rsid w:val="003A368F"/>
    <w:rsid w:val="003A47C4"/>
    <w:rsid w:val="003A4D59"/>
    <w:rsid w:val="003A4E6F"/>
    <w:rsid w:val="003A6C08"/>
    <w:rsid w:val="003B0C9E"/>
    <w:rsid w:val="003B25BB"/>
    <w:rsid w:val="003B2F7C"/>
    <w:rsid w:val="003B4346"/>
    <w:rsid w:val="003B5988"/>
    <w:rsid w:val="003B637F"/>
    <w:rsid w:val="003B6EFE"/>
    <w:rsid w:val="003C2110"/>
    <w:rsid w:val="003C70EA"/>
    <w:rsid w:val="003D0C03"/>
    <w:rsid w:val="003D3468"/>
    <w:rsid w:val="003D54EA"/>
    <w:rsid w:val="003D6180"/>
    <w:rsid w:val="003D6433"/>
    <w:rsid w:val="003D6B7E"/>
    <w:rsid w:val="003D758C"/>
    <w:rsid w:val="003E2391"/>
    <w:rsid w:val="003E3C0F"/>
    <w:rsid w:val="003E5584"/>
    <w:rsid w:val="003E55F8"/>
    <w:rsid w:val="003E7D3E"/>
    <w:rsid w:val="003F4C09"/>
    <w:rsid w:val="003F5C50"/>
    <w:rsid w:val="003F771A"/>
    <w:rsid w:val="003F7DB5"/>
    <w:rsid w:val="00400E98"/>
    <w:rsid w:val="00400EFB"/>
    <w:rsid w:val="00402030"/>
    <w:rsid w:val="0040312B"/>
    <w:rsid w:val="004048DA"/>
    <w:rsid w:val="00404E36"/>
    <w:rsid w:val="00412006"/>
    <w:rsid w:val="004132F4"/>
    <w:rsid w:val="0041446E"/>
    <w:rsid w:val="004161E1"/>
    <w:rsid w:val="0041626F"/>
    <w:rsid w:val="0041687D"/>
    <w:rsid w:val="004175B0"/>
    <w:rsid w:val="00421A65"/>
    <w:rsid w:val="004226B2"/>
    <w:rsid w:val="00426828"/>
    <w:rsid w:val="0042687F"/>
    <w:rsid w:val="00430E25"/>
    <w:rsid w:val="00433494"/>
    <w:rsid w:val="004343DD"/>
    <w:rsid w:val="00434B76"/>
    <w:rsid w:val="00435190"/>
    <w:rsid w:val="0043545E"/>
    <w:rsid w:val="00435543"/>
    <w:rsid w:val="00435577"/>
    <w:rsid w:val="00436110"/>
    <w:rsid w:val="00436235"/>
    <w:rsid w:val="004364A3"/>
    <w:rsid w:val="00437FCF"/>
    <w:rsid w:val="00441A98"/>
    <w:rsid w:val="00442E37"/>
    <w:rsid w:val="0044524C"/>
    <w:rsid w:val="00445851"/>
    <w:rsid w:val="0044592B"/>
    <w:rsid w:val="0045007E"/>
    <w:rsid w:val="0045032B"/>
    <w:rsid w:val="00453C9A"/>
    <w:rsid w:val="00454549"/>
    <w:rsid w:val="00461C7D"/>
    <w:rsid w:val="00464395"/>
    <w:rsid w:val="004658D9"/>
    <w:rsid w:val="00473566"/>
    <w:rsid w:val="00477308"/>
    <w:rsid w:val="00477DF7"/>
    <w:rsid w:val="00481B36"/>
    <w:rsid w:val="004825F9"/>
    <w:rsid w:val="00482DD1"/>
    <w:rsid w:val="00484297"/>
    <w:rsid w:val="00486A96"/>
    <w:rsid w:val="00487EB5"/>
    <w:rsid w:val="004903E9"/>
    <w:rsid w:val="004905D3"/>
    <w:rsid w:val="00490DAC"/>
    <w:rsid w:val="00492B5E"/>
    <w:rsid w:val="00493816"/>
    <w:rsid w:val="00493967"/>
    <w:rsid w:val="00495F66"/>
    <w:rsid w:val="00496DEE"/>
    <w:rsid w:val="004A23C4"/>
    <w:rsid w:val="004A35CB"/>
    <w:rsid w:val="004A63F9"/>
    <w:rsid w:val="004A6563"/>
    <w:rsid w:val="004A65DB"/>
    <w:rsid w:val="004B6623"/>
    <w:rsid w:val="004B7A4E"/>
    <w:rsid w:val="004C08F7"/>
    <w:rsid w:val="004C2D91"/>
    <w:rsid w:val="004C2E6B"/>
    <w:rsid w:val="004C322E"/>
    <w:rsid w:val="004C4CDB"/>
    <w:rsid w:val="004C5233"/>
    <w:rsid w:val="004D46EE"/>
    <w:rsid w:val="004D5166"/>
    <w:rsid w:val="004D5F93"/>
    <w:rsid w:val="004D61FB"/>
    <w:rsid w:val="004D700F"/>
    <w:rsid w:val="004E1DEF"/>
    <w:rsid w:val="004E1FD4"/>
    <w:rsid w:val="004E3404"/>
    <w:rsid w:val="004E5352"/>
    <w:rsid w:val="004E6AA5"/>
    <w:rsid w:val="004E6F08"/>
    <w:rsid w:val="004F4B60"/>
    <w:rsid w:val="004F52AC"/>
    <w:rsid w:val="004F5C50"/>
    <w:rsid w:val="004F5D95"/>
    <w:rsid w:val="005001A0"/>
    <w:rsid w:val="00501C8D"/>
    <w:rsid w:val="005060B0"/>
    <w:rsid w:val="005060C6"/>
    <w:rsid w:val="00510411"/>
    <w:rsid w:val="00511652"/>
    <w:rsid w:val="00511CB8"/>
    <w:rsid w:val="00512FA2"/>
    <w:rsid w:val="005135B7"/>
    <w:rsid w:val="005138AB"/>
    <w:rsid w:val="00513DD1"/>
    <w:rsid w:val="00514000"/>
    <w:rsid w:val="0051461B"/>
    <w:rsid w:val="00515E02"/>
    <w:rsid w:val="0052089D"/>
    <w:rsid w:val="00521E08"/>
    <w:rsid w:val="0052240E"/>
    <w:rsid w:val="00526C81"/>
    <w:rsid w:val="00531060"/>
    <w:rsid w:val="00532650"/>
    <w:rsid w:val="00533598"/>
    <w:rsid w:val="005345B9"/>
    <w:rsid w:val="00540FC2"/>
    <w:rsid w:val="0054209C"/>
    <w:rsid w:val="00543998"/>
    <w:rsid w:val="00543E5F"/>
    <w:rsid w:val="00546871"/>
    <w:rsid w:val="0055096D"/>
    <w:rsid w:val="0055180E"/>
    <w:rsid w:val="005559B3"/>
    <w:rsid w:val="005566A4"/>
    <w:rsid w:val="0055726E"/>
    <w:rsid w:val="00563EAE"/>
    <w:rsid w:val="00565C1E"/>
    <w:rsid w:val="005667A0"/>
    <w:rsid w:val="00566FCB"/>
    <w:rsid w:val="0056756C"/>
    <w:rsid w:val="00567A29"/>
    <w:rsid w:val="0057047A"/>
    <w:rsid w:val="00570516"/>
    <w:rsid w:val="00571EE3"/>
    <w:rsid w:val="00572B48"/>
    <w:rsid w:val="00573538"/>
    <w:rsid w:val="00573AAE"/>
    <w:rsid w:val="00574212"/>
    <w:rsid w:val="005755CE"/>
    <w:rsid w:val="00575F71"/>
    <w:rsid w:val="0057634F"/>
    <w:rsid w:val="005773A0"/>
    <w:rsid w:val="005779DE"/>
    <w:rsid w:val="005824CB"/>
    <w:rsid w:val="00584F28"/>
    <w:rsid w:val="00586D32"/>
    <w:rsid w:val="005911A1"/>
    <w:rsid w:val="00591477"/>
    <w:rsid w:val="00597902"/>
    <w:rsid w:val="00597D19"/>
    <w:rsid w:val="005A05DB"/>
    <w:rsid w:val="005A21DF"/>
    <w:rsid w:val="005A289B"/>
    <w:rsid w:val="005A2C8C"/>
    <w:rsid w:val="005A5F1D"/>
    <w:rsid w:val="005A611B"/>
    <w:rsid w:val="005B0C80"/>
    <w:rsid w:val="005B2A60"/>
    <w:rsid w:val="005B49BA"/>
    <w:rsid w:val="005B4CC1"/>
    <w:rsid w:val="005B660B"/>
    <w:rsid w:val="005C3391"/>
    <w:rsid w:val="005C38B6"/>
    <w:rsid w:val="005C4568"/>
    <w:rsid w:val="005C4C6E"/>
    <w:rsid w:val="005C4CAC"/>
    <w:rsid w:val="005C6B0E"/>
    <w:rsid w:val="005D0FDB"/>
    <w:rsid w:val="005D38EE"/>
    <w:rsid w:val="005D5666"/>
    <w:rsid w:val="005E0987"/>
    <w:rsid w:val="005E1648"/>
    <w:rsid w:val="005E3659"/>
    <w:rsid w:val="005E4D24"/>
    <w:rsid w:val="005E650D"/>
    <w:rsid w:val="005E6ACF"/>
    <w:rsid w:val="005F1D6A"/>
    <w:rsid w:val="005F3673"/>
    <w:rsid w:val="005F3AFF"/>
    <w:rsid w:val="005F5FC9"/>
    <w:rsid w:val="005F61D8"/>
    <w:rsid w:val="005F6ACC"/>
    <w:rsid w:val="005F7A70"/>
    <w:rsid w:val="006005E3"/>
    <w:rsid w:val="0060244E"/>
    <w:rsid w:val="00603127"/>
    <w:rsid w:val="006034FF"/>
    <w:rsid w:val="006064FE"/>
    <w:rsid w:val="00606810"/>
    <w:rsid w:val="00606E0C"/>
    <w:rsid w:val="00606FCC"/>
    <w:rsid w:val="00613370"/>
    <w:rsid w:val="006227B4"/>
    <w:rsid w:val="00622951"/>
    <w:rsid w:val="00624269"/>
    <w:rsid w:val="0062433D"/>
    <w:rsid w:val="00626022"/>
    <w:rsid w:val="00626D3F"/>
    <w:rsid w:val="00627CF2"/>
    <w:rsid w:val="0063010F"/>
    <w:rsid w:val="00632C95"/>
    <w:rsid w:val="00633D70"/>
    <w:rsid w:val="006367E7"/>
    <w:rsid w:val="00637D80"/>
    <w:rsid w:val="006404FA"/>
    <w:rsid w:val="006422F8"/>
    <w:rsid w:val="00642AF0"/>
    <w:rsid w:val="006465AE"/>
    <w:rsid w:val="00651729"/>
    <w:rsid w:val="006569A1"/>
    <w:rsid w:val="006609DF"/>
    <w:rsid w:val="00660BE0"/>
    <w:rsid w:val="00660C57"/>
    <w:rsid w:val="006621E6"/>
    <w:rsid w:val="006635BD"/>
    <w:rsid w:val="00665358"/>
    <w:rsid w:val="00665811"/>
    <w:rsid w:val="00665DB6"/>
    <w:rsid w:val="00666176"/>
    <w:rsid w:val="00666293"/>
    <w:rsid w:val="0067035D"/>
    <w:rsid w:val="00670FFA"/>
    <w:rsid w:val="00673932"/>
    <w:rsid w:val="00674BE5"/>
    <w:rsid w:val="00677371"/>
    <w:rsid w:val="00684674"/>
    <w:rsid w:val="006872B2"/>
    <w:rsid w:val="0068767E"/>
    <w:rsid w:val="00691534"/>
    <w:rsid w:val="00691A23"/>
    <w:rsid w:val="006953DA"/>
    <w:rsid w:val="006966DD"/>
    <w:rsid w:val="006975D9"/>
    <w:rsid w:val="00697DA3"/>
    <w:rsid w:val="006A02A6"/>
    <w:rsid w:val="006A223C"/>
    <w:rsid w:val="006A23A0"/>
    <w:rsid w:val="006A616C"/>
    <w:rsid w:val="006A61F7"/>
    <w:rsid w:val="006A6B54"/>
    <w:rsid w:val="006A7286"/>
    <w:rsid w:val="006B725F"/>
    <w:rsid w:val="006B72AD"/>
    <w:rsid w:val="006B79FD"/>
    <w:rsid w:val="006C0BBF"/>
    <w:rsid w:val="006C1A21"/>
    <w:rsid w:val="006C1E9E"/>
    <w:rsid w:val="006C3286"/>
    <w:rsid w:val="006C5D5B"/>
    <w:rsid w:val="006C7329"/>
    <w:rsid w:val="006C7ED7"/>
    <w:rsid w:val="006D2085"/>
    <w:rsid w:val="006D3221"/>
    <w:rsid w:val="006D6272"/>
    <w:rsid w:val="006E1A1B"/>
    <w:rsid w:val="006E4380"/>
    <w:rsid w:val="006E7698"/>
    <w:rsid w:val="006E7781"/>
    <w:rsid w:val="006E7A15"/>
    <w:rsid w:val="006F1B4D"/>
    <w:rsid w:val="00700AF0"/>
    <w:rsid w:val="0070443B"/>
    <w:rsid w:val="0070586C"/>
    <w:rsid w:val="00705F62"/>
    <w:rsid w:val="00706D10"/>
    <w:rsid w:val="00710E65"/>
    <w:rsid w:val="00711507"/>
    <w:rsid w:val="00711C20"/>
    <w:rsid w:val="00714640"/>
    <w:rsid w:val="00715B8C"/>
    <w:rsid w:val="00716C08"/>
    <w:rsid w:val="00716E0D"/>
    <w:rsid w:val="00722A76"/>
    <w:rsid w:val="00725AE1"/>
    <w:rsid w:val="00733973"/>
    <w:rsid w:val="00734F88"/>
    <w:rsid w:val="00735F66"/>
    <w:rsid w:val="007362BD"/>
    <w:rsid w:val="00736A35"/>
    <w:rsid w:val="00736D58"/>
    <w:rsid w:val="00736D9B"/>
    <w:rsid w:val="00740501"/>
    <w:rsid w:val="00745DDC"/>
    <w:rsid w:val="00746A63"/>
    <w:rsid w:val="00751CE2"/>
    <w:rsid w:val="007527A6"/>
    <w:rsid w:val="00753A01"/>
    <w:rsid w:val="00753EC4"/>
    <w:rsid w:val="00755AEE"/>
    <w:rsid w:val="00757BC6"/>
    <w:rsid w:val="007603C7"/>
    <w:rsid w:val="00762E28"/>
    <w:rsid w:val="00763338"/>
    <w:rsid w:val="00763705"/>
    <w:rsid w:val="00763965"/>
    <w:rsid w:val="00764475"/>
    <w:rsid w:val="0076624C"/>
    <w:rsid w:val="007667C7"/>
    <w:rsid w:val="00767E7B"/>
    <w:rsid w:val="00770AC9"/>
    <w:rsid w:val="00775576"/>
    <w:rsid w:val="00776BBB"/>
    <w:rsid w:val="00776BDC"/>
    <w:rsid w:val="0077736A"/>
    <w:rsid w:val="00777602"/>
    <w:rsid w:val="00780D8E"/>
    <w:rsid w:val="00781CF8"/>
    <w:rsid w:val="00784BD4"/>
    <w:rsid w:val="0078532F"/>
    <w:rsid w:val="00785740"/>
    <w:rsid w:val="007869A8"/>
    <w:rsid w:val="00790157"/>
    <w:rsid w:val="007901FD"/>
    <w:rsid w:val="00793D8D"/>
    <w:rsid w:val="00793E1C"/>
    <w:rsid w:val="007A2745"/>
    <w:rsid w:val="007A38E0"/>
    <w:rsid w:val="007A3A9B"/>
    <w:rsid w:val="007A5945"/>
    <w:rsid w:val="007B15C2"/>
    <w:rsid w:val="007B1F44"/>
    <w:rsid w:val="007B2AF7"/>
    <w:rsid w:val="007B3027"/>
    <w:rsid w:val="007B6BC3"/>
    <w:rsid w:val="007C1FFF"/>
    <w:rsid w:val="007C3090"/>
    <w:rsid w:val="007C3921"/>
    <w:rsid w:val="007C7B44"/>
    <w:rsid w:val="007D152B"/>
    <w:rsid w:val="007D25EC"/>
    <w:rsid w:val="007D2717"/>
    <w:rsid w:val="007D369E"/>
    <w:rsid w:val="007D3EA9"/>
    <w:rsid w:val="007D5740"/>
    <w:rsid w:val="007D5933"/>
    <w:rsid w:val="007D5BB5"/>
    <w:rsid w:val="007E0300"/>
    <w:rsid w:val="007E160A"/>
    <w:rsid w:val="007E29AB"/>
    <w:rsid w:val="007E5C91"/>
    <w:rsid w:val="007E6C83"/>
    <w:rsid w:val="007E746E"/>
    <w:rsid w:val="007E79B6"/>
    <w:rsid w:val="007F1CDF"/>
    <w:rsid w:val="007F2348"/>
    <w:rsid w:val="007F276B"/>
    <w:rsid w:val="007F474E"/>
    <w:rsid w:val="007F678E"/>
    <w:rsid w:val="007F75F5"/>
    <w:rsid w:val="008010C4"/>
    <w:rsid w:val="00801EB0"/>
    <w:rsid w:val="00802902"/>
    <w:rsid w:val="0080510D"/>
    <w:rsid w:val="00805E11"/>
    <w:rsid w:val="00806321"/>
    <w:rsid w:val="008064EC"/>
    <w:rsid w:val="00806A16"/>
    <w:rsid w:val="00806A9B"/>
    <w:rsid w:val="00810821"/>
    <w:rsid w:val="00814FC7"/>
    <w:rsid w:val="0081545A"/>
    <w:rsid w:val="00815991"/>
    <w:rsid w:val="00816559"/>
    <w:rsid w:val="0081664C"/>
    <w:rsid w:val="00820E21"/>
    <w:rsid w:val="00823A87"/>
    <w:rsid w:val="00826315"/>
    <w:rsid w:val="008266E5"/>
    <w:rsid w:val="00827C1C"/>
    <w:rsid w:val="00827F8B"/>
    <w:rsid w:val="00830089"/>
    <w:rsid w:val="008300B2"/>
    <w:rsid w:val="008353A9"/>
    <w:rsid w:val="00836BE0"/>
    <w:rsid w:val="00836E79"/>
    <w:rsid w:val="008373BD"/>
    <w:rsid w:val="008400D0"/>
    <w:rsid w:val="0084113E"/>
    <w:rsid w:val="0084180C"/>
    <w:rsid w:val="00842610"/>
    <w:rsid w:val="008455B9"/>
    <w:rsid w:val="008459B1"/>
    <w:rsid w:val="008459FC"/>
    <w:rsid w:val="00846158"/>
    <w:rsid w:val="00846AE7"/>
    <w:rsid w:val="00846B5E"/>
    <w:rsid w:val="00847687"/>
    <w:rsid w:val="00847FA6"/>
    <w:rsid w:val="00851BE8"/>
    <w:rsid w:val="00855575"/>
    <w:rsid w:val="00856058"/>
    <w:rsid w:val="0085750D"/>
    <w:rsid w:val="00857CBD"/>
    <w:rsid w:val="008610E2"/>
    <w:rsid w:val="00861A26"/>
    <w:rsid w:val="00862259"/>
    <w:rsid w:val="008633E6"/>
    <w:rsid w:val="00867367"/>
    <w:rsid w:val="0087239C"/>
    <w:rsid w:val="008728B9"/>
    <w:rsid w:val="00872C0A"/>
    <w:rsid w:val="00872C81"/>
    <w:rsid w:val="00874A0D"/>
    <w:rsid w:val="00880561"/>
    <w:rsid w:val="0088124A"/>
    <w:rsid w:val="00881F1E"/>
    <w:rsid w:val="00883070"/>
    <w:rsid w:val="00884668"/>
    <w:rsid w:val="008869EA"/>
    <w:rsid w:val="00887B63"/>
    <w:rsid w:val="00887BAE"/>
    <w:rsid w:val="00890A8B"/>
    <w:rsid w:val="00892E75"/>
    <w:rsid w:val="00897E48"/>
    <w:rsid w:val="008A0380"/>
    <w:rsid w:val="008A147C"/>
    <w:rsid w:val="008A1E72"/>
    <w:rsid w:val="008A2315"/>
    <w:rsid w:val="008A2424"/>
    <w:rsid w:val="008A3059"/>
    <w:rsid w:val="008A4892"/>
    <w:rsid w:val="008A4AD5"/>
    <w:rsid w:val="008A7BC1"/>
    <w:rsid w:val="008B513F"/>
    <w:rsid w:val="008B6410"/>
    <w:rsid w:val="008B7CDB"/>
    <w:rsid w:val="008C21F8"/>
    <w:rsid w:val="008C249B"/>
    <w:rsid w:val="008C32E4"/>
    <w:rsid w:val="008C5AEC"/>
    <w:rsid w:val="008C6FC6"/>
    <w:rsid w:val="008D0E18"/>
    <w:rsid w:val="008D1BFF"/>
    <w:rsid w:val="008D2D57"/>
    <w:rsid w:val="008D5185"/>
    <w:rsid w:val="008D54C9"/>
    <w:rsid w:val="008D715C"/>
    <w:rsid w:val="008D790A"/>
    <w:rsid w:val="008E06B2"/>
    <w:rsid w:val="008E3661"/>
    <w:rsid w:val="008E645C"/>
    <w:rsid w:val="008E772C"/>
    <w:rsid w:val="008E7D0B"/>
    <w:rsid w:val="008F1DBE"/>
    <w:rsid w:val="008F2197"/>
    <w:rsid w:val="008F280F"/>
    <w:rsid w:val="008F4FF3"/>
    <w:rsid w:val="00901E51"/>
    <w:rsid w:val="0090200F"/>
    <w:rsid w:val="009028E0"/>
    <w:rsid w:val="00902A05"/>
    <w:rsid w:val="00902E4E"/>
    <w:rsid w:val="00902FCD"/>
    <w:rsid w:val="00903801"/>
    <w:rsid w:val="00905780"/>
    <w:rsid w:val="00907088"/>
    <w:rsid w:val="00911225"/>
    <w:rsid w:val="0091214E"/>
    <w:rsid w:val="009136A5"/>
    <w:rsid w:val="009138A0"/>
    <w:rsid w:val="00915D9B"/>
    <w:rsid w:val="009162BF"/>
    <w:rsid w:val="0091768C"/>
    <w:rsid w:val="00921222"/>
    <w:rsid w:val="0092164A"/>
    <w:rsid w:val="0093236F"/>
    <w:rsid w:val="0093309F"/>
    <w:rsid w:val="0093729D"/>
    <w:rsid w:val="009418E4"/>
    <w:rsid w:val="009424C3"/>
    <w:rsid w:val="00942570"/>
    <w:rsid w:val="00942713"/>
    <w:rsid w:val="009433A7"/>
    <w:rsid w:val="0094477B"/>
    <w:rsid w:val="00947631"/>
    <w:rsid w:val="00947C4F"/>
    <w:rsid w:val="00950336"/>
    <w:rsid w:val="0095048E"/>
    <w:rsid w:val="00950FC5"/>
    <w:rsid w:val="0095111C"/>
    <w:rsid w:val="009537CF"/>
    <w:rsid w:val="009545A2"/>
    <w:rsid w:val="00954E12"/>
    <w:rsid w:val="00955259"/>
    <w:rsid w:val="00956157"/>
    <w:rsid w:val="0095616F"/>
    <w:rsid w:val="00956CD0"/>
    <w:rsid w:val="0095719E"/>
    <w:rsid w:val="00957355"/>
    <w:rsid w:val="00957A2E"/>
    <w:rsid w:val="00960570"/>
    <w:rsid w:val="00960E22"/>
    <w:rsid w:val="00962068"/>
    <w:rsid w:val="00963233"/>
    <w:rsid w:val="00963491"/>
    <w:rsid w:val="009645D4"/>
    <w:rsid w:val="009652E3"/>
    <w:rsid w:val="009678E3"/>
    <w:rsid w:val="00967A69"/>
    <w:rsid w:val="0097164A"/>
    <w:rsid w:val="00973E49"/>
    <w:rsid w:val="00975B0F"/>
    <w:rsid w:val="00980BD8"/>
    <w:rsid w:val="00981E11"/>
    <w:rsid w:val="00982897"/>
    <w:rsid w:val="00982A21"/>
    <w:rsid w:val="00985E30"/>
    <w:rsid w:val="00986F07"/>
    <w:rsid w:val="009873D4"/>
    <w:rsid w:val="0098789C"/>
    <w:rsid w:val="00987B0C"/>
    <w:rsid w:val="009911F8"/>
    <w:rsid w:val="00992D45"/>
    <w:rsid w:val="00992D51"/>
    <w:rsid w:val="00993051"/>
    <w:rsid w:val="00995684"/>
    <w:rsid w:val="00996B2C"/>
    <w:rsid w:val="00996B65"/>
    <w:rsid w:val="009A2923"/>
    <w:rsid w:val="009A542F"/>
    <w:rsid w:val="009A640F"/>
    <w:rsid w:val="009A6420"/>
    <w:rsid w:val="009A6AFB"/>
    <w:rsid w:val="009B0ACD"/>
    <w:rsid w:val="009B1D5F"/>
    <w:rsid w:val="009B35CB"/>
    <w:rsid w:val="009B399B"/>
    <w:rsid w:val="009B42B9"/>
    <w:rsid w:val="009B4CA8"/>
    <w:rsid w:val="009B57E8"/>
    <w:rsid w:val="009B6110"/>
    <w:rsid w:val="009B6D78"/>
    <w:rsid w:val="009B773D"/>
    <w:rsid w:val="009C062F"/>
    <w:rsid w:val="009C0FE4"/>
    <w:rsid w:val="009C1B63"/>
    <w:rsid w:val="009C2E1C"/>
    <w:rsid w:val="009C3E1F"/>
    <w:rsid w:val="009C48A8"/>
    <w:rsid w:val="009C4C6F"/>
    <w:rsid w:val="009D05CB"/>
    <w:rsid w:val="009D2E6D"/>
    <w:rsid w:val="009D5A77"/>
    <w:rsid w:val="009D6A6B"/>
    <w:rsid w:val="009D7128"/>
    <w:rsid w:val="009E0680"/>
    <w:rsid w:val="009E293A"/>
    <w:rsid w:val="009E590B"/>
    <w:rsid w:val="009E64A0"/>
    <w:rsid w:val="009E748A"/>
    <w:rsid w:val="009E75A4"/>
    <w:rsid w:val="009F03FD"/>
    <w:rsid w:val="009F0914"/>
    <w:rsid w:val="009F12D1"/>
    <w:rsid w:val="009F19D5"/>
    <w:rsid w:val="009F2422"/>
    <w:rsid w:val="009F3726"/>
    <w:rsid w:val="009F3BC4"/>
    <w:rsid w:val="009F4EB0"/>
    <w:rsid w:val="009F5349"/>
    <w:rsid w:val="009F55CE"/>
    <w:rsid w:val="009F6F4C"/>
    <w:rsid w:val="00A027EF"/>
    <w:rsid w:val="00A0323A"/>
    <w:rsid w:val="00A03AC7"/>
    <w:rsid w:val="00A0409C"/>
    <w:rsid w:val="00A046B1"/>
    <w:rsid w:val="00A0504D"/>
    <w:rsid w:val="00A05CAF"/>
    <w:rsid w:val="00A069A3"/>
    <w:rsid w:val="00A11F1B"/>
    <w:rsid w:val="00A208A8"/>
    <w:rsid w:val="00A2097F"/>
    <w:rsid w:val="00A20BD4"/>
    <w:rsid w:val="00A21A9C"/>
    <w:rsid w:val="00A23E1A"/>
    <w:rsid w:val="00A25291"/>
    <w:rsid w:val="00A25985"/>
    <w:rsid w:val="00A26936"/>
    <w:rsid w:val="00A2703A"/>
    <w:rsid w:val="00A318EB"/>
    <w:rsid w:val="00A334F1"/>
    <w:rsid w:val="00A3658F"/>
    <w:rsid w:val="00A373E0"/>
    <w:rsid w:val="00A378CC"/>
    <w:rsid w:val="00A40187"/>
    <w:rsid w:val="00A40FCD"/>
    <w:rsid w:val="00A440F8"/>
    <w:rsid w:val="00A46CB6"/>
    <w:rsid w:val="00A46FBF"/>
    <w:rsid w:val="00A503A8"/>
    <w:rsid w:val="00A514BC"/>
    <w:rsid w:val="00A51D01"/>
    <w:rsid w:val="00A53C3E"/>
    <w:rsid w:val="00A54E5D"/>
    <w:rsid w:val="00A56834"/>
    <w:rsid w:val="00A575AA"/>
    <w:rsid w:val="00A60F06"/>
    <w:rsid w:val="00A62B31"/>
    <w:rsid w:val="00A635C9"/>
    <w:rsid w:val="00A64D99"/>
    <w:rsid w:val="00A66714"/>
    <w:rsid w:val="00A66E7C"/>
    <w:rsid w:val="00A67845"/>
    <w:rsid w:val="00A67E29"/>
    <w:rsid w:val="00A70A21"/>
    <w:rsid w:val="00A710AA"/>
    <w:rsid w:val="00A712B1"/>
    <w:rsid w:val="00A71831"/>
    <w:rsid w:val="00A73257"/>
    <w:rsid w:val="00A73EA8"/>
    <w:rsid w:val="00A77029"/>
    <w:rsid w:val="00A775C9"/>
    <w:rsid w:val="00A838B6"/>
    <w:rsid w:val="00A85F6A"/>
    <w:rsid w:val="00A878C4"/>
    <w:rsid w:val="00A902FC"/>
    <w:rsid w:val="00A910D8"/>
    <w:rsid w:val="00A91F32"/>
    <w:rsid w:val="00A92049"/>
    <w:rsid w:val="00A934D8"/>
    <w:rsid w:val="00A94444"/>
    <w:rsid w:val="00A96AD8"/>
    <w:rsid w:val="00A979C6"/>
    <w:rsid w:val="00AA0D32"/>
    <w:rsid w:val="00AA14E1"/>
    <w:rsid w:val="00AA242F"/>
    <w:rsid w:val="00AA2741"/>
    <w:rsid w:val="00AA4401"/>
    <w:rsid w:val="00AA4477"/>
    <w:rsid w:val="00AB3EBF"/>
    <w:rsid w:val="00AB44CE"/>
    <w:rsid w:val="00AB6DA3"/>
    <w:rsid w:val="00AC108E"/>
    <w:rsid w:val="00AC1132"/>
    <w:rsid w:val="00AC16A6"/>
    <w:rsid w:val="00AC20D2"/>
    <w:rsid w:val="00AC444A"/>
    <w:rsid w:val="00AC5EA7"/>
    <w:rsid w:val="00AD0D4E"/>
    <w:rsid w:val="00AD1403"/>
    <w:rsid w:val="00AD1AEB"/>
    <w:rsid w:val="00AD1DAA"/>
    <w:rsid w:val="00AD220B"/>
    <w:rsid w:val="00AE0976"/>
    <w:rsid w:val="00AE42BB"/>
    <w:rsid w:val="00AE490A"/>
    <w:rsid w:val="00AE4928"/>
    <w:rsid w:val="00AE4AB9"/>
    <w:rsid w:val="00AE4CDA"/>
    <w:rsid w:val="00AE6E7E"/>
    <w:rsid w:val="00AE7B8A"/>
    <w:rsid w:val="00AF0060"/>
    <w:rsid w:val="00AF0CA7"/>
    <w:rsid w:val="00AF35DF"/>
    <w:rsid w:val="00AF7000"/>
    <w:rsid w:val="00AF799F"/>
    <w:rsid w:val="00B000A5"/>
    <w:rsid w:val="00B00716"/>
    <w:rsid w:val="00B03460"/>
    <w:rsid w:val="00B04B32"/>
    <w:rsid w:val="00B07C02"/>
    <w:rsid w:val="00B114E2"/>
    <w:rsid w:val="00B11870"/>
    <w:rsid w:val="00B13215"/>
    <w:rsid w:val="00B14BFA"/>
    <w:rsid w:val="00B15B54"/>
    <w:rsid w:val="00B16379"/>
    <w:rsid w:val="00B2046D"/>
    <w:rsid w:val="00B21729"/>
    <w:rsid w:val="00B26255"/>
    <w:rsid w:val="00B31134"/>
    <w:rsid w:val="00B31FBC"/>
    <w:rsid w:val="00B35FAC"/>
    <w:rsid w:val="00B41FB0"/>
    <w:rsid w:val="00B440C0"/>
    <w:rsid w:val="00B537C6"/>
    <w:rsid w:val="00B53CE9"/>
    <w:rsid w:val="00B53E22"/>
    <w:rsid w:val="00B546EF"/>
    <w:rsid w:val="00B56B8A"/>
    <w:rsid w:val="00B57709"/>
    <w:rsid w:val="00B60BF9"/>
    <w:rsid w:val="00B60D6E"/>
    <w:rsid w:val="00B612BD"/>
    <w:rsid w:val="00B63DB3"/>
    <w:rsid w:val="00B6403F"/>
    <w:rsid w:val="00B66F64"/>
    <w:rsid w:val="00B6727D"/>
    <w:rsid w:val="00B67849"/>
    <w:rsid w:val="00B7180D"/>
    <w:rsid w:val="00B71B7C"/>
    <w:rsid w:val="00B7328C"/>
    <w:rsid w:val="00B737D9"/>
    <w:rsid w:val="00B74521"/>
    <w:rsid w:val="00B74708"/>
    <w:rsid w:val="00B822EB"/>
    <w:rsid w:val="00B8338C"/>
    <w:rsid w:val="00B8365E"/>
    <w:rsid w:val="00B8526D"/>
    <w:rsid w:val="00B86128"/>
    <w:rsid w:val="00B863AA"/>
    <w:rsid w:val="00B90DEC"/>
    <w:rsid w:val="00B92191"/>
    <w:rsid w:val="00B93683"/>
    <w:rsid w:val="00B938AA"/>
    <w:rsid w:val="00B95786"/>
    <w:rsid w:val="00B95A14"/>
    <w:rsid w:val="00B9709A"/>
    <w:rsid w:val="00BA328F"/>
    <w:rsid w:val="00BA4175"/>
    <w:rsid w:val="00BA584C"/>
    <w:rsid w:val="00BA6097"/>
    <w:rsid w:val="00BA67CD"/>
    <w:rsid w:val="00BA7DE8"/>
    <w:rsid w:val="00BB1C5F"/>
    <w:rsid w:val="00BB2F5C"/>
    <w:rsid w:val="00BB319F"/>
    <w:rsid w:val="00BC19A2"/>
    <w:rsid w:val="00BC1E3A"/>
    <w:rsid w:val="00BC495B"/>
    <w:rsid w:val="00BC50CC"/>
    <w:rsid w:val="00BD06E4"/>
    <w:rsid w:val="00BD1A71"/>
    <w:rsid w:val="00BD2C77"/>
    <w:rsid w:val="00BD5FCA"/>
    <w:rsid w:val="00BE0382"/>
    <w:rsid w:val="00BE19CD"/>
    <w:rsid w:val="00BE33AE"/>
    <w:rsid w:val="00BE4FC8"/>
    <w:rsid w:val="00BE50EB"/>
    <w:rsid w:val="00BE5CE0"/>
    <w:rsid w:val="00BE5F16"/>
    <w:rsid w:val="00BE6F25"/>
    <w:rsid w:val="00BE7162"/>
    <w:rsid w:val="00BE7FA6"/>
    <w:rsid w:val="00BF158E"/>
    <w:rsid w:val="00BF22FE"/>
    <w:rsid w:val="00BF3C40"/>
    <w:rsid w:val="00BF6286"/>
    <w:rsid w:val="00C0154C"/>
    <w:rsid w:val="00C01D64"/>
    <w:rsid w:val="00C0211A"/>
    <w:rsid w:val="00C03439"/>
    <w:rsid w:val="00C041DB"/>
    <w:rsid w:val="00C07038"/>
    <w:rsid w:val="00C0797E"/>
    <w:rsid w:val="00C07E8B"/>
    <w:rsid w:val="00C11B53"/>
    <w:rsid w:val="00C147C7"/>
    <w:rsid w:val="00C14B8C"/>
    <w:rsid w:val="00C1518A"/>
    <w:rsid w:val="00C15B01"/>
    <w:rsid w:val="00C16797"/>
    <w:rsid w:val="00C17EA9"/>
    <w:rsid w:val="00C2003C"/>
    <w:rsid w:val="00C21337"/>
    <w:rsid w:val="00C23EA0"/>
    <w:rsid w:val="00C24A85"/>
    <w:rsid w:val="00C26689"/>
    <w:rsid w:val="00C300FF"/>
    <w:rsid w:val="00C30A3C"/>
    <w:rsid w:val="00C312D6"/>
    <w:rsid w:val="00C31457"/>
    <w:rsid w:val="00C31F34"/>
    <w:rsid w:val="00C326CA"/>
    <w:rsid w:val="00C33F07"/>
    <w:rsid w:val="00C342A3"/>
    <w:rsid w:val="00C34A53"/>
    <w:rsid w:val="00C3562E"/>
    <w:rsid w:val="00C36FFC"/>
    <w:rsid w:val="00C40819"/>
    <w:rsid w:val="00C4281E"/>
    <w:rsid w:val="00C43987"/>
    <w:rsid w:val="00C43EED"/>
    <w:rsid w:val="00C45AB6"/>
    <w:rsid w:val="00C46D9F"/>
    <w:rsid w:val="00C50CBA"/>
    <w:rsid w:val="00C520C6"/>
    <w:rsid w:val="00C579D4"/>
    <w:rsid w:val="00C61C11"/>
    <w:rsid w:val="00C62A55"/>
    <w:rsid w:val="00C6368C"/>
    <w:rsid w:val="00C63F30"/>
    <w:rsid w:val="00C64562"/>
    <w:rsid w:val="00C65C52"/>
    <w:rsid w:val="00C66EB6"/>
    <w:rsid w:val="00C6789F"/>
    <w:rsid w:val="00C70FF0"/>
    <w:rsid w:val="00C721D0"/>
    <w:rsid w:val="00C74AA9"/>
    <w:rsid w:val="00C774F7"/>
    <w:rsid w:val="00C83676"/>
    <w:rsid w:val="00C86726"/>
    <w:rsid w:val="00C87003"/>
    <w:rsid w:val="00C92323"/>
    <w:rsid w:val="00C96D11"/>
    <w:rsid w:val="00CA125A"/>
    <w:rsid w:val="00CA381C"/>
    <w:rsid w:val="00CA5D89"/>
    <w:rsid w:val="00CA7425"/>
    <w:rsid w:val="00CB080C"/>
    <w:rsid w:val="00CB18E8"/>
    <w:rsid w:val="00CB3195"/>
    <w:rsid w:val="00CB4398"/>
    <w:rsid w:val="00CB7B3B"/>
    <w:rsid w:val="00CC0219"/>
    <w:rsid w:val="00CC1A7E"/>
    <w:rsid w:val="00CC4950"/>
    <w:rsid w:val="00CC5B8C"/>
    <w:rsid w:val="00CC5EDF"/>
    <w:rsid w:val="00CD0012"/>
    <w:rsid w:val="00CD013F"/>
    <w:rsid w:val="00CD136E"/>
    <w:rsid w:val="00CD2966"/>
    <w:rsid w:val="00CD338A"/>
    <w:rsid w:val="00CD347A"/>
    <w:rsid w:val="00CD53E9"/>
    <w:rsid w:val="00CD72C3"/>
    <w:rsid w:val="00CE16FA"/>
    <w:rsid w:val="00CE213D"/>
    <w:rsid w:val="00CE32D1"/>
    <w:rsid w:val="00CE5166"/>
    <w:rsid w:val="00CE52E7"/>
    <w:rsid w:val="00CE5404"/>
    <w:rsid w:val="00CE7584"/>
    <w:rsid w:val="00CF09F1"/>
    <w:rsid w:val="00CF104E"/>
    <w:rsid w:val="00CF382D"/>
    <w:rsid w:val="00CF4F0E"/>
    <w:rsid w:val="00CF5952"/>
    <w:rsid w:val="00CF6010"/>
    <w:rsid w:val="00CF6B9F"/>
    <w:rsid w:val="00D00320"/>
    <w:rsid w:val="00D0055B"/>
    <w:rsid w:val="00D019B9"/>
    <w:rsid w:val="00D01C4F"/>
    <w:rsid w:val="00D02159"/>
    <w:rsid w:val="00D03F1A"/>
    <w:rsid w:val="00D0467D"/>
    <w:rsid w:val="00D0479F"/>
    <w:rsid w:val="00D05FBA"/>
    <w:rsid w:val="00D068C9"/>
    <w:rsid w:val="00D06E9B"/>
    <w:rsid w:val="00D108D9"/>
    <w:rsid w:val="00D1119B"/>
    <w:rsid w:val="00D11CC7"/>
    <w:rsid w:val="00D13EC4"/>
    <w:rsid w:val="00D15C7D"/>
    <w:rsid w:val="00D16AD1"/>
    <w:rsid w:val="00D16D04"/>
    <w:rsid w:val="00D200E1"/>
    <w:rsid w:val="00D20873"/>
    <w:rsid w:val="00D21E72"/>
    <w:rsid w:val="00D22868"/>
    <w:rsid w:val="00D228C8"/>
    <w:rsid w:val="00D27517"/>
    <w:rsid w:val="00D278B1"/>
    <w:rsid w:val="00D303AA"/>
    <w:rsid w:val="00D31419"/>
    <w:rsid w:val="00D3209A"/>
    <w:rsid w:val="00D3266B"/>
    <w:rsid w:val="00D3793D"/>
    <w:rsid w:val="00D40E64"/>
    <w:rsid w:val="00D41185"/>
    <w:rsid w:val="00D45AB4"/>
    <w:rsid w:val="00D461C3"/>
    <w:rsid w:val="00D463E9"/>
    <w:rsid w:val="00D47557"/>
    <w:rsid w:val="00D51820"/>
    <w:rsid w:val="00D52F35"/>
    <w:rsid w:val="00D53897"/>
    <w:rsid w:val="00D57788"/>
    <w:rsid w:val="00D5788D"/>
    <w:rsid w:val="00D60C28"/>
    <w:rsid w:val="00D65E62"/>
    <w:rsid w:val="00D660BC"/>
    <w:rsid w:val="00D6706A"/>
    <w:rsid w:val="00D678C4"/>
    <w:rsid w:val="00D71EB2"/>
    <w:rsid w:val="00D72305"/>
    <w:rsid w:val="00D7231F"/>
    <w:rsid w:val="00D72E3F"/>
    <w:rsid w:val="00D73AEF"/>
    <w:rsid w:val="00D73BC8"/>
    <w:rsid w:val="00D73E20"/>
    <w:rsid w:val="00D73E8F"/>
    <w:rsid w:val="00D75938"/>
    <w:rsid w:val="00D75FB0"/>
    <w:rsid w:val="00D77163"/>
    <w:rsid w:val="00D80181"/>
    <w:rsid w:val="00D808E7"/>
    <w:rsid w:val="00D82737"/>
    <w:rsid w:val="00D8713A"/>
    <w:rsid w:val="00D92670"/>
    <w:rsid w:val="00D92806"/>
    <w:rsid w:val="00D9318B"/>
    <w:rsid w:val="00D94583"/>
    <w:rsid w:val="00D96A69"/>
    <w:rsid w:val="00D97C5A"/>
    <w:rsid w:val="00DA160E"/>
    <w:rsid w:val="00DA18D1"/>
    <w:rsid w:val="00DA46A8"/>
    <w:rsid w:val="00DA5195"/>
    <w:rsid w:val="00DA56CA"/>
    <w:rsid w:val="00DA6143"/>
    <w:rsid w:val="00DA7EE6"/>
    <w:rsid w:val="00DA7F21"/>
    <w:rsid w:val="00DB1882"/>
    <w:rsid w:val="00DB1D7A"/>
    <w:rsid w:val="00DB3D68"/>
    <w:rsid w:val="00DB3FBF"/>
    <w:rsid w:val="00DB5518"/>
    <w:rsid w:val="00DB584B"/>
    <w:rsid w:val="00DB6025"/>
    <w:rsid w:val="00DB70BD"/>
    <w:rsid w:val="00DC5AF2"/>
    <w:rsid w:val="00DC7883"/>
    <w:rsid w:val="00DD25C3"/>
    <w:rsid w:val="00DD4CDD"/>
    <w:rsid w:val="00DD6C6B"/>
    <w:rsid w:val="00DD7257"/>
    <w:rsid w:val="00DD7C19"/>
    <w:rsid w:val="00DE005F"/>
    <w:rsid w:val="00DE3FC7"/>
    <w:rsid w:val="00DE44C9"/>
    <w:rsid w:val="00DE4954"/>
    <w:rsid w:val="00DE6222"/>
    <w:rsid w:val="00DE72E6"/>
    <w:rsid w:val="00DE7527"/>
    <w:rsid w:val="00DF04C1"/>
    <w:rsid w:val="00DF6351"/>
    <w:rsid w:val="00E01202"/>
    <w:rsid w:val="00E04227"/>
    <w:rsid w:val="00E04AB9"/>
    <w:rsid w:val="00E056BF"/>
    <w:rsid w:val="00E1407F"/>
    <w:rsid w:val="00E145B2"/>
    <w:rsid w:val="00E148DB"/>
    <w:rsid w:val="00E162D3"/>
    <w:rsid w:val="00E22D0E"/>
    <w:rsid w:val="00E24246"/>
    <w:rsid w:val="00E2472E"/>
    <w:rsid w:val="00E3189B"/>
    <w:rsid w:val="00E332E5"/>
    <w:rsid w:val="00E35EA7"/>
    <w:rsid w:val="00E36E85"/>
    <w:rsid w:val="00E41466"/>
    <w:rsid w:val="00E41661"/>
    <w:rsid w:val="00E425CA"/>
    <w:rsid w:val="00E42D7D"/>
    <w:rsid w:val="00E43638"/>
    <w:rsid w:val="00E47656"/>
    <w:rsid w:val="00E52056"/>
    <w:rsid w:val="00E60D5C"/>
    <w:rsid w:val="00E6197D"/>
    <w:rsid w:val="00E61B02"/>
    <w:rsid w:val="00E61EB5"/>
    <w:rsid w:val="00E627DA"/>
    <w:rsid w:val="00E63AA9"/>
    <w:rsid w:val="00E67091"/>
    <w:rsid w:val="00E709E2"/>
    <w:rsid w:val="00E70BEC"/>
    <w:rsid w:val="00E718A0"/>
    <w:rsid w:val="00E71D1D"/>
    <w:rsid w:val="00E72604"/>
    <w:rsid w:val="00E73760"/>
    <w:rsid w:val="00E74A67"/>
    <w:rsid w:val="00E82011"/>
    <w:rsid w:val="00E825FC"/>
    <w:rsid w:val="00E82AB9"/>
    <w:rsid w:val="00E82AEC"/>
    <w:rsid w:val="00E82BC7"/>
    <w:rsid w:val="00E8353A"/>
    <w:rsid w:val="00E85436"/>
    <w:rsid w:val="00E8783B"/>
    <w:rsid w:val="00E905D1"/>
    <w:rsid w:val="00E90CAE"/>
    <w:rsid w:val="00E9115C"/>
    <w:rsid w:val="00E912F4"/>
    <w:rsid w:val="00E91DD5"/>
    <w:rsid w:val="00E92E6B"/>
    <w:rsid w:val="00E94975"/>
    <w:rsid w:val="00E951C8"/>
    <w:rsid w:val="00E95AA0"/>
    <w:rsid w:val="00E95C18"/>
    <w:rsid w:val="00E96F66"/>
    <w:rsid w:val="00E9760F"/>
    <w:rsid w:val="00EA0DE1"/>
    <w:rsid w:val="00EA0E72"/>
    <w:rsid w:val="00EA1A6E"/>
    <w:rsid w:val="00EA2C42"/>
    <w:rsid w:val="00EA3061"/>
    <w:rsid w:val="00EA4FC4"/>
    <w:rsid w:val="00EA509D"/>
    <w:rsid w:val="00EA56D7"/>
    <w:rsid w:val="00EA634C"/>
    <w:rsid w:val="00EB0ACD"/>
    <w:rsid w:val="00EB16BE"/>
    <w:rsid w:val="00EB1D0E"/>
    <w:rsid w:val="00EB471F"/>
    <w:rsid w:val="00EB4B06"/>
    <w:rsid w:val="00EB4E41"/>
    <w:rsid w:val="00EB7388"/>
    <w:rsid w:val="00EC093D"/>
    <w:rsid w:val="00EC138C"/>
    <w:rsid w:val="00EC27C6"/>
    <w:rsid w:val="00EC318B"/>
    <w:rsid w:val="00EC3B0B"/>
    <w:rsid w:val="00EC4992"/>
    <w:rsid w:val="00EC5F8F"/>
    <w:rsid w:val="00EC700A"/>
    <w:rsid w:val="00EC75D4"/>
    <w:rsid w:val="00ED0ABA"/>
    <w:rsid w:val="00ED3E9E"/>
    <w:rsid w:val="00ED7514"/>
    <w:rsid w:val="00EE09B5"/>
    <w:rsid w:val="00EE32A7"/>
    <w:rsid w:val="00EF1152"/>
    <w:rsid w:val="00EF6456"/>
    <w:rsid w:val="00EF778E"/>
    <w:rsid w:val="00EF792D"/>
    <w:rsid w:val="00EF7F2A"/>
    <w:rsid w:val="00F003AA"/>
    <w:rsid w:val="00F00453"/>
    <w:rsid w:val="00F010CC"/>
    <w:rsid w:val="00F02473"/>
    <w:rsid w:val="00F03B24"/>
    <w:rsid w:val="00F04A3A"/>
    <w:rsid w:val="00F052F3"/>
    <w:rsid w:val="00F06A21"/>
    <w:rsid w:val="00F11869"/>
    <w:rsid w:val="00F15713"/>
    <w:rsid w:val="00F15A3B"/>
    <w:rsid w:val="00F15E89"/>
    <w:rsid w:val="00F21184"/>
    <w:rsid w:val="00F21E23"/>
    <w:rsid w:val="00F2212D"/>
    <w:rsid w:val="00F22528"/>
    <w:rsid w:val="00F24B76"/>
    <w:rsid w:val="00F24D3B"/>
    <w:rsid w:val="00F24D65"/>
    <w:rsid w:val="00F2526C"/>
    <w:rsid w:val="00F26507"/>
    <w:rsid w:val="00F2742B"/>
    <w:rsid w:val="00F27FBD"/>
    <w:rsid w:val="00F32975"/>
    <w:rsid w:val="00F3556F"/>
    <w:rsid w:val="00F36FFC"/>
    <w:rsid w:val="00F3794B"/>
    <w:rsid w:val="00F42C87"/>
    <w:rsid w:val="00F51969"/>
    <w:rsid w:val="00F53173"/>
    <w:rsid w:val="00F534AA"/>
    <w:rsid w:val="00F57018"/>
    <w:rsid w:val="00F60AF7"/>
    <w:rsid w:val="00F61E0B"/>
    <w:rsid w:val="00F625F2"/>
    <w:rsid w:val="00F677D7"/>
    <w:rsid w:val="00F71A6E"/>
    <w:rsid w:val="00F71C06"/>
    <w:rsid w:val="00F7376E"/>
    <w:rsid w:val="00F75D41"/>
    <w:rsid w:val="00F75E1F"/>
    <w:rsid w:val="00F764D8"/>
    <w:rsid w:val="00F809E5"/>
    <w:rsid w:val="00F81E9E"/>
    <w:rsid w:val="00F836F2"/>
    <w:rsid w:val="00F83924"/>
    <w:rsid w:val="00F83FB1"/>
    <w:rsid w:val="00F848C4"/>
    <w:rsid w:val="00F84BA7"/>
    <w:rsid w:val="00F84CAA"/>
    <w:rsid w:val="00F84E4E"/>
    <w:rsid w:val="00F861E8"/>
    <w:rsid w:val="00F9096E"/>
    <w:rsid w:val="00F9186B"/>
    <w:rsid w:val="00F93FDC"/>
    <w:rsid w:val="00F94B37"/>
    <w:rsid w:val="00F954AD"/>
    <w:rsid w:val="00F9691A"/>
    <w:rsid w:val="00F975B4"/>
    <w:rsid w:val="00F97AAD"/>
    <w:rsid w:val="00F97F87"/>
    <w:rsid w:val="00FA2F15"/>
    <w:rsid w:val="00FA4923"/>
    <w:rsid w:val="00FA651D"/>
    <w:rsid w:val="00FA6A62"/>
    <w:rsid w:val="00FA76F6"/>
    <w:rsid w:val="00FB12CA"/>
    <w:rsid w:val="00FB22B0"/>
    <w:rsid w:val="00FB34AB"/>
    <w:rsid w:val="00FB576D"/>
    <w:rsid w:val="00FB64E0"/>
    <w:rsid w:val="00FB6657"/>
    <w:rsid w:val="00FC1DDD"/>
    <w:rsid w:val="00FC4754"/>
    <w:rsid w:val="00FC4F0C"/>
    <w:rsid w:val="00FC5D25"/>
    <w:rsid w:val="00FC656D"/>
    <w:rsid w:val="00FC6A21"/>
    <w:rsid w:val="00FC6A82"/>
    <w:rsid w:val="00FC6FE1"/>
    <w:rsid w:val="00FD4649"/>
    <w:rsid w:val="00FD6243"/>
    <w:rsid w:val="00FD7695"/>
    <w:rsid w:val="00FD7E33"/>
    <w:rsid w:val="00FE0785"/>
    <w:rsid w:val="00FE1360"/>
    <w:rsid w:val="00FE2F98"/>
    <w:rsid w:val="00FE4A12"/>
    <w:rsid w:val="00FE5685"/>
    <w:rsid w:val="00FE6EA6"/>
    <w:rsid w:val="00FE7042"/>
    <w:rsid w:val="00FF1539"/>
    <w:rsid w:val="00FF2CF3"/>
    <w:rsid w:val="00FF44BB"/>
    <w:rsid w:val="00FF5693"/>
    <w:rsid w:val="00FF7E6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iPriority="1"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annotation subject" w:unhideWhenUsed="0"/>
    <w:lsdException w:name="Table Simple 1"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54C9"/>
    <w:pPr>
      <w:spacing w:after="200" w:line="276" w:lineRule="auto"/>
    </w:pPr>
    <w:rPr>
      <w:rFonts w:cs="Verdana"/>
      <w:sz w:val="22"/>
      <w:szCs w:val="22"/>
      <w:lang w:eastAsia="en-US"/>
    </w:rPr>
  </w:style>
  <w:style w:type="paragraph" w:styleId="Kop1">
    <w:name w:val="heading 1"/>
    <w:basedOn w:val="Standaard"/>
    <w:next w:val="Standaard"/>
    <w:link w:val="Kop1Char"/>
    <w:uiPriority w:val="9"/>
    <w:qFormat/>
    <w:rsid w:val="006243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243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B22B0"/>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8064EC"/>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5E0987"/>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5E09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5E098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47E4"/>
    <w:pPr>
      <w:ind w:left="720"/>
      <w:contextualSpacing/>
    </w:pPr>
  </w:style>
  <w:style w:type="paragraph" w:styleId="Voetnoottekst">
    <w:name w:val="footnote text"/>
    <w:aliases w:val="Voetnoottekst Char1,Voetnoottekst Char Char,Voetnoottekst Char2 Char Char,Voetnoottekst Char1 Char Char Char,Voetnoottekst Char Char Char Char Char,Voetnoottekst Char2 Char Char Char Char Char,Voetnoottekst Char2 Char"/>
    <w:basedOn w:val="Standaard"/>
    <w:link w:val="VoetnoottekstChar"/>
    <w:uiPriority w:val="99"/>
    <w:rsid w:val="00F3556F"/>
    <w:pPr>
      <w:spacing w:after="0" w:line="240" w:lineRule="auto"/>
    </w:pPr>
    <w:rPr>
      <w:sz w:val="20"/>
      <w:szCs w:val="20"/>
    </w:rPr>
  </w:style>
  <w:style w:type="character" w:customStyle="1" w:styleId="VoetnoottekstChar">
    <w:name w:val="Voetnoottekst Char"/>
    <w:aliases w:val="Voetnoottekst Char1 Char1,Voetnoottekst Char Char Char1,Voetnoottekst Char2 Char Char Char1,Voetnoottekst Char1 Char Char Char Char1,Voetnoottekst Char Char Char Char Char Char1,Voetnoottekst Char2 Char Char Char Char Char Char1"/>
    <w:basedOn w:val="Standaardalinea-lettertype"/>
    <w:link w:val="Voetnoottekst"/>
    <w:uiPriority w:val="99"/>
    <w:rsid w:val="00F3556F"/>
    <w:rPr>
      <w:sz w:val="20"/>
      <w:szCs w:val="20"/>
    </w:rPr>
  </w:style>
  <w:style w:type="character" w:styleId="Voetnootmarkering">
    <w:name w:val="footnote reference"/>
    <w:basedOn w:val="Standaardalinea-lettertype"/>
    <w:uiPriority w:val="99"/>
    <w:semiHidden/>
    <w:rsid w:val="00F3556F"/>
    <w:rPr>
      <w:vertAlign w:val="superscript"/>
    </w:rPr>
  </w:style>
  <w:style w:type="character" w:styleId="Nadruk">
    <w:name w:val="Emphasis"/>
    <w:basedOn w:val="Standaardalinea-lettertype"/>
    <w:uiPriority w:val="99"/>
    <w:qFormat/>
    <w:rsid w:val="00F75E1F"/>
    <w:rPr>
      <w:i/>
      <w:iCs/>
    </w:rPr>
  </w:style>
  <w:style w:type="character" w:styleId="Hyperlink">
    <w:name w:val="Hyperlink"/>
    <w:basedOn w:val="Standaardalinea-lettertype"/>
    <w:uiPriority w:val="99"/>
    <w:rsid w:val="006E1A1B"/>
    <w:rPr>
      <w:color w:val="0000FF"/>
      <w:u w:val="single"/>
    </w:rPr>
  </w:style>
  <w:style w:type="paragraph" w:styleId="Normaalweb">
    <w:name w:val="Normal (Web)"/>
    <w:basedOn w:val="Standaard"/>
    <w:uiPriority w:val="99"/>
    <w:semiHidden/>
    <w:rsid w:val="00E82AEC"/>
    <w:rPr>
      <w:rFonts w:ascii="Times New Roman" w:hAnsi="Times New Roman" w:cs="Times New Roman"/>
      <w:sz w:val="24"/>
      <w:szCs w:val="24"/>
    </w:rPr>
  </w:style>
  <w:style w:type="paragraph" w:customStyle="1" w:styleId="CharChar1">
    <w:name w:val="Char Char1"/>
    <w:basedOn w:val="Standaard"/>
    <w:uiPriority w:val="99"/>
    <w:rsid w:val="00691534"/>
    <w:pPr>
      <w:spacing w:after="160" w:line="240" w:lineRule="exact"/>
    </w:pPr>
    <w:rPr>
      <w:rFonts w:ascii="Tahoma" w:eastAsia="Times New Roman" w:hAnsi="Tahoma" w:cs="Tahoma"/>
      <w:sz w:val="20"/>
      <w:szCs w:val="20"/>
      <w:lang w:val="en-US"/>
    </w:rPr>
  </w:style>
  <w:style w:type="paragraph" w:customStyle="1" w:styleId="CharChar11">
    <w:name w:val="Char Char11"/>
    <w:basedOn w:val="Standaard"/>
    <w:uiPriority w:val="99"/>
    <w:rsid w:val="0044592B"/>
    <w:pPr>
      <w:spacing w:after="160" w:line="240" w:lineRule="exact"/>
    </w:pPr>
    <w:rPr>
      <w:rFonts w:ascii="Tahoma" w:eastAsia="Times New Roman" w:hAnsi="Tahoma" w:cs="Tahoma"/>
      <w:sz w:val="20"/>
      <w:szCs w:val="20"/>
      <w:lang w:val="en-US"/>
    </w:rPr>
  </w:style>
  <w:style w:type="table" w:styleId="Eenvoudigetabel1">
    <w:name w:val="Table Simple 1"/>
    <w:basedOn w:val="Standaardtabel"/>
    <w:uiPriority w:val="99"/>
    <w:rsid w:val="0044592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44592B"/>
    <w:pPr>
      <w:autoSpaceDE w:val="0"/>
      <w:autoSpaceDN w:val="0"/>
      <w:adjustRightInd w:val="0"/>
    </w:pPr>
    <w:rPr>
      <w:rFonts w:ascii="Trebuchet MS" w:eastAsia="Times New Roman" w:hAnsi="Trebuchet MS" w:cs="Trebuchet MS"/>
      <w:color w:val="000000"/>
      <w:sz w:val="24"/>
      <w:szCs w:val="24"/>
      <w:lang w:eastAsia="en-US"/>
    </w:rPr>
  </w:style>
  <w:style w:type="paragraph" w:styleId="Ballontekst">
    <w:name w:val="Balloon Text"/>
    <w:basedOn w:val="Standaard"/>
    <w:link w:val="BallontekstChar"/>
    <w:uiPriority w:val="99"/>
    <w:semiHidden/>
    <w:rsid w:val="0085605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6058"/>
    <w:rPr>
      <w:rFonts w:ascii="Tahoma" w:hAnsi="Tahoma" w:cs="Tahoma"/>
      <w:sz w:val="16"/>
      <w:szCs w:val="16"/>
    </w:rPr>
  </w:style>
  <w:style w:type="character" w:styleId="Verwijzingopmerking">
    <w:name w:val="annotation reference"/>
    <w:basedOn w:val="Standaardalinea-lettertype"/>
    <w:uiPriority w:val="99"/>
    <w:semiHidden/>
    <w:rsid w:val="002943D2"/>
    <w:rPr>
      <w:sz w:val="16"/>
      <w:szCs w:val="16"/>
    </w:rPr>
  </w:style>
  <w:style w:type="paragraph" w:styleId="Tekstopmerking">
    <w:name w:val="annotation text"/>
    <w:basedOn w:val="Standaard"/>
    <w:link w:val="TekstopmerkingChar"/>
    <w:uiPriority w:val="99"/>
    <w:semiHidden/>
    <w:rsid w:val="002943D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943D2"/>
    <w:rPr>
      <w:sz w:val="20"/>
      <w:szCs w:val="20"/>
    </w:rPr>
  </w:style>
  <w:style w:type="paragraph" w:styleId="Onderwerpvanopmerking">
    <w:name w:val="annotation subject"/>
    <w:basedOn w:val="Tekstopmerking"/>
    <w:next w:val="Tekstopmerking"/>
    <w:link w:val="OnderwerpvanopmerkingChar"/>
    <w:uiPriority w:val="99"/>
    <w:semiHidden/>
    <w:rsid w:val="002943D2"/>
    <w:rPr>
      <w:b/>
      <w:bCs/>
    </w:rPr>
  </w:style>
  <w:style w:type="character" w:customStyle="1" w:styleId="OnderwerpvanopmerkingChar">
    <w:name w:val="Onderwerp van opmerking Char"/>
    <w:basedOn w:val="TekstopmerkingChar"/>
    <w:link w:val="Onderwerpvanopmerking"/>
    <w:uiPriority w:val="99"/>
    <w:semiHidden/>
    <w:rsid w:val="002943D2"/>
    <w:rPr>
      <w:b/>
      <w:bCs/>
    </w:rPr>
  </w:style>
  <w:style w:type="paragraph" w:styleId="Koptekst">
    <w:name w:val="header"/>
    <w:basedOn w:val="Standaard"/>
    <w:link w:val="KoptekstChar"/>
    <w:uiPriority w:val="99"/>
    <w:semiHidden/>
    <w:rsid w:val="008A7B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A7BC1"/>
  </w:style>
  <w:style w:type="paragraph" w:styleId="Voettekst">
    <w:name w:val="footer"/>
    <w:basedOn w:val="Standaard"/>
    <w:link w:val="VoettekstChar"/>
    <w:uiPriority w:val="99"/>
    <w:rsid w:val="008A7B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7BC1"/>
  </w:style>
  <w:style w:type="paragraph" w:styleId="Revisie">
    <w:name w:val="Revision"/>
    <w:hidden/>
    <w:uiPriority w:val="99"/>
    <w:semiHidden/>
    <w:rsid w:val="008A7BC1"/>
    <w:rPr>
      <w:rFonts w:cs="Verdana"/>
      <w:sz w:val="22"/>
      <w:szCs w:val="22"/>
      <w:lang w:eastAsia="en-US"/>
    </w:rPr>
  </w:style>
  <w:style w:type="character" w:customStyle="1" w:styleId="VoetnoottekstChar2">
    <w:name w:val="Voetnoottekst Char2"/>
    <w:aliases w:val="Voetnoottekst Char1 Char,Voetnoottekst Char Char Char,Voetnoottekst Char2 Char Char Char,Voetnoottekst Char1 Char Char Char Char,Voetnoottekst Char Char Char Char Char Char,Voetnoottekst Char2 Char Char Char Char Char Char"/>
    <w:basedOn w:val="Standaardalinea-lettertype"/>
    <w:semiHidden/>
    <w:rsid w:val="00CB3195"/>
    <w:rPr>
      <w:rFonts w:ascii="Times New Roman" w:eastAsia="Batang" w:hAnsi="Times New Roman" w:cs="Times New Roman"/>
      <w:sz w:val="20"/>
      <w:szCs w:val="20"/>
      <w:lang w:eastAsia="nl-NL"/>
    </w:rPr>
  </w:style>
  <w:style w:type="table" w:styleId="Tabelraster">
    <w:name w:val="Table Grid"/>
    <w:basedOn w:val="Standaardtabel"/>
    <w:uiPriority w:val="59"/>
    <w:rsid w:val="005779DE"/>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chtearcering1">
    <w:name w:val="Lichte arcering1"/>
    <w:basedOn w:val="Standaardtabel"/>
    <w:uiPriority w:val="60"/>
    <w:rsid w:val="00DD25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chtelijst1">
    <w:name w:val="Lichte lijst1"/>
    <w:basedOn w:val="Standaardtabel"/>
    <w:uiPriority w:val="61"/>
    <w:rsid w:val="00341B5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Lijstalinea1">
    <w:name w:val="Lijstalinea1"/>
    <w:basedOn w:val="Standaard"/>
    <w:rsid w:val="00921222"/>
    <w:pPr>
      <w:ind w:left="720"/>
      <w:contextualSpacing/>
    </w:pPr>
    <w:rPr>
      <w:rFonts w:eastAsia="Times New Roman"/>
    </w:rPr>
  </w:style>
  <w:style w:type="paragraph" w:styleId="Tekstzonderopmaak">
    <w:name w:val="Plain Text"/>
    <w:basedOn w:val="Standaard"/>
    <w:link w:val="TekstzonderopmaakChar"/>
    <w:uiPriority w:val="99"/>
    <w:semiHidden/>
    <w:unhideWhenUsed/>
    <w:rsid w:val="00E91DD5"/>
    <w:pPr>
      <w:spacing w:after="0" w:line="240" w:lineRule="auto"/>
    </w:pPr>
    <w:rPr>
      <w:rFonts w:eastAsiaTheme="minorHAnsi" w:cstheme="minorBidi"/>
      <w:sz w:val="20"/>
      <w:szCs w:val="21"/>
    </w:rPr>
  </w:style>
  <w:style w:type="character" w:customStyle="1" w:styleId="TekstzonderopmaakChar">
    <w:name w:val="Tekst zonder opmaak Char"/>
    <w:basedOn w:val="Standaardalinea-lettertype"/>
    <w:link w:val="Tekstzonderopmaak"/>
    <w:uiPriority w:val="99"/>
    <w:semiHidden/>
    <w:rsid w:val="00E91DD5"/>
    <w:rPr>
      <w:rFonts w:eastAsiaTheme="minorHAnsi" w:cstheme="minorBidi"/>
      <w:szCs w:val="21"/>
      <w:lang w:eastAsia="en-US"/>
    </w:rPr>
  </w:style>
  <w:style w:type="table" w:customStyle="1" w:styleId="table-style-blauw-100-outline">
    <w:name w:val="table-style-blauw-100-outline"/>
    <w:basedOn w:val="Standaardtabel"/>
    <w:rsid w:val="00706D10"/>
    <w:pPr>
      <w:spacing w:line="280" w:lineRule="atLeast"/>
    </w:pPr>
    <w:rPr>
      <w:rFonts w:ascii="Arial" w:eastAsia="Times New Roman" w:hAnsi="Arial"/>
      <w:color w:val="000000"/>
      <w:sz w:val="16"/>
    </w:rPr>
    <w:tblPr>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clear" w:color="auto" w:fill="006DB6"/>
      </w:tcPr>
    </w:tblStylePr>
  </w:style>
  <w:style w:type="numbering" w:customStyle="1" w:styleId="list-bullet-color">
    <w:name w:val="list-bullet-color"/>
    <w:rsid w:val="00753A01"/>
    <w:pPr>
      <w:numPr>
        <w:numId w:val="6"/>
      </w:numPr>
    </w:pPr>
  </w:style>
  <w:style w:type="character" w:customStyle="1" w:styleId="Kop1Char">
    <w:name w:val="Kop 1 Char"/>
    <w:basedOn w:val="Standaardalinea-lettertype"/>
    <w:link w:val="Kop1"/>
    <w:uiPriority w:val="9"/>
    <w:rsid w:val="0062433D"/>
    <w:rPr>
      <w:rFonts w:asciiTheme="majorHAnsi" w:eastAsiaTheme="majorEastAsia" w:hAnsiTheme="majorHAnsi" w:cstheme="majorBidi"/>
      <w:b/>
      <w:bCs/>
      <w:color w:val="365F91" w:themeColor="accent1" w:themeShade="BF"/>
      <w:sz w:val="28"/>
      <w:szCs w:val="28"/>
      <w:lang w:eastAsia="en-US"/>
    </w:rPr>
  </w:style>
  <w:style w:type="paragraph" w:styleId="Kopvaninhoudsopgave">
    <w:name w:val="TOC Heading"/>
    <w:basedOn w:val="Kop1"/>
    <w:next w:val="Standaard"/>
    <w:uiPriority w:val="39"/>
    <w:semiHidden/>
    <w:unhideWhenUsed/>
    <w:qFormat/>
    <w:rsid w:val="0062433D"/>
    <w:pPr>
      <w:outlineLvl w:val="9"/>
    </w:pPr>
  </w:style>
  <w:style w:type="paragraph" w:styleId="Inhopg2">
    <w:name w:val="toc 2"/>
    <w:basedOn w:val="Standaard"/>
    <w:next w:val="Standaard"/>
    <w:autoRedefine/>
    <w:uiPriority w:val="39"/>
    <w:unhideWhenUsed/>
    <w:qFormat/>
    <w:rsid w:val="0062433D"/>
    <w:pPr>
      <w:spacing w:after="100"/>
      <w:ind w:left="220"/>
    </w:pPr>
    <w:rPr>
      <w:rFonts w:asciiTheme="minorHAnsi" w:eastAsiaTheme="minorEastAsia" w:hAnsiTheme="minorHAnsi" w:cstheme="minorBidi"/>
    </w:rPr>
  </w:style>
  <w:style w:type="paragraph" w:styleId="Inhopg1">
    <w:name w:val="toc 1"/>
    <w:basedOn w:val="Standaard"/>
    <w:next w:val="Standaard"/>
    <w:autoRedefine/>
    <w:uiPriority w:val="39"/>
    <w:unhideWhenUsed/>
    <w:qFormat/>
    <w:rsid w:val="0062433D"/>
    <w:pPr>
      <w:spacing w:after="100"/>
    </w:pPr>
    <w:rPr>
      <w:rFonts w:asciiTheme="minorHAnsi" w:eastAsiaTheme="minorEastAsia" w:hAnsiTheme="minorHAnsi" w:cstheme="minorBidi"/>
    </w:rPr>
  </w:style>
  <w:style w:type="paragraph" w:styleId="Inhopg3">
    <w:name w:val="toc 3"/>
    <w:basedOn w:val="Standaard"/>
    <w:next w:val="Standaard"/>
    <w:autoRedefine/>
    <w:uiPriority w:val="39"/>
    <w:unhideWhenUsed/>
    <w:qFormat/>
    <w:rsid w:val="0062433D"/>
    <w:pPr>
      <w:spacing w:after="100"/>
      <w:ind w:left="440"/>
    </w:pPr>
    <w:rPr>
      <w:rFonts w:asciiTheme="minorHAnsi" w:eastAsiaTheme="minorEastAsia" w:hAnsiTheme="minorHAnsi" w:cstheme="minorBidi"/>
    </w:rPr>
  </w:style>
  <w:style w:type="character" w:customStyle="1" w:styleId="Kop2Char">
    <w:name w:val="Kop 2 Char"/>
    <w:basedOn w:val="Standaardalinea-lettertype"/>
    <w:link w:val="Kop2"/>
    <w:uiPriority w:val="9"/>
    <w:rsid w:val="0062433D"/>
    <w:rPr>
      <w:rFonts w:asciiTheme="majorHAnsi" w:eastAsiaTheme="majorEastAsia" w:hAnsiTheme="majorHAnsi" w:cstheme="majorBidi"/>
      <w:b/>
      <w:bCs/>
      <w:color w:val="4F81BD" w:themeColor="accent1"/>
      <w:sz w:val="26"/>
      <w:szCs w:val="26"/>
      <w:lang w:eastAsia="en-US"/>
    </w:rPr>
  </w:style>
  <w:style w:type="character" w:customStyle="1" w:styleId="Kop3Char">
    <w:name w:val="Kop 3 Char"/>
    <w:basedOn w:val="Standaardalinea-lettertype"/>
    <w:link w:val="Kop3"/>
    <w:uiPriority w:val="9"/>
    <w:rsid w:val="00FB22B0"/>
    <w:rPr>
      <w:rFonts w:asciiTheme="majorHAnsi" w:eastAsiaTheme="majorEastAsia" w:hAnsiTheme="majorHAnsi" w:cstheme="majorBidi"/>
      <w:b/>
      <w:bCs/>
      <w:color w:val="4F81BD" w:themeColor="accent1"/>
      <w:sz w:val="22"/>
      <w:szCs w:val="22"/>
      <w:lang w:eastAsia="en-US"/>
    </w:rPr>
  </w:style>
  <w:style w:type="paragraph" w:styleId="Geenafstand">
    <w:name w:val="No Spacing"/>
    <w:uiPriority w:val="1"/>
    <w:qFormat/>
    <w:rsid w:val="00C4281E"/>
    <w:rPr>
      <w:rFonts w:cs="Verdana"/>
      <w:sz w:val="22"/>
      <w:szCs w:val="22"/>
      <w:lang w:eastAsia="en-US"/>
    </w:rPr>
  </w:style>
  <w:style w:type="table" w:styleId="Lichtearcering-accent2">
    <w:name w:val="Light Shading Accent 2"/>
    <w:basedOn w:val="Standaardtabel"/>
    <w:uiPriority w:val="60"/>
    <w:rsid w:val="00C31F34"/>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broodtekst">
    <w:name w:val="broodtekst"/>
    <w:basedOn w:val="Standaard"/>
    <w:link w:val="broodtekstChar"/>
    <w:rsid w:val="001E2851"/>
    <w:pPr>
      <w:spacing w:after="0" w:line="280" w:lineRule="atLeast"/>
    </w:pPr>
    <w:rPr>
      <w:rFonts w:ascii="Arial" w:eastAsia="Times New Roman" w:hAnsi="Arial" w:cs="Times New Roman"/>
      <w:sz w:val="18"/>
      <w:szCs w:val="24"/>
      <w:lang w:eastAsia="nl-NL"/>
    </w:rPr>
  </w:style>
  <w:style w:type="character" w:customStyle="1" w:styleId="broodtekstChar">
    <w:name w:val="broodtekst Char"/>
    <w:basedOn w:val="Standaardalinea-lettertype"/>
    <w:link w:val="broodtekst"/>
    <w:rsid w:val="001E2851"/>
    <w:rPr>
      <w:rFonts w:ascii="Arial" w:eastAsia="Times New Roman" w:hAnsi="Arial"/>
      <w:sz w:val="18"/>
      <w:szCs w:val="24"/>
    </w:rPr>
  </w:style>
  <w:style w:type="table" w:customStyle="1" w:styleId="Lichtearcering2">
    <w:name w:val="Lichte arcering2"/>
    <w:basedOn w:val="Standaardtabel"/>
    <w:uiPriority w:val="60"/>
    <w:rsid w:val="00186B6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chtearcering3">
    <w:name w:val="Lichte arcering3"/>
    <w:basedOn w:val="Standaardtabel"/>
    <w:uiPriority w:val="60"/>
    <w:rsid w:val="00A46FB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chtearcering4">
    <w:name w:val="Lichte arcering4"/>
    <w:basedOn w:val="Standaardtabel"/>
    <w:uiPriority w:val="60"/>
    <w:rsid w:val="005138A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chtearcering5">
    <w:name w:val="Lichte arcering5"/>
    <w:basedOn w:val="Standaardtabel"/>
    <w:uiPriority w:val="60"/>
    <w:rsid w:val="005138A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Kop4Char">
    <w:name w:val="Kop 4 Char"/>
    <w:basedOn w:val="Standaardalinea-lettertype"/>
    <w:link w:val="Kop4"/>
    <w:uiPriority w:val="9"/>
    <w:rsid w:val="008064EC"/>
    <w:rPr>
      <w:rFonts w:asciiTheme="majorHAnsi" w:eastAsiaTheme="majorEastAsia" w:hAnsiTheme="majorHAnsi" w:cstheme="majorBidi"/>
      <w:b/>
      <w:bCs/>
      <w:i/>
      <w:iCs/>
      <w:color w:val="4F81BD" w:themeColor="accent1"/>
      <w:sz w:val="22"/>
      <w:szCs w:val="22"/>
      <w:lang w:eastAsia="en-US"/>
    </w:rPr>
  </w:style>
  <w:style w:type="character" w:customStyle="1" w:styleId="Kop5Char">
    <w:name w:val="Kop 5 Char"/>
    <w:basedOn w:val="Standaardalinea-lettertype"/>
    <w:link w:val="Kop5"/>
    <w:uiPriority w:val="9"/>
    <w:rsid w:val="005E0987"/>
    <w:rPr>
      <w:rFonts w:asciiTheme="majorHAnsi" w:eastAsiaTheme="majorEastAsia" w:hAnsiTheme="majorHAnsi" w:cstheme="majorBidi"/>
      <w:color w:val="243F60" w:themeColor="accent1" w:themeShade="7F"/>
      <w:sz w:val="22"/>
      <w:szCs w:val="22"/>
      <w:lang w:eastAsia="en-US"/>
    </w:rPr>
  </w:style>
  <w:style w:type="character" w:customStyle="1" w:styleId="Kop6Char">
    <w:name w:val="Kop 6 Char"/>
    <w:basedOn w:val="Standaardalinea-lettertype"/>
    <w:link w:val="Kop6"/>
    <w:uiPriority w:val="9"/>
    <w:rsid w:val="005E0987"/>
    <w:rPr>
      <w:rFonts w:asciiTheme="majorHAnsi" w:eastAsiaTheme="majorEastAsia" w:hAnsiTheme="majorHAnsi" w:cstheme="majorBidi"/>
      <w:i/>
      <w:iCs/>
      <w:color w:val="243F60" w:themeColor="accent1" w:themeShade="7F"/>
      <w:sz w:val="22"/>
      <w:szCs w:val="22"/>
      <w:lang w:eastAsia="en-US"/>
    </w:rPr>
  </w:style>
  <w:style w:type="character" w:customStyle="1" w:styleId="Kop7Char">
    <w:name w:val="Kop 7 Char"/>
    <w:basedOn w:val="Standaardalinea-lettertype"/>
    <w:link w:val="Kop7"/>
    <w:uiPriority w:val="9"/>
    <w:rsid w:val="005E0987"/>
    <w:rPr>
      <w:rFonts w:asciiTheme="majorHAnsi" w:eastAsiaTheme="majorEastAsia" w:hAnsiTheme="majorHAnsi" w:cstheme="majorBidi"/>
      <w:i/>
      <w:iCs/>
      <w:color w:val="404040" w:themeColor="text1" w:themeTint="BF"/>
      <w:sz w:val="22"/>
      <w:szCs w:val="22"/>
      <w:lang w:eastAsia="en-US"/>
    </w:rPr>
  </w:style>
</w:styles>
</file>

<file path=word/webSettings.xml><?xml version="1.0" encoding="utf-8"?>
<w:webSettings xmlns:r="http://schemas.openxmlformats.org/officeDocument/2006/relationships" xmlns:w="http://schemas.openxmlformats.org/wordprocessingml/2006/main">
  <w:divs>
    <w:div w:id="49112050">
      <w:bodyDiv w:val="1"/>
      <w:marLeft w:val="0"/>
      <w:marRight w:val="0"/>
      <w:marTop w:val="0"/>
      <w:marBottom w:val="0"/>
      <w:divBdr>
        <w:top w:val="none" w:sz="0" w:space="0" w:color="auto"/>
        <w:left w:val="none" w:sz="0" w:space="0" w:color="auto"/>
        <w:bottom w:val="none" w:sz="0" w:space="0" w:color="auto"/>
        <w:right w:val="none" w:sz="0" w:space="0" w:color="auto"/>
      </w:divBdr>
    </w:div>
    <w:div w:id="239947775">
      <w:bodyDiv w:val="1"/>
      <w:marLeft w:val="0"/>
      <w:marRight w:val="0"/>
      <w:marTop w:val="0"/>
      <w:marBottom w:val="0"/>
      <w:divBdr>
        <w:top w:val="none" w:sz="0" w:space="0" w:color="auto"/>
        <w:left w:val="none" w:sz="0" w:space="0" w:color="auto"/>
        <w:bottom w:val="none" w:sz="0" w:space="0" w:color="auto"/>
        <w:right w:val="none" w:sz="0" w:space="0" w:color="auto"/>
      </w:divBdr>
      <w:divsChild>
        <w:div w:id="513348683">
          <w:marLeft w:val="0"/>
          <w:marRight w:val="0"/>
          <w:marTop w:val="0"/>
          <w:marBottom w:val="0"/>
          <w:divBdr>
            <w:top w:val="none" w:sz="0" w:space="0" w:color="auto"/>
            <w:left w:val="none" w:sz="0" w:space="0" w:color="auto"/>
            <w:bottom w:val="none" w:sz="0" w:space="0" w:color="auto"/>
            <w:right w:val="none" w:sz="0" w:space="0" w:color="auto"/>
          </w:divBdr>
          <w:divsChild>
            <w:div w:id="931355415">
              <w:marLeft w:val="0"/>
              <w:marRight w:val="0"/>
              <w:marTop w:val="0"/>
              <w:marBottom w:val="0"/>
              <w:divBdr>
                <w:top w:val="none" w:sz="0" w:space="0" w:color="auto"/>
                <w:left w:val="none" w:sz="0" w:space="0" w:color="auto"/>
                <w:bottom w:val="none" w:sz="0" w:space="0" w:color="auto"/>
                <w:right w:val="none" w:sz="0" w:space="0" w:color="auto"/>
              </w:divBdr>
              <w:divsChild>
                <w:div w:id="763889779">
                  <w:marLeft w:val="0"/>
                  <w:marRight w:val="0"/>
                  <w:marTop w:val="0"/>
                  <w:marBottom w:val="0"/>
                  <w:divBdr>
                    <w:top w:val="none" w:sz="0" w:space="0" w:color="auto"/>
                    <w:left w:val="none" w:sz="0" w:space="0" w:color="auto"/>
                    <w:bottom w:val="none" w:sz="0" w:space="0" w:color="auto"/>
                    <w:right w:val="none" w:sz="0" w:space="0" w:color="auto"/>
                  </w:divBdr>
                  <w:divsChild>
                    <w:div w:id="1897929437">
                      <w:marLeft w:val="0"/>
                      <w:marRight w:val="0"/>
                      <w:marTop w:val="0"/>
                      <w:marBottom w:val="0"/>
                      <w:divBdr>
                        <w:top w:val="none" w:sz="0" w:space="0" w:color="auto"/>
                        <w:left w:val="none" w:sz="0" w:space="0" w:color="auto"/>
                        <w:bottom w:val="none" w:sz="0" w:space="0" w:color="auto"/>
                        <w:right w:val="none" w:sz="0" w:space="0" w:color="auto"/>
                      </w:divBdr>
                      <w:divsChild>
                        <w:div w:id="532691721">
                          <w:marLeft w:val="0"/>
                          <w:marRight w:val="0"/>
                          <w:marTop w:val="0"/>
                          <w:marBottom w:val="0"/>
                          <w:divBdr>
                            <w:top w:val="none" w:sz="0" w:space="0" w:color="auto"/>
                            <w:left w:val="none" w:sz="0" w:space="0" w:color="auto"/>
                            <w:bottom w:val="none" w:sz="0" w:space="0" w:color="auto"/>
                            <w:right w:val="none" w:sz="0" w:space="0" w:color="auto"/>
                          </w:divBdr>
                          <w:divsChild>
                            <w:div w:id="1555193950">
                              <w:marLeft w:val="0"/>
                              <w:marRight w:val="0"/>
                              <w:marTop w:val="0"/>
                              <w:marBottom w:val="0"/>
                              <w:divBdr>
                                <w:top w:val="none" w:sz="0" w:space="0" w:color="auto"/>
                                <w:left w:val="none" w:sz="0" w:space="0" w:color="auto"/>
                                <w:bottom w:val="none" w:sz="0" w:space="0" w:color="auto"/>
                                <w:right w:val="none" w:sz="0" w:space="0" w:color="auto"/>
                              </w:divBdr>
                              <w:divsChild>
                                <w:div w:id="973831434">
                                  <w:marLeft w:val="0"/>
                                  <w:marRight w:val="0"/>
                                  <w:marTop w:val="0"/>
                                  <w:marBottom w:val="0"/>
                                  <w:divBdr>
                                    <w:top w:val="none" w:sz="0" w:space="0" w:color="auto"/>
                                    <w:left w:val="none" w:sz="0" w:space="0" w:color="auto"/>
                                    <w:bottom w:val="none" w:sz="0" w:space="0" w:color="auto"/>
                                    <w:right w:val="none" w:sz="0" w:space="0" w:color="auto"/>
                                  </w:divBdr>
                                </w:div>
                                <w:div w:id="351078908">
                                  <w:marLeft w:val="0"/>
                                  <w:marRight w:val="0"/>
                                  <w:marTop w:val="0"/>
                                  <w:marBottom w:val="0"/>
                                  <w:divBdr>
                                    <w:top w:val="none" w:sz="0" w:space="0" w:color="auto"/>
                                    <w:left w:val="none" w:sz="0" w:space="0" w:color="auto"/>
                                    <w:bottom w:val="none" w:sz="0" w:space="0" w:color="auto"/>
                                    <w:right w:val="none" w:sz="0" w:space="0" w:color="auto"/>
                                  </w:divBdr>
                                </w:div>
                                <w:div w:id="643896452">
                                  <w:marLeft w:val="0"/>
                                  <w:marRight w:val="0"/>
                                  <w:marTop w:val="0"/>
                                  <w:marBottom w:val="0"/>
                                  <w:divBdr>
                                    <w:top w:val="none" w:sz="0" w:space="0" w:color="auto"/>
                                    <w:left w:val="none" w:sz="0" w:space="0" w:color="auto"/>
                                    <w:bottom w:val="none" w:sz="0" w:space="0" w:color="auto"/>
                                    <w:right w:val="none" w:sz="0" w:space="0" w:color="auto"/>
                                  </w:divBdr>
                                </w:div>
                                <w:div w:id="6796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991711">
      <w:marLeft w:val="0"/>
      <w:marRight w:val="0"/>
      <w:marTop w:val="0"/>
      <w:marBottom w:val="0"/>
      <w:divBdr>
        <w:top w:val="none" w:sz="0" w:space="0" w:color="auto"/>
        <w:left w:val="none" w:sz="0" w:space="0" w:color="auto"/>
        <w:bottom w:val="none" w:sz="0" w:space="0" w:color="auto"/>
        <w:right w:val="none" w:sz="0" w:space="0" w:color="auto"/>
      </w:divBdr>
      <w:divsChild>
        <w:div w:id="295991741">
          <w:marLeft w:val="0"/>
          <w:marRight w:val="0"/>
          <w:marTop w:val="0"/>
          <w:marBottom w:val="0"/>
          <w:divBdr>
            <w:top w:val="none" w:sz="0" w:space="0" w:color="auto"/>
            <w:left w:val="none" w:sz="0" w:space="0" w:color="auto"/>
            <w:bottom w:val="none" w:sz="0" w:space="0" w:color="auto"/>
            <w:right w:val="none" w:sz="0" w:space="0" w:color="auto"/>
          </w:divBdr>
          <w:divsChild>
            <w:div w:id="295991723">
              <w:marLeft w:val="0"/>
              <w:marRight w:val="0"/>
              <w:marTop w:val="0"/>
              <w:marBottom w:val="0"/>
              <w:divBdr>
                <w:top w:val="none" w:sz="0" w:space="0" w:color="auto"/>
                <w:left w:val="none" w:sz="0" w:space="0" w:color="auto"/>
                <w:bottom w:val="none" w:sz="0" w:space="0" w:color="auto"/>
                <w:right w:val="none" w:sz="0" w:space="0" w:color="auto"/>
              </w:divBdr>
              <w:divsChild>
                <w:div w:id="295991736">
                  <w:marLeft w:val="0"/>
                  <w:marRight w:val="0"/>
                  <w:marTop w:val="0"/>
                  <w:marBottom w:val="0"/>
                  <w:divBdr>
                    <w:top w:val="none" w:sz="0" w:space="0" w:color="auto"/>
                    <w:left w:val="none" w:sz="0" w:space="0" w:color="auto"/>
                    <w:bottom w:val="none" w:sz="0" w:space="0" w:color="auto"/>
                    <w:right w:val="none" w:sz="0" w:space="0" w:color="auto"/>
                  </w:divBdr>
                  <w:divsChild>
                    <w:div w:id="295991715">
                      <w:marLeft w:val="0"/>
                      <w:marRight w:val="0"/>
                      <w:marTop w:val="0"/>
                      <w:marBottom w:val="0"/>
                      <w:divBdr>
                        <w:top w:val="none" w:sz="0" w:space="0" w:color="auto"/>
                        <w:left w:val="none" w:sz="0" w:space="0" w:color="auto"/>
                        <w:bottom w:val="none" w:sz="0" w:space="0" w:color="auto"/>
                        <w:right w:val="none" w:sz="0" w:space="0" w:color="auto"/>
                      </w:divBdr>
                      <w:divsChild>
                        <w:div w:id="295991718">
                          <w:marLeft w:val="0"/>
                          <w:marRight w:val="0"/>
                          <w:marTop w:val="0"/>
                          <w:marBottom w:val="0"/>
                          <w:divBdr>
                            <w:top w:val="none" w:sz="0" w:space="0" w:color="auto"/>
                            <w:left w:val="none" w:sz="0" w:space="0" w:color="auto"/>
                            <w:bottom w:val="none" w:sz="0" w:space="0" w:color="auto"/>
                            <w:right w:val="none" w:sz="0" w:space="0" w:color="auto"/>
                          </w:divBdr>
                          <w:divsChild>
                            <w:div w:id="295991722">
                              <w:marLeft w:val="0"/>
                              <w:marRight w:val="0"/>
                              <w:marTop w:val="0"/>
                              <w:marBottom w:val="0"/>
                              <w:divBdr>
                                <w:top w:val="none" w:sz="0" w:space="0" w:color="auto"/>
                                <w:left w:val="none" w:sz="0" w:space="0" w:color="auto"/>
                                <w:bottom w:val="none" w:sz="0" w:space="0" w:color="auto"/>
                                <w:right w:val="none" w:sz="0" w:space="0" w:color="auto"/>
                              </w:divBdr>
                              <w:divsChild>
                                <w:div w:id="29599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99171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295991725">
              <w:marLeft w:val="0"/>
              <w:marRight w:val="0"/>
              <w:marTop w:val="0"/>
              <w:marBottom w:val="0"/>
              <w:divBdr>
                <w:top w:val="none" w:sz="0" w:space="0" w:color="auto"/>
                <w:left w:val="none" w:sz="0" w:space="0" w:color="auto"/>
                <w:bottom w:val="none" w:sz="0" w:space="0" w:color="auto"/>
                <w:right w:val="none" w:sz="0" w:space="0" w:color="auto"/>
              </w:divBdr>
              <w:divsChild>
                <w:div w:id="295991732">
                  <w:marLeft w:val="0"/>
                  <w:marRight w:val="0"/>
                  <w:marTop w:val="0"/>
                  <w:marBottom w:val="0"/>
                  <w:divBdr>
                    <w:top w:val="none" w:sz="0" w:space="0" w:color="auto"/>
                    <w:left w:val="none" w:sz="0" w:space="0" w:color="auto"/>
                    <w:bottom w:val="none" w:sz="0" w:space="0" w:color="auto"/>
                    <w:right w:val="none" w:sz="0" w:space="0" w:color="auto"/>
                  </w:divBdr>
                  <w:divsChild>
                    <w:div w:id="295991742">
                      <w:marLeft w:val="0"/>
                      <w:marRight w:val="0"/>
                      <w:marTop w:val="0"/>
                      <w:marBottom w:val="0"/>
                      <w:divBdr>
                        <w:top w:val="none" w:sz="0" w:space="0" w:color="auto"/>
                        <w:left w:val="none" w:sz="0" w:space="0" w:color="auto"/>
                        <w:bottom w:val="none" w:sz="0" w:space="0" w:color="auto"/>
                        <w:right w:val="none" w:sz="0" w:space="0" w:color="auto"/>
                      </w:divBdr>
                      <w:divsChild>
                        <w:div w:id="295991713">
                          <w:marLeft w:val="0"/>
                          <w:marRight w:val="0"/>
                          <w:marTop w:val="0"/>
                          <w:marBottom w:val="0"/>
                          <w:divBdr>
                            <w:top w:val="none" w:sz="0" w:space="0" w:color="auto"/>
                            <w:left w:val="none" w:sz="0" w:space="0" w:color="auto"/>
                            <w:bottom w:val="none" w:sz="0" w:space="0" w:color="auto"/>
                            <w:right w:val="none" w:sz="0" w:space="0" w:color="auto"/>
                          </w:divBdr>
                          <w:divsChild>
                            <w:div w:id="295991720">
                              <w:marLeft w:val="0"/>
                              <w:marRight w:val="0"/>
                              <w:marTop w:val="0"/>
                              <w:marBottom w:val="0"/>
                              <w:divBdr>
                                <w:top w:val="none" w:sz="0" w:space="0" w:color="auto"/>
                                <w:left w:val="none" w:sz="0" w:space="0" w:color="auto"/>
                                <w:bottom w:val="none" w:sz="0" w:space="0" w:color="auto"/>
                                <w:right w:val="none" w:sz="0" w:space="0" w:color="auto"/>
                              </w:divBdr>
                              <w:divsChild>
                                <w:div w:id="2959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991721">
      <w:marLeft w:val="0"/>
      <w:marRight w:val="0"/>
      <w:marTop w:val="0"/>
      <w:marBottom w:val="0"/>
      <w:divBdr>
        <w:top w:val="none" w:sz="0" w:space="0" w:color="auto"/>
        <w:left w:val="none" w:sz="0" w:space="0" w:color="auto"/>
        <w:bottom w:val="none" w:sz="0" w:space="0" w:color="auto"/>
        <w:right w:val="none" w:sz="0" w:space="0" w:color="auto"/>
      </w:divBdr>
      <w:divsChild>
        <w:div w:id="295991712">
          <w:marLeft w:val="0"/>
          <w:marRight w:val="0"/>
          <w:marTop w:val="0"/>
          <w:marBottom w:val="0"/>
          <w:divBdr>
            <w:top w:val="none" w:sz="0" w:space="0" w:color="auto"/>
            <w:left w:val="none" w:sz="0" w:space="0" w:color="auto"/>
            <w:bottom w:val="none" w:sz="0" w:space="0" w:color="auto"/>
            <w:right w:val="none" w:sz="0" w:space="0" w:color="auto"/>
          </w:divBdr>
          <w:divsChild>
            <w:div w:id="295991717">
              <w:marLeft w:val="0"/>
              <w:marRight w:val="0"/>
              <w:marTop w:val="0"/>
              <w:marBottom w:val="0"/>
              <w:divBdr>
                <w:top w:val="none" w:sz="0" w:space="0" w:color="auto"/>
                <w:left w:val="none" w:sz="0" w:space="0" w:color="auto"/>
                <w:bottom w:val="none" w:sz="0" w:space="0" w:color="auto"/>
                <w:right w:val="none" w:sz="0" w:space="0" w:color="auto"/>
              </w:divBdr>
              <w:divsChild>
                <w:div w:id="295991708">
                  <w:marLeft w:val="0"/>
                  <w:marRight w:val="0"/>
                  <w:marTop w:val="0"/>
                  <w:marBottom w:val="0"/>
                  <w:divBdr>
                    <w:top w:val="none" w:sz="0" w:space="0" w:color="auto"/>
                    <w:left w:val="none" w:sz="0" w:space="0" w:color="auto"/>
                    <w:bottom w:val="none" w:sz="0" w:space="0" w:color="auto"/>
                    <w:right w:val="none" w:sz="0" w:space="0" w:color="auto"/>
                  </w:divBdr>
                  <w:divsChild>
                    <w:div w:id="295991724">
                      <w:marLeft w:val="0"/>
                      <w:marRight w:val="0"/>
                      <w:marTop w:val="0"/>
                      <w:marBottom w:val="0"/>
                      <w:divBdr>
                        <w:top w:val="none" w:sz="0" w:space="0" w:color="auto"/>
                        <w:left w:val="none" w:sz="0" w:space="0" w:color="auto"/>
                        <w:bottom w:val="none" w:sz="0" w:space="0" w:color="auto"/>
                        <w:right w:val="none" w:sz="0" w:space="0" w:color="auto"/>
                      </w:divBdr>
                      <w:divsChild>
                        <w:div w:id="295991714">
                          <w:marLeft w:val="0"/>
                          <w:marRight w:val="0"/>
                          <w:marTop w:val="0"/>
                          <w:marBottom w:val="0"/>
                          <w:divBdr>
                            <w:top w:val="none" w:sz="0" w:space="0" w:color="auto"/>
                            <w:left w:val="none" w:sz="0" w:space="0" w:color="auto"/>
                            <w:bottom w:val="none" w:sz="0" w:space="0" w:color="auto"/>
                            <w:right w:val="none" w:sz="0" w:space="0" w:color="auto"/>
                          </w:divBdr>
                          <w:divsChild>
                            <w:div w:id="295991707">
                              <w:marLeft w:val="0"/>
                              <w:marRight w:val="0"/>
                              <w:marTop w:val="0"/>
                              <w:marBottom w:val="0"/>
                              <w:divBdr>
                                <w:top w:val="none" w:sz="0" w:space="0" w:color="auto"/>
                                <w:left w:val="none" w:sz="0" w:space="0" w:color="auto"/>
                                <w:bottom w:val="none" w:sz="0" w:space="0" w:color="auto"/>
                                <w:right w:val="none" w:sz="0" w:space="0" w:color="auto"/>
                              </w:divBdr>
                              <w:divsChild>
                                <w:div w:id="2959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991727">
      <w:marLeft w:val="0"/>
      <w:marRight w:val="0"/>
      <w:marTop w:val="0"/>
      <w:marBottom w:val="0"/>
      <w:divBdr>
        <w:top w:val="none" w:sz="0" w:space="0" w:color="auto"/>
        <w:left w:val="none" w:sz="0" w:space="0" w:color="auto"/>
        <w:bottom w:val="none" w:sz="0" w:space="0" w:color="auto"/>
        <w:right w:val="none" w:sz="0" w:space="0" w:color="auto"/>
      </w:divBdr>
      <w:divsChild>
        <w:div w:id="295991733">
          <w:marLeft w:val="0"/>
          <w:marRight w:val="0"/>
          <w:marTop w:val="0"/>
          <w:marBottom w:val="0"/>
          <w:divBdr>
            <w:top w:val="none" w:sz="0" w:space="0" w:color="auto"/>
            <w:left w:val="none" w:sz="0" w:space="0" w:color="auto"/>
            <w:bottom w:val="none" w:sz="0" w:space="0" w:color="auto"/>
            <w:right w:val="none" w:sz="0" w:space="0" w:color="auto"/>
          </w:divBdr>
          <w:divsChild>
            <w:div w:id="2959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1730">
      <w:marLeft w:val="0"/>
      <w:marRight w:val="0"/>
      <w:marTop w:val="0"/>
      <w:marBottom w:val="0"/>
      <w:divBdr>
        <w:top w:val="none" w:sz="0" w:space="0" w:color="auto"/>
        <w:left w:val="none" w:sz="0" w:space="0" w:color="auto"/>
        <w:bottom w:val="none" w:sz="0" w:space="0" w:color="auto"/>
        <w:right w:val="none" w:sz="0" w:space="0" w:color="auto"/>
      </w:divBdr>
      <w:divsChild>
        <w:div w:id="295991709">
          <w:marLeft w:val="0"/>
          <w:marRight w:val="0"/>
          <w:marTop w:val="0"/>
          <w:marBottom w:val="0"/>
          <w:divBdr>
            <w:top w:val="none" w:sz="0" w:space="0" w:color="auto"/>
            <w:left w:val="none" w:sz="0" w:space="0" w:color="auto"/>
            <w:bottom w:val="none" w:sz="0" w:space="0" w:color="auto"/>
            <w:right w:val="none" w:sz="0" w:space="0" w:color="auto"/>
          </w:divBdr>
          <w:divsChild>
            <w:div w:id="295991737">
              <w:marLeft w:val="0"/>
              <w:marRight w:val="0"/>
              <w:marTop w:val="0"/>
              <w:marBottom w:val="0"/>
              <w:divBdr>
                <w:top w:val="none" w:sz="0" w:space="0" w:color="auto"/>
                <w:left w:val="none" w:sz="0" w:space="0" w:color="auto"/>
                <w:bottom w:val="none" w:sz="0" w:space="0" w:color="auto"/>
                <w:right w:val="none" w:sz="0" w:space="0" w:color="auto"/>
              </w:divBdr>
              <w:divsChild>
                <w:div w:id="295991728">
                  <w:marLeft w:val="0"/>
                  <w:marRight w:val="0"/>
                  <w:marTop w:val="0"/>
                  <w:marBottom w:val="0"/>
                  <w:divBdr>
                    <w:top w:val="none" w:sz="0" w:space="0" w:color="auto"/>
                    <w:left w:val="none" w:sz="0" w:space="0" w:color="auto"/>
                    <w:bottom w:val="none" w:sz="0" w:space="0" w:color="auto"/>
                    <w:right w:val="none" w:sz="0" w:space="0" w:color="auto"/>
                  </w:divBdr>
                  <w:divsChild>
                    <w:div w:id="295991743">
                      <w:marLeft w:val="0"/>
                      <w:marRight w:val="0"/>
                      <w:marTop w:val="0"/>
                      <w:marBottom w:val="0"/>
                      <w:divBdr>
                        <w:top w:val="none" w:sz="0" w:space="0" w:color="auto"/>
                        <w:left w:val="none" w:sz="0" w:space="0" w:color="auto"/>
                        <w:bottom w:val="none" w:sz="0" w:space="0" w:color="auto"/>
                        <w:right w:val="none" w:sz="0" w:space="0" w:color="auto"/>
                      </w:divBdr>
                      <w:divsChild>
                        <w:div w:id="295991739">
                          <w:marLeft w:val="0"/>
                          <w:marRight w:val="0"/>
                          <w:marTop w:val="0"/>
                          <w:marBottom w:val="0"/>
                          <w:divBdr>
                            <w:top w:val="none" w:sz="0" w:space="0" w:color="auto"/>
                            <w:left w:val="none" w:sz="0" w:space="0" w:color="auto"/>
                            <w:bottom w:val="none" w:sz="0" w:space="0" w:color="auto"/>
                            <w:right w:val="none" w:sz="0" w:space="0" w:color="auto"/>
                          </w:divBdr>
                          <w:divsChild>
                            <w:div w:id="295991740">
                              <w:marLeft w:val="0"/>
                              <w:marRight w:val="0"/>
                              <w:marTop w:val="0"/>
                              <w:marBottom w:val="0"/>
                              <w:divBdr>
                                <w:top w:val="none" w:sz="0" w:space="0" w:color="auto"/>
                                <w:left w:val="none" w:sz="0" w:space="0" w:color="auto"/>
                                <w:bottom w:val="none" w:sz="0" w:space="0" w:color="auto"/>
                                <w:right w:val="none" w:sz="0" w:space="0" w:color="auto"/>
                              </w:divBdr>
                              <w:divsChild>
                                <w:div w:id="295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991735">
      <w:marLeft w:val="0"/>
      <w:marRight w:val="0"/>
      <w:marTop w:val="0"/>
      <w:marBottom w:val="0"/>
      <w:divBdr>
        <w:top w:val="none" w:sz="0" w:space="0" w:color="auto"/>
        <w:left w:val="none" w:sz="0" w:space="0" w:color="auto"/>
        <w:bottom w:val="none" w:sz="0" w:space="0" w:color="auto"/>
        <w:right w:val="none" w:sz="0" w:space="0" w:color="auto"/>
      </w:divBdr>
      <w:divsChild>
        <w:div w:id="295991731">
          <w:marLeft w:val="0"/>
          <w:marRight w:val="0"/>
          <w:marTop w:val="0"/>
          <w:marBottom w:val="0"/>
          <w:divBdr>
            <w:top w:val="none" w:sz="0" w:space="0" w:color="auto"/>
            <w:left w:val="none" w:sz="0" w:space="0" w:color="auto"/>
            <w:bottom w:val="none" w:sz="0" w:space="0" w:color="auto"/>
            <w:right w:val="none" w:sz="0" w:space="0" w:color="auto"/>
          </w:divBdr>
          <w:divsChild>
            <w:div w:id="2959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526">
      <w:bodyDiv w:val="1"/>
      <w:marLeft w:val="0"/>
      <w:marRight w:val="0"/>
      <w:marTop w:val="0"/>
      <w:marBottom w:val="0"/>
      <w:divBdr>
        <w:top w:val="none" w:sz="0" w:space="0" w:color="auto"/>
        <w:left w:val="none" w:sz="0" w:space="0" w:color="auto"/>
        <w:bottom w:val="none" w:sz="0" w:space="0" w:color="auto"/>
        <w:right w:val="none" w:sz="0" w:space="0" w:color="auto"/>
      </w:divBdr>
    </w:div>
    <w:div w:id="570888860">
      <w:bodyDiv w:val="1"/>
      <w:marLeft w:val="0"/>
      <w:marRight w:val="0"/>
      <w:marTop w:val="0"/>
      <w:marBottom w:val="0"/>
      <w:divBdr>
        <w:top w:val="none" w:sz="0" w:space="0" w:color="auto"/>
        <w:left w:val="none" w:sz="0" w:space="0" w:color="auto"/>
        <w:bottom w:val="none" w:sz="0" w:space="0" w:color="auto"/>
        <w:right w:val="none" w:sz="0" w:space="0" w:color="auto"/>
      </w:divBdr>
    </w:div>
    <w:div w:id="643849100">
      <w:bodyDiv w:val="1"/>
      <w:marLeft w:val="0"/>
      <w:marRight w:val="0"/>
      <w:marTop w:val="0"/>
      <w:marBottom w:val="0"/>
      <w:divBdr>
        <w:top w:val="none" w:sz="0" w:space="0" w:color="auto"/>
        <w:left w:val="none" w:sz="0" w:space="0" w:color="auto"/>
        <w:bottom w:val="none" w:sz="0" w:space="0" w:color="auto"/>
        <w:right w:val="none" w:sz="0" w:space="0" w:color="auto"/>
      </w:divBdr>
    </w:div>
    <w:div w:id="674379250">
      <w:bodyDiv w:val="1"/>
      <w:marLeft w:val="0"/>
      <w:marRight w:val="0"/>
      <w:marTop w:val="0"/>
      <w:marBottom w:val="0"/>
      <w:divBdr>
        <w:top w:val="none" w:sz="0" w:space="0" w:color="auto"/>
        <w:left w:val="none" w:sz="0" w:space="0" w:color="auto"/>
        <w:bottom w:val="none" w:sz="0" w:space="0" w:color="auto"/>
        <w:right w:val="none" w:sz="0" w:space="0" w:color="auto"/>
      </w:divBdr>
      <w:divsChild>
        <w:div w:id="1468429154">
          <w:marLeft w:val="0"/>
          <w:marRight w:val="0"/>
          <w:marTop w:val="0"/>
          <w:marBottom w:val="0"/>
          <w:divBdr>
            <w:top w:val="none" w:sz="0" w:space="0" w:color="auto"/>
            <w:left w:val="none" w:sz="0" w:space="0" w:color="auto"/>
            <w:bottom w:val="none" w:sz="0" w:space="0" w:color="auto"/>
            <w:right w:val="none" w:sz="0" w:space="0" w:color="auto"/>
          </w:divBdr>
          <w:divsChild>
            <w:div w:id="1172839154">
              <w:marLeft w:val="0"/>
              <w:marRight w:val="0"/>
              <w:marTop w:val="0"/>
              <w:marBottom w:val="0"/>
              <w:divBdr>
                <w:top w:val="none" w:sz="0" w:space="0" w:color="auto"/>
                <w:left w:val="none" w:sz="0" w:space="0" w:color="auto"/>
                <w:bottom w:val="none" w:sz="0" w:space="0" w:color="auto"/>
                <w:right w:val="none" w:sz="0" w:space="0" w:color="auto"/>
              </w:divBdr>
              <w:divsChild>
                <w:div w:id="1361009742">
                  <w:marLeft w:val="0"/>
                  <w:marRight w:val="0"/>
                  <w:marTop w:val="0"/>
                  <w:marBottom w:val="0"/>
                  <w:divBdr>
                    <w:top w:val="none" w:sz="0" w:space="0" w:color="auto"/>
                    <w:left w:val="none" w:sz="0" w:space="0" w:color="auto"/>
                    <w:bottom w:val="none" w:sz="0" w:space="0" w:color="auto"/>
                    <w:right w:val="none" w:sz="0" w:space="0" w:color="auto"/>
                  </w:divBdr>
                  <w:divsChild>
                    <w:div w:id="827791731">
                      <w:marLeft w:val="0"/>
                      <w:marRight w:val="0"/>
                      <w:marTop w:val="0"/>
                      <w:marBottom w:val="0"/>
                      <w:divBdr>
                        <w:top w:val="none" w:sz="0" w:space="0" w:color="auto"/>
                        <w:left w:val="none" w:sz="0" w:space="0" w:color="auto"/>
                        <w:bottom w:val="none" w:sz="0" w:space="0" w:color="auto"/>
                        <w:right w:val="none" w:sz="0" w:space="0" w:color="auto"/>
                      </w:divBdr>
                      <w:divsChild>
                        <w:div w:id="1605309259">
                          <w:marLeft w:val="0"/>
                          <w:marRight w:val="0"/>
                          <w:marTop w:val="0"/>
                          <w:marBottom w:val="0"/>
                          <w:divBdr>
                            <w:top w:val="none" w:sz="0" w:space="0" w:color="auto"/>
                            <w:left w:val="none" w:sz="0" w:space="0" w:color="auto"/>
                            <w:bottom w:val="none" w:sz="0" w:space="0" w:color="auto"/>
                            <w:right w:val="none" w:sz="0" w:space="0" w:color="auto"/>
                          </w:divBdr>
                          <w:divsChild>
                            <w:div w:id="2100364347">
                              <w:marLeft w:val="0"/>
                              <w:marRight w:val="0"/>
                              <w:marTop w:val="0"/>
                              <w:marBottom w:val="0"/>
                              <w:divBdr>
                                <w:top w:val="none" w:sz="0" w:space="0" w:color="auto"/>
                                <w:left w:val="none" w:sz="0" w:space="0" w:color="auto"/>
                                <w:bottom w:val="none" w:sz="0" w:space="0" w:color="auto"/>
                                <w:right w:val="none" w:sz="0" w:space="0" w:color="auto"/>
                              </w:divBdr>
                              <w:divsChild>
                                <w:div w:id="1833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732426">
      <w:bodyDiv w:val="1"/>
      <w:marLeft w:val="0"/>
      <w:marRight w:val="0"/>
      <w:marTop w:val="0"/>
      <w:marBottom w:val="0"/>
      <w:divBdr>
        <w:top w:val="none" w:sz="0" w:space="0" w:color="auto"/>
        <w:left w:val="none" w:sz="0" w:space="0" w:color="auto"/>
        <w:bottom w:val="none" w:sz="0" w:space="0" w:color="auto"/>
        <w:right w:val="none" w:sz="0" w:space="0" w:color="auto"/>
      </w:divBdr>
    </w:div>
    <w:div w:id="777677611">
      <w:bodyDiv w:val="1"/>
      <w:marLeft w:val="0"/>
      <w:marRight w:val="0"/>
      <w:marTop w:val="0"/>
      <w:marBottom w:val="0"/>
      <w:divBdr>
        <w:top w:val="none" w:sz="0" w:space="0" w:color="auto"/>
        <w:left w:val="none" w:sz="0" w:space="0" w:color="auto"/>
        <w:bottom w:val="none" w:sz="0" w:space="0" w:color="auto"/>
        <w:right w:val="none" w:sz="0" w:space="0" w:color="auto"/>
      </w:divBdr>
    </w:div>
    <w:div w:id="795878523">
      <w:bodyDiv w:val="1"/>
      <w:marLeft w:val="0"/>
      <w:marRight w:val="0"/>
      <w:marTop w:val="0"/>
      <w:marBottom w:val="0"/>
      <w:divBdr>
        <w:top w:val="none" w:sz="0" w:space="0" w:color="auto"/>
        <w:left w:val="none" w:sz="0" w:space="0" w:color="auto"/>
        <w:bottom w:val="none" w:sz="0" w:space="0" w:color="auto"/>
        <w:right w:val="none" w:sz="0" w:space="0" w:color="auto"/>
      </w:divBdr>
      <w:divsChild>
        <w:div w:id="905800262">
          <w:marLeft w:val="0"/>
          <w:marRight w:val="0"/>
          <w:marTop w:val="0"/>
          <w:marBottom w:val="0"/>
          <w:divBdr>
            <w:top w:val="none" w:sz="0" w:space="0" w:color="auto"/>
            <w:left w:val="none" w:sz="0" w:space="0" w:color="auto"/>
            <w:bottom w:val="none" w:sz="0" w:space="0" w:color="auto"/>
            <w:right w:val="none" w:sz="0" w:space="0" w:color="auto"/>
          </w:divBdr>
          <w:divsChild>
            <w:div w:id="1412578276">
              <w:marLeft w:val="0"/>
              <w:marRight w:val="0"/>
              <w:marTop w:val="0"/>
              <w:marBottom w:val="0"/>
              <w:divBdr>
                <w:top w:val="none" w:sz="0" w:space="0" w:color="auto"/>
                <w:left w:val="none" w:sz="0" w:space="0" w:color="auto"/>
                <w:bottom w:val="none" w:sz="0" w:space="0" w:color="auto"/>
                <w:right w:val="none" w:sz="0" w:space="0" w:color="auto"/>
              </w:divBdr>
              <w:divsChild>
                <w:div w:id="1858889213">
                  <w:marLeft w:val="0"/>
                  <w:marRight w:val="0"/>
                  <w:marTop w:val="0"/>
                  <w:marBottom w:val="0"/>
                  <w:divBdr>
                    <w:top w:val="none" w:sz="0" w:space="0" w:color="auto"/>
                    <w:left w:val="none" w:sz="0" w:space="0" w:color="auto"/>
                    <w:bottom w:val="none" w:sz="0" w:space="0" w:color="auto"/>
                    <w:right w:val="none" w:sz="0" w:space="0" w:color="auto"/>
                  </w:divBdr>
                  <w:divsChild>
                    <w:div w:id="20518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15419">
      <w:bodyDiv w:val="1"/>
      <w:marLeft w:val="0"/>
      <w:marRight w:val="0"/>
      <w:marTop w:val="0"/>
      <w:marBottom w:val="0"/>
      <w:divBdr>
        <w:top w:val="none" w:sz="0" w:space="0" w:color="auto"/>
        <w:left w:val="none" w:sz="0" w:space="0" w:color="auto"/>
        <w:bottom w:val="none" w:sz="0" w:space="0" w:color="auto"/>
        <w:right w:val="none" w:sz="0" w:space="0" w:color="auto"/>
      </w:divBdr>
    </w:div>
    <w:div w:id="1180199696">
      <w:bodyDiv w:val="1"/>
      <w:marLeft w:val="0"/>
      <w:marRight w:val="0"/>
      <w:marTop w:val="0"/>
      <w:marBottom w:val="0"/>
      <w:divBdr>
        <w:top w:val="none" w:sz="0" w:space="0" w:color="auto"/>
        <w:left w:val="none" w:sz="0" w:space="0" w:color="auto"/>
        <w:bottom w:val="none" w:sz="0" w:space="0" w:color="auto"/>
        <w:right w:val="none" w:sz="0" w:space="0" w:color="auto"/>
      </w:divBdr>
      <w:divsChild>
        <w:div w:id="1450902687">
          <w:marLeft w:val="0"/>
          <w:marRight w:val="0"/>
          <w:marTop w:val="0"/>
          <w:marBottom w:val="0"/>
          <w:divBdr>
            <w:top w:val="none" w:sz="0" w:space="0" w:color="auto"/>
            <w:left w:val="none" w:sz="0" w:space="0" w:color="auto"/>
            <w:bottom w:val="none" w:sz="0" w:space="0" w:color="auto"/>
            <w:right w:val="none" w:sz="0" w:space="0" w:color="auto"/>
          </w:divBdr>
          <w:divsChild>
            <w:div w:id="257907944">
              <w:marLeft w:val="0"/>
              <w:marRight w:val="0"/>
              <w:marTop w:val="0"/>
              <w:marBottom w:val="0"/>
              <w:divBdr>
                <w:top w:val="none" w:sz="0" w:space="0" w:color="auto"/>
                <w:left w:val="none" w:sz="0" w:space="0" w:color="auto"/>
                <w:bottom w:val="none" w:sz="0" w:space="0" w:color="auto"/>
                <w:right w:val="none" w:sz="0" w:space="0" w:color="auto"/>
              </w:divBdr>
              <w:divsChild>
                <w:div w:id="1473254438">
                  <w:marLeft w:val="0"/>
                  <w:marRight w:val="0"/>
                  <w:marTop w:val="0"/>
                  <w:marBottom w:val="0"/>
                  <w:divBdr>
                    <w:top w:val="none" w:sz="0" w:space="0" w:color="auto"/>
                    <w:left w:val="none" w:sz="0" w:space="0" w:color="auto"/>
                    <w:bottom w:val="none" w:sz="0" w:space="0" w:color="auto"/>
                    <w:right w:val="none" w:sz="0" w:space="0" w:color="auto"/>
                  </w:divBdr>
                  <w:divsChild>
                    <w:div w:id="14690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63358">
      <w:bodyDiv w:val="1"/>
      <w:marLeft w:val="0"/>
      <w:marRight w:val="0"/>
      <w:marTop w:val="0"/>
      <w:marBottom w:val="0"/>
      <w:divBdr>
        <w:top w:val="none" w:sz="0" w:space="0" w:color="auto"/>
        <w:left w:val="none" w:sz="0" w:space="0" w:color="auto"/>
        <w:bottom w:val="none" w:sz="0" w:space="0" w:color="auto"/>
        <w:right w:val="none" w:sz="0" w:space="0" w:color="auto"/>
      </w:divBdr>
      <w:divsChild>
        <w:div w:id="1725060678">
          <w:marLeft w:val="0"/>
          <w:marRight w:val="0"/>
          <w:marTop w:val="0"/>
          <w:marBottom w:val="0"/>
          <w:divBdr>
            <w:top w:val="none" w:sz="0" w:space="0" w:color="auto"/>
            <w:left w:val="none" w:sz="0" w:space="0" w:color="auto"/>
            <w:bottom w:val="none" w:sz="0" w:space="0" w:color="auto"/>
            <w:right w:val="none" w:sz="0" w:space="0" w:color="auto"/>
          </w:divBdr>
          <w:divsChild>
            <w:div w:id="1352611636">
              <w:marLeft w:val="0"/>
              <w:marRight w:val="0"/>
              <w:marTop w:val="0"/>
              <w:marBottom w:val="0"/>
              <w:divBdr>
                <w:top w:val="none" w:sz="0" w:space="0" w:color="auto"/>
                <w:left w:val="none" w:sz="0" w:space="0" w:color="auto"/>
                <w:bottom w:val="none" w:sz="0" w:space="0" w:color="auto"/>
                <w:right w:val="none" w:sz="0" w:space="0" w:color="auto"/>
              </w:divBdr>
              <w:divsChild>
                <w:div w:id="827285930">
                  <w:marLeft w:val="0"/>
                  <w:marRight w:val="0"/>
                  <w:marTop w:val="0"/>
                  <w:marBottom w:val="0"/>
                  <w:divBdr>
                    <w:top w:val="none" w:sz="0" w:space="0" w:color="auto"/>
                    <w:left w:val="none" w:sz="0" w:space="0" w:color="auto"/>
                    <w:bottom w:val="none" w:sz="0" w:space="0" w:color="auto"/>
                    <w:right w:val="none" w:sz="0" w:space="0" w:color="auto"/>
                  </w:divBdr>
                  <w:divsChild>
                    <w:div w:id="713969814">
                      <w:marLeft w:val="0"/>
                      <w:marRight w:val="0"/>
                      <w:marTop w:val="0"/>
                      <w:marBottom w:val="0"/>
                      <w:divBdr>
                        <w:top w:val="none" w:sz="0" w:space="0" w:color="auto"/>
                        <w:left w:val="none" w:sz="0" w:space="0" w:color="auto"/>
                        <w:bottom w:val="none" w:sz="0" w:space="0" w:color="auto"/>
                        <w:right w:val="none" w:sz="0" w:space="0" w:color="auto"/>
                      </w:divBdr>
                      <w:divsChild>
                        <w:div w:id="1378892498">
                          <w:marLeft w:val="0"/>
                          <w:marRight w:val="0"/>
                          <w:marTop w:val="0"/>
                          <w:marBottom w:val="0"/>
                          <w:divBdr>
                            <w:top w:val="none" w:sz="0" w:space="0" w:color="auto"/>
                            <w:left w:val="none" w:sz="0" w:space="0" w:color="auto"/>
                            <w:bottom w:val="none" w:sz="0" w:space="0" w:color="auto"/>
                            <w:right w:val="none" w:sz="0" w:space="0" w:color="auto"/>
                          </w:divBdr>
                          <w:divsChild>
                            <w:div w:id="373894082">
                              <w:marLeft w:val="0"/>
                              <w:marRight w:val="0"/>
                              <w:marTop w:val="0"/>
                              <w:marBottom w:val="0"/>
                              <w:divBdr>
                                <w:top w:val="none" w:sz="0" w:space="0" w:color="auto"/>
                                <w:left w:val="none" w:sz="0" w:space="0" w:color="auto"/>
                                <w:bottom w:val="none" w:sz="0" w:space="0" w:color="auto"/>
                                <w:right w:val="none" w:sz="0" w:space="0" w:color="auto"/>
                              </w:divBdr>
                              <w:divsChild>
                                <w:div w:id="779223928">
                                  <w:marLeft w:val="0"/>
                                  <w:marRight w:val="0"/>
                                  <w:marTop w:val="0"/>
                                  <w:marBottom w:val="0"/>
                                  <w:divBdr>
                                    <w:top w:val="none" w:sz="0" w:space="0" w:color="auto"/>
                                    <w:left w:val="none" w:sz="0" w:space="0" w:color="auto"/>
                                    <w:bottom w:val="none" w:sz="0" w:space="0" w:color="auto"/>
                                    <w:right w:val="none" w:sz="0" w:space="0" w:color="auto"/>
                                  </w:divBdr>
                                </w:div>
                                <w:div w:id="616373867">
                                  <w:marLeft w:val="0"/>
                                  <w:marRight w:val="0"/>
                                  <w:marTop w:val="0"/>
                                  <w:marBottom w:val="0"/>
                                  <w:divBdr>
                                    <w:top w:val="none" w:sz="0" w:space="0" w:color="auto"/>
                                    <w:left w:val="none" w:sz="0" w:space="0" w:color="auto"/>
                                    <w:bottom w:val="none" w:sz="0" w:space="0" w:color="auto"/>
                                    <w:right w:val="none" w:sz="0" w:space="0" w:color="auto"/>
                                  </w:divBdr>
                                </w:div>
                                <w:div w:id="1970043173">
                                  <w:marLeft w:val="0"/>
                                  <w:marRight w:val="0"/>
                                  <w:marTop w:val="0"/>
                                  <w:marBottom w:val="0"/>
                                  <w:divBdr>
                                    <w:top w:val="none" w:sz="0" w:space="0" w:color="auto"/>
                                    <w:left w:val="none" w:sz="0" w:space="0" w:color="auto"/>
                                    <w:bottom w:val="none" w:sz="0" w:space="0" w:color="auto"/>
                                    <w:right w:val="none" w:sz="0" w:space="0" w:color="auto"/>
                                  </w:divBdr>
                                </w:div>
                                <w:div w:id="5886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2024">
      <w:bodyDiv w:val="1"/>
      <w:marLeft w:val="0"/>
      <w:marRight w:val="0"/>
      <w:marTop w:val="0"/>
      <w:marBottom w:val="0"/>
      <w:divBdr>
        <w:top w:val="none" w:sz="0" w:space="0" w:color="auto"/>
        <w:left w:val="none" w:sz="0" w:space="0" w:color="auto"/>
        <w:bottom w:val="none" w:sz="0" w:space="0" w:color="auto"/>
        <w:right w:val="none" w:sz="0" w:space="0" w:color="auto"/>
      </w:divBdr>
    </w:div>
    <w:div w:id="1371149549">
      <w:bodyDiv w:val="1"/>
      <w:marLeft w:val="0"/>
      <w:marRight w:val="0"/>
      <w:marTop w:val="0"/>
      <w:marBottom w:val="0"/>
      <w:divBdr>
        <w:top w:val="none" w:sz="0" w:space="0" w:color="auto"/>
        <w:left w:val="none" w:sz="0" w:space="0" w:color="auto"/>
        <w:bottom w:val="none" w:sz="0" w:space="0" w:color="auto"/>
        <w:right w:val="none" w:sz="0" w:space="0" w:color="auto"/>
      </w:divBdr>
    </w:div>
    <w:div w:id="1377853955">
      <w:bodyDiv w:val="1"/>
      <w:marLeft w:val="0"/>
      <w:marRight w:val="0"/>
      <w:marTop w:val="0"/>
      <w:marBottom w:val="0"/>
      <w:divBdr>
        <w:top w:val="none" w:sz="0" w:space="0" w:color="auto"/>
        <w:left w:val="none" w:sz="0" w:space="0" w:color="auto"/>
        <w:bottom w:val="none" w:sz="0" w:space="0" w:color="auto"/>
        <w:right w:val="none" w:sz="0" w:space="0" w:color="auto"/>
      </w:divBdr>
    </w:div>
    <w:div w:id="19772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cid:image002.png@01CC1091.792286F0" TargetMode="External" Id="rId8" /><Relationship Type="http://schemas.openxmlformats.org/officeDocument/2006/relationships/image" Target="media/image5.emf"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image" Target="media/image4.emf"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hart" Target="charts/chart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image" Target="media/image3.emf" Id="rId10"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footer" Target="footer1.xml" Id="rId14" /></Relationships>
</file>

<file path=word/charts/_rels/chart1.xml.rels><?xml version="1.0" encoding="UTF-8" standalone="yes"?>
<Relationships xmlns="http://schemas.openxmlformats.org/package/2006/relationships"><Relationship Id="rId1" Type="http://schemas.openxmlformats.org/officeDocument/2006/relationships/oleObject" Target="file:///\\FINP51\DGFZ\AFP\Analyse\04.%20Dossier%20Auto\Onderzoek%20zuinige%20auto's\Berekeningen%20BPM%202011-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nl-NL"/>
  <c:chart>
    <c:plotArea>
      <c:layout/>
      <c:scatterChart>
        <c:scatterStyle val="lineMarker"/>
        <c:ser>
          <c:idx val="0"/>
          <c:order val="0"/>
          <c:tx>
            <c:v>Benzine</c:v>
          </c:tx>
          <c:marker>
            <c:symbol val="none"/>
          </c:marker>
          <c:xVal>
            <c:numRef>
              <c:f>'nieuw scenario'!$A$17:$A$197</c:f>
              <c:numCache>
                <c:formatCode>General</c:formatCode>
                <c:ptCount val="181"/>
                <c:pt idx="0">
                  <c:v>70</c:v>
                </c:pt>
                <c:pt idx="1">
                  <c:v>71</c:v>
                </c:pt>
                <c:pt idx="2">
                  <c:v>72</c:v>
                </c:pt>
                <c:pt idx="3">
                  <c:v>73</c:v>
                </c:pt>
                <c:pt idx="4">
                  <c:v>74</c:v>
                </c:pt>
                <c:pt idx="5">
                  <c:v>75</c:v>
                </c:pt>
                <c:pt idx="6">
                  <c:v>76</c:v>
                </c:pt>
                <c:pt idx="7">
                  <c:v>77</c:v>
                </c:pt>
                <c:pt idx="8">
                  <c:v>78</c:v>
                </c:pt>
                <c:pt idx="9">
                  <c:v>79</c:v>
                </c:pt>
                <c:pt idx="10">
                  <c:v>80</c:v>
                </c:pt>
                <c:pt idx="11">
                  <c:v>81</c:v>
                </c:pt>
                <c:pt idx="12">
                  <c:v>82</c:v>
                </c:pt>
                <c:pt idx="13">
                  <c:v>83</c:v>
                </c:pt>
                <c:pt idx="14">
                  <c:v>84</c:v>
                </c:pt>
                <c:pt idx="15">
                  <c:v>85</c:v>
                </c:pt>
                <c:pt idx="16">
                  <c:v>86</c:v>
                </c:pt>
                <c:pt idx="17">
                  <c:v>87</c:v>
                </c:pt>
                <c:pt idx="18">
                  <c:v>88</c:v>
                </c:pt>
                <c:pt idx="19">
                  <c:v>89</c:v>
                </c:pt>
                <c:pt idx="20">
                  <c:v>90</c:v>
                </c:pt>
                <c:pt idx="21">
                  <c:v>91</c:v>
                </c:pt>
                <c:pt idx="22">
                  <c:v>92</c:v>
                </c:pt>
                <c:pt idx="23">
                  <c:v>93</c:v>
                </c:pt>
                <c:pt idx="24">
                  <c:v>94</c:v>
                </c:pt>
                <c:pt idx="25">
                  <c:v>95</c:v>
                </c:pt>
                <c:pt idx="26">
                  <c:v>96</c:v>
                </c:pt>
                <c:pt idx="27">
                  <c:v>97</c:v>
                </c:pt>
                <c:pt idx="28">
                  <c:v>98</c:v>
                </c:pt>
                <c:pt idx="29">
                  <c:v>99</c:v>
                </c:pt>
                <c:pt idx="30">
                  <c:v>100</c:v>
                </c:pt>
                <c:pt idx="31">
                  <c:v>101</c:v>
                </c:pt>
                <c:pt idx="32">
                  <c:v>102</c:v>
                </c:pt>
                <c:pt idx="33">
                  <c:v>103</c:v>
                </c:pt>
                <c:pt idx="34">
                  <c:v>104</c:v>
                </c:pt>
                <c:pt idx="35">
                  <c:v>105</c:v>
                </c:pt>
                <c:pt idx="36">
                  <c:v>106</c:v>
                </c:pt>
                <c:pt idx="37">
                  <c:v>107</c:v>
                </c:pt>
                <c:pt idx="38">
                  <c:v>108</c:v>
                </c:pt>
                <c:pt idx="39">
                  <c:v>109</c:v>
                </c:pt>
                <c:pt idx="40">
                  <c:v>110</c:v>
                </c:pt>
                <c:pt idx="41">
                  <c:v>111</c:v>
                </c:pt>
                <c:pt idx="42">
                  <c:v>112</c:v>
                </c:pt>
                <c:pt idx="43">
                  <c:v>113</c:v>
                </c:pt>
                <c:pt idx="44">
                  <c:v>114</c:v>
                </c:pt>
                <c:pt idx="45">
                  <c:v>115</c:v>
                </c:pt>
                <c:pt idx="46">
                  <c:v>116</c:v>
                </c:pt>
                <c:pt idx="47">
                  <c:v>117</c:v>
                </c:pt>
                <c:pt idx="48">
                  <c:v>118</c:v>
                </c:pt>
                <c:pt idx="49">
                  <c:v>119</c:v>
                </c:pt>
                <c:pt idx="50">
                  <c:v>120</c:v>
                </c:pt>
                <c:pt idx="51">
                  <c:v>121</c:v>
                </c:pt>
                <c:pt idx="52">
                  <c:v>122</c:v>
                </c:pt>
                <c:pt idx="53">
                  <c:v>123</c:v>
                </c:pt>
                <c:pt idx="54">
                  <c:v>124</c:v>
                </c:pt>
                <c:pt idx="55">
                  <c:v>125</c:v>
                </c:pt>
                <c:pt idx="56">
                  <c:v>126</c:v>
                </c:pt>
                <c:pt idx="57">
                  <c:v>127</c:v>
                </c:pt>
                <c:pt idx="58">
                  <c:v>128</c:v>
                </c:pt>
                <c:pt idx="59">
                  <c:v>129</c:v>
                </c:pt>
                <c:pt idx="60">
                  <c:v>130</c:v>
                </c:pt>
                <c:pt idx="61">
                  <c:v>131</c:v>
                </c:pt>
                <c:pt idx="62">
                  <c:v>132</c:v>
                </c:pt>
                <c:pt idx="63">
                  <c:v>133</c:v>
                </c:pt>
                <c:pt idx="64">
                  <c:v>134</c:v>
                </c:pt>
                <c:pt idx="65">
                  <c:v>135</c:v>
                </c:pt>
                <c:pt idx="66">
                  <c:v>136</c:v>
                </c:pt>
                <c:pt idx="67">
                  <c:v>137</c:v>
                </c:pt>
                <c:pt idx="68">
                  <c:v>138</c:v>
                </c:pt>
                <c:pt idx="69">
                  <c:v>139</c:v>
                </c:pt>
                <c:pt idx="70">
                  <c:v>140</c:v>
                </c:pt>
                <c:pt idx="71">
                  <c:v>141</c:v>
                </c:pt>
                <c:pt idx="72">
                  <c:v>142</c:v>
                </c:pt>
                <c:pt idx="73">
                  <c:v>143</c:v>
                </c:pt>
                <c:pt idx="74">
                  <c:v>144</c:v>
                </c:pt>
                <c:pt idx="75">
                  <c:v>145</c:v>
                </c:pt>
                <c:pt idx="76">
                  <c:v>146</c:v>
                </c:pt>
                <c:pt idx="77">
                  <c:v>147</c:v>
                </c:pt>
                <c:pt idx="78">
                  <c:v>148</c:v>
                </c:pt>
                <c:pt idx="79">
                  <c:v>149</c:v>
                </c:pt>
                <c:pt idx="80">
                  <c:v>150</c:v>
                </c:pt>
                <c:pt idx="81">
                  <c:v>151</c:v>
                </c:pt>
                <c:pt idx="82">
                  <c:v>152</c:v>
                </c:pt>
                <c:pt idx="83">
                  <c:v>153</c:v>
                </c:pt>
                <c:pt idx="84">
                  <c:v>154</c:v>
                </c:pt>
                <c:pt idx="85">
                  <c:v>155</c:v>
                </c:pt>
                <c:pt idx="86">
                  <c:v>156</c:v>
                </c:pt>
                <c:pt idx="87">
                  <c:v>157</c:v>
                </c:pt>
                <c:pt idx="88">
                  <c:v>158</c:v>
                </c:pt>
                <c:pt idx="89">
                  <c:v>159</c:v>
                </c:pt>
                <c:pt idx="90">
                  <c:v>160</c:v>
                </c:pt>
                <c:pt idx="91">
                  <c:v>161</c:v>
                </c:pt>
                <c:pt idx="92">
                  <c:v>162</c:v>
                </c:pt>
                <c:pt idx="93">
                  <c:v>163</c:v>
                </c:pt>
                <c:pt idx="94">
                  <c:v>164</c:v>
                </c:pt>
                <c:pt idx="95">
                  <c:v>165</c:v>
                </c:pt>
                <c:pt idx="96">
                  <c:v>166</c:v>
                </c:pt>
                <c:pt idx="97">
                  <c:v>167</c:v>
                </c:pt>
                <c:pt idx="98">
                  <c:v>168</c:v>
                </c:pt>
                <c:pt idx="99">
                  <c:v>169</c:v>
                </c:pt>
                <c:pt idx="100">
                  <c:v>170</c:v>
                </c:pt>
                <c:pt idx="101">
                  <c:v>171</c:v>
                </c:pt>
                <c:pt idx="102">
                  <c:v>172</c:v>
                </c:pt>
                <c:pt idx="103">
                  <c:v>173</c:v>
                </c:pt>
                <c:pt idx="104">
                  <c:v>174</c:v>
                </c:pt>
                <c:pt idx="105">
                  <c:v>175</c:v>
                </c:pt>
                <c:pt idx="106">
                  <c:v>176</c:v>
                </c:pt>
                <c:pt idx="107">
                  <c:v>177</c:v>
                </c:pt>
                <c:pt idx="108">
                  <c:v>178</c:v>
                </c:pt>
                <c:pt idx="109">
                  <c:v>179</c:v>
                </c:pt>
                <c:pt idx="110">
                  <c:v>180</c:v>
                </c:pt>
                <c:pt idx="111">
                  <c:v>181</c:v>
                </c:pt>
                <c:pt idx="112">
                  <c:v>182</c:v>
                </c:pt>
                <c:pt idx="113">
                  <c:v>183</c:v>
                </c:pt>
                <c:pt idx="114">
                  <c:v>184</c:v>
                </c:pt>
                <c:pt idx="115">
                  <c:v>185</c:v>
                </c:pt>
                <c:pt idx="116">
                  <c:v>186</c:v>
                </c:pt>
                <c:pt idx="117">
                  <c:v>187</c:v>
                </c:pt>
                <c:pt idx="118">
                  <c:v>188</c:v>
                </c:pt>
                <c:pt idx="119">
                  <c:v>189</c:v>
                </c:pt>
                <c:pt idx="120">
                  <c:v>190</c:v>
                </c:pt>
                <c:pt idx="121">
                  <c:v>191</c:v>
                </c:pt>
                <c:pt idx="122">
                  <c:v>192</c:v>
                </c:pt>
                <c:pt idx="123">
                  <c:v>193</c:v>
                </c:pt>
                <c:pt idx="124">
                  <c:v>194</c:v>
                </c:pt>
                <c:pt idx="125">
                  <c:v>195</c:v>
                </c:pt>
                <c:pt idx="126">
                  <c:v>196</c:v>
                </c:pt>
                <c:pt idx="127">
                  <c:v>197</c:v>
                </c:pt>
                <c:pt idx="128">
                  <c:v>198</c:v>
                </c:pt>
                <c:pt idx="129">
                  <c:v>199</c:v>
                </c:pt>
                <c:pt idx="130">
                  <c:v>200</c:v>
                </c:pt>
                <c:pt idx="131">
                  <c:v>201</c:v>
                </c:pt>
                <c:pt idx="132">
                  <c:v>202</c:v>
                </c:pt>
                <c:pt idx="133">
                  <c:v>203</c:v>
                </c:pt>
                <c:pt idx="134">
                  <c:v>204</c:v>
                </c:pt>
                <c:pt idx="135">
                  <c:v>205</c:v>
                </c:pt>
                <c:pt idx="136">
                  <c:v>206</c:v>
                </c:pt>
                <c:pt idx="137">
                  <c:v>207</c:v>
                </c:pt>
                <c:pt idx="138">
                  <c:v>208</c:v>
                </c:pt>
                <c:pt idx="139">
                  <c:v>209</c:v>
                </c:pt>
                <c:pt idx="140">
                  <c:v>210</c:v>
                </c:pt>
                <c:pt idx="141">
                  <c:v>211</c:v>
                </c:pt>
                <c:pt idx="142">
                  <c:v>212</c:v>
                </c:pt>
                <c:pt idx="143">
                  <c:v>213</c:v>
                </c:pt>
                <c:pt idx="144">
                  <c:v>214</c:v>
                </c:pt>
                <c:pt idx="145">
                  <c:v>215</c:v>
                </c:pt>
                <c:pt idx="146">
                  <c:v>216</c:v>
                </c:pt>
                <c:pt idx="147">
                  <c:v>217</c:v>
                </c:pt>
                <c:pt idx="148">
                  <c:v>218</c:v>
                </c:pt>
                <c:pt idx="149">
                  <c:v>219</c:v>
                </c:pt>
                <c:pt idx="150">
                  <c:v>220</c:v>
                </c:pt>
                <c:pt idx="151">
                  <c:v>221</c:v>
                </c:pt>
                <c:pt idx="152">
                  <c:v>222</c:v>
                </c:pt>
                <c:pt idx="153">
                  <c:v>223</c:v>
                </c:pt>
                <c:pt idx="154">
                  <c:v>224</c:v>
                </c:pt>
                <c:pt idx="155">
                  <c:v>225</c:v>
                </c:pt>
                <c:pt idx="156">
                  <c:v>226</c:v>
                </c:pt>
                <c:pt idx="157">
                  <c:v>227</c:v>
                </c:pt>
                <c:pt idx="158">
                  <c:v>228</c:v>
                </c:pt>
                <c:pt idx="159">
                  <c:v>229</c:v>
                </c:pt>
                <c:pt idx="160">
                  <c:v>230</c:v>
                </c:pt>
                <c:pt idx="161">
                  <c:v>231</c:v>
                </c:pt>
                <c:pt idx="162">
                  <c:v>232</c:v>
                </c:pt>
                <c:pt idx="163">
                  <c:v>233</c:v>
                </c:pt>
                <c:pt idx="164">
                  <c:v>234</c:v>
                </c:pt>
                <c:pt idx="165">
                  <c:v>235</c:v>
                </c:pt>
                <c:pt idx="166">
                  <c:v>236</c:v>
                </c:pt>
                <c:pt idx="167">
                  <c:v>237</c:v>
                </c:pt>
                <c:pt idx="168">
                  <c:v>238</c:v>
                </c:pt>
                <c:pt idx="169">
                  <c:v>239</c:v>
                </c:pt>
                <c:pt idx="170">
                  <c:v>240</c:v>
                </c:pt>
                <c:pt idx="171">
                  <c:v>241</c:v>
                </c:pt>
                <c:pt idx="172">
                  <c:v>242</c:v>
                </c:pt>
                <c:pt idx="173">
                  <c:v>243</c:v>
                </c:pt>
                <c:pt idx="174">
                  <c:v>244</c:v>
                </c:pt>
                <c:pt idx="175">
                  <c:v>245</c:v>
                </c:pt>
                <c:pt idx="176">
                  <c:v>246</c:v>
                </c:pt>
                <c:pt idx="177">
                  <c:v>247</c:v>
                </c:pt>
                <c:pt idx="178">
                  <c:v>248</c:v>
                </c:pt>
                <c:pt idx="179">
                  <c:v>249</c:v>
                </c:pt>
                <c:pt idx="180">
                  <c:v>250</c:v>
                </c:pt>
              </c:numCache>
            </c:numRef>
          </c:xVal>
          <c:yVal>
            <c:numRef>
              <c:f>'nieuw scenario'!$J$17:$J$197</c:f>
              <c:numCache>
                <c:formatCode>0</c:formatCode>
                <c:ptCount val="181"/>
                <c:pt idx="0">
                  <c:v>0</c:v>
                </c:pt>
                <c:pt idx="1">
                  <c:v>0</c:v>
                </c:pt>
                <c:pt idx="2">
                  <c:v>0</c:v>
                </c:pt>
                <c:pt idx="3">
                  <c:v>0</c:v>
                </c:pt>
                <c:pt idx="4">
                  <c:v>0</c:v>
                </c:pt>
                <c:pt idx="5">
                  <c:v>0</c:v>
                </c:pt>
                <c:pt idx="6">
                  <c:v>0</c:v>
                </c:pt>
                <c:pt idx="7">
                  <c:v>0</c:v>
                </c:pt>
                <c:pt idx="8">
                  <c:v>0</c:v>
                </c:pt>
                <c:pt idx="9">
                  <c:v>0</c:v>
                </c:pt>
                <c:pt idx="10">
                  <c:v>0</c:v>
                </c:pt>
                <c:pt idx="11">
                  <c:v>0</c:v>
                </c:pt>
                <c:pt idx="12">
                  <c:v>0</c:v>
                </c:pt>
                <c:pt idx="13">
                  <c:v>81</c:v>
                </c:pt>
                <c:pt idx="14">
                  <c:v>162</c:v>
                </c:pt>
                <c:pt idx="15">
                  <c:v>243</c:v>
                </c:pt>
                <c:pt idx="16">
                  <c:v>324</c:v>
                </c:pt>
                <c:pt idx="17">
                  <c:v>405</c:v>
                </c:pt>
                <c:pt idx="18">
                  <c:v>486</c:v>
                </c:pt>
                <c:pt idx="19">
                  <c:v>567</c:v>
                </c:pt>
                <c:pt idx="20">
                  <c:v>648</c:v>
                </c:pt>
                <c:pt idx="21">
                  <c:v>729</c:v>
                </c:pt>
                <c:pt idx="22">
                  <c:v>810</c:v>
                </c:pt>
                <c:pt idx="23">
                  <c:v>891</c:v>
                </c:pt>
                <c:pt idx="24">
                  <c:v>972</c:v>
                </c:pt>
                <c:pt idx="25">
                  <c:v>1053</c:v>
                </c:pt>
                <c:pt idx="26">
                  <c:v>1134</c:v>
                </c:pt>
                <c:pt idx="27">
                  <c:v>1215</c:v>
                </c:pt>
                <c:pt idx="28">
                  <c:v>1296</c:v>
                </c:pt>
                <c:pt idx="29">
                  <c:v>1377</c:v>
                </c:pt>
                <c:pt idx="30">
                  <c:v>1458</c:v>
                </c:pt>
                <c:pt idx="31">
                  <c:v>1539</c:v>
                </c:pt>
                <c:pt idx="32">
                  <c:v>1620</c:v>
                </c:pt>
                <c:pt idx="33">
                  <c:v>1701</c:v>
                </c:pt>
                <c:pt idx="34">
                  <c:v>1782</c:v>
                </c:pt>
                <c:pt idx="35">
                  <c:v>1863</c:v>
                </c:pt>
                <c:pt idx="36">
                  <c:v>1944</c:v>
                </c:pt>
                <c:pt idx="37">
                  <c:v>2025</c:v>
                </c:pt>
                <c:pt idx="38">
                  <c:v>2106</c:v>
                </c:pt>
                <c:pt idx="39">
                  <c:v>2187</c:v>
                </c:pt>
                <c:pt idx="40">
                  <c:v>2268</c:v>
                </c:pt>
                <c:pt idx="41">
                  <c:v>2365</c:v>
                </c:pt>
                <c:pt idx="42">
                  <c:v>2462</c:v>
                </c:pt>
                <c:pt idx="43">
                  <c:v>2559</c:v>
                </c:pt>
                <c:pt idx="44">
                  <c:v>2656</c:v>
                </c:pt>
                <c:pt idx="45">
                  <c:v>2753</c:v>
                </c:pt>
                <c:pt idx="46">
                  <c:v>2850</c:v>
                </c:pt>
                <c:pt idx="47">
                  <c:v>2947</c:v>
                </c:pt>
                <c:pt idx="48">
                  <c:v>3044</c:v>
                </c:pt>
                <c:pt idx="49">
                  <c:v>3141</c:v>
                </c:pt>
                <c:pt idx="50">
                  <c:v>3238</c:v>
                </c:pt>
                <c:pt idx="51">
                  <c:v>3335</c:v>
                </c:pt>
                <c:pt idx="52">
                  <c:v>3432</c:v>
                </c:pt>
                <c:pt idx="53">
                  <c:v>3529</c:v>
                </c:pt>
                <c:pt idx="54">
                  <c:v>3626</c:v>
                </c:pt>
                <c:pt idx="55">
                  <c:v>3723</c:v>
                </c:pt>
                <c:pt idx="56">
                  <c:v>3820</c:v>
                </c:pt>
                <c:pt idx="57">
                  <c:v>3917</c:v>
                </c:pt>
                <c:pt idx="58">
                  <c:v>4014</c:v>
                </c:pt>
                <c:pt idx="59">
                  <c:v>4111</c:v>
                </c:pt>
                <c:pt idx="60">
                  <c:v>4208</c:v>
                </c:pt>
                <c:pt idx="61">
                  <c:v>4305</c:v>
                </c:pt>
                <c:pt idx="62">
                  <c:v>4402</c:v>
                </c:pt>
                <c:pt idx="63">
                  <c:v>4499</c:v>
                </c:pt>
                <c:pt idx="64">
                  <c:v>4596</c:v>
                </c:pt>
                <c:pt idx="65">
                  <c:v>4693</c:v>
                </c:pt>
                <c:pt idx="66">
                  <c:v>4790</c:v>
                </c:pt>
                <c:pt idx="67">
                  <c:v>4887</c:v>
                </c:pt>
                <c:pt idx="68">
                  <c:v>4984</c:v>
                </c:pt>
                <c:pt idx="69">
                  <c:v>5081</c:v>
                </c:pt>
                <c:pt idx="70">
                  <c:v>5178</c:v>
                </c:pt>
                <c:pt idx="71">
                  <c:v>5275</c:v>
                </c:pt>
                <c:pt idx="72">
                  <c:v>5372</c:v>
                </c:pt>
                <c:pt idx="73">
                  <c:v>5469</c:v>
                </c:pt>
                <c:pt idx="74">
                  <c:v>5566</c:v>
                </c:pt>
                <c:pt idx="75">
                  <c:v>5663</c:v>
                </c:pt>
                <c:pt idx="76">
                  <c:v>5760</c:v>
                </c:pt>
                <c:pt idx="77">
                  <c:v>5857</c:v>
                </c:pt>
                <c:pt idx="78">
                  <c:v>5954</c:v>
                </c:pt>
                <c:pt idx="79">
                  <c:v>6051</c:v>
                </c:pt>
                <c:pt idx="80">
                  <c:v>6148</c:v>
                </c:pt>
                <c:pt idx="81">
                  <c:v>6245</c:v>
                </c:pt>
                <c:pt idx="82">
                  <c:v>6342</c:v>
                </c:pt>
                <c:pt idx="83">
                  <c:v>6439</c:v>
                </c:pt>
                <c:pt idx="84">
                  <c:v>6536</c:v>
                </c:pt>
                <c:pt idx="85">
                  <c:v>6633</c:v>
                </c:pt>
                <c:pt idx="86">
                  <c:v>6730</c:v>
                </c:pt>
                <c:pt idx="87">
                  <c:v>6827</c:v>
                </c:pt>
                <c:pt idx="88">
                  <c:v>6924</c:v>
                </c:pt>
                <c:pt idx="89">
                  <c:v>7021</c:v>
                </c:pt>
                <c:pt idx="90">
                  <c:v>7118</c:v>
                </c:pt>
                <c:pt idx="91">
                  <c:v>7296</c:v>
                </c:pt>
                <c:pt idx="92">
                  <c:v>7474</c:v>
                </c:pt>
                <c:pt idx="93">
                  <c:v>7652</c:v>
                </c:pt>
                <c:pt idx="94">
                  <c:v>7830</c:v>
                </c:pt>
                <c:pt idx="95">
                  <c:v>8008</c:v>
                </c:pt>
                <c:pt idx="96">
                  <c:v>8186</c:v>
                </c:pt>
                <c:pt idx="97">
                  <c:v>8364</c:v>
                </c:pt>
                <c:pt idx="98">
                  <c:v>8542</c:v>
                </c:pt>
                <c:pt idx="99">
                  <c:v>8720</c:v>
                </c:pt>
                <c:pt idx="100">
                  <c:v>8898</c:v>
                </c:pt>
                <c:pt idx="101">
                  <c:v>9076</c:v>
                </c:pt>
                <c:pt idx="102">
                  <c:v>9254</c:v>
                </c:pt>
                <c:pt idx="103">
                  <c:v>9432</c:v>
                </c:pt>
                <c:pt idx="104">
                  <c:v>9610</c:v>
                </c:pt>
                <c:pt idx="105">
                  <c:v>9788</c:v>
                </c:pt>
                <c:pt idx="106">
                  <c:v>9966</c:v>
                </c:pt>
                <c:pt idx="107">
                  <c:v>10144</c:v>
                </c:pt>
                <c:pt idx="108">
                  <c:v>10322</c:v>
                </c:pt>
                <c:pt idx="109">
                  <c:v>10500</c:v>
                </c:pt>
                <c:pt idx="110">
                  <c:v>10678</c:v>
                </c:pt>
                <c:pt idx="111">
                  <c:v>10856</c:v>
                </c:pt>
                <c:pt idx="112">
                  <c:v>11034</c:v>
                </c:pt>
                <c:pt idx="113">
                  <c:v>11212</c:v>
                </c:pt>
                <c:pt idx="114">
                  <c:v>11390</c:v>
                </c:pt>
                <c:pt idx="115">
                  <c:v>11568</c:v>
                </c:pt>
                <c:pt idx="116">
                  <c:v>11746</c:v>
                </c:pt>
                <c:pt idx="117">
                  <c:v>11924</c:v>
                </c:pt>
                <c:pt idx="118">
                  <c:v>12102</c:v>
                </c:pt>
                <c:pt idx="119">
                  <c:v>12280</c:v>
                </c:pt>
                <c:pt idx="120">
                  <c:v>12458</c:v>
                </c:pt>
                <c:pt idx="121">
                  <c:v>12636</c:v>
                </c:pt>
                <c:pt idx="122">
                  <c:v>12814</c:v>
                </c:pt>
                <c:pt idx="123">
                  <c:v>12992</c:v>
                </c:pt>
                <c:pt idx="124">
                  <c:v>13170</c:v>
                </c:pt>
                <c:pt idx="125">
                  <c:v>13348</c:v>
                </c:pt>
                <c:pt idx="126">
                  <c:v>13526</c:v>
                </c:pt>
                <c:pt idx="127">
                  <c:v>13704</c:v>
                </c:pt>
                <c:pt idx="128">
                  <c:v>13882</c:v>
                </c:pt>
                <c:pt idx="129">
                  <c:v>14060</c:v>
                </c:pt>
                <c:pt idx="130">
                  <c:v>14238</c:v>
                </c:pt>
                <c:pt idx="131">
                  <c:v>14416</c:v>
                </c:pt>
                <c:pt idx="132">
                  <c:v>14594</c:v>
                </c:pt>
                <c:pt idx="133">
                  <c:v>14772</c:v>
                </c:pt>
                <c:pt idx="134">
                  <c:v>14950</c:v>
                </c:pt>
                <c:pt idx="135">
                  <c:v>15128</c:v>
                </c:pt>
                <c:pt idx="136">
                  <c:v>15306</c:v>
                </c:pt>
                <c:pt idx="137">
                  <c:v>15484</c:v>
                </c:pt>
                <c:pt idx="138">
                  <c:v>15662</c:v>
                </c:pt>
                <c:pt idx="139">
                  <c:v>15840</c:v>
                </c:pt>
                <c:pt idx="140">
                  <c:v>16018</c:v>
                </c:pt>
                <c:pt idx="141">
                  <c:v>16196</c:v>
                </c:pt>
                <c:pt idx="142">
                  <c:v>16374</c:v>
                </c:pt>
                <c:pt idx="143">
                  <c:v>16552</c:v>
                </c:pt>
                <c:pt idx="144">
                  <c:v>16730</c:v>
                </c:pt>
                <c:pt idx="145">
                  <c:v>16908</c:v>
                </c:pt>
                <c:pt idx="146">
                  <c:v>17086</c:v>
                </c:pt>
                <c:pt idx="147">
                  <c:v>17264</c:v>
                </c:pt>
                <c:pt idx="148">
                  <c:v>17442</c:v>
                </c:pt>
                <c:pt idx="149">
                  <c:v>17620</c:v>
                </c:pt>
                <c:pt idx="150">
                  <c:v>17798</c:v>
                </c:pt>
                <c:pt idx="151">
                  <c:v>17976</c:v>
                </c:pt>
                <c:pt idx="152">
                  <c:v>18154</c:v>
                </c:pt>
                <c:pt idx="153">
                  <c:v>18332</c:v>
                </c:pt>
                <c:pt idx="154">
                  <c:v>18510</c:v>
                </c:pt>
                <c:pt idx="155">
                  <c:v>18688</c:v>
                </c:pt>
                <c:pt idx="156">
                  <c:v>18866</c:v>
                </c:pt>
                <c:pt idx="157">
                  <c:v>19044</c:v>
                </c:pt>
                <c:pt idx="158">
                  <c:v>19222</c:v>
                </c:pt>
                <c:pt idx="159">
                  <c:v>19400</c:v>
                </c:pt>
                <c:pt idx="160">
                  <c:v>19578</c:v>
                </c:pt>
                <c:pt idx="161">
                  <c:v>19756</c:v>
                </c:pt>
                <c:pt idx="162">
                  <c:v>19934</c:v>
                </c:pt>
                <c:pt idx="163">
                  <c:v>20112</c:v>
                </c:pt>
                <c:pt idx="164">
                  <c:v>20290</c:v>
                </c:pt>
                <c:pt idx="165">
                  <c:v>20468</c:v>
                </c:pt>
                <c:pt idx="166">
                  <c:v>20646</c:v>
                </c:pt>
                <c:pt idx="167">
                  <c:v>20824</c:v>
                </c:pt>
                <c:pt idx="168">
                  <c:v>21002</c:v>
                </c:pt>
                <c:pt idx="169">
                  <c:v>21180</c:v>
                </c:pt>
                <c:pt idx="170">
                  <c:v>21358</c:v>
                </c:pt>
                <c:pt idx="171">
                  <c:v>21536</c:v>
                </c:pt>
                <c:pt idx="172">
                  <c:v>21714</c:v>
                </c:pt>
                <c:pt idx="173">
                  <c:v>21892</c:v>
                </c:pt>
                <c:pt idx="174">
                  <c:v>22070</c:v>
                </c:pt>
                <c:pt idx="175">
                  <c:v>22248</c:v>
                </c:pt>
                <c:pt idx="176">
                  <c:v>22426</c:v>
                </c:pt>
                <c:pt idx="177">
                  <c:v>22604</c:v>
                </c:pt>
                <c:pt idx="178">
                  <c:v>22782</c:v>
                </c:pt>
                <c:pt idx="179">
                  <c:v>22960</c:v>
                </c:pt>
                <c:pt idx="180">
                  <c:v>23138</c:v>
                </c:pt>
              </c:numCache>
            </c:numRef>
          </c:yVal>
        </c:ser>
        <c:ser>
          <c:idx val="1"/>
          <c:order val="1"/>
          <c:tx>
            <c:v>Diesel</c:v>
          </c:tx>
          <c:spPr>
            <a:ln>
              <a:prstDash val="dash"/>
            </a:ln>
          </c:spPr>
          <c:marker>
            <c:symbol val="none"/>
          </c:marker>
          <c:xVal>
            <c:numRef>
              <c:f>'nieuw scenario'!$A$17:$A$197</c:f>
              <c:numCache>
                <c:formatCode>General</c:formatCode>
                <c:ptCount val="181"/>
                <c:pt idx="0">
                  <c:v>70</c:v>
                </c:pt>
                <c:pt idx="1">
                  <c:v>71</c:v>
                </c:pt>
                <c:pt idx="2">
                  <c:v>72</c:v>
                </c:pt>
                <c:pt idx="3">
                  <c:v>73</c:v>
                </c:pt>
                <c:pt idx="4">
                  <c:v>74</c:v>
                </c:pt>
                <c:pt idx="5">
                  <c:v>75</c:v>
                </c:pt>
                <c:pt idx="6">
                  <c:v>76</c:v>
                </c:pt>
                <c:pt idx="7">
                  <c:v>77</c:v>
                </c:pt>
                <c:pt idx="8">
                  <c:v>78</c:v>
                </c:pt>
                <c:pt idx="9">
                  <c:v>79</c:v>
                </c:pt>
                <c:pt idx="10">
                  <c:v>80</c:v>
                </c:pt>
                <c:pt idx="11">
                  <c:v>81</c:v>
                </c:pt>
                <c:pt idx="12">
                  <c:v>82</c:v>
                </c:pt>
                <c:pt idx="13">
                  <c:v>83</c:v>
                </c:pt>
                <c:pt idx="14">
                  <c:v>84</c:v>
                </c:pt>
                <c:pt idx="15">
                  <c:v>85</c:v>
                </c:pt>
                <c:pt idx="16">
                  <c:v>86</c:v>
                </c:pt>
                <c:pt idx="17">
                  <c:v>87</c:v>
                </c:pt>
                <c:pt idx="18">
                  <c:v>88</c:v>
                </c:pt>
                <c:pt idx="19">
                  <c:v>89</c:v>
                </c:pt>
                <c:pt idx="20">
                  <c:v>90</c:v>
                </c:pt>
                <c:pt idx="21">
                  <c:v>91</c:v>
                </c:pt>
                <c:pt idx="22">
                  <c:v>92</c:v>
                </c:pt>
                <c:pt idx="23">
                  <c:v>93</c:v>
                </c:pt>
                <c:pt idx="24">
                  <c:v>94</c:v>
                </c:pt>
                <c:pt idx="25">
                  <c:v>95</c:v>
                </c:pt>
                <c:pt idx="26">
                  <c:v>96</c:v>
                </c:pt>
                <c:pt idx="27">
                  <c:v>97</c:v>
                </c:pt>
                <c:pt idx="28">
                  <c:v>98</c:v>
                </c:pt>
                <c:pt idx="29">
                  <c:v>99</c:v>
                </c:pt>
                <c:pt idx="30">
                  <c:v>100</c:v>
                </c:pt>
                <c:pt idx="31">
                  <c:v>101</c:v>
                </c:pt>
                <c:pt idx="32">
                  <c:v>102</c:v>
                </c:pt>
                <c:pt idx="33">
                  <c:v>103</c:v>
                </c:pt>
                <c:pt idx="34">
                  <c:v>104</c:v>
                </c:pt>
                <c:pt idx="35">
                  <c:v>105</c:v>
                </c:pt>
                <c:pt idx="36">
                  <c:v>106</c:v>
                </c:pt>
                <c:pt idx="37">
                  <c:v>107</c:v>
                </c:pt>
                <c:pt idx="38">
                  <c:v>108</c:v>
                </c:pt>
                <c:pt idx="39">
                  <c:v>109</c:v>
                </c:pt>
                <c:pt idx="40">
                  <c:v>110</c:v>
                </c:pt>
                <c:pt idx="41">
                  <c:v>111</c:v>
                </c:pt>
                <c:pt idx="42">
                  <c:v>112</c:v>
                </c:pt>
                <c:pt idx="43">
                  <c:v>113</c:v>
                </c:pt>
                <c:pt idx="44">
                  <c:v>114</c:v>
                </c:pt>
                <c:pt idx="45">
                  <c:v>115</c:v>
                </c:pt>
                <c:pt idx="46">
                  <c:v>116</c:v>
                </c:pt>
                <c:pt idx="47">
                  <c:v>117</c:v>
                </c:pt>
                <c:pt idx="48">
                  <c:v>118</c:v>
                </c:pt>
                <c:pt idx="49">
                  <c:v>119</c:v>
                </c:pt>
                <c:pt idx="50">
                  <c:v>120</c:v>
                </c:pt>
                <c:pt idx="51">
                  <c:v>121</c:v>
                </c:pt>
                <c:pt idx="52">
                  <c:v>122</c:v>
                </c:pt>
                <c:pt idx="53">
                  <c:v>123</c:v>
                </c:pt>
                <c:pt idx="54">
                  <c:v>124</c:v>
                </c:pt>
                <c:pt idx="55">
                  <c:v>125</c:v>
                </c:pt>
                <c:pt idx="56">
                  <c:v>126</c:v>
                </c:pt>
                <c:pt idx="57">
                  <c:v>127</c:v>
                </c:pt>
                <c:pt idx="58">
                  <c:v>128</c:v>
                </c:pt>
                <c:pt idx="59">
                  <c:v>129</c:v>
                </c:pt>
                <c:pt idx="60">
                  <c:v>130</c:v>
                </c:pt>
                <c:pt idx="61">
                  <c:v>131</c:v>
                </c:pt>
                <c:pt idx="62">
                  <c:v>132</c:v>
                </c:pt>
                <c:pt idx="63">
                  <c:v>133</c:v>
                </c:pt>
                <c:pt idx="64">
                  <c:v>134</c:v>
                </c:pt>
                <c:pt idx="65">
                  <c:v>135</c:v>
                </c:pt>
                <c:pt idx="66">
                  <c:v>136</c:v>
                </c:pt>
                <c:pt idx="67">
                  <c:v>137</c:v>
                </c:pt>
                <c:pt idx="68">
                  <c:v>138</c:v>
                </c:pt>
                <c:pt idx="69">
                  <c:v>139</c:v>
                </c:pt>
                <c:pt idx="70">
                  <c:v>140</c:v>
                </c:pt>
                <c:pt idx="71">
                  <c:v>141</c:v>
                </c:pt>
                <c:pt idx="72">
                  <c:v>142</c:v>
                </c:pt>
                <c:pt idx="73">
                  <c:v>143</c:v>
                </c:pt>
                <c:pt idx="74">
                  <c:v>144</c:v>
                </c:pt>
                <c:pt idx="75">
                  <c:v>145</c:v>
                </c:pt>
                <c:pt idx="76">
                  <c:v>146</c:v>
                </c:pt>
                <c:pt idx="77">
                  <c:v>147</c:v>
                </c:pt>
                <c:pt idx="78">
                  <c:v>148</c:v>
                </c:pt>
                <c:pt idx="79">
                  <c:v>149</c:v>
                </c:pt>
                <c:pt idx="80">
                  <c:v>150</c:v>
                </c:pt>
                <c:pt idx="81">
                  <c:v>151</c:v>
                </c:pt>
                <c:pt idx="82">
                  <c:v>152</c:v>
                </c:pt>
                <c:pt idx="83">
                  <c:v>153</c:v>
                </c:pt>
                <c:pt idx="84">
                  <c:v>154</c:v>
                </c:pt>
                <c:pt idx="85">
                  <c:v>155</c:v>
                </c:pt>
                <c:pt idx="86">
                  <c:v>156</c:v>
                </c:pt>
                <c:pt idx="87">
                  <c:v>157</c:v>
                </c:pt>
                <c:pt idx="88">
                  <c:v>158</c:v>
                </c:pt>
                <c:pt idx="89">
                  <c:v>159</c:v>
                </c:pt>
                <c:pt idx="90">
                  <c:v>160</c:v>
                </c:pt>
                <c:pt idx="91">
                  <c:v>161</c:v>
                </c:pt>
                <c:pt idx="92">
                  <c:v>162</c:v>
                </c:pt>
                <c:pt idx="93">
                  <c:v>163</c:v>
                </c:pt>
                <c:pt idx="94">
                  <c:v>164</c:v>
                </c:pt>
                <c:pt idx="95">
                  <c:v>165</c:v>
                </c:pt>
                <c:pt idx="96">
                  <c:v>166</c:v>
                </c:pt>
                <c:pt idx="97">
                  <c:v>167</c:v>
                </c:pt>
                <c:pt idx="98">
                  <c:v>168</c:v>
                </c:pt>
                <c:pt idx="99">
                  <c:v>169</c:v>
                </c:pt>
                <c:pt idx="100">
                  <c:v>170</c:v>
                </c:pt>
                <c:pt idx="101">
                  <c:v>171</c:v>
                </c:pt>
                <c:pt idx="102">
                  <c:v>172</c:v>
                </c:pt>
                <c:pt idx="103">
                  <c:v>173</c:v>
                </c:pt>
                <c:pt idx="104">
                  <c:v>174</c:v>
                </c:pt>
                <c:pt idx="105">
                  <c:v>175</c:v>
                </c:pt>
                <c:pt idx="106">
                  <c:v>176</c:v>
                </c:pt>
                <c:pt idx="107">
                  <c:v>177</c:v>
                </c:pt>
                <c:pt idx="108">
                  <c:v>178</c:v>
                </c:pt>
                <c:pt idx="109">
                  <c:v>179</c:v>
                </c:pt>
                <c:pt idx="110">
                  <c:v>180</c:v>
                </c:pt>
                <c:pt idx="111">
                  <c:v>181</c:v>
                </c:pt>
                <c:pt idx="112">
                  <c:v>182</c:v>
                </c:pt>
                <c:pt idx="113">
                  <c:v>183</c:v>
                </c:pt>
                <c:pt idx="114">
                  <c:v>184</c:v>
                </c:pt>
                <c:pt idx="115">
                  <c:v>185</c:v>
                </c:pt>
                <c:pt idx="116">
                  <c:v>186</c:v>
                </c:pt>
                <c:pt idx="117">
                  <c:v>187</c:v>
                </c:pt>
                <c:pt idx="118">
                  <c:v>188</c:v>
                </c:pt>
                <c:pt idx="119">
                  <c:v>189</c:v>
                </c:pt>
                <c:pt idx="120">
                  <c:v>190</c:v>
                </c:pt>
                <c:pt idx="121">
                  <c:v>191</c:v>
                </c:pt>
                <c:pt idx="122">
                  <c:v>192</c:v>
                </c:pt>
                <c:pt idx="123">
                  <c:v>193</c:v>
                </c:pt>
                <c:pt idx="124">
                  <c:v>194</c:v>
                </c:pt>
                <c:pt idx="125">
                  <c:v>195</c:v>
                </c:pt>
                <c:pt idx="126">
                  <c:v>196</c:v>
                </c:pt>
                <c:pt idx="127">
                  <c:v>197</c:v>
                </c:pt>
                <c:pt idx="128">
                  <c:v>198</c:v>
                </c:pt>
                <c:pt idx="129">
                  <c:v>199</c:v>
                </c:pt>
                <c:pt idx="130">
                  <c:v>200</c:v>
                </c:pt>
                <c:pt idx="131">
                  <c:v>201</c:v>
                </c:pt>
                <c:pt idx="132">
                  <c:v>202</c:v>
                </c:pt>
                <c:pt idx="133">
                  <c:v>203</c:v>
                </c:pt>
                <c:pt idx="134">
                  <c:v>204</c:v>
                </c:pt>
                <c:pt idx="135">
                  <c:v>205</c:v>
                </c:pt>
                <c:pt idx="136">
                  <c:v>206</c:v>
                </c:pt>
                <c:pt idx="137">
                  <c:v>207</c:v>
                </c:pt>
                <c:pt idx="138">
                  <c:v>208</c:v>
                </c:pt>
                <c:pt idx="139">
                  <c:v>209</c:v>
                </c:pt>
                <c:pt idx="140">
                  <c:v>210</c:v>
                </c:pt>
                <c:pt idx="141">
                  <c:v>211</c:v>
                </c:pt>
                <c:pt idx="142">
                  <c:v>212</c:v>
                </c:pt>
                <c:pt idx="143">
                  <c:v>213</c:v>
                </c:pt>
                <c:pt idx="144">
                  <c:v>214</c:v>
                </c:pt>
                <c:pt idx="145">
                  <c:v>215</c:v>
                </c:pt>
                <c:pt idx="146">
                  <c:v>216</c:v>
                </c:pt>
                <c:pt idx="147">
                  <c:v>217</c:v>
                </c:pt>
                <c:pt idx="148">
                  <c:v>218</c:v>
                </c:pt>
                <c:pt idx="149">
                  <c:v>219</c:v>
                </c:pt>
                <c:pt idx="150">
                  <c:v>220</c:v>
                </c:pt>
                <c:pt idx="151">
                  <c:v>221</c:v>
                </c:pt>
                <c:pt idx="152">
                  <c:v>222</c:v>
                </c:pt>
                <c:pt idx="153">
                  <c:v>223</c:v>
                </c:pt>
                <c:pt idx="154">
                  <c:v>224</c:v>
                </c:pt>
                <c:pt idx="155">
                  <c:v>225</c:v>
                </c:pt>
                <c:pt idx="156">
                  <c:v>226</c:v>
                </c:pt>
                <c:pt idx="157">
                  <c:v>227</c:v>
                </c:pt>
                <c:pt idx="158">
                  <c:v>228</c:v>
                </c:pt>
                <c:pt idx="159">
                  <c:v>229</c:v>
                </c:pt>
                <c:pt idx="160">
                  <c:v>230</c:v>
                </c:pt>
                <c:pt idx="161">
                  <c:v>231</c:v>
                </c:pt>
                <c:pt idx="162">
                  <c:v>232</c:v>
                </c:pt>
                <c:pt idx="163">
                  <c:v>233</c:v>
                </c:pt>
                <c:pt idx="164">
                  <c:v>234</c:v>
                </c:pt>
                <c:pt idx="165">
                  <c:v>235</c:v>
                </c:pt>
                <c:pt idx="166">
                  <c:v>236</c:v>
                </c:pt>
                <c:pt idx="167">
                  <c:v>237</c:v>
                </c:pt>
                <c:pt idx="168">
                  <c:v>238</c:v>
                </c:pt>
                <c:pt idx="169">
                  <c:v>239</c:v>
                </c:pt>
                <c:pt idx="170">
                  <c:v>240</c:v>
                </c:pt>
                <c:pt idx="171">
                  <c:v>241</c:v>
                </c:pt>
                <c:pt idx="172">
                  <c:v>242</c:v>
                </c:pt>
                <c:pt idx="173">
                  <c:v>243</c:v>
                </c:pt>
                <c:pt idx="174">
                  <c:v>244</c:v>
                </c:pt>
                <c:pt idx="175">
                  <c:v>245</c:v>
                </c:pt>
                <c:pt idx="176">
                  <c:v>246</c:v>
                </c:pt>
                <c:pt idx="177">
                  <c:v>247</c:v>
                </c:pt>
                <c:pt idx="178">
                  <c:v>248</c:v>
                </c:pt>
                <c:pt idx="179">
                  <c:v>249</c:v>
                </c:pt>
                <c:pt idx="180">
                  <c:v>250</c:v>
                </c:pt>
              </c:numCache>
            </c:numRef>
          </c:xVal>
          <c:yVal>
            <c:numRef>
              <c:f>'nieuw scenario'!$K$17:$K$197</c:f>
              <c:numCache>
                <c:formatCode>0</c:formatCode>
                <c:ptCount val="181"/>
                <c:pt idx="0">
                  <c:v>0</c:v>
                </c:pt>
                <c:pt idx="1">
                  <c:v>80</c:v>
                </c:pt>
                <c:pt idx="2">
                  <c:v>160</c:v>
                </c:pt>
                <c:pt idx="3">
                  <c:v>240</c:v>
                </c:pt>
                <c:pt idx="4">
                  <c:v>320</c:v>
                </c:pt>
                <c:pt idx="5">
                  <c:v>400</c:v>
                </c:pt>
                <c:pt idx="6">
                  <c:v>480</c:v>
                </c:pt>
                <c:pt idx="7">
                  <c:v>560</c:v>
                </c:pt>
                <c:pt idx="8">
                  <c:v>640</c:v>
                </c:pt>
                <c:pt idx="9">
                  <c:v>720</c:v>
                </c:pt>
                <c:pt idx="10">
                  <c:v>800</c:v>
                </c:pt>
                <c:pt idx="11">
                  <c:v>880</c:v>
                </c:pt>
                <c:pt idx="12">
                  <c:v>960</c:v>
                </c:pt>
                <c:pt idx="13">
                  <c:v>1121</c:v>
                </c:pt>
                <c:pt idx="14">
                  <c:v>1282</c:v>
                </c:pt>
                <c:pt idx="15">
                  <c:v>1443</c:v>
                </c:pt>
                <c:pt idx="16">
                  <c:v>1604</c:v>
                </c:pt>
                <c:pt idx="17">
                  <c:v>1765</c:v>
                </c:pt>
                <c:pt idx="18">
                  <c:v>1926</c:v>
                </c:pt>
                <c:pt idx="19">
                  <c:v>2087</c:v>
                </c:pt>
                <c:pt idx="20">
                  <c:v>2248</c:v>
                </c:pt>
                <c:pt idx="21">
                  <c:v>2409</c:v>
                </c:pt>
                <c:pt idx="22">
                  <c:v>2570</c:v>
                </c:pt>
                <c:pt idx="23">
                  <c:v>2731</c:v>
                </c:pt>
                <c:pt idx="24">
                  <c:v>2892</c:v>
                </c:pt>
                <c:pt idx="25">
                  <c:v>3053</c:v>
                </c:pt>
                <c:pt idx="26">
                  <c:v>3214</c:v>
                </c:pt>
                <c:pt idx="27">
                  <c:v>3375</c:v>
                </c:pt>
                <c:pt idx="28">
                  <c:v>3536</c:v>
                </c:pt>
                <c:pt idx="29">
                  <c:v>3697</c:v>
                </c:pt>
                <c:pt idx="30">
                  <c:v>3858</c:v>
                </c:pt>
                <c:pt idx="31">
                  <c:v>4019</c:v>
                </c:pt>
                <c:pt idx="32">
                  <c:v>4180</c:v>
                </c:pt>
                <c:pt idx="33">
                  <c:v>4341</c:v>
                </c:pt>
                <c:pt idx="34">
                  <c:v>4502</c:v>
                </c:pt>
                <c:pt idx="35">
                  <c:v>4663</c:v>
                </c:pt>
                <c:pt idx="36">
                  <c:v>4824</c:v>
                </c:pt>
                <c:pt idx="37">
                  <c:v>4985</c:v>
                </c:pt>
                <c:pt idx="38">
                  <c:v>5146</c:v>
                </c:pt>
                <c:pt idx="39">
                  <c:v>5307</c:v>
                </c:pt>
                <c:pt idx="40">
                  <c:v>5468</c:v>
                </c:pt>
                <c:pt idx="41">
                  <c:v>5645</c:v>
                </c:pt>
                <c:pt idx="42">
                  <c:v>5822</c:v>
                </c:pt>
                <c:pt idx="43">
                  <c:v>5999</c:v>
                </c:pt>
                <c:pt idx="44">
                  <c:v>6176</c:v>
                </c:pt>
                <c:pt idx="45">
                  <c:v>6353</c:v>
                </c:pt>
                <c:pt idx="46">
                  <c:v>6530</c:v>
                </c:pt>
                <c:pt idx="47">
                  <c:v>6707</c:v>
                </c:pt>
                <c:pt idx="48">
                  <c:v>6884</c:v>
                </c:pt>
                <c:pt idx="49">
                  <c:v>7061</c:v>
                </c:pt>
                <c:pt idx="50">
                  <c:v>7238</c:v>
                </c:pt>
                <c:pt idx="51">
                  <c:v>7415</c:v>
                </c:pt>
                <c:pt idx="52">
                  <c:v>7592</c:v>
                </c:pt>
                <c:pt idx="53">
                  <c:v>7769</c:v>
                </c:pt>
                <c:pt idx="54">
                  <c:v>7946</c:v>
                </c:pt>
                <c:pt idx="55">
                  <c:v>8123</c:v>
                </c:pt>
                <c:pt idx="56">
                  <c:v>8300</c:v>
                </c:pt>
                <c:pt idx="57">
                  <c:v>8477</c:v>
                </c:pt>
                <c:pt idx="58">
                  <c:v>8654</c:v>
                </c:pt>
                <c:pt idx="59">
                  <c:v>8831</c:v>
                </c:pt>
                <c:pt idx="60">
                  <c:v>9008</c:v>
                </c:pt>
                <c:pt idx="61">
                  <c:v>9185</c:v>
                </c:pt>
                <c:pt idx="62">
                  <c:v>9362</c:v>
                </c:pt>
                <c:pt idx="63">
                  <c:v>9539</c:v>
                </c:pt>
                <c:pt idx="64">
                  <c:v>9716</c:v>
                </c:pt>
                <c:pt idx="65">
                  <c:v>9893</c:v>
                </c:pt>
                <c:pt idx="66">
                  <c:v>10070</c:v>
                </c:pt>
                <c:pt idx="67">
                  <c:v>10247</c:v>
                </c:pt>
                <c:pt idx="68">
                  <c:v>10424</c:v>
                </c:pt>
                <c:pt idx="69">
                  <c:v>10601</c:v>
                </c:pt>
                <c:pt idx="70">
                  <c:v>10778</c:v>
                </c:pt>
                <c:pt idx="71">
                  <c:v>10955</c:v>
                </c:pt>
                <c:pt idx="72">
                  <c:v>11132</c:v>
                </c:pt>
                <c:pt idx="73">
                  <c:v>11309</c:v>
                </c:pt>
                <c:pt idx="74">
                  <c:v>11486</c:v>
                </c:pt>
                <c:pt idx="75">
                  <c:v>11663</c:v>
                </c:pt>
                <c:pt idx="76">
                  <c:v>11840</c:v>
                </c:pt>
                <c:pt idx="77">
                  <c:v>12017</c:v>
                </c:pt>
                <c:pt idx="78">
                  <c:v>12194</c:v>
                </c:pt>
                <c:pt idx="79">
                  <c:v>12371</c:v>
                </c:pt>
                <c:pt idx="80">
                  <c:v>12548</c:v>
                </c:pt>
                <c:pt idx="81">
                  <c:v>12725</c:v>
                </c:pt>
                <c:pt idx="82">
                  <c:v>12902</c:v>
                </c:pt>
                <c:pt idx="83">
                  <c:v>13079</c:v>
                </c:pt>
                <c:pt idx="84">
                  <c:v>13256</c:v>
                </c:pt>
                <c:pt idx="85">
                  <c:v>13433</c:v>
                </c:pt>
                <c:pt idx="86">
                  <c:v>13610</c:v>
                </c:pt>
                <c:pt idx="87">
                  <c:v>13787</c:v>
                </c:pt>
                <c:pt idx="88">
                  <c:v>13964</c:v>
                </c:pt>
                <c:pt idx="89">
                  <c:v>14141</c:v>
                </c:pt>
                <c:pt idx="90">
                  <c:v>14318</c:v>
                </c:pt>
                <c:pt idx="91">
                  <c:v>14576</c:v>
                </c:pt>
                <c:pt idx="92">
                  <c:v>14834</c:v>
                </c:pt>
                <c:pt idx="93">
                  <c:v>15092</c:v>
                </c:pt>
                <c:pt idx="94">
                  <c:v>15350</c:v>
                </c:pt>
                <c:pt idx="95">
                  <c:v>15608</c:v>
                </c:pt>
                <c:pt idx="96">
                  <c:v>15866</c:v>
                </c:pt>
                <c:pt idx="97">
                  <c:v>16124</c:v>
                </c:pt>
                <c:pt idx="98">
                  <c:v>16382</c:v>
                </c:pt>
                <c:pt idx="99">
                  <c:v>16640</c:v>
                </c:pt>
                <c:pt idx="100">
                  <c:v>16898</c:v>
                </c:pt>
                <c:pt idx="101">
                  <c:v>17156</c:v>
                </c:pt>
                <c:pt idx="102">
                  <c:v>17414</c:v>
                </c:pt>
                <c:pt idx="103">
                  <c:v>17672</c:v>
                </c:pt>
                <c:pt idx="104">
                  <c:v>17930</c:v>
                </c:pt>
                <c:pt idx="105">
                  <c:v>18188</c:v>
                </c:pt>
                <c:pt idx="106">
                  <c:v>18446</c:v>
                </c:pt>
                <c:pt idx="107">
                  <c:v>18704</c:v>
                </c:pt>
                <c:pt idx="108">
                  <c:v>18962</c:v>
                </c:pt>
                <c:pt idx="109">
                  <c:v>19220</c:v>
                </c:pt>
                <c:pt idx="110">
                  <c:v>19478</c:v>
                </c:pt>
                <c:pt idx="111">
                  <c:v>19736</c:v>
                </c:pt>
                <c:pt idx="112">
                  <c:v>19994</c:v>
                </c:pt>
                <c:pt idx="113">
                  <c:v>20252</c:v>
                </c:pt>
                <c:pt idx="114">
                  <c:v>20510</c:v>
                </c:pt>
                <c:pt idx="115">
                  <c:v>20768</c:v>
                </c:pt>
                <c:pt idx="116">
                  <c:v>21026</c:v>
                </c:pt>
                <c:pt idx="117">
                  <c:v>21284</c:v>
                </c:pt>
                <c:pt idx="118">
                  <c:v>21542</c:v>
                </c:pt>
                <c:pt idx="119">
                  <c:v>21800</c:v>
                </c:pt>
                <c:pt idx="120">
                  <c:v>22058</c:v>
                </c:pt>
                <c:pt idx="121">
                  <c:v>22316</c:v>
                </c:pt>
                <c:pt idx="122">
                  <c:v>22574</c:v>
                </c:pt>
                <c:pt idx="123">
                  <c:v>22832</c:v>
                </c:pt>
                <c:pt idx="124">
                  <c:v>23090</c:v>
                </c:pt>
                <c:pt idx="125">
                  <c:v>23348</c:v>
                </c:pt>
                <c:pt idx="126">
                  <c:v>23606</c:v>
                </c:pt>
                <c:pt idx="127">
                  <c:v>23864</c:v>
                </c:pt>
                <c:pt idx="128">
                  <c:v>24122</c:v>
                </c:pt>
                <c:pt idx="129">
                  <c:v>24380</c:v>
                </c:pt>
                <c:pt idx="130">
                  <c:v>24638</c:v>
                </c:pt>
                <c:pt idx="131">
                  <c:v>24896</c:v>
                </c:pt>
                <c:pt idx="132">
                  <c:v>25154</c:v>
                </c:pt>
                <c:pt idx="133">
                  <c:v>25412</c:v>
                </c:pt>
                <c:pt idx="134">
                  <c:v>25670</c:v>
                </c:pt>
                <c:pt idx="135">
                  <c:v>25928</c:v>
                </c:pt>
                <c:pt idx="136">
                  <c:v>26186</c:v>
                </c:pt>
                <c:pt idx="137">
                  <c:v>26444</c:v>
                </c:pt>
                <c:pt idx="138">
                  <c:v>26702</c:v>
                </c:pt>
                <c:pt idx="139">
                  <c:v>26960</c:v>
                </c:pt>
                <c:pt idx="140">
                  <c:v>27218</c:v>
                </c:pt>
                <c:pt idx="141">
                  <c:v>27476</c:v>
                </c:pt>
                <c:pt idx="142">
                  <c:v>27734</c:v>
                </c:pt>
                <c:pt idx="143">
                  <c:v>27992</c:v>
                </c:pt>
                <c:pt idx="144">
                  <c:v>28250</c:v>
                </c:pt>
                <c:pt idx="145">
                  <c:v>28508</c:v>
                </c:pt>
                <c:pt idx="146">
                  <c:v>28766</c:v>
                </c:pt>
                <c:pt idx="147">
                  <c:v>29024</c:v>
                </c:pt>
                <c:pt idx="148">
                  <c:v>29282</c:v>
                </c:pt>
                <c:pt idx="149">
                  <c:v>29540</c:v>
                </c:pt>
                <c:pt idx="150">
                  <c:v>29798</c:v>
                </c:pt>
                <c:pt idx="151">
                  <c:v>30056</c:v>
                </c:pt>
                <c:pt idx="152">
                  <c:v>30314</c:v>
                </c:pt>
                <c:pt idx="153">
                  <c:v>30572</c:v>
                </c:pt>
                <c:pt idx="154">
                  <c:v>30830</c:v>
                </c:pt>
                <c:pt idx="155">
                  <c:v>31088</c:v>
                </c:pt>
                <c:pt idx="156">
                  <c:v>31346</c:v>
                </c:pt>
                <c:pt idx="157">
                  <c:v>31604</c:v>
                </c:pt>
                <c:pt idx="158">
                  <c:v>31862</c:v>
                </c:pt>
                <c:pt idx="159">
                  <c:v>32120</c:v>
                </c:pt>
                <c:pt idx="160">
                  <c:v>32378</c:v>
                </c:pt>
                <c:pt idx="161">
                  <c:v>32636</c:v>
                </c:pt>
                <c:pt idx="162">
                  <c:v>32894</c:v>
                </c:pt>
                <c:pt idx="163">
                  <c:v>33152</c:v>
                </c:pt>
                <c:pt idx="164">
                  <c:v>33410</c:v>
                </c:pt>
                <c:pt idx="165">
                  <c:v>33668</c:v>
                </c:pt>
                <c:pt idx="166">
                  <c:v>33926</c:v>
                </c:pt>
                <c:pt idx="167">
                  <c:v>34184</c:v>
                </c:pt>
                <c:pt idx="168">
                  <c:v>34442</c:v>
                </c:pt>
                <c:pt idx="169">
                  <c:v>34700</c:v>
                </c:pt>
                <c:pt idx="170">
                  <c:v>34958</c:v>
                </c:pt>
                <c:pt idx="171">
                  <c:v>35216</c:v>
                </c:pt>
                <c:pt idx="172">
                  <c:v>35474</c:v>
                </c:pt>
                <c:pt idx="173">
                  <c:v>35732</c:v>
                </c:pt>
                <c:pt idx="174">
                  <c:v>35990</c:v>
                </c:pt>
                <c:pt idx="175">
                  <c:v>36248</c:v>
                </c:pt>
                <c:pt idx="176">
                  <c:v>36506</c:v>
                </c:pt>
                <c:pt idx="177">
                  <c:v>36764</c:v>
                </c:pt>
                <c:pt idx="178">
                  <c:v>37022</c:v>
                </c:pt>
                <c:pt idx="179">
                  <c:v>37280</c:v>
                </c:pt>
                <c:pt idx="180">
                  <c:v>37538</c:v>
                </c:pt>
              </c:numCache>
            </c:numRef>
          </c:yVal>
        </c:ser>
        <c:axId val="157237632"/>
        <c:axId val="157239552"/>
      </c:scatterChart>
      <c:valAx>
        <c:axId val="157237632"/>
        <c:scaling>
          <c:orientation val="minMax"/>
          <c:max val="260"/>
          <c:min val="40"/>
        </c:scaling>
        <c:axPos val="b"/>
        <c:majorGridlines>
          <c:spPr>
            <a:ln>
              <a:solidFill>
                <a:schemeClr val="bg1">
                  <a:lumMod val="85000"/>
                </a:schemeClr>
              </a:solidFill>
            </a:ln>
          </c:spPr>
        </c:majorGridlines>
        <c:title>
          <c:tx>
            <c:rich>
              <a:bodyPr/>
              <a:lstStyle/>
              <a:p>
                <a:pPr>
                  <a:defRPr/>
                </a:pPr>
                <a:r>
                  <a:rPr lang="en-US"/>
                  <a:t>gr CO2/km</a:t>
                </a:r>
              </a:p>
            </c:rich>
          </c:tx>
          <c:layout>
            <c:manualLayout>
              <c:xMode val="edge"/>
              <c:yMode val="edge"/>
              <c:x val="0.52498709031791646"/>
              <c:y val="0.8822343406398524"/>
            </c:manualLayout>
          </c:layout>
        </c:title>
        <c:numFmt formatCode="#,##0" sourceLinked="0"/>
        <c:tickLblPos val="nextTo"/>
        <c:crossAx val="157239552"/>
        <c:crosses val="autoZero"/>
        <c:crossBetween val="midCat"/>
        <c:majorUnit val="20"/>
      </c:valAx>
      <c:valAx>
        <c:axId val="157239552"/>
        <c:scaling>
          <c:orientation val="minMax"/>
        </c:scaling>
        <c:axPos val="l"/>
        <c:majorGridlines>
          <c:spPr>
            <a:ln w="3175">
              <a:solidFill>
                <a:schemeClr val="bg1">
                  <a:lumMod val="85000"/>
                </a:schemeClr>
              </a:solidFill>
            </a:ln>
          </c:spPr>
        </c:majorGridlines>
        <c:title>
          <c:tx>
            <c:rich>
              <a:bodyPr rot="-5400000" vert="horz"/>
              <a:lstStyle/>
              <a:p>
                <a:pPr>
                  <a:defRPr/>
                </a:pPr>
                <a:r>
                  <a:rPr lang="en-US"/>
                  <a:t>BPM</a:t>
                </a:r>
              </a:p>
            </c:rich>
          </c:tx>
        </c:title>
        <c:numFmt formatCode="#,##0" sourceLinked="0"/>
        <c:tickLblPos val="nextTo"/>
        <c:crossAx val="157237632"/>
        <c:crosses val="autoZero"/>
        <c:crossBetween val="midCat"/>
      </c:valAx>
    </c:plotArea>
    <c:legend>
      <c:legendPos val="b"/>
      <c:layout>
        <c:manualLayout>
          <c:xMode val="edge"/>
          <c:yMode val="edge"/>
          <c:x val="0.40620163320833175"/>
          <c:y val="0.94575920408597725"/>
          <c:w val="0.29071735096884938"/>
          <c:h val="4.0727282400510802E-2"/>
        </c:manualLayout>
      </c:layout>
    </c:legend>
    <c:plotVisOnly val="1"/>
  </c:chart>
  <c:externalData r:id="rId1"/>
</c:chartSpac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50</ap:Pages>
  <ap:Words>24290</ap:Words>
  <ap:Characters>133598</ap:Characters>
  <ap:DocSecurity>0</ap:DocSecurity>
  <ap:Lines>1113</ap:Lines>
  <ap:Paragraphs>315</ap:Paragraphs>
  <ap:ScaleCrop>false</ap:ScaleCrop>
  <ap:LinksUpToDate>false</ap:LinksUpToDate>
  <ap:CharactersWithSpaces>157573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2011-06-01T13:24:00.0000000Z</dcterms:created>
  <dcterms:modified xsi:type="dcterms:W3CDTF">2011-06-01T13:24:00.0000000Z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0x01010093B9F8FB01244349A8E91E0353EDD651</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